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EE80D">
      <w:pPr>
        <w:keepNext w:val="0"/>
        <w:keepLines w:val="0"/>
        <w:pageBreakBefore w:val="0"/>
        <w:widowControl w:val="0"/>
        <w:kinsoku/>
        <w:wordWrap/>
        <w:overflowPunct/>
        <w:topLinePunct w:val="0"/>
        <w:autoSpaceDE/>
        <w:autoSpaceDN/>
        <w:bidi w:val="0"/>
        <w:adjustRightInd/>
        <w:snapToGrid/>
        <w:spacing w:line="720" w:lineRule="exact"/>
        <w:ind w:left="0"/>
        <w:jc w:val="left"/>
        <w:textAlignment w:val="auto"/>
        <w:rPr>
          <w:rFonts w:hint="default" w:ascii="方正小标宋_GBK" w:hAnsi="方正小标宋_GBK" w:eastAsia="方正小标宋_GBK" w:cs="方正小标宋_GBK"/>
          <w:b w:val="0"/>
          <w:bCs/>
          <w:sz w:val="28"/>
          <w:szCs w:val="28"/>
          <w:lang w:val="en-US" w:eastAsia="zh-CN"/>
        </w:rPr>
      </w:pPr>
      <w:r>
        <w:rPr>
          <w:rFonts w:hint="eastAsia" w:ascii="方正小标宋_GBK" w:hAnsi="方正小标宋_GBK" w:eastAsia="方正小标宋_GBK" w:cs="方正小标宋_GBK"/>
          <w:b w:val="0"/>
          <w:bCs/>
          <w:sz w:val="28"/>
          <w:szCs w:val="28"/>
          <w:lang w:eastAsia="zh-CN"/>
        </w:rPr>
        <w:t>附件</w:t>
      </w:r>
      <w:r>
        <w:rPr>
          <w:rFonts w:hint="eastAsia" w:ascii="方正小标宋_GBK" w:hAnsi="方正小标宋_GBK" w:eastAsia="方正小标宋_GBK" w:cs="方正小标宋_GBK"/>
          <w:b w:val="0"/>
          <w:bCs/>
          <w:sz w:val="28"/>
          <w:szCs w:val="28"/>
          <w:lang w:val="en-US" w:eastAsia="zh-CN"/>
        </w:rPr>
        <w:t>：</w:t>
      </w:r>
    </w:p>
    <w:p w14:paraId="403676ED">
      <w:pPr>
        <w:keepNext w:val="0"/>
        <w:keepLines w:val="0"/>
        <w:pageBreakBefore w:val="0"/>
        <w:widowControl w:val="0"/>
        <w:kinsoku/>
        <w:wordWrap/>
        <w:overflowPunct/>
        <w:topLinePunct w:val="0"/>
        <w:autoSpaceDE/>
        <w:autoSpaceDN/>
        <w:bidi w:val="0"/>
        <w:adjustRightInd/>
        <w:snapToGrid/>
        <w:spacing w:line="720" w:lineRule="exact"/>
        <w:ind w:left="0"/>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川渝市场监管领域</w:t>
      </w:r>
    </w:p>
    <w:p w14:paraId="04D05590">
      <w:pPr>
        <w:keepNext w:val="0"/>
        <w:keepLines w:val="0"/>
        <w:pageBreakBefore w:val="0"/>
        <w:widowControl w:val="0"/>
        <w:kinsoku/>
        <w:wordWrap/>
        <w:overflowPunct/>
        <w:topLinePunct w:val="0"/>
        <w:autoSpaceDE/>
        <w:autoSpaceDN/>
        <w:bidi w:val="0"/>
        <w:adjustRightInd/>
        <w:snapToGrid/>
        <w:spacing w:line="720" w:lineRule="exact"/>
        <w:ind w:left="0"/>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依法不予实施行政强制措施清单</w:t>
      </w:r>
    </w:p>
    <w:p w14:paraId="1B171AA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楷体_GBK" w:hAnsi="方正楷体_GBK" w:eastAsia="方正楷体_GBK" w:cs="方正楷体_GBK"/>
          <w:b w:val="0"/>
          <w:bCs/>
          <w:color w:val="auto"/>
          <w:sz w:val="32"/>
          <w:szCs w:val="32"/>
          <w:lang w:eastAsia="zh-CN"/>
        </w:rPr>
      </w:pPr>
      <w:r>
        <w:rPr>
          <w:rFonts w:hint="eastAsia" w:ascii="方正楷体_GBK" w:hAnsi="方正楷体_GBK" w:eastAsia="方正楷体_GBK" w:cs="方正楷体_GBK"/>
          <w:b w:val="0"/>
          <w:bCs/>
          <w:color w:val="auto"/>
          <w:sz w:val="32"/>
          <w:szCs w:val="32"/>
          <w:lang w:eastAsia="zh-CN"/>
        </w:rPr>
        <w:t>（征求意见稿）</w:t>
      </w:r>
    </w:p>
    <w:p w14:paraId="2B1F39C7">
      <w:pPr>
        <w:pStyle w:val="2"/>
        <w:keepNext w:val="0"/>
        <w:keepLines w:val="0"/>
        <w:pageBreakBefore w:val="0"/>
        <w:widowControl w:val="0"/>
        <w:kinsoku/>
        <w:wordWrap/>
        <w:topLinePunct w:val="0"/>
        <w:autoSpaceDE/>
        <w:autoSpaceDN/>
        <w:bidi w:val="0"/>
        <w:adjustRightInd/>
        <w:snapToGrid/>
        <w:spacing w:after="0" w:line="240" w:lineRule="auto"/>
        <w:textAlignment w:val="auto"/>
        <w:rPr>
          <w:rFonts w:hint="eastAsia" w:ascii="方正仿宋_GBK" w:hAnsi="方正仿宋_GBK" w:eastAsia="方正仿宋_GBK" w:cs="方正仿宋_GBK"/>
          <w:b w:val="0"/>
          <w:bCs/>
          <w:color w:val="auto"/>
          <w:sz w:val="32"/>
          <w:szCs w:val="32"/>
          <w:lang w:eastAsia="zh-CN"/>
        </w:rPr>
      </w:pPr>
    </w:p>
    <w:p w14:paraId="0FC7090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为深化川渝市场监管</w:t>
      </w:r>
      <w:r>
        <w:rPr>
          <w:rFonts w:hint="eastAsia" w:ascii="方正仿宋_GBK" w:hAnsi="方正仿宋_GBK" w:eastAsia="方正仿宋_GBK" w:cs="方正仿宋_GBK"/>
          <w:color w:val="auto"/>
          <w:sz w:val="32"/>
          <w:szCs w:val="32"/>
          <w:lang w:eastAsia="zh-CN"/>
        </w:rPr>
        <w:t>法治</w:t>
      </w:r>
      <w:r>
        <w:rPr>
          <w:rFonts w:hint="eastAsia" w:ascii="方正仿宋_GBK" w:hAnsi="方正仿宋_GBK" w:eastAsia="方正仿宋_GBK" w:cs="方正仿宋_GBK"/>
          <w:color w:val="auto"/>
          <w:sz w:val="32"/>
          <w:szCs w:val="32"/>
        </w:rPr>
        <w:t>一体化</w:t>
      </w:r>
      <w:r>
        <w:rPr>
          <w:rFonts w:hint="eastAsia" w:ascii="方正仿宋_GBK" w:hAnsi="方正仿宋_GBK" w:eastAsia="方正仿宋_GBK" w:cs="方正仿宋_GBK"/>
          <w:color w:val="auto"/>
          <w:sz w:val="32"/>
          <w:szCs w:val="32"/>
          <w:lang w:eastAsia="zh-CN"/>
        </w:rPr>
        <w:t>建设</w:t>
      </w:r>
      <w:r>
        <w:rPr>
          <w:rFonts w:hint="eastAsia" w:ascii="方正仿宋_GBK" w:hAnsi="方正仿宋_GBK" w:eastAsia="方正仿宋_GBK" w:cs="方正仿宋_GBK"/>
          <w:color w:val="auto"/>
          <w:sz w:val="32"/>
          <w:szCs w:val="32"/>
        </w:rPr>
        <w:t>，持续优化两地营商环境，规范市场监管行政执法行为，健全审慎监管、柔性执法工作机制，严格规范</w:t>
      </w:r>
      <w:r>
        <w:rPr>
          <w:rFonts w:hint="eastAsia" w:ascii="方正仿宋_GBK" w:hAnsi="方正仿宋_GBK" w:eastAsia="方正仿宋_GBK" w:cs="方正仿宋_GBK"/>
          <w:color w:val="auto"/>
          <w:sz w:val="32"/>
          <w:szCs w:val="32"/>
          <w:lang w:eastAsia="zh-CN"/>
        </w:rPr>
        <w:t>实施</w:t>
      </w:r>
      <w:r>
        <w:rPr>
          <w:rFonts w:hint="eastAsia" w:ascii="方正仿宋_GBK" w:hAnsi="方正仿宋_GBK" w:eastAsia="方正仿宋_GBK" w:cs="方正仿宋_GBK"/>
          <w:color w:val="auto"/>
          <w:sz w:val="32"/>
          <w:szCs w:val="32"/>
        </w:rPr>
        <w:t>行政强制措施</w:t>
      </w:r>
      <w:r>
        <w:rPr>
          <w:rFonts w:hint="eastAsia" w:ascii="方正仿宋_GBK" w:hAnsi="方正仿宋_GBK" w:eastAsia="方正仿宋_GBK" w:cs="方正仿宋_GBK"/>
          <w:color w:val="auto"/>
          <w:sz w:val="32"/>
          <w:szCs w:val="32"/>
          <w:lang w:eastAsia="zh-CN"/>
        </w:rPr>
        <w:t>，根据相关法律法规规定，结合川渝两省市市场监管工作实际，重庆市市场监督管理局、四川省市场监督管理局联合制定</w:t>
      </w:r>
      <w:r>
        <w:rPr>
          <w:rFonts w:hint="eastAsia" w:ascii="方正仿宋_GBK" w:hAnsi="方正仿宋_GBK" w:eastAsia="方正仿宋_GBK" w:cs="方正仿宋_GBK"/>
          <w:color w:val="auto"/>
          <w:sz w:val="32"/>
          <w:szCs w:val="32"/>
        </w:rPr>
        <w:t>本清单。</w:t>
      </w:r>
    </w:p>
    <w:p w14:paraId="46DBA33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outlineLvl w:val="1"/>
        <w:rPr>
          <w:rFonts w:hint="eastAsia" w:ascii="方正黑体_GBK" w:hAnsi="方正黑体_GBK" w:eastAsia="方正黑体_GBK" w:cs="方正黑体_GBK"/>
          <w:b w:val="0"/>
          <w:bCs/>
          <w:color w:val="auto"/>
          <w:sz w:val="32"/>
          <w:szCs w:val="32"/>
          <w:lang w:eastAsia="zh-CN"/>
        </w:rPr>
      </w:pPr>
      <w:bookmarkStart w:id="0" w:name="heading_1"/>
      <w:r>
        <w:rPr>
          <w:rFonts w:hint="eastAsia" w:ascii="方正黑体_GBK" w:hAnsi="方正黑体_GBK" w:eastAsia="方正黑体_GBK" w:cs="方正黑体_GBK"/>
          <w:b w:val="0"/>
          <w:bCs/>
          <w:color w:val="auto"/>
          <w:sz w:val="32"/>
          <w:szCs w:val="32"/>
          <w:lang w:eastAsia="zh-CN"/>
        </w:rPr>
        <w:t>一</w:t>
      </w:r>
      <w:r>
        <w:rPr>
          <w:rFonts w:hint="eastAsia" w:ascii="方正黑体_GBK" w:hAnsi="方正黑体_GBK" w:eastAsia="方正黑体_GBK" w:cs="方正黑体_GBK"/>
          <w:b w:val="0"/>
          <w:bCs/>
          <w:color w:val="auto"/>
          <w:sz w:val="32"/>
          <w:szCs w:val="32"/>
        </w:rPr>
        <w:t>、</w:t>
      </w:r>
      <w:bookmarkStart w:id="1" w:name="heading_5"/>
      <w:r>
        <w:rPr>
          <w:rFonts w:hint="eastAsia" w:ascii="方正黑体_GBK" w:hAnsi="方正黑体_GBK" w:eastAsia="方正黑体_GBK" w:cs="方正黑体_GBK"/>
          <w:b w:val="0"/>
          <w:bCs/>
          <w:color w:val="auto"/>
          <w:sz w:val="32"/>
          <w:szCs w:val="32"/>
          <w:lang w:eastAsia="zh-CN"/>
        </w:rPr>
        <w:t>适用</w:t>
      </w:r>
      <w:bookmarkEnd w:id="1"/>
      <w:r>
        <w:rPr>
          <w:rFonts w:hint="eastAsia" w:ascii="方正黑体_GBK" w:hAnsi="方正黑体_GBK" w:eastAsia="方正黑体_GBK" w:cs="方正黑体_GBK"/>
          <w:b w:val="0"/>
          <w:bCs/>
          <w:color w:val="auto"/>
          <w:sz w:val="32"/>
          <w:szCs w:val="32"/>
          <w:lang w:eastAsia="zh-CN"/>
        </w:rPr>
        <w:t>原则</w:t>
      </w:r>
    </w:p>
    <w:p w14:paraId="392C74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楷体_GBK" w:hAnsi="方正楷体_GBK" w:eastAsia="方正楷体_GBK" w:cs="方正楷体_GBK"/>
          <w:b w:val="0"/>
          <w:bCs/>
          <w:color w:val="auto"/>
          <w:sz w:val="32"/>
          <w:szCs w:val="32"/>
          <w:lang w:eastAsia="zh-CN"/>
        </w:rPr>
        <w:t>（一）坚持合法性原则。</w:t>
      </w:r>
      <w:r>
        <w:rPr>
          <w:rFonts w:hint="eastAsia" w:ascii="方正仿宋_GBK" w:hAnsi="方正仿宋_GBK" w:eastAsia="方正仿宋_GBK" w:cs="方正仿宋_GBK"/>
          <w:b w:val="0"/>
          <w:bCs/>
          <w:color w:val="auto"/>
          <w:sz w:val="32"/>
          <w:szCs w:val="32"/>
          <w:lang w:eastAsia="zh-CN"/>
        </w:rPr>
        <w:t>川渝两地市场监管部门行政执法统一遵循《中华人民共和国行政强制法》关于实施行政强制措施的程序规定，严格依据国家法律、行政法规及地方性法规的规定具体实施行政强制措施，严禁超权限、超范围、超期限实施行政强制措施。</w:t>
      </w:r>
    </w:p>
    <w:p w14:paraId="7C4FDE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楷体_GBK" w:hAnsi="方正楷体_GBK" w:eastAsia="方正楷体_GBK" w:cs="方正楷体_GBK"/>
          <w:b w:val="0"/>
          <w:bCs/>
          <w:color w:val="auto"/>
          <w:sz w:val="32"/>
          <w:szCs w:val="32"/>
          <w:lang w:eastAsia="zh-CN"/>
        </w:rPr>
        <w:t>（二）坚持适当性原则。</w:t>
      </w:r>
      <w:r>
        <w:rPr>
          <w:rFonts w:hint="eastAsia" w:ascii="方正仿宋_GBK" w:hAnsi="方正仿宋_GBK" w:eastAsia="方正仿宋_GBK" w:cs="方正仿宋_GBK"/>
          <w:b w:val="0"/>
          <w:bCs/>
          <w:color w:val="auto"/>
          <w:sz w:val="32"/>
          <w:szCs w:val="32"/>
          <w:lang w:eastAsia="zh-CN"/>
        </w:rPr>
        <w:t>严格落实审慎监管、最小干预原则，不得查封、扣押无关场所及财物。采取非强制手段可以制止违法行为、防止证据损毁、控制危险扩大、避免危害结果发生的，不得实施行政强制措施。</w:t>
      </w:r>
    </w:p>
    <w:p w14:paraId="1A2913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楷体_GBK" w:hAnsi="方正楷体_GBK" w:eastAsia="方正楷体_GBK" w:cs="方正楷体_GBK"/>
          <w:b w:val="0"/>
          <w:bCs/>
          <w:color w:val="auto"/>
          <w:sz w:val="32"/>
          <w:szCs w:val="32"/>
          <w:lang w:eastAsia="zh-CN"/>
        </w:rPr>
        <w:t>（三）</w:t>
      </w:r>
      <w:r>
        <w:rPr>
          <w:rFonts w:hint="eastAsia" w:ascii="方正楷体_GBK" w:hAnsi="方正楷体_GBK" w:eastAsia="方正楷体_GBK" w:cs="方正楷体_GBK"/>
          <w:b w:val="0"/>
          <w:bCs/>
          <w:color w:val="auto"/>
          <w:sz w:val="32"/>
          <w:szCs w:val="32"/>
        </w:rPr>
        <w:t>坚持教育和强制相结合原则。</w:t>
      </w:r>
      <w:r>
        <w:rPr>
          <w:rFonts w:hint="eastAsia" w:ascii="方正仿宋_GBK" w:hAnsi="方正仿宋_GBK" w:eastAsia="方正仿宋_GBK" w:cs="方正仿宋_GBK"/>
          <w:b w:val="0"/>
          <w:bCs/>
          <w:color w:val="auto"/>
          <w:sz w:val="32"/>
          <w:szCs w:val="32"/>
          <w:lang w:eastAsia="zh-CN"/>
        </w:rPr>
        <w:t>对轻微违法行为不予实施行政强制措施的，要通过提出整改要求、约谈负责人等方式对当事人进行教育，引导其依法合规开展经营活动，实现行政执法政治效果、法律效果和社会效果的统一。</w:t>
      </w:r>
    </w:p>
    <w:p w14:paraId="794B0C5B">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二、</w:t>
      </w:r>
      <w:r>
        <w:rPr>
          <w:rFonts w:hint="eastAsia" w:ascii="方正黑体_GBK" w:hAnsi="方正黑体_GBK" w:eastAsia="方正黑体_GBK" w:cs="方正黑体_GBK"/>
          <w:sz w:val="32"/>
          <w:szCs w:val="32"/>
        </w:rPr>
        <w:t>下列情形</w:t>
      </w:r>
      <w:r>
        <w:rPr>
          <w:rFonts w:hint="eastAsia" w:ascii="方正黑体_GBK" w:hAnsi="方正黑体_GBK" w:eastAsia="方正黑体_GBK" w:cs="方正黑体_GBK"/>
          <w:sz w:val="32"/>
          <w:szCs w:val="32"/>
          <w:lang w:eastAsia="zh-CN"/>
        </w:rPr>
        <w:t>禁止</w:t>
      </w:r>
      <w:r>
        <w:rPr>
          <w:rFonts w:hint="eastAsia" w:ascii="方正黑体_GBK" w:hAnsi="方正黑体_GBK" w:eastAsia="方正黑体_GBK" w:cs="方正黑体_GBK"/>
          <w:sz w:val="32"/>
          <w:szCs w:val="32"/>
        </w:rPr>
        <w:t>实施行政强制措施</w:t>
      </w:r>
    </w:p>
    <w:p w14:paraId="35D25C67">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（一）没有法律、法规依据的，不得实施行政强制措施；</w:t>
      </w:r>
    </w:p>
    <w:p w14:paraId="1D259709">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（二）超出法律、法规规定可以实施强制措施范围、种类的，不得实施相应的行政强制措施；</w:t>
      </w:r>
    </w:p>
    <w:p w14:paraId="2D10C775">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（三）不具有行政执法资格的人员，不得实施行政强制措施；</w:t>
      </w:r>
    </w:p>
    <w:p w14:paraId="16E7C3CD">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（四）受委托实施行政处罚的行政机关，不得代为实施行政强制措施；</w:t>
      </w:r>
    </w:p>
    <w:p w14:paraId="253E1622">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（五）与当事人违法行为无关的场所、设施或者财物，不得实施查封、扣押的强制措施；</w:t>
      </w:r>
    </w:p>
    <w:p w14:paraId="223F2780">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（六）公民个人及其所扶养家属的生活必需品，不得实施查封、扣押的强制措施；</w:t>
      </w:r>
    </w:p>
    <w:p w14:paraId="42DEAE45">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（七）已被其他国家机关依法查封的场所、设施或者财物，不得重复实施查封的强制措施。</w:t>
      </w:r>
    </w:p>
    <w:p w14:paraId="56EDDED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outlineLvl w:val="1"/>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lang w:eastAsia="zh-CN"/>
        </w:rPr>
        <w:t>三、</w:t>
      </w:r>
      <w:bookmarkEnd w:id="0"/>
      <w:r>
        <w:rPr>
          <w:rFonts w:hint="eastAsia" w:ascii="方正黑体_GBK" w:hAnsi="方正黑体_GBK" w:eastAsia="方正黑体_GBK" w:cs="方正黑体_GBK"/>
          <w:sz w:val="32"/>
          <w:szCs w:val="32"/>
        </w:rPr>
        <w:t>下列情形</w:t>
      </w:r>
      <w:r>
        <w:rPr>
          <w:rFonts w:hint="eastAsia" w:ascii="方正黑体_GBK" w:hAnsi="方正黑体_GBK" w:eastAsia="方正黑体_GBK" w:cs="方正黑体_GBK"/>
          <w:sz w:val="32"/>
          <w:szCs w:val="32"/>
          <w:lang w:eastAsia="zh-CN"/>
        </w:rPr>
        <w:t>不予</w:t>
      </w:r>
      <w:r>
        <w:rPr>
          <w:rFonts w:hint="eastAsia" w:ascii="方正黑体_GBK" w:hAnsi="方正黑体_GBK" w:eastAsia="方正黑体_GBK" w:cs="方正黑体_GBK"/>
          <w:sz w:val="32"/>
          <w:szCs w:val="32"/>
        </w:rPr>
        <w:t>实施行政强制措施</w:t>
      </w:r>
    </w:p>
    <w:p w14:paraId="53885D4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清单中所列</w:t>
      </w:r>
      <w:r>
        <w:rPr>
          <w:rFonts w:hint="eastAsia" w:ascii="方正仿宋_GBK" w:hAnsi="方正仿宋_GBK" w:eastAsia="方正仿宋_GBK" w:cs="方正仿宋_GBK"/>
          <w:color w:val="auto"/>
          <w:sz w:val="32"/>
          <w:szCs w:val="32"/>
        </w:rPr>
        <w:t>违法行为</w:t>
      </w:r>
      <w:r>
        <w:rPr>
          <w:rFonts w:hint="eastAsia" w:ascii="方正仿宋_GBK" w:hAnsi="方正仿宋_GBK" w:eastAsia="方正仿宋_GBK" w:cs="方正仿宋_GBK"/>
          <w:color w:val="auto"/>
          <w:sz w:val="32"/>
          <w:szCs w:val="32"/>
          <w:lang w:eastAsia="zh-CN"/>
        </w:rPr>
        <w:t>同时</w:t>
      </w:r>
      <w:r>
        <w:rPr>
          <w:rFonts w:hint="eastAsia" w:ascii="方正仿宋_GBK" w:hAnsi="方正仿宋_GBK" w:eastAsia="方正仿宋_GBK" w:cs="方正仿宋_GBK"/>
          <w:color w:val="auto"/>
          <w:sz w:val="32"/>
          <w:szCs w:val="32"/>
        </w:rPr>
        <w:t>具备以下条件的，不予实施行政强制措施：</w:t>
      </w:r>
    </w:p>
    <w:p w14:paraId="49C6F6C4">
      <w:pPr>
        <w:keepNext w:val="0"/>
        <w:keepLines w:val="0"/>
        <w:pageBreakBefore w:val="0"/>
        <w:widowControl w:val="0"/>
        <w:numPr>
          <w:ilvl w:val="0"/>
          <w:numId w:val="1"/>
        </w:numPr>
        <w:kinsoku/>
        <w:wordWrap w:val="0"/>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违法</w:t>
      </w:r>
      <w:r>
        <w:rPr>
          <w:rFonts w:hint="eastAsia" w:ascii="方正仿宋_GBK" w:hAnsi="方正仿宋_GBK" w:eastAsia="方正仿宋_GBK" w:cs="方正仿宋_GBK"/>
          <w:color w:val="auto"/>
          <w:sz w:val="32"/>
          <w:szCs w:val="32"/>
          <w:lang w:eastAsia="zh-CN"/>
        </w:rPr>
        <w:t>行为</w:t>
      </w:r>
      <w:r>
        <w:rPr>
          <w:rFonts w:hint="eastAsia" w:ascii="方正仿宋_GBK" w:hAnsi="方正仿宋_GBK" w:eastAsia="方正仿宋_GBK" w:cs="方正仿宋_GBK"/>
          <w:color w:val="auto"/>
          <w:sz w:val="32"/>
          <w:szCs w:val="32"/>
        </w:rPr>
        <w:t>情节显著轻微</w:t>
      </w:r>
      <w:r>
        <w:rPr>
          <w:rFonts w:hint="eastAsia" w:ascii="方正仿宋_GBK" w:hAnsi="方正仿宋_GBK" w:eastAsia="方正仿宋_GBK" w:cs="方正仿宋_GBK"/>
          <w:color w:val="auto"/>
          <w:sz w:val="32"/>
          <w:szCs w:val="32"/>
          <w:lang w:eastAsia="zh-CN"/>
        </w:rPr>
        <w:t>或</w:t>
      </w:r>
      <w:r>
        <w:rPr>
          <w:rFonts w:hint="eastAsia" w:ascii="方正仿宋_GBK" w:hAnsi="方正仿宋_GBK" w:eastAsia="方正仿宋_GBK" w:cs="方正仿宋_GBK"/>
          <w:color w:val="auto"/>
          <w:sz w:val="32"/>
          <w:szCs w:val="32"/>
        </w:rPr>
        <w:t>未造成</w:t>
      </w:r>
      <w:r>
        <w:rPr>
          <w:rFonts w:hint="eastAsia" w:ascii="方正仿宋_GBK" w:hAnsi="方正仿宋_GBK" w:eastAsia="方正仿宋_GBK" w:cs="方正仿宋_GBK"/>
          <w:color w:val="auto"/>
          <w:sz w:val="32"/>
          <w:szCs w:val="32"/>
          <w:lang w:eastAsia="zh-CN"/>
        </w:rPr>
        <w:t>明显</w:t>
      </w:r>
      <w:r>
        <w:rPr>
          <w:rFonts w:hint="eastAsia" w:ascii="方正仿宋_GBK" w:hAnsi="方正仿宋_GBK" w:eastAsia="方正仿宋_GBK" w:cs="方正仿宋_GBK"/>
          <w:color w:val="auto"/>
          <w:sz w:val="32"/>
          <w:szCs w:val="32"/>
        </w:rPr>
        <w:t>人身伤害、财产损失</w:t>
      </w:r>
      <w:r>
        <w:rPr>
          <w:rFonts w:hint="eastAsia" w:ascii="方正仿宋_GBK" w:hAnsi="方正仿宋_GBK" w:eastAsia="方正仿宋_GBK" w:cs="方正仿宋_GBK"/>
          <w:color w:val="auto"/>
          <w:sz w:val="32"/>
          <w:szCs w:val="32"/>
          <w:lang w:eastAsia="zh-CN"/>
        </w:rPr>
        <w:t>、社会影响等危害的</w:t>
      </w:r>
      <w:r>
        <w:rPr>
          <w:rFonts w:hint="eastAsia" w:ascii="方正仿宋_GBK" w:hAnsi="方正仿宋_GBK" w:eastAsia="方正仿宋_GBK" w:cs="方正仿宋_GBK"/>
          <w:color w:val="auto"/>
          <w:sz w:val="32"/>
          <w:szCs w:val="32"/>
        </w:rPr>
        <w:t>；</w:t>
      </w:r>
    </w:p>
    <w:p w14:paraId="021EBB76">
      <w:pPr>
        <w:keepNext w:val="0"/>
        <w:keepLines w:val="0"/>
        <w:pageBreakBefore w:val="0"/>
        <w:widowControl w:val="0"/>
        <w:numPr>
          <w:ilvl w:val="0"/>
          <w:numId w:val="0"/>
        </w:numPr>
        <w:kinsoku/>
        <w:wordWrap w:val="0"/>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判定</w:t>
      </w:r>
      <w:r>
        <w:rPr>
          <w:rFonts w:hint="eastAsia" w:ascii="方正仿宋_GBK" w:hAnsi="方正仿宋_GBK" w:eastAsia="方正仿宋_GBK" w:cs="方正仿宋_GBK"/>
          <w:sz w:val="32"/>
          <w:szCs w:val="32"/>
        </w:rPr>
        <w:t>违法行为</w:t>
      </w:r>
      <w:r>
        <w:rPr>
          <w:rFonts w:hint="eastAsia" w:ascii="方正仿宋_GBK" w:hAnsi="方正仿宋_GBK" w:eastAsia="方正仿宋_GBK" w:cs="方正仿宋_GBK"/>
          <w:sz w:val="32"/>
          <w:szCs w:val="32"/>
          <w:lang w:eastAsia="zh-CN"/>
        </w:rPr>
        <w:t>情节显著</w:t>
      </w:r>
      <w:r>
        <w:rPr>
          <w:rFonts w:hint="eastAsia" w:ascii="方正仿宋_GBK" w:hAnsi="方正仿宋_GBK" w:eastAsia="方正仿宋_GBK" w:cs="方正仿宋_GBK"/>
          <w:sz w:val="32"/>
          <w:szCs w:val="32"/>
        </w:rPr>
        <w:t>轻微，可以</w:t>
      </w:r>
      <w:r>
        <w:rPr>
          <w:rFonts w:hint="eastAsia" w:ascii="方正仿宋_GBK" w:hAnsi="方正仿宋_GBK" w:eastAsia="方正仿宋_GBK" w:cs="方正仿宋_GBK"/>
          <w:sz w:val="32"/>
          <w:szCs w:val="32"/>
          <w:lang w:eastAsia="zh-CN"/>
        </w:rPr>
        <w:t>考虑</w:t>
      </w:r>
      <w:r>
        <w:rPr>
          <w:rFonts w:hint="eastAsia" w:ascii="方正仿宋_GBK" w:hAnsi="方正仿宋_GBK" w:eastAsia="方正仿宋_GBK" w:cs="方正仿宋_GBK"/>
          <w:sz w:val="32"/>
          <w:szCs w:val="32"/>
        </w:rPr>
        <w:t>主观过错较小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违法行为</w:t>
      </w:r>
      <w:r>
        <w:rPr>
          <w:rFonts w:hint="eastAsia" w:ascii="方正仿宋_GBK" w:hAnsi="方正仿宋_GBK" w:eastAsia="方正仿宋_GBK" w:cs="方正仿宋_GBK"/>
          <w:sz w:val="32"/>
          <w:szCs w:val="32"/>
          <w:lang w:val="en-US" w:eastAsia="zh-CN"/>
        </w:rPr>
        <w:t>安全风险较低、违法行为</w:t>
      </w:r>
      <w:r>
        <w:rPr>
          <w:rFonts w:hint="eastAsia" w:ascii="方正仿宋_GBK" w:hAnsi="方正仿宋_GBK" w:eastAsia="方正仿宋_GBK" w:cs="方正仿宋_GBK"/>
          <w:sz w:val="32"/>
          <w:szCs w:val="32"/>
        </w:rPr>
        <w:t>持续时间较</w:t>
      </w:r>
      <w:r>
        <w:rPr>
          <w:rFonts w:hint="eastAsia" w:ascii="方正仿宋_GBK" w:hAnsi="方正仿宋_GBK" w:eastAsia="方正仿宋_GBK" w:cs="方正仿宋_GBK"/>
          <w:sz w:val="32"/>
          <w:szCs w:val="32"/>
          <w:lang w:eastAsia="zh-CN"/>
        </w:rPr>
        <w:t>短、案涉</w:t>
      </w:r>
      <w:r>
        <w:rPr>
          <w:rFonts w:hint="eastAsia" w:ascii="方正仿宋_GBK" w:hAnsi="方正仿宋_GBK" w:eastAsia="方正仿宋_GBK" w:cs="方正仿宋_GBK"/>
          <w:sz w:val="32"/>
          <w:szCs w:val="32"/>
        </w:rPr>
        <w:t>货值金额较小</w:t>
      </w:r>
      <w:r>
        <w:rPr>
          <w:rFonts w:hint="eastAsia" w:ascii="方正仿宋_GBK" w:hAnsi="方正仿宋_GBK" w:eastAsia="方正仿宋_GBK" w:cs="方正仿宋_GBK"/>
          <w:sz w:val="32"/>
          <w:szCs w:val="32"/>
          <w:lang w:eastAsia="zh-CN"/>
        </w:rPr>
        <w:t>等</w:t>
      </w:r>
      <w:r>
        <w:rPr>
          <w:rFonts w:hint="eastAsia" w:ascii="方正仿宋_GBK" w:hAnsi="方正仿宋_GBK" w:eastAsia="方正仿宋_GBK" w:cs="方正仿宋_GBK"/>
          <w:sz w:val="32"/>
          <w:szCs w:val="32"/>
        </w:rPr>
        <w:t>因素综合认定</w:t>
      </w:r>
      <w:r>
        <w:rPr>
          <w:rFonts w:hint="eastAsia" w:ascii="方正仿宋_GBK" w:hAnsi="方正仿宋_GBK" w:eastAsia="方正仿宋_GBK" w:cs="方正仿宋_GBK"/>
          <w:sz w:val="32"/>
          <w:szCs w:val="32"/>
          <w:lang w:eastAsia="zh-CN"/>
        </w:rPr>
        <w:t>。</w:t>
      </w:r>
    </w:p>
    <w:p w14:paraId="03A88A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（二）</w:t>
      </w:r>
      <w:r>
        <w:rPr>
          <w:rFonts w:hint="eastAsia" w:ascii="方正仿宋_GBK" w:hAnsi="方正仿宋_GBK" w:eastAsia="方正仿宋_GBK" w:cs="方正仿宋_GBK"/>
          <w:color w:val="auto"/>
          <w:sz w:val="32"/>
          <w:szCs w:val="32"/>
        </w:rPr>
        <w:t>当事人主动自查自纠</w:t>
      </w:r>
      <w:r>
        <w:rPr>
          <w:rFonts w:hint="eastAsia" w:ascii="方正仿宋_GBK" w:hAnsi="方正仿宋_GBK" w:eastAsia="方正仿宋_GBK" w:cs="方正仿宋_GBK"/>
          <w:color w:val="auto"/>
          <w:sz w:val="32"/>
          <w:szCs w:val="32"/>
          <w:lang w:eastAsia="zh-CN"/>
        </w:rPr>
        <w:t>、配合调查，按照要求提供证据</w:t>
      </w:r>
      <w:r>
        <w:rPr>
          <w:rFonts w:hint="eastAsia" w:ascii="方正仿宋_GBK" w:hAnsi="方正仿宋_GBK" w:eastAsia="方正仿宋_GBK" w:cs="方正仿宋_GBK"/>
          <w:color w:val="auto"/>
          <w:sz w:val="32"/>
          <w:szCs w:val="32"/>
        </w:rPr>
        <w:t>；</w:t>
      </w:r>
    </w:p>
    <w:p w14:paraId="249D5E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（三）</w:t>
      </w:r>
      <w:r>
        <w:rPr>
          <w:rFonts w:hint="eastAsia" w:ascii="方正仿宋_GBK" w:hAnsi="方正仿宋_GBK" w:eastAsia="方正仿宋_GBK" w:cs="方正仿宋_GBK"/>
          <w:color w:val="auto"/>
          <w:sz w:val="32"/>
          <w:szCs w:val="32"/>
        </w:rPr>
        <w:t>涉案财物、经营场所不存在持续违法风险，</w:t>
      </w:r>
      <w:r>
        <w:rPr>
          <w:rFonts w:hint="eastAsia" w:ascii="方正仿宋_GBK" w:hAnsi="方正仿宋_GBK" w:eastAsia="方正仿宋_GBK" w:cs="方正仿宋_GBK"/>
          <w:color w:val="auto"/>
          <w:sz w:val="32"/>
          <w:szCs w:val="32"/>
          <w:lang w:eastAsia="zh-CN"/>
        </w:rPr>
        <w:t>能够通过提取复印件、影印件、抄录件或者拍照、录音、录像等其他非强制手段收集、固定相关证据。</w:t>
      </w:r>
    </w:p>
    <w:p w14:paraId="5B3570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lang w:eastAsia="zh-CN"/>
        </w:rPr>
      </w:pPr>
    </w:p>
    <w:tbl>
      <w:tblPr>
        <w:tblStyle w:val="6"/>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50"/>
        <w:gridCol w:w="3305"/>
        <w:gridCol w:w="4818"/>
      </w:tblGrid>
      <w:tr w14:paraId="7FE3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3" w:hRule="atLeast"/>
          <w:tblHeader/>
          <w:jc w:val="center"/>
        </w:trPr>
        <w:tc>
          <w:tcPr>
            <w:tcW w:w="1050" w:type="dxa"/>
            <w:shd w:val="clear" w:color="auto" w:fill="auto"/>
            <w:noWrap/>
            <w:vAlign w:val="center"/>
          </w:tcPr>
          <w:p w14:paraId="288A35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方正黑体_GBK" w:hAnsi="方正黑体_GBK" w:eastAsia="方正黑体_GBK" w:cs="方正黑体_GBK"/>
                <w:b w:val="0"/>
                <w:bCs/>
                <w:i w:val="0"/>
                <w:iCs w:val="0"/>
                <w:color w:val="000000"/>
                <w:sz w:val="24"/>
                <w:szCs w:val="24"/>
                <w:u w:val="none"/>
              </w:rPr>
            </w:pPr>
            <w:r>
              <w:rPr>
                <w:rFonts w:hint="eastAsia" w:ascii="方正黑体_GBK" w:hAnsi="方正黑体_GBK" w:eastAsia="方正黑体_GBK" w:cs="方正黑体_GBK"/>
                <w:b w:val="0"/>
                <w:bCs/>
                <w:i w:val="0"/>
                <w:iCs w:val="0"/>
                <w:color w:val="000000"/>
                <w:kern w:val="0"/>
                <w:sz w:val="24"/>
                <w:szCs w:val="24"/>
                <w:u w:val="none"/>
                <w:lang w:val="en-US" w:eastAsia="zh-CN" w:bidi="ar"/>
              </w:rPr>
              <w:t>序号</w:t>
            </w:r>
          </w:p>
        </w:tc>
        <w:tc>
          <w:tcPr>
            <w:tcW w:w="3305" w:type="dxa"/>
            <w:shd w:val="clear" w:color="auto" w:fill="auto"/>
            <w:noWrap/>
            <w:vAlign w:val="center"/>
          </w:tcPr>
          <w:p w14:paraId="434494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方正黑体_GBK" w:hAnsi="方正黑体_GBK" w:eastAsia="方正黑体_GBK" w:cs="方正黑体_GBK"/>
                <w:b w:val="0"/>
                <w:bCs/>
                <w:i w:val="0"/>
                <w:iCs w:val="0"/>
                <w:color w:val="000000"/>
                <w:sz w:val="24"/>
                <w:szCs w:val="24"/>
                <w:u w:val="none"/>
              </w:rPr>
            </w:pPr>
            <w:r>
              <w:rPr>
                <w:rFonts w:hint="eastAsia" w:ascii="方正黑体_GBK" w:hAnsi="方正黑体_GBK" w:eastAsia="方正黑体_GBK" w:cs="方正黑体_GBK"/>
                <w:b w:val="0"/>
                <w:bCs/>
                <w:i w:val="0"/>
                <w:iCs w:val="0"/>
                <w:color w:val="000000"/>
                <w:kern w:val="0"/>
                <w:sz w:val="24"/>
                <w:szCs w:val="24"/>
                <w:u w:val="none"/>
                <w:lang w:val="en-US" w:eastAsia="zh-CN" w:bidi="ar"/>
              </w:rPr>
              <w:t>违法行为</w:t>
            </w:r>
          </w:p>
        </w:tc>
        <w:tc>
          <w:tcPr>
            <w:tcW w:w="4818" w:type="dxa"/>
            <w:shd w:val="clear" w:color="auto" w:fill="auto"/>
            <w:noWrap/>
            <w:vAlign w:val="center"/>
          </w:tcPr>
          <w:p w14:paraId="1DD98A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方正黑体_GBK" w:hAnsi="方正黑体_GBK" w:eastAsia="方正黑体_GBK" w:cs="方正黑体_GBK"/>
                <w:b w:val="0"/>
                <w:bCs/>
                <w:i w:val="0"/>
                <w:iCs w:val="0"/>
                <w:color w:val="000000"/>
                <w:sz w:val="24"/>
                <w:szCs w:val="24"/>
                <w:u w:val="none"/>
              </w:rPr>
            </w:pPr>
            <w:r>
              <w:rPr>
                <w:rFonts w:hint="eastAsia" w:ascii="方正黑体_GBK" w:hAnsi="方正黑体_GBK" w:eastAsia="方正黑体_GBK" w:cs="方正黑体_GBK"/>
                <w:b w:val="0"/>
                <w:bCs/>
                <w:i w:val="0"/>
                <w:iCs w:val="0"/>
                <w:color w:val="000000"/>
                <w:kern w:val="0"/>
                <w:sz w:val="24"/>
                <w:szCs w:val="24"/>
                <w:u w:val="none"/>
                <w:lang w:val="en-US" w:eastAsia="zh-CN" w:bidi="ar"/>
              </w:rPr>
              <w:t>违法行为定性依据</w:t>
            </w:r>
          </w:p>
        </w:tc>
      </w:tr>
      <w:tr w14:paraId="756C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shd w:val="clear" w:color="auto" w:fill="auto"/>
            <w:noWrap/>
            <w:vAlign w:val="center"/>
          </w:tcPr>
          <w:p w14:paraId="1FA12D1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default" w:ascii="方正仿宋_GBK" w:hAnsi="方正仿宋_GBK" w:eastAsia="方正仿宋_GBK" w:cs="方正仿宋_GBK"/>
                <w:i w:val="0"/>
                <w:iCs w:val="0"/>
                <w:color w:val="000000"/>
                <w:sz w:val="24"/>
                <w:szCs w:val="24"/>
                <w:u w:val="none"/>
                <w:lang w:val="en-US"/>
              </w:rPr>
              <w:t>1</w:t>
            </w:r>
          </w:p>
        </w:tc>
        <w:tc>
          <w:tcPr>
            <w:tcW w:w="3305" w:type="dxa"/>
            <w:shd w:val="clear" w:color="auto" w:fill="auto"/>
            <w:noWrap/>
            <w:vAlign w:val="center"/>
          </w:tcPr>
          <w:p w14:paraId="30A81AC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实施无照经营行为</w:t>
            </w:r>
          </w:p>
        </w:tc>
        <w:tc>
          <w:tcPr>
            <w:tcW w:w="4818" w:type="dxa"/>
            <w:vMerge w:val="restart"/>
            <w:shd w:val="clear" w:color="auto" w:fill="auto"/>
            <w:noWrap/>
            <w:vAlign w:val="center"/>
          </w:tcPr>
          <w:p w14:paraId="1D93B40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《无证无照经营查处办法》第二条 任何单位或者个人不得违反法律、法规、国务院决定的规定，从事无证无照经营。</w:t>
            </w:r>
          </w:p>
        </w:tc>
      </w:tr>
      <w:tr w14:paraId="403A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0BA6F4CB">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default" w:ascii="方正仿宋_GBK" w:hAnsi="方正仿宋_GBK" w:eastAsia="方正仿宋_GBK" w:cs="方正仿宋_GBK"/>
                <w:i w:val="0"/>
                <w:iCs w:val="0"/>
                <w:color w:val="000000"/>
                <w:sz w:val="24"/>
                <w:szCs w:val="24"/>
                <w:u w:val="none"/>
                <w:lang w:val="en-US"/>
              </w:rPr>
              <w:t>2</w:t>
            </w:r>
          </w:p>
        </w:tc>
        <w:tc>
          <w:tcPr>
            <w:tcW w:w="3305" w:type="dxa"/>
            <w:shd w:val="clear" w:color="auto" w:fill="auto"/>
            <w:noWrap/>
            <w:vAlign w:val="center"/>
          </w:tcPr>
          <w:p w14:paraId="64F25C2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明知经营者实施无需许可或已取得许可类无照经营行为，为其提供经营场所，</w:t>
            </w:r>
          </w:p>
          <w:p w14:paraId="36BE8C01">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或者提供运输、保管、仓储等条件</w:t>
            </w:r>
          </w:p>
        </w:tc>
        <w:tc>
          <w:tcPr>
            <w:tcW w:w="4818" w:type="dxa"/>
            <w:vMerge w:val="continue"/>
            <w:shd w:val="clear" w:color="auto" w:fill="auto"/>
            <w:noWrap/>
            <w:vAlign w:val="center"/>
          </w:tcPr>
          <w:p w14:paraId="284634A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p>
        </w:tc>
      </w:tr>
      <w:tr w14:paraId="37B2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7537EEE9">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default" w:ascii="方正仿宋_GBK" w:hAnsi="方正仿宋_GBK" w:eastAsia="方正仿宋_GBK" w:cs="方正仿宋_GBK"/>
                <w:i w:val="0"/>
                <w:iCs w:val="0"/>
                <w:color w:val="000000"/>
                <w:sz w:val="24"/>
                <w:szCs w:val="24"/>
                <w:u w:val="none"/>
                <w:lang w:val="en-US"/>
              </w:rPr>
              <w:t>3</w:t>
            </w:r>
          </w:p>
        </w:tc>
        <w:tc>
          <w:tcPr>
            <w:tcW w:w="3305" w:type="dxa"/>
            <w:shd w:val="clear" w:color="auto" w:fill="auto"/>
            <w:noWrap/>
            <w:vAlign w:val="center"/>
          </w:tcPr>
          <w:p w14:paraId="768ACA2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外国企业常驻代表机构</w:t>
            </w:r>
          </w:p>
          <w:p w14:paraId="4A6CE7B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未依照规定提交年度报告</w:t>
            </w:r>
          </w:p>
        </w:tc>
        <w:tc>
          <w:tcPr>
            <w:tcW w:w="4818" w:type="dxa"/>
            <w:shd w:val="clear" w:color="auto" w:fill="auto"/>
            <w:noWrap/>
            <w:vAlign w:val="center"/>
          </w:tcPr>
          <w:p w14:paraId="229C0EC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《外国企业常驻代表机构登记管理条例》第六条 代表机构应当于每年3月1日至6月30日向登记机关提交年度报告。年度报告的内容包括外国企业的合法存续情况、代表机构的业务活动开展情况及其经会计师事务所审计的费用收支情况等相关情况。</w:t>
            </w:r>
          </w:p>
        </w:tc>
      </w:tr>
      <w:tr w14:paraId="0C4D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2A03DB6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default" w:ascii="方正仿宋_GBK" w:hAnsi="方正仿宋_GBK" w:eastAsia="方正仿宋_GBK" w:cs="方正仿宋_GBK"/>
                <w:i w:val="0"/>
                <w:iCs w:val="0"/>
                <w:color w:val="000000"/>
                <w:sz w:val="24"/>
                <w:szCs w:val="24"/>
                <w:u w:val="none"/>
                <w:lang w:val="en-US"/>
              </w:rPr>
              <w:t>4</w:t>
            </w:r>
          </w:p>
        </w:tc>
        <w:tc>
          <w:tcPr>
            <w:tcW w:w="3305" w:type="dxa"/>
            <w:shd w:val="clear" w:color="auto" w:fill="auto"/>
            <w:noWrap/>
            <w:vAlign w:val="center"/>
          </w:tcPr>
          <w:p w14:paraId="29DFB271">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广告中涉及专利产品或者</w:t>
            </w:r>
          </w:p>
          <w:p w14:paraId="7F25AFA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专利方法，未标明专利号和专利种类</w:t>
            </w:r>
          </w:p>
        </w:tc>
        <w:tc>
          <w:tcPr>
            <w:tcW w:w="4818" w:type="dxa"/>
            <w:shd w:val="clear" w:color="auto" w:fill="auto"/>
            <w:noWrap/>
            <w:vAlign w:val="center"/>
          </w:tcPr>
          <w:p w14:paraId="651A80C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《中华人民共和国广告法》第十二条第一款 广告中涉及专利产品或者专利方法的，应当标明专利号和专利种类。</w:t>
            </w:r>
          </w:p>
        </w:tc>
      </w:tr>
      <w:tr w14:paraId="2C7C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451EF6F4">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default" w:ascii="方正仿宋_GBK" w:hAnsi="方正仿宋_GBK" w:eastAsia="方正仿宋_GBK" w:cs="方正仿宋_GBK"/>
                <w:i w:val="0"/>
                <w:iCs w:val="0"/>
                <w:color w:val="000000"/>
                <w:sz w:val="24"/>
                <w:szCs w:val="24"/>
                <w:u w:val="none"/>
                <w:lang w:val="en-US"/>
              </w:rPr>
              <w:t>5</w:t>
            </w:r>
          </w:p>
        </w:tc>
        <w:tc>
          <w:tcPr>
            <w:tcW w:w="3305" w:type="dxa"/>
            <w:shd w:val="clear" w:color="auto" w:fill="auto"/>
            <w:noWrap/>
            <w:vAlign w:val="center"/>
          </w:tcPr>
          <w:p w14:paraId="35B3E445">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通过大众传播媒介发布的</w:t>
            </w:r>
          </w:p>
          <w:p w14:paraId="1692112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广告未显著标注“广告”</w:t>
            </w:r>
          </w:p>
          <w:p w14:paraId="59B8A0C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字样</w:t>
            </w:r>
          </w:p>
        </w:tc>
        <w:tc>
          <w:tcPr>
            <w:tcW w:w="4818" w:type="dxa"/>
            <w:shd w:val="clear" w:color="auto" w:fill="auto"/>
            <w:noWrap/>
            <w:vAlign w:val="center"/>
          </w:tcPr>
          <w:p w14:paraId="5FC6C91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《中华人民共和国广告法》第十四条第二款 大众传播媒介不得以新闻报道形式变相发布广告。通过大众传播媒介发布的广告应当显著标明“广告”，与其他非广告信息相区别，不得使消费者产生误解。</w:t>
            </w:r>
          </w:p>
        </w:tc>
      </w:tr>
      <w:tr w14:paraId="7D3D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427AA65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default" w:ascii="方正仿宋_GBK" w:hAnsi="方正仿宋_GBK" w:eastAsia="方正仿宋_GBK" w:cs="方正仿宋_GBK"/>
                <w:i w:val="0"/>
                <w:iCs w:val="0"/>
                <w:color w:val="000000"/>
                <w:sz w:val="24"/>
                <w:szCs w:val="24"/>
                <w:u w:val="none"/>
                <w:lang w:val="en-US"/>
              </w:rPr>
              <w:t>6</w:t>
            </w:r>
          </w:p>
        </w:tc>
        <w:tc>
          <w:tcPr>
            <w:tcW w:w="3305" w:type="dxa"/>
            <w:shd w:val="clear" w:color="auto" w:fill="auto"/>
            <w:noWrap/>
            <w:vAlign w:val="center"/>
          </w:tcPr>
          <w:p w14:paraId="246A21A1">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广告经营者、广告发布者</w:t>
            </w:r>
          </w:p>
          <w:p w14:paraId="02B177C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未按照国家有关规定建立、健全广告业务管理制度</w:t>
            </w:r>
          </w:p>
        </w:tc>
        <w:tc>
          <w:tcPr>
            <w:tcW w:w="4818" w:type="dxa"/>
            <w:shd w:val="clear" w:color="auto" w:fill="auto"/>
            <w:noWrap/>
            <w:vAlign w:val="center"/>
          </w:tcPr>
          <w:p w14:paraId="228BF14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《中华人民共和国广告法》第三十四条第一款 广告经营者、广告发布者应当按照国家有关规定，建立、健全广告业务的承接登记、审核、档案管理制度。</w:t>
            </w:r>
          </w:p>
        </w:tc>
      </w:tr>
      <w:tr w14:paraId="04AF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2920968B">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default" w:ascii="方正仿宋_GBK" w:hAnsi="方正仿宋_GBK" w:eastAsia="方正仿宋_GBK" w:cs="方正仿宋_GBK"/>
                <w:i w:val="0"/>
                <w:iCs w:val="0"/>
                <w:color w:val="000000"/>
                <w:sz w:val="24"/>
                <w:szCs w:val="24"/>
                <w:u w:val="none"/>
                <w:lang w:val="en-US"/>
              </w:rPr>
              <w:t>7</w:t>
            </w:r>
          </w:p>
        </w:tc>
        <w:tc>
          <w:tcPr>
            <w:tcW w:w="3305" w:type="dxa"/>
            <w:shd w:val="clear" w:color="auto" w:fill="auto"/>
            <w:noWrap/>
            <w:vAlign w:val="center"/>
          </w:tcPr>
          <w:p w14:paraId="692DA7A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广告经营者、广告发布者</w:t>
            </w:r>
          </w:p>
          <w:p w14:paraId="1581E98F">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未依据证明文件对广告内容进行核对（广告内容未违法）</w:t>
            </w:r>
          </w:p>
        </w:tc>
        <w:tc>
          <w:tcPr>
            <w:tcW w:w="4818" w:type="dxa"/>
            <w:shd w:val="clear" w:color="auto" w:fill="auto"/>
            <w:noWrap/>
            <w:vAlign w:val="center"/>
          </w:tcPr>
          <w:p w14:paraId="522ACAD2">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《中华人民共和国广告法》第三十四条第二款 广告经营者、广告发布者依据法律、行政法规查验有关证明文件，核对广告内容。对内容不符或者证明文件不全的广告，广告经营者不得提供设计、制作、代理服务，广告发布者不得发布。</w:t>
            </w:r>
          </w:p>
        </w:tc>
      </w:tr>
      <w:tr w14:paraId="709D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7DE96AA9">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8</w:t>
            </w:r>
          </w:p>
        </w:tc>
        <w:tc>
          <w:tcPr>
            <w:tcW w:w="3305" w:type="dxa"/>
            <w:shd w:val="clear" w:color="auto" w:fill="auto"/>
            <w:noWrap/>
            <w:vAlign w:val="center"/>
          </w:tcPr>
          <w:p w14:paraId="3514579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未经当事人同意或者请求，向其住宅、交通工具等发送广告，或者以电子信息方式向其发送广告</w:t>
            </w:r>
          </w:p>
        </w:tc>
        <w:tc>
          <w:tcPr>
            <w:tcW w:w="4818" w:type="dxa"/>
            <w:shd w:val="clear" w:color="auto" w:fill="auto"/>
            <w:noWrap/>
            <w:vAlign w:val="center"/>
          </w:tcPr>
          <w:p w14:paraId="1BF6D62D">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《中华人民共和国广告法》第四十三条第一款 任何单位或者个人未经当事人同意或者请求，不得向其住宅、交通工具等发送广告，也不得以电子信息方式向其发送广告。</w:t>
            </w:r>
          </w:p>
        </w:tc>
      </w:tr>
      <w:tr w14:paraId="2DFB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12A7F020">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9</w:t>
            </w:r>
          </w:p>
        </w:tc>
        <w:tc>
          <w:tcPr>
            <w:tcW w:w="3305" w:type="dxa"/>
            <w:shd w:val="clear" w:color="auto" w:fill="auto"/>
            <w:noWrap/>
            <w:vAlign w:val="center"/>
          </w:tcPr>
          <w:p w14:paraId="430D582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以电子信息方式发送广告，未明示发送者的真实身份和联系方式，未向接收者提供拒绝继续接收的方式</w:t>
            </w:r>
          </w:p>
        </w:tc>
        <w:tc>
          <w:tcPr>
            <w:tcW w:w="4818" w:type="dxa"/>
            <w:shd w:val="clear" w:color="auto" w:fill="auto"/>
            <w:noWrap/>
            <w:vAlign w:val="center"/>
          </w:tcPr>
          <w:p w14:paraId="255F66F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《中华人民共和国广告法》第四十三条第二款 以电子信息方式发送广告的，应当明示发送者的真实身份和联系方式，并向接收者提供拒绝继续接收的方式。</w:t>
            </w:r>
          </w:p>
        </w:tc>
      </w:tr>
      <w:tr w14:paraId="5565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06CE450">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default" w:ascii="方正仿宋_GBK" w:hAnsi="方正仿宋_GBK" w:eastAsia="方正仿宋_GBK" w:cs="方正仿宋_GBK"/>
                <w:i w:val="0"/>
                <w:iCs w:val="0"/>
                <w:color w:val="000000"/>
                <w:sz w:val="24"/>
                <w:szCs w:val="24"/>
                <w:u w:val="none"/>
                <w:lang w:val="en-US"/>
              </w:rPr>
              <w:t>1</w:t>
            </w:r>
            <w:r>
              <w:rPr>
                <w:rFonts w:hint="eastAsia" w:ascii="方正仿宋_GBK" w:hAnsi="方正仿宋_GBK" w:eastAsia="方正仿宋_GBK" w:cs="方正仿宋_GBK"/>
                <w:i w:val="0"/>
                <w:iCs w:val="0"/>
                <w:color w:val="000000"/>
                <w:sz w:val="24"/>
                <w:szCs w:val="24"/>
                <w:u w:val="none"/>
                <w:lang w:val="en-US" w:eastAsia="zh-CN"/>
              </w:rPr>
              <w:t>0</w:t>
            </w:r>
          </w:p>
        </w:tc>
        <w:tc>
          <w:tcPr>
            <w:tcW w:w="3305" w:type="dxa"/>
            <w:shd w:val="clear" w:color="auto" w:fill="auto"/>
            <w:noWrap/>
            <w:vAlign w:val="center"/>
          </w:tcPr>
          <w:p w14:paraId="0E7C70F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产品或者其包装上的标识</w:t>
            </w:r>
          </w:p>
          <w:p w14:paraId="6A4F184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不符合要求</w:t>
            </w:r>
          </w:p>
        </w:tc>
        <w:tc>
          <w:tcPr>
            <w:tcW w:w="4818" w:type="dxa"/>
            <w:shd w:val="clear" w:color="auto" w:fill="auto"/>
            <w:noWrap/>
            <w:vAlign w:val="center"/>
          </w:tcPr>
          <w:p w14:paraId="583F0012">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《中华人民共和国产品质量法》</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第二十七条 产品或者其包装上的标识必须真实，并符合下列要求……（四）限期使用的产品，应当在显著位置清晰地标明生产日期和安全使用期或者失效日期；（五）使用不当，容易造成产品本身损坏或者可能危及人身、财产安全的产品，应当有警示标志或者中文警示说明。</w:t>
            </w:r>
          </w:p>
        </w:tc>
      </w:tr>
      <w:tr w14:paraId="4022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A1050F6">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default" w:ascii="方正仿宋_GBK" w:hAnsi="方正仿宋_GBK" w:eastAsia="方正仿宋_GBK" w:cs="方正仿宋_GBK"/>
                <w:i w:val="0"/>
                <w:iCs w:val="0"/>
                <w:color w:val="000000"/>
                <w:sz w:val="24"/>
                <w:szCs w:val="24"/>
                <w:u w:val="none"/>
                <w:lang w:val="en-US"/>
              </w:rPr>
              <w:t>1</w:t>
            </w:r>
            <w:r>
              <w:rPr>
                <w:rFonts w:hint="eastAsia" w:ascii="方正仿宋_GBK" w:hAnsi="方正仿宋_GBK" w:eastAsia="方正仿宋_GBK" w:cs="方正仿宋_GBK"/>
                <w:i w:val="0"/>
                <w:iCs w:val="0"/>
                <w:color w:val="000000"/>
                <w:sz w:val="24"/>
                <w:szCs w:val="24"/>
                <w:u w:val="none"/>
                <w:lang w:val="en-US" w:eastAsia="zh-CN"/>
              </w:rPr>
              <w:t>1</w:t>
            </w:r>
          </w:p>
        </w:tc>
        <w:tc>
          <w:tcPr>
            <w:tcW w:w="3305" w:type="dxa"/>
            <w:shd w:val="clear" w:color="auto" w:fill="auto"/>
            <w:noWrap/>
            <w:vAlign w:val="center"/>
          </w:tcPr>
          <w:p w14:paraId="008FC46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kern w:val="0"/>
                <w:sz w:val="24"/>
                <w:szCs w:val="24"/>
                <w:u w:val="none"/>
                <w:lang w:val="en-US" w:eastAsia="zh-CN" w:bidi="ar"/>
              </w:rPr>
            </w:pPr>
            <w:r>
              <w:rPr>
                <w:rFonts w:hint="eastAsia" w:ascii="Times New Roman" w:hAnsi="Times New Roman" w:eastAsia="方正仿宋_GBK" w:cs="Times New Roman"/>
                <w:b w:val="0"/>
                <w:bCs w:val="0"/>
                <w:i w:val="0"/>
                <w:iCs w:val="0"/>
                <w:color w:val="000000"/>
                <w:kern w:val="0"/>
                <w:sz w:val="24"/>
                <w:szCs w:val="24"/>
                <w:u w:val="none"/>
                <w:lang w:val="en-US" w:eastAsia="zh-CN" w:bidi="ar"/>
              </w:rPr>
              <w:t>经营者未</w:t>
            </w:r>
            <w:r>
              <w:rPr>
                <w:rFonts w:hint="default" w:ascii="Times New Roman" w:hAnsi="Times New Roman" w:eastAsia="方正仿宋_GBK" w:cs="Times New Roman"/>
                <w:b w:val="0"/>
                <w:bCs w:val="0"/>
                <w:i w:val="0"/>
                <w:iCs w:val="0"/>
                <w:color w:val="000000"/>
                <w:kern w:val="0"/>
                <w:sz w:val="24"/>
                <w:szCs w:val="24"/>
                <w:u w:val="none"/>
                <w:lang w:val="en-US" w:eastAsia="zh-CN" w:bidi="ar"/>
              </w:rPr>
              <w:t>分类别、分等级</w:t>
            </w:r>
          </w:p>
          <w:p w14:paraId="7ACB0A01">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default" w:ascii="Times New Roman" w:hAnsi="Times New Roman" w:eastAsia="方正仿宋_GBK" w:cs="Times New Roman"/>
                <w:b w:val="0"/>
                <w:bCs w:val="0"/>
                <w:i w:val="0"/>
                <w:iCs w:val="0"/>
                <w:color w:val="000000"/>
                <w:kern w:val="0"/>
                <w:sz w:val="24"/>
                <w:szCs w:val="24"/>
                <w:u w:val="none"/>
                <w:lang w:val="en-US" w:eastAsia="zh-CN" w:bidi="ar"/>
              </w:rPr>
              <w:t>置放所收购的棉花</w:t>
            </w:r>
          </w:p>
        </w:tc>
        <w:tc>
          <w:tcPr>
            <w:tcW w:w="4818" w:type="dxa"/>
            <w:shd w:val="clear" w:color="auto" w:fill="auto"/>
            <w:noWrap/>
            <w:vAlign w:val="center"/>
          </w:tcPr>
          <w:p w14:paraId="51DF06EA">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default" w:ascii="Times New Roman" w:hAnsi="Times New Roman" w:eastAsia="方正仿宋_GBK" w:cs="Times New Roman"/>
                <w:b w:val="0"/>
                <w:bCs w:val="0"/>
                <w:i w:val="0"/>
                <w:iCs w:val="0"/>
                <w:color w:val="000000"/>
                <w:kern w:val="0"/>
                <w:sz w:val="24"/>
                <w:szCs w:val="24"/>
                <w:u w:val="none"/>
                <w:lang w:val="en-US" w:eastAsia="zh-CN" w:bidi="ar"/>
              </w:rPr>
              <w:t>《棉花质量监督管理条例》 第七条第</w:t>
            </w:r>
            <w:r>
              <w:rPr>
                <w:rFonts w:hint="eastAsia" w:ascii="Times New Roman" w:hAnsi="Times New Roman" w:eastAsia="方正仿宋_GBK" w:cs="Times New Roman"/>
                <w:b w:val="0"/>
                <w:bCs w:val="0"/>
                <w:i w:val="0"/>
                <w:iCs w:val="0"/>
                <w:color w:val="000000"/>
                <w:kern w:val="0"/>
                <w:sz w:val="24"/>
                <w:szCs w:val="24"/>
                <w:u w:val="none"/>
                <w:lang w:val="en-US" w:eastAsia="zh-CN" w:bidi="ar"/>
              </w:rPr>
              <w:t>三</w:t>
            </w:r>
            <w:r>
              <w:rPr>
                <w:rFonts w:hint="default" w:ascii="Times New Roman" w:hAnsi="Times New Roman" w:eastAsia="方正仿宋_GBK" w:cs="Times New Roman"/>
                <w:b w:val="0"/>
                <w:bCs w:val="0"/>
                <w:i w:val="0"/>
                <w:iCs w:val="0"/>
                <w:color w:val="000000"/>
                <w:kern w:val="0"/>
                <w:sz w:val="24"/>
                <w:szCs w:val="24"/>
                <w:u w:val="none"/>
                <w:lang w:val="en-US" w:eastAsia="zh-CN" w:bidi="ar"/>
              </w:rPr>
              <w:t>款 棉花经营者应当分类别、分等级置放所收购的棉花。</w:t>
            </w:r>
          </w:p>
        </w:tc>
      </w:tr>
      <w:tr w14:paraId="0B27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648367B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default" w:ascii="方正仿宋_GBK" w:hAnsi="方正仿宋_GBK" w:eastAsia="方正仿宋_GBK" w:cs="方正仿宋_GBK"/>
                <w:i w:val="0"/>
                <w:iCs w:val="0"/>
                <w:color w:val="auto"/>
                <w:sz w:val="24"/>
                <w:szCs w:val="24"/>
                <w:u w:val="none"/>
                <w:lang w:val="en-US"/>
              </w:rPr>
              <w:t>1</w:t>
            </w:r>
            <w:r>
              <w:rPr>
                <w:rFonts w:hint="eastAsia" w:ascii="方正仿宋_GBK" w:hAnsi="方正仿宋_GBK" w:eastAsia="方正仿宋_GBK" w:cs="方正仿宋_GBK"/>
                <w:i w:val="0"/>
                <w:iCs w:val="0"/>
                <w:color w:val="auto"/>
                <w:sz w:val="24"/>
                <w:szCs w:val="24"/>
                <w:u w:val="none"/>
                <w:lang w:val="en-US" w:eastAsia="zh-CN"/>
              </w:rPr>
              <w:t>2</w:t>
            </w:r>
          </w:p>
        </w:tc>
        <w:tc>
          <w:tcPr>
            <w:tcW w:w="3305" w:type="dxa"/>
            <w:shd w:val="clear" w:color="auto" w:fill="auto"/>
            <w:noWrap/>
            <w:vAlign w:val="center"/>
          </w:tcPr>
          <w:p w14:paraId="2AECA10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sz w:val="24"/>
                <w:szCs w:val="24"/>
                <w:u w:val="none"/>
              </w:rPr>
            </w:pPr>
            <w:r>
              <w:rPr>
                <w:rFonts w:hint="eastAsia" w:ascii="方正仿宋_GBK" w:hAnsi="方正仿宋_GBK" w:eastAsia="方正仿宋_GBK" w:cs="方正仿宋_GBK"/>
                <w:i w:val="0"/>
                <w:iCs w:val="0"/>
                <w:color w:val="auto"/>
                <w:kern w:val="0"/>
                <w:sz w:val="24"/>
                <w:szCs w:val="24"/>
                <w:u w:val="none"/>
                <w:lang w:val="en-US" w:eastAsia="zh-CN" w:bidi="ar"/>
              </w:rPr>
              <w:t>取得生产许可证的企业名称发生变化，未依照规定办理变更手续</w:t>
            </w:r>
          </w:p>
        </w:tc>
        <w:tc>
          <w:tcPr>
            <w:tcW w:w="4818" w:type="dxa"/>
            <w:shd w:val="clear" w:color="auto" w:fill="auto"/>
            <w:noWrap/>
            <w:vAlign w:val="center"/>
          </w:tcPr>
          <w:p w14:paraId="1CD5B92C">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《中华人民共和国工业产品生产许可证管理</w:t>
            </w:r>
            <w:bookmarkStart w:id="2" w:name="_GoBack"/>
            <w:bookmarkEnd w:id="2"/>
            <w:r>
              <w:rPr>
                <w:rFonts w:hint="eastAsia" w:ascii="方正仿宋_GBK" w:hAnsi="方正仿宋_GBK" w:eastAsia="方正仿宋_GBK" w:cs="方正仿宋_GBK"/>
                <w:i w:val="0"/>
                <w:iCs w:val="0"/>
                <w:color w:val="000000"/>
                <w:kern w:val="0"/>
                <w:sz w:val="24"/>
                <w:szCs w:val="24"/>
                <w:u w:val="none"/>
                <w:lang w:val="en-US" w:eastAsia="zh-CN" w:bidi="ar"/>
              </w:rPr>
              <w:t>条例》第二十九条 企业名称发生变化的，企业应当及时向企业所在地的省、自治区、直辖市工业产品生产许可证主管部门提出申请，办理变更手续。</w:t>
            </w:r>
          </w:p>
        </w:tc>
      </w:tr>
      <w:tr w14:paraId="7204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DA58D8F">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default" w:ascii="方正仿宋_GBK" w:hAnsi="方正仿宋_GBK" w:eastAsia="方正仿宋_GBK" w:cs="方正仿宋_GBK"/>
                <w:i w:val="0"/>
                <w:iCs w:val="0"/>
                <w:color w:val="auto"/>
                <w:sz w:val="24"/>
                <w:szCs w:val="24"/>
                <w:u w:val="none"/>
                <w:lang w:val="en-US"/>
              </w:rPr>
              <w:t>1</w:t>
            </w:r>
            <w:r>
              <w:rPr>
                <w:rFonts w:hint="eastAsia" w:ascii="方正仿宋_GBK" w:hAnsi="方正仿宋_GBK" w:eastAsia="方正仿宋_GBK" w:cs="方正仿宋_GBK"/>
                <w:i w:val="0"/>
                <w:iCs w:val="0"/>
                <w:color w:val="auto"/>
                <w:sz w:val="24"/>
                <w:szCs w:val="24"/>
                <w:u w:val="none"/>
                <w:lang w:val="en-US" w:eastAsia="zh-CN"/>
              </w:rPr>
              <w:t>3</w:t>
            </w:r>
          </w:p>
        </w:tc>
        <w:tc>
          <w:tcPr>
            <w:tcW w:w="3305" w:type="dxa"/>
            <w:shd w:val="clear" w:color="auto" w:fill="auto"/>
            <w:noWrap/>
            <w:vAlign w:val="center"/>
          </w:tcPr>
          <w:p w14:paraId="1277608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取得生产许可证的企业</w:t>
            </w:r>
          </w:p>
          <w:p w14:paraId="005388C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未依照规定在产品、包装或说明书上标注生产许可证</w:t>
            </w:r>
          </w:p>
          <w:p w14:paraId="1CCA92A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sz w:val="24"/>
                <w:szCs w:val="24"/>
                <w:u w:val="none"/>
              </w:rPr>
            </w:pPr>
            <w:r>
              <w:rPr>
                <w:rFonts w:hint="eastAsia" w:ascii="方正仿宋_GBK" w:hAnsi="方正仿宋_GBK" w:eastAsia="方正仿宋_GBK" w:cs="方正仿宋_GBK"/>
                <w:i w:val="0"/>
                <w:iCs w:val="0"/>
                <w:color w:val="auto"/>
                <w:kern w:val="0"/>
                <w:sz w:val="24"/>
                <w:szCs w:val="24"/>
                <w:u w:val="none"/>
                <w:lang w:val="en-US" w:eastAsia="zh-CN" w:bidi="ar"/>
              </w:rPr>
              <w:t>标志和编号</w:t>
            </w:r>
          </w:p>
        </w:tc>
        <w:tc>
          <w:tcPr>
            <w:tcW w:w="4818" w:type="dxa"/>
            <w:shd w:val="clear" w:color="auto" w:fill="auto"/>
            <w:noWrap/>
            <w:vAlign w:val="center"/>
          </w:tcPr>
          <w:p w14:paraId="73DCED3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《中华人民共和国工业产品生产许可证管理条例》第三十三条 第一款企业必须在其产品或者包装、说明书上标注生产许可证标志和编号。</w:t>
            </w:r>
          </w:p>
        </w:tc>
      </w:tr>
      <w:tr w14:paraId="4F6F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048706A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default" w:ascii="方正仿宋_GBK" w:hAnsi="方正仿宋_GBK" w:eastAsia="方正仿宋_GBK" w:cs="方正仿宋_GBK"/>
                <w:i w:val="0"/>
                <w:iCs w:val="0"/>
                <w:color w:val="auto"/>
                <w:sz w:val="24"/>
                <w:szCs w:val="24"/>
                <w:u w:val="none"/>
                <w:lang w:val="en-US"/>
              </w:rPr>
              <w:t>1</w:t>
            </w:r>
            <w:r>
              <w:rPr>
                <w:rFonts w:hint="eastAsia" w:ascii="方正仿宋_GBK" w:hAnsi="方正仿宋_GBK" w:eastAsia="方正仿宋_GBK" w:cs="方正仿宋_GBK"/>
                <w:i w:val="0"/>
                <w:iCs w:val="0"/>
                <w:color w:val="auto"/>
                <w:sz w:val="24"/>
                <w:szCs w:val="24"/>
                <w:u w:val="none"/>
                <w:lang w:val="en-US" w:eastAsia="zh-CN"/>
              </w:rPr>
              <w:t>4</w:t>
            </w:r>
          </w:p>
        </w:tc>
        <w:tc>
          <w:tcPr>
            <w:tcW w:w="3305" w:type="dxa"/>
            <w:shd w:val="clear" w:color="auto" w:fill="auto"/>
            <w:noWrap/>
            <w:vAlign w:val="center"/>
          </w:tcPr>
          <w:p w14:paraId="6094149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取得生产许可证的企业</w:t>
            </w:r>
          </w:p>
          <w:p w14:paraId="08C28A4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未在规定期限内向省、</w:t>
            </w:r>
          </w:p>
          <w:p w14:paraId="7007642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自治区、直辖市工业产品</w:t>
            </w:r>
          </w:p>
          <w:p w14:paraId="5AEE33E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生产许可证主管部门提交</w:t>
            </w:r>
          </w:p>
          <w:p w14:paraId="3A4AA3C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auto"/>
                <w:sz w:val="24"/>
                <w:szCs w:val="24"/>
                <w:u w:val="none"/>
              </w:rPr>
            </w:pPr>
            <w:r>
              <w:rPr>
                <w:rFonts w:hint="eastAsia" w:ascii="方正仿宋_GBK" w:hAnsi="方正仿宋_GBK" w:eastAsia="方正仿宋_GBK" w:cs="方正仿宋_GBK"/>
                <w:i w:val="0"/>
                <w:iCs w:val="0"/>
                <w:color w:val="auto"/>
                <w:kern w:val="0"/>
                <w:sz w:val="24"/>
                <w:szCs w:val="24"/>
                <w:u w:val="none"/>
                <w:lang w:val="en-US" w:eastAsia="zh-CN" w:bidi="ar"/>
              </w:rPr>
              <w:t>报告</w:t>
            </w:r>
          </w:p>
        </w:tc>
        <w:tc>
          <w:tcPr>
            <w:tcW w:w="4818" w:type="dxa"/>
            <w:shd w:val="clear" w:color="auto" w:fill="auto"/>
            <w:noWrap/>
            <w:vAlign w:val="center"/>
          </w:tcPr>
          <w:p w14:paraId="38C73B5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《中华人民共和国工业产品生产许可证管理条例》第三十八条 企业应当保证产品质量稳定合格，并定期向省、自治区、直辖市工业产品生产许可证主管部门提交报告。企业对报告的真实性负责。</w:t>
            </w:r>
          </w:p>
        </w:tc>
      </w:tr>
      <w:tr w14:paraId="74ED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14D57A5A">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15</w:t>
            </w:r>
          </w:p>
        </w:tc>
        <w:tc>
          <w:tcPr>
            <w:tcW w:w="3305" w:type="dxa"/>
            <w:shd w:val="clear" w:color="auto" w:fill="auto"/>
            <w:noWrap/>
            <w:vAlign w:val="center"/>
          </w:tcPr>
          <w:p w14:paraId="734F5C3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食品生产经营企业未按规定建立食品安全管理制度，或者未按规定配备、培训、</w:t>
            </w:r>
          </w:p>
          <w:p w14:paraId="0D1BF345">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考核食品安全管理人员</w:t>
            </w:r>
          </w:p>
        </w:tc>
        <w:tc>
          <w:tcPr>
            <w:tcW w:w="4818" w:type="dxa"/>
            <w:shd w:val="clear" w:color="auto" w:fill="auto"/>
            <w:noWrap/>
            <w:vAlign w:val="center"/>
          </w:tcPr>
          <w:p w14:paraId="4FD8DE5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《中华人民共和国食品安全法》第四十四条 食品生产经营企业应当建立健全食品安全管理制度，对职工进行食品安全知识培训，加强食品检验工作，依法从事生产经营活动。</w:t>
            </w:r>
          </w:p>
          <w:p w14:paraId="4272F21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食品生产经营企业的主要负责人应当落实企业食品安全管理制度，对本企业的食品安全工作全面负责。</w:t>
            </w:r>
          </w:p>
          <w:p w14:paraId="5559E8D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食品生产经营企业应当配备食品安全管理人员，加强对其培训和考核。经考核不具备食品安全管理能力的，不得上岗。</w:t>
            </w:r>
          </w:p>
        </w:tc>
      </w:tr>
      <w:tr w14:paraId="4898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DA5BA4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16</w:t>
            </w:r>
          </w:p>
        </w:tc>
        <w:tc>
          <w:tcPr>
            <w:tcW w:w="3305" w:type="dxa"/>
            <w:shd w:val="clear" w:color="auto" w:fill="auto"/>
            <w:noWrap/>
            <w:vAlign w:val="center"/>
          </w:tcPr>
          <w:p w14:paraId="4372F34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食品生产经营企业未制定</w:t>
            </w:r>
          </w:p>
          <w:p w14:paraId="1CE2B6BF">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食品安全事故处置方案</w:t>
            </w:r>
          </w:p>
        </w:tc>
        <w:tc>
          <w:tcPr>
            <w:tcW w:w="4818" w:type="dxa"/>
            <w:shd w:val="clear" w:color="auto" w:fill="auto"/>
            <w:noWrap/>
            <w:vAlign w:val="center"/>
          </w:tcPr>
          <w:p w14:paraId="7B38AEB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《中华人民共和国食品安全法》第一百零二条第三款 食品生产经营企业应当制定食品安全事故处置方案，定期检查本企业各项食品安全防范措施的落实情况，及时消除事故隐患。</w:t>
            </w:r>
          </w:p>
        </w:tc>
      </w:tr>
      <w:tr w14:paraId="2266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6D1500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17</w:t>
            </w:r>
          </w:p>
        </w:tc>
        <w:tc>
          <w:tcPr>
            <w:tcW w:w="3305" w:type="dxa"/>
            <w:shd w:val="clear" w:color="auto" w:fill="auto"/>
            <w:noWrap/>
            <w:vAlign w:val="center"/>
          </w:tcPr>
          <w:p w14:paraId="5191B5C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安排未取得健康证明的人员从事接触直接入口食品的</w:t>
            </w:r>
          </w:p>
          <w:p w14:paraId="56C55D6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工作</w:t>
            </w:r>
          </w:p>
        </w:tc>
        <w:tc>
          <w:tcPr>
            <w:tcW w:w="4818" w:type="dxa"/>
            <w:shd w:val="clear" w:color="auto" w:fill="auto"/>
            <w:noWrap/>
            <w:vAlign w:val="center"/>
          </w:tcPr>
          <w:p w14:paraId="14E6626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《中华人民共和国食品安全法》第四十五条 食品生产经营者应当建立并执行从业人员健康管理制度。患有国务院卫生行政部门规定的有碍食品安全疾病的人员，不得从事接触直接入口食品的工作。</w:t>
            </w:r>
          </w:p>
          <w:p w14:paraId="2D10746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从事接触直接入口食品工作的食品生产经营人员应当每年进行健康检查，取得健康证明后方可上岗工作。</w:t>
            </w:r>
          </w:p>
        </w:tc>
      </w:tr>
      <w:tr w14:paraId="041C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72564F02">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18</w:t>
            </w:r>
          </w:p>
        </w:tc>
        <w:tc>
          <w:tcPr>
            <w:tcW w:w="3305" w:type="dxa"/>
            <w:shd w:val="clear" w:color="auto" w:fill="auto"/>
            <w:noWrap/>
            <w:vAlign w:val="center"/>
          </w:tcPr>
          <w:p w14:paraId="7C34C9A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食品经营者未按规定要求</w:t>
            </w:r>
          </w:p>
          <w:p w14:paraId="2B47BBEC">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销售食品</w:t>
            </w:r>
          </w:p>
        </w:tc>
        <w:tc>
          <w:tcPr>
            <w:tcW w:w="4818" w:type="dxa"/>
            <w:shd w:val="clear" w:color="auto" w:fill="auto"/>
            <w:noWrap/>
            <w:vAlign w:val="center"/>
          </w:tcPr>
          <w:p w14:paraId="67D0E75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《中华人民共和国食品安全法》第六十八条 食品经营者销售散装食品，应当在散装食品的容器、外包装上标明食品的名称、生产日期或者生产批号、保质期以及生产经营者名称、地址、联系方式等内容。</w:t>
            </w:r>
          </w:p>
          <w:p w14:paraId="3954E07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第七十二条 食品经营者应当按照食品标签标示的警示标志、警示说明或者注意事项的要求销售食品。</w:t>
            </w:r>
          </w:p>
          <w:p w14:paraId="0027D259">
            <w:pPr>
              <w:keepNext w:val="0"/>
              <w:keepLines w:val="0"/>
              <w:pageBreakBefore w:val="0"/>
              <w:widowControl/>
              <w:suppressLineNumbers w:val="0"/>
              <w:kinsoku/>
              <w:wordWrap/>
              <w:overflowPunct/>
              <w:topLinePunct w:val="0"/>
              <w:autoSpaceDE/>
              <w:autoSpaceDN/>
              <w:bidi w:val="0"/>
              <w:adjustRightInd/>
              <w:spacing w:line="360" w:lineRule="exact"/>
              <w:jc w:val="left"/>
              <w:rPr>
                <w:color w:val="auto"/>
              </w:rPr>
            </w:pPr>
            <w:r>
              <w:rPr>
                <w:rFonts w:hint="eastAsia" w:ascii="sans-serif" w:hAnsi="sans-serif" w:eastAsia="sans-serif" w:cs="sans-serif"/>
                <w:i w:val="0"/>
                <w:iCs w:val="0"/>
                <w:caps w:val="0"/>
                <w:color w:val="auto"/>
                <w:spacing w:val="0"/>
                <w:kern w:val="0"/>
                <w:sz w:val="24"/>
                <w:szCs w:val="24"/>
                <w:shd w:val="clear" w:fill="FFFFFF"/>
                <w:lang w:val="en-US" w:eastAsia="zh-CN" w:bidi="ar"/>
              </w:rPr>
              <w:t>《重庆市食品生产加工小作坊和食品摊贩管理条例》</w:t>
            </w:r>
            <w:r>
              <w:rPr>
                <w:rFonts w:ascii="sans-serif" w:hAnsi="sans-serif" w:eastAsia="sans-serif" w:cs="sans-serif"/>
                <w:i w:val="0"/>
                <w:iCs w:val="0"/>
                <w:caps w:val="0"/>
                <w:color w:val="auto"/>
                <w:spacing w:val="0"/>
                <w:kern w:val="0"/>
                <w:sz w:val="24"/>
                <w:szCs w:val="24"/>
                <w:shd w:val="clear" w:fill="FFFFFF"/>
                <w:lang w:val="en-US" w:eastAsia="zh-CN" w:bidi="ar"/>
              </w:rPr>
              <w:t>第十二条 食品小作坊从事食品生产经营活动，应当符合下列要求：</w:t>
            </w:r>
          </w:p>
          <w:p w14:paraId="6CEACFC6">
            <w:pPr>
              <w:keepNext w:val="0"/>
              <w:keepLines w:val="0"/>
              <w:pageBreakBefore w:val="0"/>
              <w:widowControl/>
              <w:suppressLineNumbers w:val="0"/>
              <w:kinsoku/>
              <w:wordWrap/>
              <w:overflowPunct/>
              <w:topLinePunct w:val="0"/>
              <w:autoSpaceDE/>
              <w:autoSpaceDN/>
              <w:bidi w:val="0"/>
              <w:adjustRightInd/>
              <w:spacing w:line="360" w:lineRule="exact"/>
              <w:jc w:val="left"/>
              <w:rPr>
                <w:rFonts w:hint="eastAsia" w:ascii="方正仿宋_GBK" w:hAnsi="方正仿宋_GBK" w:eastAsia="方正仿宋_GBK" w:cs="方正仿宋_GBK"/>
                <w:i w:val="0"/>
                <w:iCs w:val="0"/>
                <w:color w:val="000000"/>
                <w:kern w:val="0"/>
                <w:sz w:val="24"/>
                <w:szCs w:val="24"/>
                <w:u w:val="none"/>
                <w:lang w:val="en-US" w:eastAsia="zh-CN" w:bidi="ar"/>
              </w:rPr>
            </w:pPr>
            <w:r>
              <w:rPr>
                <w:rFonts w:ascii="sans-serif" w:hAnsi="sans-serif" w:eastAsia="sans-serif" w:cs="sans-serif"/>
                <w:i w:val="0"/>
                <w:iCs w:val="0"/>
                <w:caps w:val="0"/>
                <w:color w:val="auto"/>
                <w:spacing w:val="0"/>
                <w:kern w:val="0"/>
                <w:sz w:val="24"/>
                <w:szCs w:val="24"/>
                <w:shd w:val="clear" w:fill="FFFFFF"/>
                <w:lang w:val="en-US" w:eastAsia="zh-CN" w:bidi="ar"/>
              </w:rPr>
              <w:t>（七）从业人员上岗操作时穿戴清洁的工作衣帽，保持个人卫生，接触直接入口食品生产经营的人员持有健康证明</w:t>
            </w:r>
            <w:r>
              <w:rPr>
                <w:rFonts w:hint="eastAsia" w:ascii="sans-serif" w:hAnsi="sans-serif" w:eastAsia="sans-serif" w:cs="sans-serif"/>
                <w:i w:val="0"/>
                <w:iCs w:val="0"/>
                <w:caps w:val="0"/>
                <w:color w:val="auto"/>
                <w:spacing w:val="0"/>
                <w:kern w:val="0"/>
                <w:sz w:val="24"/>
                <w:szCs w:val="24"/>
                <w:shd w:val="clear" w:fill="FFFFFF"/>
                <w:lang w:val="en-US" w:eastAsia="zh-CN" w:bidi="ar"/>
              </w:rPr>
              <w:t>。</w:t>
            </w:r>
          </w:p>
        </w:tc>
      </w:tr>
      <w:tr w14:paraId="1001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4BEB70E0">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19</w:t>
            </w:r>
          </w:p>
        </w:tc>
        <w:tc>
          <w:tcPr>
            <w:tcW w:w="3305" w:type="dxa"/>
            <w:shd w:val="clear" w:color="auto" w:fill="auto"/>
            <w:noWrap/>
            <w:vAlign w:val="center"/>
          </w:tcPr>
          <w:p w14:paraId="14B833ED">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特殊食品生产企业未定期</w:t>
            </w:r>
          </w:p>
          <w:p w14:paraId="4D04065A">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提交自查报告</w:t>
            </w:r>
          </w:p>
        </w:tc>
        <w:tc>
          <w:tcPr>
            <w:tcW w:w="4818" w:type="dxa"/>
            <w:shd w:val="clear" w:color="auto" w:fill="auto"/>
            <w:noWrap/>
            <w:vAlign w:val="center"/>
          </w:tcPr>
          <w:p w14:paraId="51E8A5EF">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《中华人民共和国食品安全法》第八十三条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w:t>
            </w:r>
          </w:p>
        </w:tc>
      </w:tr>
      <w:tr w14:paraId="6B71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442ABB06">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20</w:t>
            </w:r>
          </w:p>
        </w:tc>
        <w:tc>
          <w:tcPr>
            <w:tcW w:w="3305" w:type="dxa"/>
            <w:shd w:val="clear" w:color="auto" w:fill="auto"/>
            <w:noWrap/>
            <w:vAlign w:val="center"/>
          </w:tcPr>
          <w:p w14:paraId="046F5172">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食品生产经营者未定期对</w:t>
            </w:r>
          </w:p>
          <w:p w14:paraId="4F14704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食品安全状况进行检查评价</w:t>
            </w:r>
          </w:p>
        </w:tc>
        <w:tc>
          <w:tcPr>
            <w:tcW w:w="4818" w:type="dxa"/>
            <w:shd w:val="clear" w:color="auto" w:fill="auto"/>
            <w:noWrap/>
            <w:vAlign w:val="center"/>
          </w:tcPr>
          <w:p w14:paraId="74410EF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《中华人民共和国食品安全法》第四十七条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tc>
      </w:tr>
      <w:tr w14:paraId="7B77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19E963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default" w:ascii="方正仿宋_GBK" w:hAnsi="方正仿宋_GBK" w:eastAsia="方正仿宋_GBK" w:cs="方正仿宋_GBK"/>
                <w:i w:val="0"/>
                <w:iCs w:val="0"/>
                <w:color w:val="000000"/>
                <w:sz w:val="24"/>
                <w:szCs w:val="24"/>
                <w:u w:val="none"/>
                <w:lang w:val="en-US"/>
              </w:rPr>
              <w:t>2</w:t>
            </w:r>
            <w:r>
              <w:rPr>
                <w:rFonts w:hint="eastAsia" w:ascii="方正仿宋_GBK" w:hAnsi="方正仿宋_GBK" w:eastAsia="方正仿宋_GBK" w:cs="方正仿宋_GBK"/>
                <w:i w:val="0"/>
                <w:iCs w:val="0"/>
                <w:color w:val="000000"/>
                <w:sz w:val="24"/>
                <w:szCs w:val="24"/>
                <w:u w:val="none"/>
                <w:lang w:val="en-US" w:eastAsia="zh-CN"/>
              </w:rPr>
              <w:t>1</w:t>
            </w:r>
          </w:p>
        </w:tc>
        <w:tc>
          <w:tcPr>
            <w:tcW w:w="3305" w:type="dxa"/>
            <w:shd w:val="clear" w:color="auto" w:fill="auto"/>
            <w:noWrap/>
            <w:vAlign w:val="center"/>
          </w:tcPr>
          <w:p w14:paraId="2BFF5335">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食品相关产品生产者未按</w:t>
            </w:r>
          </w:p>
          <w:p w14:paraId="6CD9E7D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规定对生产的食品相关产品进行检验</w:t>
            </w:r>
          </w:p>
        </w:tc>
        <w:tc>
          <w:tcPr>
            <w:tcW w:w="4818" w:type="dxa"/>
            <w:shd w:val="clear" w:color="auto" w:fill="auto"/>
            <w:noWrap/>
            <w:vAlign w:val="center"/>
          </w:tcPr>
          <w:p w14:paraId="51BBA56D">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《中华人民共和国食品安全法》第五十二条  食品、食品添加剂、食品相关产品的生产者，应当按照食品安全标准对所生产的食品、食品添加剂、食品相关产品进行检验，检验合格后方可出厂或者销售。</w:t>
            </w:r>
          </w:p>
        </w:tc>
      </w:tr>
      <w:tr w14:paraId="3DCC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10E05FD0">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default" w:ascii="方正仿宋_GBK" w:hAnsi="方正仿宋_GBK" w:eastAsia="方正仿宋_GBK" w:cs="方正仿宋_GBK"/>
                <w:i w:val="0"/>
                <w:iCs w:val="0"/>
                <w:color w:val="000000"/>
                <w:sz w:val="24"/>
                <w:szCs w:val="24"/>
                <w:u w:val="none"/>
                <w:lang w:val="en-US"/>
              </w:rPr>
              <w:t>2</w:t>
            </w:r>
            <w:r>
              <w:rPr>
                <w:rFonts w:hint="eastAsia" w:ascii="方正仿宋_GBK" w:hAnsi="方正仿宋_GBK" w:eastAsia="方正仿宋_GBK" w:cs="方正仿宋_GBK"/>
                <w:i w:val="0"/>
                <w:iCs w:val="0"/>
                <w:color w:val="000000"/>
                <w:sz w:val="24"/>
                <w:szCs w:val="24"/>
                <w:u w:val="none"/>
                <w:lang w:val="en-US" w:eastAsia="zh-CN"/>
              </w:rPr>
              <w:t>2</w:t>
            </w:r>
          </w:p>
        </w:tc>
        <w:tc>
          <w:tcPr>
            <w:tcW w:w="3305" w:type="dxa"/>
            <w:shd w:val="clear" w:color="auto" w:fill="auto"/>
            <w:noWrap/>
            <w:vAlign w:val="center"/>
          </w:tcPr>
          <w:p w14:paraId="1B77E8B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食用农产品销售者</w:t>
            </w:r>
          </w:p>
          <w:p w14:paraId="541139D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未建立食用农产品进货查验记录制度，未按规定如实</w:t>
            </w:r>
          </w:p>
          <w:p w14:paraId="677FA29A">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记录并保存相关凭证</w:t>
            </w:r>
          </w:p>
        </w:tc>
        <w:tc>
          <w:tcPr>
            <w:tcW w:w="4818" w:type="dxa"/>
            <w:shd w:val="clear" w:color="auto" w:fill="auto"/>
            <w:noWrap/>
            <w:vAlign w:val="center"/>
          </w:tcPr>
          <w:p w14:paraId="245521D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《中华人民共和国食品安全法》第六十五条 食用农产品销售者应当建立食用农产品进货查验记录制度，如实记录食用农产品的名称、数量、进货日期以及供货者名称、地址、联系方式等内容，并保存相关凭证。记录和凭证保存期限不得少于六个月。</w:t>
            </w:r>
          </w:p>
        </w:tc>
      </w:tr>
      <w:tr w14:paraId="511B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7ADA4C6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default" w:ascii="方正仿宋_GBK" w:hAnsi="方正仿宋_GBK" w:eastAsia="方正仿宋_GBK" w:cs="方正仿宋_GBK"/>
                <w:i w:val="0"/>
                <w:iCs w:val="0"/>
                <w:color w:val="000000"/>
                <w:sz w:val="24"/>
                <w:szCs w:val="24"/>
                <w:u w:val="none"/>
                <w:lang w:val="en-US"/>
              </w:rPr>
              <w:t>2</w:t>
            </w:r>
            <w:r>
              <w:rPr>
                <w:rFonts w:hint="eastAsia" w:ascii="方正仿宋_GBK" w:hAnsi="方正仿宋_GBK" w:eastAsia="方正仿宋_GBK" w:cs="方正仿宋_GBK"/>
                <w:i w:val="0"/>
                <w:iCs w:val="0"/>
                <w:color w:val="000000"/>
                <w:sz w:val="24"/>
                <w:szCs w:val="24"/>
                <w:u w:val="none"/>
                <w:lang w:val="en-US" w:eastAsia="zh-CN"/>
              </w:rPr>
              <w:t>3</w:t>
            </w:r>
          </w:p>
        </w:tc>
        <w:tc>
          <w:tcPr>
            <w:tcW w:w="3305" w:type="dxa"/>
            <w:shd w:val="clear" w:color="auto" w:fill="auto"/>
            <w:noWrap/>
            <w:vAlign w:val="center"/>
          </w:tcPr>
          <w:p w14:paraId="181B4D1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网络食品交易第三方平台</w:t>
            </w:r>
          </w:p>
          <w:p w14:paraId="1F5D056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提供者未对入网食品经营者进行实名登记、审查许可证</w:t>
            </w:r>
          </w:p>
        </w:tc>
        <w:tc>
          <w:tcPr>
            <w:tcW w:w="4818" w:type="dxa"/>
            <w:shd w:val="clear" w:color="auto" w:fill="auto"/>
            <w:noWrap/>
            <w:vAlign w:val="center"/>
          </w:tcPr>
          <w:p w14:paraId="2E7EC1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20" w:beforeAutospacing="0" w:after="120" w:afterAutospacing="0" w:line="360" w:lineRule="exact"/>
              <w:ind w:left="0" w:right="0" w:firstLine="0"/>
              <w:jc w:val="both"/>
              <w:textAlignment w:val="baseline"/>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《中华人民共和国食品安全法》第六十二条 </w:t>
            </w:r>
            <w:r>
              <w:rPr>
                <w:rFonts w:hint="default" w:ascii="方正仿宋_GBK" w:hAnsi="方正仿宋_GBK" w:eastAsia="方正仿宋_GBK" w:cs="方正仿宋_GBK"/>
                <w:i w:val="0"/>
                <w:iCs w:val="0"/>
                <w:color w:val="000000"/>
                <w:kern w:val="0"/>
                <w:sz w:val="24"/>
                <w:szCs w:val="24"/>
                <w:u w:val="none"/>
                <w:lang w:val="en-US" w:eastAsia="zh-CN" w:bidi="ar"/>
              </w:rPr>
              <w:t>网络食品交易第三方平台提供者应当对入网食品经营者进行实名登记，明确其食品安全管理责任；依法应当取得许可证的，还应当审查其许可证。网络食品交易第三方平台提供者发现入网食品经营者有违反本法规定行为的，应当及时制止并立即报告所在地县级人民政府食品安全监督管理部门；发现严重违法行为的，应当立即停止提供网络交易平台服务。</w:t>
            </w:r>
          </w:p>
        </w:tc>
      </w:tr>
      <w:tr w14:paraId="35F9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2CC7DDC2">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default" w:ascii="方正仿宋_GBK" w:hAnsi="方正仿宋_GBK" w:eastAsia="方正仿宋_GBK" w:cs="方正仿宋_GBK"/>
                <w:i w:val="0"/>
                <w:iCs w:val="0"/>
                <w:color w:val="000000"/>
                <w:sz w:val="24"/>
                <w:szCs w:val="24"/>
                <w:u w:val="none"/>
                <w:lang w:val="en-US"/>
              </w:rPr>
              <w:t>2</w:t>
            </w:r>
            <w:r>
              <w:rPr>
                <w:rFonts w:hint="eastAsia" w:ascii="方正仿宋_GBK" w:hAnsi="方正仿宋_GBK" w:eastAsia="方正仿宋_GBK" w:cs="方正仿宋_GBK"/>
                <w:i w:val="0"/>
                <w:iCs w:val="0"/>
                <w:color w:val="000000"/>
                <w:sz w:val="24"/>
                <w:szCs w:val="24"/>
                <w:u w:val="none"/>
                <w:lang w:val="en-US" w:eastAsia="zh-CN"/>
              </w:rPr>
              <w:t>4</w:t>
            </w:r>
          </w:p>
        </w:tc>
        <w:tc>
          <w:tcPr>
            <w:tcW w:w="3305" w:type="dxa"/>
            <w:shd w:val="clear" w:color="auto" w:fill="auto"/>
            <w:noWrap/>
            <w:vAlign w:val="center"/>
          </w:tcPr>
          <w:p w14:paraId="57DADE3A">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食品生产经营者未按照规定在显著位置张贴或者公开</w:t>
            </w:r>
          </w:p>
          <w:p w14:paraId="2736659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展示相关监督检查结果记录表，撕毁、涂改监督检查结果记录表，或者未保持日常监督检查结果记录表至下次日常监督检查</w:t>
            </w:r>
          </w:p>
        </w:tc>
        <w:tc>
          <w:tcPr>
            <w:tcW w:w="4818" w:type="dxa"/>
            <w:shd w:val="clear" w:color="auto" w:fill="auto"/>
            <w:noWrap/>
            <w:vAlign w:val="center"/>
          </w:tcPr>
          <w:p w14:paraId="5A11A40A">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《食品生产经营监督检查管理办法》第三十九条第二款 食品生产经营者应当按照规定在显著位置张贴或者公开展示日常监督检查结果记录表，不得撕毁、涂改，并且应当保持至下次日常监督检查。</w:t>
            </w:r>
          </w:p>
        </w:tc>
      </w:tr>
      <w:tr w14:paraId="1D3B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5DB33E2">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25</w:t>
            </w:r>
          </w:p>
        </w:tc>
        <w:tc>
          <w:tcPr>
            <w:tcW w:w="3305" w:type="dxa"/>
            <w:shd w:val="clear" w:color="auto" w:fill="auto"/>
            <w:noWrap/>
            <w:vAlign w:val="center"/>
          </w:tcPr>
          <w:p w14:paraId="4B0A55A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虚假宣传</w:t>
            </w:r>
          </w:p>
        </w:tc>
        <w:tc>
          <w:tcPr>
            <w:tcW w:w="4818" w:type="dxa"/>
            <w:shd w:val="clear" w:color="auto" w:fill="auto"/>
            <w:noWrap/>
            <w:vAlign w:val="center"/>
          </w:tcPr>
          <w:p w14:paraId="2E7FE5D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《中华人民共和国反不正当竞争法》第九条第一款  经营者不得对其商品的性能、功能、质量、销售状况、用户评价、曾获荣誉等作虚假或者引人误解的商业宣传，欺骗、误导消费者和其他经营者。</w:t>
            </w:r>
          </w:p>
        </w:tc>
      </w:tr>
      <w:tr w14:paraId="61CE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563C683A">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26</w:t>
            </w:r>
          </w:p>
        </w:tc>
        <w:tc>
          <w:tcPr>
            <w:tcW w:w="3305" w:type="dxa"/>
            <w:shd w:val="clear" w:color="auto" w:fill="auto"/>
            <w:noWrap/>
            <w:vAlign w:val="center"/>
          </w:tcPr>
          <w:p w14:paraId="609CD12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直销企业未按规定进行直销员业务培训，或直销企业以外的单位和个人组织直销员业务培训</w:t>
            </w:r>
          </w:p>
        </w:tc>
        <w:tc>
          <w:tcPr>
            <w:tcW w:w="4818" w:type="dxa"/>
            <w:shd w:val="clear" w:color="auto" w:fill="auto"/>
            <w:noWrap/>
            <w:vAlign w:val="center"/>
          </w:tcPr>
          <w:p w14:paraId="12FBCE2C">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直销管理条例》第二十一条：直销企业应当对拟招募的直销员进行业务培训和考试，考试合格后由直销企业颁发直销员证。未取得直销员证，任何人不得从事直销活动。直销企业进行直销员业务培训和考试，不得收取任何费用。直销企业以外的单位和个人，不得以任何名义组织直销员业务培训。</w:t>
            </w:r>
          </w:p>
        </w:tc>
      </w:tr>
      <w:tr w14:paraId="303A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0B6A40D7">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27</w:t>
            </w:r>
          </w:p>
        </w:tc>
        <w:tc>
          <w:tcPr>
            <w:tcW w:w="3305" w:type="dxa"/>
            <w:shd w:val="clear" w:color="auto" w:fill="auto"/>
            <w:noWrap/>
            <w:vAlign w:val="center"/>
          </w:tcPr>
          <w:p w14:paraId="21AC2F9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直销员违规向消费者</w:t>
            </w:r>
          </w:p>
          <w:p w14:paraId="06566F9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推销产品</w:t>
            </w:r>
          </w:p>
        </w:tc>
        <w:tc>
          <w:tcPr>
            <w:tcW w:w="4818" w:type="dxa"/>
            <w:shd w:val="clear" w:color="auto" w:fill="auto"/>
            <w:noWrap/>
            <w:vAlign w:val="center"/>
          </w:tcPr>
          <w:p w14:paraId="0C4A7BB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《直销管理条例》第二十二条 直销员向消费者推销产品，应当遵守下列规定：（一）出示直销员证和推销合同；（二）未经消费者同意，不得进入消费者住所强行推销产品，消费者要求其离开的，应当立即离开；（三）成交前，向消费者详细介绍本企业的退货制度；（四）成交后，向消费者提供发票和由直销企业出具的含有退货制度、直销企业当地服务网点地址和电话号码等内容的售货凭证；（五）在直销企业指定地点以外的场所，不得向消费者推销产品。</w:t>
            </w:r>
          </w:p>
        </w:tc>
      </w:tr>
      <w:tr w14:paraId="5CC2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001E7FE1">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28</w:t>
            </w:r>
          </w:p>
        </w:tc>
        <w:tc>
          <w:tcPr>
            <w:tcW w:w="3305" w:type="dxa"/>
            <w:shd w:val="clear" w:color="auto" w:fill="auto"/>
            <w:noWrap/>
            <w:vAlign w:val="center"/>
          </w:tcPr>
          <w:p w14:paraId="775A88D2">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直销企业未按规定</w:t>
            </w:r>
          </w:p>
          <w:p w14:paraId="5FF1670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支付直销员报酬</w:t>
            </w:r>
          </w:p>
        </w:tc>
        <w:tc>
          <w:tcPr>
            <w:tcW w:w="4818" w:type="dxa"/>
            <w:shd w:val="clear" w:color="auto" w:fill="auto"/>
            <w:noWrap/>
            <w:vAlign w:val="center"/>
          </w:tcPr>
          <w:p w14:paraId="5189A7C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《直销管理条例》第二十四条 直销企业至少应当按月支付直销员报酬。直销企业支付给直销员的报酬只能按照直销员本人直接向消费者销售产品的收入计算，报酬总额（包括佣金、奖金、各种形式的奖励以及其他经济利益等）不得超过直销员本人直接向消费者销售产品收入的30%。</w:t>
            </w:r>
          </w:p>
        </w:tc>
      </w:tr>
      <w:tr w14:paraId="7279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3B8E5A73">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29</w:t>
            </w:r>
          </w:p>
        </w:tc>
        <w:tc>
          <w:tcPr>
            <w:tcW w:w="3305" w:type="dxa"/>
            <w:shd w:val="clear" w:color="auto" w:fill="auto"/>
            <w:noWrap/>
            <w:vAlign w:val="center"/>
          </w:tcPr>
          <w:p w14:paraId="29F4380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直销企业未建立并实行</w:t>
            </w:r>
          </w:p>
          <w:p w14:paraId="2CCF005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完善的换货和退货制度</w:t>
            </w:r>
          </w:p>
        </w:tc>
        <w:tc>
          <w:tcPr>
            <w:tcW w:w="4818" w:type="dxa"/>
            <w:shd w:val="clear" w:color="auto" w:fill="auto"/>
            <w:noWrap/>
            <w:vAlign w:val="center"/>
          </w:tcPr>
          <w:p w14:paraId="6FE4988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《直销管理条例》第二十五条 直销企业应当建立并实行完善的换货和退货制度。消费者自购买直销产品之日起30日内，产品未开封的，可以凭直销企业开具的发票或者售货凭证向直销企业及其分支机构、所在地的服务网点或者推销产品的直销员办理换货和退货；直销企业及其分支机构、所在地的服务网点和直销员应当自消费者提出换货或者退货要求之日起7日内，按照发票或者售货凭证标明的价款办理换货和退货。直销员自购买直销产品之日起30日内，产品未开封的，可以凭直销企业开具的发票或者售货凭证向直销企业及其分支机构、所在地的服务网点办理换货和退货；直销企业及其分支机构和所在地的服务网点应当自直销员提出换货或者退货要求之日起7日内，按照发票或者售货凭证标明的价款办理换货和退货。不属于前两款规定情形，消费者、直销员要求换货和退货的，直销企业应当按照售货凭证标明的价款扣除直销产品合理使用费用后办理换货和退货。</w:t>
            </w:r>
          </w:p>
        </w:tc>
      </w:tr>
      <w:tr w14:paraId="68A7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050" w:type="dxa"/>
            <w:shd w:val="clear" w:color="auto" w:fill="auto"/>
            <w:noWrap/>
            <w:vAlign w:val="center"/>
          </w:tcPr>
          <w:p w14:paraId="59F59617">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exact"/>
              <w:ind w:leftChars="0" w:right="0" w:rightChars="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default" w:ascii="方正仿宋_GBK" w:hAnsi="方正仿宋_GBK" w:eastAsia="方正仿宋_GBK" w:cs="方正仿宋_GBK"/>
                <w:i w:val="0"/>
                <w:iCs w:val="0"/>
                <w:color w:val="000000"/>
                <w:sz w:val="24"/>
                <w:szCs w:val="24"/>
                <w:u w:val="none"/>
                <w:lang w:val="en-US"/>
              </w:rPr>
              <w:t>3</w:t>
            </w:r>
            <w:r>
              <w:rPr>
                <w:rFonts w:hint="eastAsia" w:ascii="方正仿宋_GBK" w:hAnsi="方正仿宋_GBK" w:eastAsia="方正仿宋_GBK" w:cs="方正仿宋_GBK"/>
                <w:i w:val="0"/>
                <w:iCs w:val="0"/>
                <w:color w:val="000000"/>
                <w:sz w:val="24"/>
                <w:szCs w:val="24"/>
                <w:u w:val="none"/>
                <w:lang w:val="en-US" w:eastAsia="zh-CN"/>
              </w:rPr>
              <w:t>0</w:t>
            </w:r>
          </w:p>
        </w:tc>
        <w:tc>
          <w:tcPr>
            <w:tcW w:w="3305" w:type="dxa"/>
            <w:shd w:val="clear" w:color="auto" w:fill="auto"/>
            <w:noWrap/>
            <w:vAlign w:val="center"/>
          </w:tcPr>
          <w:p w14:paraId="708BB5EF">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直销企业未依照有关规定</w:t>
            </w:r>
          </w:p>
          <w:p w14:paraId="08EF2281">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进行信息报备和披露</w:t>
            </w:r>
          </w:p>
        </w:tc>
        <w:tc>
          <w:tcPr>
            <w:tcW w:w="4818" w:type="dxa"/>
            <w:shd w:val="clear" w:color="auto" w:fill="auto"/>
            <w:noWrap/>
            <w:vAlign w:val="center"/>
          </w:tcPr>
          <w:p w14:paraId="243B0B5F">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《直销管理条例》第二十八条 直销企业应当依照国务院商务主管部门和国务院市场监督管理部门的规定，建立完备的信息报备和披露制度。直销企业应当在直销产品上标明产品价格，该价格与服务网点展示的产品价格应当一致。直销价格从企业或者分支机构至直销员均不得加价。直销企业应当在其设立的网站、服务网点向社会公布直销产品目录、直销员信息、服务网点信息、退货换货制度等信息。</w:t>
            </w:r>
          </w:p>
        </w:tc>
      </w:tr>
    </w:tbl>
    <w:p w14:paraId="4F6BFE3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color w:val="auto"/>
          <w:sz w:val="32"/>
          <w:szCs w:val="32"/>
        </w:rPr>
      </w:pPr>
    </w:p>
    <w:sectPr>
      <w:footerReference r:id="rId3" w:type="default"/>
      <w:pgSz w:w="11905" w:h="16840"/>
      <w:pgMar w:top="1701" w:right="1417" w:bottom="1417" w:left="141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sans-serif">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23EE3">
    <w:r>
      <w:rPr>
        <w:sz w:val="21"/>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EDAC3D3">
                <w:pPr>
                  <w:pStyle w:val="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B70BC7"/>
    <w:multiLevelType w:val="singleLevel"/>
    <w:tmpl w:val="FAB70B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doNotWrapTextWithPunct/>
    <w:doNotUseEastAsianBreakRules/>
    <w:useFELayout/>
    <w:splitPgBreakAndParaMark/>
    <w:compatSetting w:name="compatibilityMode" w:uri="http://schemas.microsoft.com/office/word" w:val="12"/>
  </w:compat>
  <w:rsids>
    <w:rsidRoot w:val="00000000"/>
    <w:rsid w:val="239F7E6C"/>
    <w:rsid w:val="2F9B5FA2"/>
    <w:rsid w:val="3CF6D3AA"/>
    <w:rsid w:val="3E73227F"/>
    <w:rsid w:val="3FFF02F0"/>
    <w:rsid w:val="49FB8E4E"/>
    <w:rsid w:val="4ED761DF"/>
    <w:rsid w:val="52FFF4B7"/>
    <w:rsid w:val="5EAFF640"/>
    <w:rsid w:val="5FA98B9A"/>
    <w:rsid w:val="67FD782A"/>
    <w:rsid w:val="6EBF2527"/>
    <w:rsid w:val="71F74021"/>
    <w:rsid w:val="76FB7D42"/>
    <w:rsid w:val="787C6C3C"/>
    <w:rsid w:val="7ADF2C76"/>
    <w:rsid w:val="7B7F36C6"/>
    <w:rsid w:val="7BFFE797"/>
    <w:rsid w:val="7F5909D6"/>
    <w:rsid w:val="B3D83B91"/>
    <w:rsid w:val="BFBC2712"/>
    <w:rsid w:val="DE7F2512"/>
    <w:rsid w:val="E728C71D"/>
    <w:rsid w:val="EECFEC54"/>
    <w:rsid w:val="EF7F77D0"/>
    <w:rsid w:val="F5FF6A36"/>
    <w:rsid w:val="F6BBDD36"/>
    <w:rsid w:val="FCEFAC83"/>
    <w:rsid w:val="FDFF8FC0"/>
    <w:rsid w:val="FE5912EB"/>
    <w:rsid w:val="FE5D3A07"/>
    <w:rsid w:val="FE9BF8C4"/>
    <w:rsid w:val="FEFE20DF"/>
    <w:rsid w:val="FFBF3A8A"/>
    <w:rsid w:val="FFFEFFE2"/>
    <w:rsid w:val="FFFFB6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toc 5"/>
    <w:basedOn w:val="1"/>
    <w:next w:val="1"/>
    <w:qFormat/>
    <w:uiPriority w:val="0"/>
    <w:pPr>
      <w:ind w:left="168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5366</Words>
  <Characters>5392</Characters>
  <TotalTime>48</TotalTime>
  <ScaleCrop>false</ScaleCrop>
  <LinksUpToDate>false</LinksUpToDate>
  <CharactersWithSpaces>5431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2026-07-27T09:26:00Z</dcterms:created>
  <dc:creator>Apache POI</dc:creator>
  <cp:lastModifiedBy>瑛婕</cp:lastModifiedBy>
  <cp:lastPrinted>2026-08-06T17:31:00Z</cp:lastPrinted>
  <dcterms:modified xsi:type="dcterms:W3CDTF">2026-08-28T10:16:52Z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{"Label":"1","ContentProducer":"001191110102MACQD9K64010000","ProduceID":"7665652485088333086","ReservedCode1":"","ContentPropagator":"","PropagateID":"","ReservedCode2":""}</vt:lpwstr>
  </property>
  <property fmtid="{D5CDD505-2E9C-101B-9397-08002B2CF9AE}" pid="3" name="KSOProductBuildVer">
    <vt:lpwstr>2052-12.1.0.28043</vt:lpwstr>
  </property>
  <property fmtid="{D5CDD505-2E9C-101B-9397-08002B2CF9AE}" pid="4" name="ICV">
    <vt:lpwstr>11D2364BA91B30F4AEDF616A4298A813_42</vt:lpwstr>
  </property>
  <property fmtid="{D5CDD505-2E9C-101B-9397-08002B2CF9AE}" pid="5" name="KSOTemplateDocerSaveRecord">
    <vt:lpwstr>eyJoZGlkIjoiNDkxYTMyMDU0YjA3OTA5YjQ3ZmJjNDgzOGI4NjM2MTAiLCJ1c2VySWQiOiIxMzUzMTMzMDMyIn0=</vt:lpwstr>
  </property>
</Properties>
</file>