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9B451">
      <w:pPr>
        <w:spacing w:line="520" w:lineRule="exact"/>
        <w:ind w:right="-67" w:rightChars="-32"/>
        <w:jc w:val="center"/>
        <w:outlineLvl w:val="0"/>
        <w:rPr>
          <w:rFonts w:hint="eastAsia" w:ascii="Times New Roman" w:hAnsi="Times New Roman" w:eastAsia="方正小标宋简体" w:cs="Times New Roman"/>
          <w:color w:val="000000"/>
          <w:sz w:val="44"/>
          <w:szCs w:val="44"/>
          <w:lang w:eastAsia="zh-CN"/>
        </w:rPr>
      </w:pPr>
      <w:r>
        <w:rPr>
          <w:rFonts w:ascii="Times New Roman" w:hAnsi="Times New Roman" w:eastAsia="方正小标宋简体" w:cs="Times New Roman"/>
          <w:color w:val="000000"/>
          <w:sz w:val="44"/>
          <w:szCs w:val="44"/>
        </w:rPr>
        <w:t>一次性使用人体末梢血样采集容器注册审查指导原则</w:t>
      </w:r>
      <w:r>
        <w:rPr>
          <w:rFonts w:hint="eastAsia" w:ascii="Times New Roman" w:hAnsi="Times New Roman" w:eastAsia="方正小标宋简体" w:cs="Times New Roman"/>
          <w:color w:val="000000"/>
          <w:sz w:val="44"/>
          <w:szCs w:val="44"/>
          <w:lang w:eastAsia="zh-CN"/>
        </w:rPr>
        <w:t>（征求意见稿</w:t>
      </w:r>
      <w:bookmarkStart w:id="0" w:name="_GoBack"/>
      <w:bookmarkEnd w:id="0"/>
      <w:r>
        <w:rPr>
          <w:rFonts w:hint="eastAsia" w:ascii="Times New Roman" w:hAnsi="Times New Roman" w:eastAsia="方正小标宋简体" w:cs="Times New Roman"/>
          <w:color w:val="000000"/>
          <w:sz w:val="44"/>
          <w:szCs w:val="44"/>
          <w:lang w:eastAsia="zh-CN"/>
        </w:rPr>
        <w:t>）</w:t>
      </w:r>
    </w:p>
    <w:p w14:paraId="7D55C922">
      <w:pPr>
        <w:pStyle w:val="2"/>
        <w:keepNext w:val="0"/>
        <w:keepLines w:val="0"/>
        <w:pageBreakBefore w:val="0"/>
        <w:kinsoku/>
        <w:wordWrap/>
        <w:overflowPunct/>
        <w:topLinePunct w:val="0"/>
        <w:autoSpaceDE/>
        <w:autoSpaceDN/>
        <w:bidi w:val="0"/>
        <w:spacing w:line="520" w:lineRule="exact"/>
        <w:textAlignment w:val="auto"/>
        <w:rPr>
          <w:rFonts w:ascii="Times New Roman" w:hAnsi="Times New Roman" w:eastAsia="方正小标宋简体" w:cs="Times New Roman"/>
          <w:color w:val="000000"/>
          <w:sz w:val="44"/>
          <w:szCs w:val="44"/>
        </w:rPr>
      </w:pPr>
    </w:p>
    <w:p w14:paraId="1506A7AF">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本指导原则旨在为注册申请人进行末梢血采集容器产品的注册申报提供技术指导，同时也为医疗器械监督管理部门对注册申报资料的审评提供技术参考。</w:t>
      </w:r>
    </w:p>
    <w:p w14:paraId="3CBA244C">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本指导原则是对一次性使用人体末梢血样采集容器产品注册申报资料的一般要求，注册申请人应依据产品的具体特性确定其中内容是否适用，若不适用，需具体阐述理由及相应的科学依据，并依据产品的具体特性对注册申报资料的内容进行充实和细化。如注册申请人认为有必要增加本指导原则不包含的研究内容，可自行补充。</w:t>
      </w:r>
    </w:p>
    <w:p w14:paraId="07836CC1">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本指导原则所确定的核心内容是在目前的科技认识水平和现有产品基础上形成的，因此，审评人员应注意其适宜性，密切关注适用标准及相关技术的最新进展，考虑产品的更新和变化。</w:t>
      </w:r>
    </w:p>
    <w:p w14:paraId="1A238464">
      <w:pPr>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本指导原则是供注册申请人和技术审评人员使用的指导性文件，但不包括注册审批所涉及的行政事项，亦不作为法规强制执行，如果有能够满足相关法规要求的其他方法，也可以采用，但需要提供详细的研究资料和验证资料。需在遵循相关法规和强制性标准的前提下使用本指导原则。</w:t>
      </w:r>
    </w:p>
    <w:p w14:paraId="084B83D9">
      <w:pPr>
        <w:keepNext w:val="0"/>
        <w:keepLines w:val="0"/>
        <w:pageBreakBefore w:val="0"/>
        <w:kinsoku/>
        <w:wordWrap/>
        <w:overflowPunct/>
        <w:topLinePunct w:val="0"/>
        <w:autoSpaceDE/>
        <w:autoSpaceDN/>
        <w:bidi w:val="0"/>
        <w:spacing w:line="520" w:lineRule="exact"/>
        <w:ind w:right="-67" w:rightChars="-32" w:firstLine="640" w:firstLineChars="200"/>
        <w:textAlignment w:val="auto"/>
        <w:outlineLvl w:val="1"/>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一、适用范围</w:t>
      </w:r>
    </w:p>
    <w:p w14:paraId="32F5CF3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color w:val="000000"/>
          <w:sz w:val="32"/>
          <w:szCs w:val="32"/>
          <w:lang w:val="en-US" w:eastAsia="zh-CN"/>
        </w:rPr>
        <w:t>本指导原则适用于</w:t>
      </w:r>
      <w:r>
        <w:rPr>
          <w:rFonts w:hint="eastAsia" w:ascii="Times New Roman" w:hAnsi="Times New Roman" w:eastAsia="仿宋_GB2312" w:cs="Times New Roman"/>
          <w:color w:val="000000"/>
          <w:sz w:val="32"/>
          <w:szCs w:val="32"/>
          <w:lang w:val="en-US" w:eastAsia="zh-CN"/>
        </w:rPr>
        <w:t>一次性使用人体</w:t>
      </w:r>
      <w:r>
        <w:rPr>
          <w:rFonts w:hint="eastAsia" w:eastAsia="仿宋_GB2312"/>
          <w:color w:val="000000"/>
          <w:sz w:val="32"/>
          <w:szCs w:val="32"/>
        </w:rPr>
        <w:t>末梢血采集容器</w:t>
      </w:r>
      <w:r>
        <w:rPr>
          <w:rFonts w:hint="eastAsia" w:eastAsia="仿宋_GB2312"/>
          <w:color w:val="000000"/>
          <w:sz w:val="32"/>
          <w:szCs w:val="32"/>
          <w:lang w:eastAsia="zh-CN"/>
        </w:rPr>
        <w:t>产品</w:t>
      </w:r>
      <w:r>
        <w:rPr>
          <w:rFonts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根据《医疗器械分类目录》，本产品管理类别为Ⅱ类，分类编码为22-11-06（22 临床检验器械 - 11 采样设备和器具 - 06 末梢血采集容器）。</w:t>
      </w:r>
      <w:r>
        <w:rPr>
          <w:rFonts w:hint="eastAsia" w:ascii="Times New Roman" w:hAnsi="Times New Roman" w:eastAsia="仿宋_GB2312"/>
          <w:sz w:val="32"/>
          <w:szCs w:val="32"/>
          <w:highlight w:val="none"/>
        </w:rPr>
        <w:t>采血量在20</w:t>
      </w:r>
      <w:r>
        <w:rPr>
          <w:rFonts w:hint="eastAsia" w:ascii="Times New Roman" w:hAnsi="Times New Roman" w:eastAsia="仿宋_GB2312"/>
          <w:sz w:val="32"/>
          <w:szCs w:val="32"/>
          <w:highlight w:val="none"/>
          <w:lang w:eastAsia="zh-CN"/>
        </w:rPr>
        <w:t>μ</w:t>
      </w:r>
      <w:r>
        <w:rPr>
          <w:rFonts w:hint="eastAsia" w:ascii="Times New Roman" w:hAnsi="Times New Roman" w:eastAsia="仿宋_GB2312"/>
          <w:sz w:val="32"/>
          <w:szCs w:val="32"/>
          <w:highlight w:val="none"/>
        </w:rPr>
        <w:t>L~1000</w:t>
      </w:r>
      <w:r>
        <w:rPr>
          <w:rFonts w:hint="eastAsia" w:ascii="Times New Roman" w:hAnsi="Times New Roman" w:eastAsia="仿宋_GB2312"/>
          <w:sz w:val="32"/>
          <w:szCs w:val="32"/>
          <w:highlight w:val="none"/>
          <w:lang w:eastAsia="zh-CN"/>
        </w:rPr>
        <w:t>μ</w:t>
      </w:r>
      <w:r>
        <w:rPr>
          <w:rFonts w:hint="eastAsia" w:ascii="Times New Roman" w:hAnsi="Times New Roman" w:eastAsia="仿宋_GB2312"/>
          <w:sz w:val="32"/>
          <w:szCs w:val="32"/>
          <w:highlight w:val="none"/>
        </w:rPr>
        <w:t>L的末梢血样采集容器</w:t>
      </w:r>
      <w:r>
        <w:rPr>
          <w:rFonts w:hint="eastAsia" w:ascii="Times New Roman" w:hAnsi="Times New Roman" w:eastAsia="仿宋_GB2312"/>
          <w:sz w:val="32"/>
          <w:szCs w:val="32"/>
          <w:highlight w:val="none"/>
          <w:lang w:eastAsia="zh-CN"/>
        </w:rPr>
        <w:t>。</w:t>
      </w:r>
    </w:p>
    <w:p w14:paraId="14AC1EC7">
      <w:pPr>
        <w:keepNext w:val="0"/>
        <w:keepLines w:val="0"/>
        <w:pageBreakBefore w:val="0"/>
        <w:widowControl w:val="0"/>
        <w:kinsoku/>
        <w:wordWrap/>
        <w:overflowPunct/>
        <w:topLinePunct w:val="0"/>
        <w:autoSpaceDE/>
        <w:autoSpaceDN/>
        <w:bidi w:val="0"/>
        <w:adjustRightInd/>
        <w:snapToGrid/>
        <w:spacing w:line="520" w:lineRule="exact"/>
        <w:ind w:right="-67" w:rightChars="-32" w:firstLine="640" w:firstLineChars="200"/>
        <w:textAlignment w:val="auto"/>
        <w:outlineLvl w:val="1"/>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二、注册审查要点</w:t>
      </w:r>
    </w:p>
    <w:p w14:paraId="19ED6C96">
      <w:pPr>
        <w:keepNext w:val="0"/>
        <w:keepLines w:val="0"/>
        <w:pageBreakBefore w:val="0"/>
        <w:widowControl w:val="0"/>
        <w:kinsoku/>
        <w:wordWrap/>
        <w:overflowPunct/>
        <w:topLinePunct w:val="0"/>
        <w:autoSpaceDE/>
        <w:autoSpaceDN/>
        <w:bidi w:val="0"/>
        <w:adjustRightInd/>
        <w:snapToGrid/>
        <w:spacing w:line="520" w:lineRule="exact"/>
        <w:ind w:right="-67" w:rightChars="-32" w:firstLine="640" w:firstLineChars="200"/>
        <w:textAlignment w:val="auto"/>
        <w:outlineLvl w:val="2"/>
        <w:rPr>
          <w:rFonts w:eastAsia="楷体_GB2312"/>
          <w:color w:val="000000"/>
          <w:sz w:val="32"/>
          <w:szCs w:val="32"/>
        </w:rPr>
      </w:pPr>
      <w:r>
        <w:rPr>
          <w:rFonts w:eastAsia="楷体_GB2312"/>
          <w:color w:val="000000"/>
          <w:sz w:val="32"/>
          <w:szCs w:val="32"/>
        </w:rPr>
        <w:t>（一）监管信息</w:t>
      </w:r>
    </w:p>
    <w:p w14:paraId="3CD7FBB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color w:val="000000"/>
          <w:sz w:val="32"/>
          <w:szCs w:val="32"/>
        </w:rPr>
      </w:pPr>
      <w:r>
        <w:rPr>
          <w:rFonts w:eastAsia="仿宋_GB2312"/>
          <w:snapToGrid w:val="0"/>
          <w:kern w:val="0"/>
          <w:sz w:val="32"/>
          <w:szCs w:val="32"/>
        </w:rPr>
        <w:t>注册申请人</w:t>
      </w:r>
      <w:r>
        <w:rPr>
          <w:rFonts w:eastAsia="仿宋_GB2312"/>
          <w:color w:val="000000"/>
          <w:sz w:val="32"/>
          <w:szCs w:val="32"/>
        </w:rPr>
        <w:t>应提供申请表、既往沟通记录（如不适用，应当明确声明申报产品没有既往申报和/或申报前沟通）、主文档授权信（如适用）、关联文件及其他管理信息等。</w:t>
      </w:r>
    </w:p>
    <w:p w14:paraId="2637FC5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3"/>
        <w:rPr>
          <w:rFonts w:eastAsia="仿宋_GB2312"/>
          <w:color w:val="000000"/>
          <w:sz w:val="32"/>
          <w:szCs w:val="32"/>
        </w:rPr>
      </w:pPr>
      <w:r>
        <w:rPr>
          <w:rFonts w:eastAsia="仿宋_GB2312"/>
          <w:color w:val="000000"/>
          <w:sz w:val="32"/>
          <w:szCs w:val="32"/>
        </w:rPr>
        <w:t>1.产品名称及分类编码</w:t>
      </w:r>
    </w:p>
    <w:p w14:paraId="0D1E4E8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color w:val="000000"/>
          <w:sz w:val="32"/>
          <w:szCs w:val="32"/>
          <w:highlight w:val="none"/>
        </w:rPr>
      </w:pPr>
      <w:r>
        <w:rPr>
          <w:rFonts w:hint="eastAsia" w:eastAsia="仿宋_GB2312"/>
          <w:color w:val="000000"/>
          <w:sz w:val="32"/>
          <w:szCs w:val="32"/>
          <w:lang w:val="en-US" w:eastAsia="zh-CN"/>
        </w:rPr>
        <w:t>产品名称需符合《医疗器械通用名称命名规则》《临床检验器械通用名称命名指导原则》以及国家标准或行业标准等要求。品名举例：</w:t>
      </w:r>
      <w:r>
        <w:rPr>
          <w:rFonts w:hint="eastAsia" w:eastAsia="仿宋_GB2312"/>
          <w:color w:val="000000"/>
          <w:sz w:val="32"/>
          <w:szCs w:val="32"/>
          <w:highlight w:val="none"/>
          <w:lang w:val="en-US" w:eastAsia="zh-CN"/>
        </w:rPr>
        <w:t>一</w:t>
      </w:r>
      <w:r>
        <w:rPr>
          <w:rFonts w:hint="eastAsia" w:eastAsia="仿宋_GB2312"/>
          <w:color w:val="000000"/>
          <w:sz w:val="32"/>
          <w:szCs w:val="32"/>
          <w:highlight w:val="none"/>
        </w:rPr>
        <w:t>次性使用末梢血样采集容器</w:t>
      </w:r>
      <w:r>
        <w:rPr>
          <w:rFonts w:hint="eastAsia" w:eastAsia="仿宋_GB2312"/>
          <w:color w:val="000000"/>
          <w:sz w:val="32"/>
          <w:szCs w:val="32"/>
          <w:highlight w:val="none"/>
          <w:lang w:eastAsia="zh-CN"/>
        </w:rPr>
        <w:t>、</w:t>
      </w:r>
      <w:r>
        <w:rPr>
          <w:rFonts w:hint="eastAsia" w:eastAsia="仿宋_GB2312"/>
          <w:color w:val="000000"/>
          <w:sz w:val="32"/>
          <w:szCs w:val="32"/>
          <w:highlight w:val="none"/>
        </w:rPr>
        <w:t>一次性使用人体末梢血样采集容器</w:t>
      </w:r>
      <w:r>
        <w:rPr>
          <w:rFonts w:eastAsia="仿宋_GB2312"/>
          <w:color w:val="000000"/>
          <w:sz w:val="32"/>
          <w:szCs w:val="32"/>
          <w:highlight w:val="none"/>
        </w:rPr>
        <w:t>等。</w:t>
      </w:r>
    </w:p>
    <w:p w14:paraId="25F945B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color w:val="000000"/>
          <w:sz w:val="32"/>
          <w:szCs w:val="32"/>
          <w:lang w:val="en-US" w:eastAsia="zh-CN"/>
        </w:rPr>
      </w:pPr>
      <w:r>
        <w:rPr>
          <w:rFonts w:ascii="Times New Roman" w:hAnsi="Times New Roman" w:eastAsia="仿宋_GB2312" w:cs="Times New Roman"/>
          <w:color w:val="000000"/>
          <w:sz w:val="32"/>
          <w:szCs w:val="32"/>
          <w:highlight w:val="none"/>
          <w:lang w:val="en-US" w:eastAsia="zh-CN"/>
        </w:rPr>
        <w:t>根据</w:t>
      </w:r>
      <w:r>
        <w:rPr>
          <w:rFonts w:ascii="Times New Roman" w:hAnsi="Times New Roman" w:eastAsia="仿宋_GB2312" w:cs="Times New Roman"/>
          <w:color w:val="000000"/>
          <w:sz w:val="32"/>
          <w:szCs w:val="32"/>
          <w:lang w:val="en-US" w:eastAsia="zh-CN"/>
        </w:rPr>
        <w:t>《医疗器械分类目录》，</w:t>
      </w:r>
      <w:r>
        <w:rPr>
          <w:rFonts w:hint="eastAsia" w:eastAsia="仿宋_GB2312"/>
          <w:color w:val="000000"/>
          <w:sz w:val="32"/>
          <w:szCs w:val="32"/>
        </w:rPr>
        <w:t>末梢血采集容器</w:t>
      </w:r>
      <w:r>
        <w:rPr>
          <w:rFonts w:ascii="Times New Roman" w:hAnsi="Times New Roman" w:eastAsia="仿宋_GB2312" w:cs="Times New Roman"/>
          <w:color w:val="000000"/>
          <w:sz w:val="32"/>
          <w:szCs w:val="32"/>
          <w:lang w:val="en-US" w:eastAsia="zh-CN"/>
        </w:rPr>
        <w:t>产品的管理类别为Ⅱ类，分类编码为22-11-0</w:t>
      </w:r>
      <w:r>
        <w:rPr>
          <w:rFonts w:hint="eastAsia" w:ascii="Times New Roman" w:hAnsi="Times New Roman" w:eastAsia="仿宋_GB2312" w:cs="Times New Roman"/>
          <w:color w:val="000000"/>
          <w:sz w:val="32"/>
          <w:szCs w:val="32"/>
          <w:lang w:val="en-US" w:eastAsia="zh-CN"/>
        </w:rPr>
        <w:t>6</w:t>
      </w:r>
      <w:r>
        <w:rPr>
          <w:rFonts w:ascii="Times New Roman" w:hAnsi="Times New Roman" w:eastAsia="仿宋_GB2312" w:cs="Times New Roman"/>
          <w:color w:val="000000"/>
          <w:sz w:val="32"/>
          <w:szCs w:val="32"/>
          <w:lang w:val="en-US" w:eastAsia="zh-CN"/>
        </w:rPr>
        <w:t>（22临床检验器械-11采样设备和器具-0</w:t>
      </w:r>
      <w:r>
        <w:rPr>
          <w:rFonts w:hint="eastAsia" w:ascii="Times New Roman" w:hAnsi="Times New Roman" w:eastAsia="仿宋_GB2312" w:cs="Times New Roman"/>
          <w:color w:val="000000"/>
          <w:sz w:val="32"/>
          <w:szCs w:val="32"/>
          <w:lang w:val="en-US" w:eastAsia="zh-CN"/>
        </w:rPr>
        <w:t>6末梢血采集容器</w:t>
      </w:r>
      <w:r>
        <w:rPr>
          <w:rFonts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w:t>
      </w:r>
    </w:p>
    <w:p w14:paraId="6DEFE0E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3"/>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 产品型号、规格的划分原则和实例</w:t>
      </w:r>
    </w:p>
    <w:p w14:paraId="2D6DC54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3"/>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本类产品作为一个注册单元，一般按照是否装有不同添加剂或附加物</w:t>
      </w:r>
      <w:r>
        <w:rPr>
          <w:rFonts w:hint="eastAsia" w:ascii="Times New Roman" w:hAnsi="Times New Roman" w:eastAsia="仿宋_GB2312" w:cs="Times New Roman"/>
          <w:color w:val="000000"/>
          <w:sz w:val="32"/>
          <w:szCs w:val="32"/>
          <w:highlight w:val="none"/>
          <w:lang w:val="en-US" w:eastAsia="zh-CN"/>
        </w:rPr>
        <w:t>划</w:t>
      </w:r>
      <w:r>
        <w:rPr>
          <w:rFonts w:hint="eastAsia" w:ascii="Times New Roman" w:hAnsi="Times New Roman" w:eastAsia="仿宋_GB2312" w:cs="Times New Roman"/>
          <w:color w:val="000000"/>
          <w:sz w:val="32"/>
          <w:szCs w:val="32"/>
          <w:lang w:val="en-US" w:eastAsia="zh-CN"/>
        </w:rPr>
        <w:t>分为不同的型号，按照不同公称液体容量划分为不同的规格。</w:t>
      </w:r>
    </w:p>
    <w:p w14:paraId="233724F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color w:val="000000"/>
          <w:sz w:val="32"/>
          <w:szCs w:val="32"/>
        </w:rPr>
      </w:pPr>
      <w:r>
        <w:rPr>
          <w:rFonts w:eastAsia="仿宋_GB2312"/>
          <w:color w:val="000000"/>
          <w:sz w:val="32"/>
          <w:szCs w:val="32"/>
        </w:rPr>
        <w:t>如：EDTA盐可细分为EDTA钾盐（EDTA-K</w:t>
      </w:r>
      <w:r>
        <w:rPr>
          <w:rFonts w:eastAsia="仿宋_GB2312"/>
          <w:color w:val="000000"/>
          <w:sz w:val="32"/>
          <w:szCs w:val="32"/>
          <w:vertAlign w:val="subscript"/>
        </w:rPr>
        <w:t>2</w:t>
      </w:r>
      <w:r>
        <w:rPr>
          <w:rFonts w:eastAsia="仿宋_GB2312"/>
          <w:color w:val="000000"/>
          <w:sz w:val="32"/>
          <w:szCs w:val="32"/>
        </w:rPr>
        <w:t>、EDTA-K</w:t>
      </w:r>
      <w:r>
        <w:rPr>
          <w:rFonts w:eastAsia="仿宋_GB2312"/>
          <w:color w:val="000000"/>
          <w:sz w:val="32"/>
          <w:szCs w:val="32"/>
          <w:vertAlign w:val="subscript"/>
        </w:rPr>
        <w:t>3</w:t>
      </w:r>
      <w:r>
        <w:rPr>
          <w:rFonts w:eastAsia="仿宋_GB2312"/>
          <w:color w:val="000000"/>
          <w:sz w:val="32"/>
          <w:szCs w:val="32"/>
        </w:rPr>
        <w:t>）和EDTA钠（EDTA-Na</w:t>
      </w:r>
      <w:r>
        <w:rPr>
          <w:rFonts w:eastAsia="仿宋_GB2312"/>
          <w:color w:val="000000"/>
          <w:sz w:val="32"/>
          <w:szCs w:val="32"/>
          <w:vertAlign w:val="subscript"/>
        </w:rPr>
        <w:t>2</w:t>
      </w:r>
      <w:r>
        <w:rPr>
          <w:rFonts w:eastAsia="仿宋_GB2312"/>
          <w:color w:val="000000"/>
          <w:sz w:val="32"/>
          <w:szCs w:val="32"/>
        </w:rPr>
        <w:t>）盐，每一种视为一个型号；EDTA-K</w:t>
      </w:r>
      <w:r>
        <w:rPr>
          <w:rFonts w:eastAsia="仿宋_GB2312"/>
          <w:color w:val="000000"/>
          <w:sz w:val="32"/>
          <w:szCs w:val="32"/>
          <w:vertAlign w:val="subscript"/>
        </w:rPr>
        <w:t>2</w:t>
      </w:r>
      <w:r>
        <w:rPr>
          <w:rFonts w:eastAsia="仿宋_GB2312"/>
          <w:color w:val="000000"/>
          <w:sz w:val="32"/>
          <w:szCs w:val="32"/>
        </w:rPr>
        <w:t>型号中不同</w:t>
      </w:r>
      <w:r>
        <w:rPr>
          <w:rFonts w:hint="eastAsia" w:eastAsia="仿宋_GB2312"/>
          <w:color w:val="000000"/>
          <w:sz w:val="32"/>
          <w:szCs w:val="32"/>
          <w:lang w:eastAsia="zh-CN"/>
        </w:rPr>
        <w:t>公称液体容量</w:t>
      </w:r>
      <w:r>
        <w:rPr>
          <w:rFonts w:eastAsia="仿宋_GB2312"/>
          <w:color w:val="000000"/>
          <w:sz w:val="32"/>
          <w:szCs w:val="32"/>
        </w:rPr>
        <w:t>，</w:t>
      </w:r>
      <w:r>
        <w:rPr>
          <w:rFonts w:hint="eastAsia" w:eastAsia="仿宋_GB2312"/>
          <w:color w:val="000000"/>
          <w:sz w:val="32"/>
          <w:szCs w:val="32"/>
          <w:lang w:val="en-US" w:eastAsia="zh-CN"/>
        </w:rPr>
        <w:t>0.2</w:t>
      </w:r>
      <w:r>
        <w:rPr>
          <w:rFonts w:eastAsia="仿宋_GB2312"/>
          <w:color w:val="000000"/>
          <w:sz w:val="32"/>
          <w:szCs w:val="32"/>
        </w:rPr>
        <w:t>mL、</w:t>
      </w:r>
      <w:r>
        <w:rPr>
          <w:rFonts w:hint="eastAsia" w:eastAsia="仿宋_GB2312"/>
          <w:color w:val="000000"/>
          <w:sz w:val="32"/>
          <w:szCs w:val="32"/>
          <w:lang w:val="en-US" w:eastAsia="zh-CN"/>
        </w:rPr>
        <w:t>0.</w:t>
      </w:r>
      <w:r>
        <w:rPr>
          <w:rFonts w:eastAsia="仿宋_GB2312"/>
          <w:color w:val="000000"/>
          <w:sz w:val="32"/>
          <w:szCs w:val="32"/>
        </w:rPr>
        <w:t>5mL、</w:t>
      </w:r>
      <w:r>
        <w:rPr>
          <w:rFonts w:hint="eastAsia" w:eastAsia="仿宋_GB2312"/>
          <w:color w:val="000000"/>
          <w:sz w:val="32"/>
          <w:szCs w:val="32"/>
          <w:lang w:val="en-US" w:eastAsia="zh-CN"/>
        </w:rPr>
        <w:t>1</w:t>
      </w:r>
      <w:r>
        <w:rPr>
          <w:rFonts w:eastAsia="仿宋_GB2312"/>
          <w:color w:val="000000"/>
          <w:sz w:val="32"/>
          <w:szCs w:val="32"/>
        </w:rPr>
        <w:t>mL，每一种视为一个规格。</w:t>
      </w:r>
    </w:p>
    <w:p w14:paraId="6207D727">
      <w:pPr>
        <w:keepNext w:val="0"/>
        <w:keepLines w:val="0"/>
        <w:pageBreakBefore w:val="0"/>
        <w:widowControl w:val="0"/>
        <w:kinsoku/>
        <w:wordWrap/>
        <w:overflowPunct/>
        <w:topLinePunct w:val="0"/>
        <w:autoSpaceDE/>
        <w:autoSpaceDN/>
        <w:bidi w:val="0"/>
        <w:adjustRightInd/>
        <w:snapToGrid/>
        <w:spacing w:line="520" w:lineRule="exact"/>
        <w:ind w:right="-67" w:rightChars="-32" w:firstLine="640" w:firstLineChars="200"/>
        <w:textAlignment w:val="auto"/>
        <w:rPr>
          <w:rFonts w:hint="eastAsia" w:ascii="Times New Roman" w:hAnsi="Times New Roman" w:eastAsia="仿宋_GB2312" w:cs="Times New Roman"/>
          <w:color w:val="000000"/>
          <w:sz w:val="32"/>
          <w:szCs w:val="32"/>
          <w:highlight w:val="green"/>
          <w:lang w:val="en-US" w:eastAsia="zh-CN"/>
        </w:rPr>
      </w:pPr>
      <w:r>
        <w:rPr>
          <w:rFonts w:eastAsia="仿宋_GB2312"/>
          <w:color w:val="000000"/>
          <w:sz w:val="32"/>
          <w:szCs w:val="32"/>
        </w:rPr>
        <w:t>若添加剂、公称液体容量均相同，而只是管体尺寸（如高度和直径）和</w:t>
      </w:r>
      <w:r>
        <w:rPr>
          <w:rFonts w:eastAsia="仿宋_GB2312"/>
          <w:color w:val="auto"/>
          <w:sz w:val="32"/>
          <w:szCs w:val="32"/>
        </w:rPr>
        <w:t>结构</w:t>
      </w:r>
      <w:r>
        <w:rPr>
          <w:rFonts w:eastAsia="仿宋_GB2312"/>
          <w:color w:val="000000"/>
          <w:sz w:val="32"/>
          <w:szCs w:val="32"/>
        </w:rPr>
        <w:t>不同时，可通过列表或带有说明性文字的图片等形式，对规格进行明确和细化。</w:t>
      </w:r>
    </w:p>
    <w:p w14:paraId="669AED32">
      <w:pPr>
        <w:keepNext w:val="0"/>
        <w:keepLines w:val="0"/>
        <w:pageBreakBefore w:val="0"/>
        <w:widowControl w:val="0"/>
        <w:kinsoku/>
        <w:wordWrap/>
        <w:overflowPunct/>
        <w:topLinePunct w:val="0"/>
        <w:autoSpaceDE/>
        <w:autoSpaceDN/>
        <w:bidi w:val="0"/>
        <w:adjustRightInd/>
        <w:snapToGrid/>
        <w:spacing w:line="520" w:lineRule="exact"/>
        <w:ind w:right="-67" w:rightChars="-32" w:firstLine="640" w:firstLineChars="200"/>
        <w:textAlignment w:val="auto"/>
        <w:outlineLvl w:val="2"/>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（二）综述资料</w:t>
      </w:r>
    </w:p>
    <w:p w14:paraId="500CE990">
      <w:pPr>
        <w:spacing w:line="520" w:lineRule="exact"/>
        <w:ind w:firstLine="640" w:firstLineChars="200"/>
        <w:outlineLvl w:val="3"/>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 结构及组成</w:t>
      </w:r>
    </w:p>
    <w:p w14:paraId="67111AFA">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lang w:val="en-US" w:eastAsia="zh-CN"/>
        </w:rPr>
        <w:t>末梢血采集容器</w:t>
      </w:r>
      <w:r>
        <w:rPr>
          <w:rFonts w:hint="eastAsia" w:ascii="Times New Roman" w:hAnsi="Times New Roman" w:eastAsia="仿宋_GB2312" w:cs="Times New Roman"/>
          <w:color w:val="000000"/>
          <w:sz w:val="32"/>
          <w:szCs w:val="32"/>
          <w:lang w:val="en-US" w:eastAsia="zh-CN"/>
        </w:rPr>
        <w:t>通常由容器（管或瓶</w:t>
      </w:r>
      <w:r>
        <w:rPr>
          <w:rFonts w:hint="eastAsia" w:ascii="Times New Roman" w:hAnsi="Times New Roman" w:eastAsia="仿宋_GB2312" w:cs="Times New Roman"/>
          <w:color w:val="000000"/>
          <w:sz w:val="32"/>
          <w:szCs w:val="32"/>
          <w:highlight w:val="none"/>
          <w:lang w:val="en-US" w:eastAsia="zh-CN"/>
        </w:rPr>
        <w:t>或管瓶或试管）、盖子、标签（如有）、添加剂、附加物（如有）组成。</w:t>
      </w:r>
      <w:r>
        <w:rPr>
          <w:rFonts w:ascii="Times New Roman" w:hAnsi="Times New Roman" w:eastAsia="仿宋_GB2312" w:cs="Times New Roman"/>
          <w:color w:val="000000"/>
          <w:sz w:val="32"/>
          <w:szCs w:val="32"/>
          <w:highlight w:val="none"/>
          <w:lang w:val="en-US" w:eastAsia="zh-CN"/>
        </w:rPr>
        <w:t>结构图示见图 1。</w:t>
      </w:r>
    </w:p>
    <w:p w14:paraId="44DB769D">
      <w:pPr>
        <w:keepNext w:val="0"/>
        <w:keepLines w:val="0"/>
        <w:pageBreakBefore w:val="0"/>
        <w:widowControl w:val="0"/>
        <w:kinsoku/>
        <w:wordWrap/>
        <w:overflowPunct/>
        <w:topLinePunct w:val="0"/>
        <w:autoSpaceDE/>
        <w:autoSpaceDN/>
        <w:bidi w:val="0"/>
        <w:adjustRightInd/>
        <w:snapToGrid/>
        <w:spacing w:line="520" w:lineRule="exact"/>
        <w:jc w:val="center"/>
        <w:textAlignment w:val="auto"/>
      </w:pPr>
    </w:p>
    <w:p w14:paraId="7FC166EB">
      <w:r>
        <w:rPr>
          <w:rFonts w:hint="eastAsia"/>
          <w:lang w:val="en-US" w:eastAsia="zh-CN"/>
        </w:rPr>
        <w:t xml:space="preserve">        </w:t>
      </w:r>
      <w:r>
        <w:drawing>
          <wp:inline distT="0" distB="0" distL="114300" distR="114300">
            <wp:extent cx="3611880" cy="1800225"/>
            <wp:effectExtent l="0" t="0" r="7620" b="9525"/>
            <wp:docPr id="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pic:cNvPicPr>
                      <a:picLocks noChangeAspect="1"/>
                    </pic:cNvPicPr>
                  </pic:nvPicPr>
                  <pic:blipFill>
                    <a:blip r:embed="rId5"/>
                    <a:stretch>
                      <a:fillRect/>
                    </a:stretch>
                  </pic:blipFill>
                  <pic:spPr>
                    <a:xfrm>
                      <a:off x="0" y="0"/>
                      <a:ext cx="3611880" cy="1800225"/>
                    </a:xfrm>
                    <a:prstGeom prst="rect">
                      <a:avLst/>
                    </a:prstGeom>
                  </pic:spPr>
                </pic:pic>
              </a:graphicData>
            </a:graphic>
          </wp:inline>
        </w:drawing>
      </w:r>
    </w:p>
    <w:p w14:paraId="1D17A2DB">
      <w:pPr>
        <w:spacing w:line="520" w:lineRule="exact"/>
        <w:ind w:firstLine="1120" w:firstLineChars="400"/>
        <w:jc w:val="both"/>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1-容器（管或瓶或管瓶或试管）；2-盖子；3-标签</w:t>
      </w:r>
    </w:p>
    <w:p w14:paraId="44441C7D">
      <w:pPr>
        <w:spacing w:line="520" w:lineRule="exact"/>
        <w:jc w:val="center"/>
        <w:rPr>
          <w:rFonts w:hint="default" w:ascii="Times New Roman" w:hAnsi="Times New Roman" w:eastAsia="黑体" w:cs="Times New Roman"/>
          <w:sz w:val="28"/>
          <w:szCs w:val="28"/>
          <w:lang w:val="en-US" w:eastAsia="zh-CN"/>
        </w:rPr>
      </w:pPr>
      <w:r>
        <w:rPr>
          <w:rFonts w:hint="eastAsia" w:ascii="Times New Roman" w:hAnsi="Times New Roman" w:eastAsia="黑体" w:cs="Times New Roman"/>
          <w:sz w:val="28"/>
          <w:szCs w:val="28"/>
          <w:lang w:eastAsia="zh-CN"/>
        </w:rPr>
        <w:t>图</w:t>
      </w:r>
      <w:r>
        <w:rPr>
          <w:rFonts w:hint="eastAsia" w:ascii="Times New Roman" w:hAnsi="Times New Roman" w:eastAsia="黑体" w:cs="Times New Roman"/>
          <w:sz w:val="28"/>
          <w:szCs w:val="28"/>
          <w:lang w:val="en-US" w:eastAsia="zh-CN"/>
        </w:rPr>
        <w:t>1 末梢血采集容器结构图示</w:t>
      </w:r>
    </w:p>
    <w:p w14:paraId="36626FDB">
      <w:pPr>
        <w:spacing w:line="520" w:lineRule="exact"/>
        <w:ind w:firstLine="640" w:firstLineChars="200"/>
        <w:outlineLvl w:val="3"/>
        <w:rPr>
          <w:rFonts w:ascii="Times New Roman" w:hAnsi="Times New Roman" w:eastAsia="仿宋_GB2312" w:cs="Times New Roman"/>
          <w:color w:val="000000"/>
          <w:sz w:val="32"/>
          <w:szCs w:val="32"/>
        </w:rPr>
      </w:pPr>
    </w:p>
    <w:p w14:paraId="258F9671">
      <w:pPr>
        <w:spacing w:line="520" w:lineRule="exact"/>
        <w:ind w:firstLine="640" w:firstLineChars="200"/>
        <w:outlineLvl w:val="3"/>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 产品的工作原理</w:t>
      </w:r>
    </w:p>
    <w:p w14:paraId="3B73C501">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lang w:val="en-US" w:eastAsia="zh-CN"/>
        </w:rPr>
        <w:t>末梢血采</w:t>
      </w:r>
      <w:r>
        <w:rPr>
          <w:rFonts w:hint="eastAsia" w:ascii="Times New Roman" w:hAnsi="Times New Roman" w:eastAsia="仿宋_GB2312" w:cs="Times New Roman"/>
          <w:color w:val="000000"/>
          <w:sz w:val="32"/>
          <w:szCs w:val="32"/>
          <w:lang w:val="en-US" w:eastAsia="zh-CN"/>
        </w:rPr>
        <w:t>集</w:t>
      </w:r>
      <w:r>
        <w:rPr>
          <w:rFonts w:ascii="Times New Roman" w:hAnsi="Times New Roman" w:eastAsia="仿宋_GB2312" w:cs="Times New Roman"/>
          <w:color w:val="000000"/>
          <w:sz w:val="32"/>
          <w:szCs w:val="32"/>
          <w:lang w:val="en-US" w:eastAsia="zh-CN"/>
        </w:rPr>
        <w:t>容器与一次性使用末梢采血针（如采血针、采血笔）配套使用，</w:t>
      </w:r>
      <w:r>
        <w:rPr>
          <w:rFonts w:hint="eastAsia" w:ascii="Times New Roman" w:hAnsi="Times New Roman" w:eastAsia="仿宋_GB2312" w:cs="Times New Roman"/>
          <w:color w:val="000000"/>
          <w:sz w:val="32"/>
          <w:szCs w:val="32"/>
          <w:lang w:val="en-US" w:eastAsia="zh-CN"/>
        </w:rPr>
        <w:t>采集人体末梢部位（指尖、耳垂、足跟等）的血样。</w:t>
      </w:r>
    </w:p>
    <w:p w14:paraId="169FF7DC">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末梢采血针刺破皮肤形成血滴后，将采血容器管口贴近血滴，利用血液表面张力或轻微虹吸作用使血样进入管体；</w:t>
      </w:r>
    </w:p>
    <w:p w14:paraId="140A6C6C">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管内若含添加剂，血样与添加剂充分接触后实现抗凝、促凝或血糖稳定等功能；</w:t>
      </w:r>
    </w:p>
    <w:p w14:paraId="0BBAF3F4">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ascii="Times New Roman" w:hAnsi="Times New Roman" w:eastAsia="仿宋_GB2312" w:cs="Times New Roman"/>
          <w:color w:val="000000"/>
          <w:sz w:val="32"/>
          <w:szCs w:val="32"/>
          <w:lang w:val="en-US" w:eastAsia="zh-CN"/>
        </w:rPr>
        <w:t>末梢血</w:t>
      </w:r>
      <w:r>
        <w:rPr>
          <w:rFonts w:hint="eastAsia" w:ascii="Times New Roman" w:hAnsi="Times New Roman" w:eastAsia="仿宋_GB2312" w:cs="Times New Roman"/>
          <w:color w:val="000000"/>
          <w:sz w:val="32"/>
          <w:szCs w:val="32"/>
          <w:lang w:val="en-US" w:eastAsia="zh-CN"/>
        </w:rPr>
        <w:t>采集</w:t>
      </w:r>
      <w:r>
        <w:rPr>
          <w:rFonts w:ascii="Times New Roman" w:hAnsi="Times New Roman" w:eastAsia="仿宋_GB2312" w:cs="Times New Roman"/>
          <w:color w:val="000000"/>
          <w:sz w:val="32"/>
          <w:szCs w:val="32"/>
          <w:lang w:val="en-US" w:eastAsia="zh-CN"/>
        </w:rPr>
        <w:t>容器</w:t>
      </w:r>
      <w:r>
        <w:rPr>
          <w:rFonts w:hint="eastAsia" w:ascii="Times New Roman" w:hAnsi="Times New Roman" w:eastAsia="仿宋_GB2312" w:cs="Times New Roman"/>
          <w:color w:val="000000"/>
          <w:sz w:val="32"/>
          <w:szCs w:val="32"/>
          <w:lang w:val="en-US" w:eastAsia="zh-CN"/>
        </w:rPr>
        <w:t>可</w:t>
      </w:r>
      <w:r>
        <w:rPr>
          <w:rFonts w:ascii="Times New Roman" w:hAnsi="Times New Roman" w:eastAsia="仿宋_GB2312" w:cs="Times New Roman"/>
          <w:color w:val="000000"/>
          <w:sz w:val="32"/>
          <w:szCs w:val="32"/>
          <w:lang w:val="en-US" w:eastAsia="zh-CN"/>
        </w:rPr>
        <w:t>与</w:t>
      </w:r>
      <w:r>
        <w:rPr>
          <w:rFonts w:hint="eastAsia" w:ascii="Times New Roman" w:hAnsi="Times New Roman" w:eastAsia="仿宋_GB2312" w:cs="Times New Roman"/>
          <w:color w:val="000000"/>
          <w:sz w:val="32"/>
          <w:szCs w:val="32"/>
          <w:lang w:val="en-US" w:eastAsia="zh-CN"/>
        </w:rPr>
        <w:t>末梢采血管</w:t>
      </w:r>
      <w:r>
        <w:rPr>
          <w:rFonts w:ascii="Times New Roman" w:hAnsi="Times New Roman" w:eastAsia="仿宋_GB2312" w:cs="Times New Roman"/>
          <w:color w:val="000000"/>
          <w:sz w:val="32"/>
          <w:szCs w:val="32"/>
          <w:lang w:val="en-US" w:eastAsia="zh-CN"/>
        </w:rPr>
        <w:t>配套使用，通过</w:t>
      </w:r>
      <w:r>
        <w:rPr>
          <w:rFonts w:hint="eastAsia" w:ascii="Times New Roman" w:hAnsi="Times New Roman" w:eastAsia="仿宋_GB2312" w:cs="Times New Roman"/>
          <w:color w:val="000000"/>
          <w:sz w:val="32"/>
          <w:szCs w:val="32"/>
          <w:lang w:val="en-US" w:eastAsia="zh-CN"/>
        </w:rPr>
        <w:t>末梢采血管</w:t>
      </w:r>
      <w:r>
        <w:rPr>
          <w:rFonts w:ascii="Times New Roman" w:hAnsi="Times New Roman" w:eastAsia="仿宋_GB2312" w:cs="Times New Roman"/>
          <w:color w:val="000000"/>
          <w:sz w:val="32"/>
          <w:szCs w:val="32"/>
          <w:lang w:val="en-US" w:eastAsia="zh-CN"/>
        </w:rPr>
        <w:t>采集人体末梢部位的血样</w:t>
      </w:r>
      <w:r>
        <w:rPr>
          <w:rFonts w:hint="eastAsia" w:ascii="Times New Roman" w:hAnsi="Times New Roman" w:eastAsia="仿宋_GB2312" w:cs="Times New Roman"/>
          <w:color w:val="000000"/>
          <w:sz w:val="32"/>
          <w:szCs w:val="32"/>
          <w:lang w:val="en-US" w:eastAsia="zh-CN"/>
        </w:rPr>
        <w:t>后转移至末梢血采集容器中。</w:t>
      </w:r>
    </w:p>
    <w:p w14:paraId="175FEF80">
      <w:pPr>
        <w:spacing w:line="520" w:lineRule="exact"/>
        <w:ind w:firstLine="640" w:firstLineChars="200"/>
        <w:outlineLvl w:val="3"/>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3. 产品的适用范围</w:t>
      </w:r>
    </w:p>
    <w:p w14:paraId="50675C87">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用于人体末梢血样的采集、运输和存储等。</w:t>
      </w:r>
      <w:r>
        <w:rPr>
          <w:rFonts w:eastAsia="仿宋_GB2312"/>
          <w:color w:val="000000"/>
          <w:sz w:val="32"/>
          <w:szCs w:val="32"/>
        </w:rPr>
        <w:t>含有不同添</w:t>
      </w:r>
      <w:r>
        <w:rPr>
          <w:rFonts w:eastAsia="仿宋_GB2312"/>
          <w:color w:val="auto"/>
          <w:sz w:val="32"/>
          <w:szCs w:val="32"/>
          <w:highlight w:val="none"/>
        </w:rPr>
        <w:t>加剂或附加物的</w:t>
      </w:r>
      <w:r>
        <w:rPr>
          <w:rFonts w:ascii="Times New Roman" w:hAnsi="Times New Roman" w:eastAsia="仿宋_GB2312" w:cs="Times New Roman"/>
          <w:color w:val="auto"/>
          <w:sz w:val="32"/>
          <w:szCs w:val="32"/>
          <w:highlight w:val="none"/>
          <w:lang w:val="en-US" w:eastAsia="zh-CN"/>
        </w:rPr>
        <w:t>末梢血</w:t>
      </w:r>
      <w:r>
        <w:rPr>
          <w:rFonts w:hint="eastAsia" w:ascii="Times New Roman" w:hAnsi="Times New Roman" w:eastAsia="仿宋_GB2312" w:cs="Times New Roman"/>
          <w:color w:val="auto"/>
          <w:sz w:val="32"/>
          <w:szCs w:val="32"/>
          <w:highlight w:val="none"/>
          <w:lang w:val="en-US" w:eastAsia="zh-CN"/>
        </w:rPr>
        <w:t>采集</w:t>
      </w:r>
      <w:r>
        <w:rPr>
          <w:rFonts w:ascii="Times New Roman" w:hAnsi="Times New Roman" w:eastAsia="仿宋_GB2312" w:cs="Times New Roman"/>
          <w:color w:val="auto"/>
          <w:sz w:val="32"/>
          <w:szCs w:val="32"/>
          <w:highlight w:val="none"/>
          <w:lang w:val="en-US" w:eastAsia="zh-CN"/>
        </w:rPr>
        <w:t>容器</w:t>
      </w:r>
      <w:r>
        <w:rPr>
          <w:rFonts w:eastAsia="仿宋_GB2312"/>
          <w:color w:val="auto"/>
          <w:sz w:val="32"/>
          <w:szCs w:val="32"/>
          <w:highlight w:val="none"/>
        </w:rPr>
        <w:t>用途有所不同，具体用途见附件</w:t>
      </w:r>
      <w:r>
        <w:rPr>
          <w:rFonts w:hint="eastAsia" w:eastAsia="仿宋_GB2312"/>
          <w:color w:val="auto"/>
          <w:sz w:val="32"/>
          <w:szCs w:val="32"/>
          <w:highlight w:val="none"/>
          <w:lang w:val="en-US" w:eastAsia="zh-CN"/>
        </w:rPr>
        <w:t>1</w:t>
      </w:r>
      <w:r>
        <w:rPr>
          <w:rFonts w:eastAsia="仿宋_GB2312"/>
          <w:color w:val="auto"/>
          <w:sz w:val="32"/>
          <w:szCs w:val="32"/>
          <w:highlight w:val="none"/>
        </w:rPr>
        <w:t>。</w:t>
      </w:r>
    </w:p>
    <w:p w14:paraId="6CC6EE89">
      <w:pPr>
        <w:keepNext w:val="0"/>
        <w:keepLines w:val="0"/>
        <w:pageBreakBefore w:val="0"/>
        <w:kinsoku/>
        <w:wordWrap/>
        <w:overflowPunct/>
        <w:topLinePunct w:val="0"/>
        <w:autoSpaceDE/>
        <w:autoSpaceDN/>
        <w:bidi w:val="0"/>
        <w:spacing w:line="520" w:lineRule="exact"/>
        <w:ind w:right="-67" w:rightChars="-32" w:firstLine="640" w:firstLineChars="200"/>
        <w:textAlignment w:val="auto"/>
        <w:outlineLvl w:val="2"/>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（三）非临床资料</w:t>
      </w:r>
    </w:p>
    <w:p w14:paraId="7D3FE32E">
      <w:pPr>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 产品的主要风险</w:t>
      </w:r>
    </w:p>
    <w:p w14:paraId="79D32A14">
      <w:pPr>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s="Times New Roman"/>
          <w:color w:val="000000"/>
          <w:sz w:val="32"/>
          <w:szCs w:val="32"/>
          <w:highlight w:val="none"/>
          <w:lang w:val="en-US" w:eastAsia="zh-CN"/>
        </w:rPr>
      </w:pPr>
      <w:r>
        <w:rPr>
          <w:rFonts w:ascii="Times New Roman" w:hAnsi="Times New Roman" w:eastAsia="仿宋_GB2312" w:cs="Times New Roman"/>
          <w:color w:val="000000"/>
          <w:sz w:val="32"/>
          <w:szCs w:val="32"/>
          <w:lang w:val="en-US" w:eastAsia="zh-CN"/>
        </w:rPr>
        <w:t>根据GB/T 42062-2022《医疗器械 风险管理对医疗器械的应</w:t>
      </w:r>
      <w:r>
        <w:rPr>
          <w:rFonts w:ascii="Times New Roman" w:hAnsi="Times New Roman" w:eastAsia="仿宋_GB2312" w:cs="Times New Roman"/>
          <w:color w:val="000000"/>
          <w:sz w:val="32"/>
          <w:szCs w:val="32"/>
          <w:highlight w:val="none"/>
          <w:lang w:val="en-US" w:eastAsia="zh-CN"/>
        </w:rPr>
        <w:t>用》要求，对末梢血</w:t>
      </w:r>
      <w:r>
        <w:rPr>
          <w:rFonts w:hint="eastAsia" w:ascii="Times New Roman" w:hAnsi="Times New Roman" w:eastAsia="仿宋_GB2312" w:cs="Times New Roman"/>
          <w:color w:val="auto"/>
          <w:sz w:val="32"/>
          <w:szCs w:val="32"/>
          <w:highlight w:val="none"/>
          <w:lang w:val="en-US" w:eastAsia="zh-CN"/>
        </w:rPr>
        <w:t>采集</w:t>
      </w:r>
      <w:r>
        <w:rPr>
          <w:rFonts w:ascii="Times New Roman" w:hAnsi="Times New Roman" w:eastAsia="仿宋_GB2312" w:cs="Times New Roman"/>
          <w:color w:val="auto"/>
          <w:sz w:val="32"/>
          <w:szCs w:val="32"/>
          <w:highlight w:val="none"/>
          <w:lang w:val="en-US" w:eastAsia="zh-CN"/>
        </w:rPr>
        <w:t>容器已知或可预见的风险进行判定，产品风险分析至少应包含附件</w:t>
      </w:r>
      <w:r>
        <w:rPr>
          <w:rFonts w:hint="eastAsia" w:ascii="Times New Roman" w:hAnsi="Times New Roman" w:eastAsia="仿宋_GB2312" w:cs="Times New Roman"/>
          <w:color w:val="auto"/>
          <w:sz w:val="32"/>
          <w:szCs w:val="32"/>
          <w:highlight w:val="none"/>
          <w:lang w:val="en-US" w:eastAsia="zh-CN"/>
        </w:rPr>
        <w:t>2</w:t>
      </w:r>
      <w:r>
        <w:rPr>
          <w:rFonts w:ascii="Times New Roman" w:hAnsi="Times New Roman" w:eastAsia="仿宋_GB2312" w:cs="Times New Roman"/>
          <w:color w:val="auto"/>
          <w:sz w:val="32"/>
          <w:szCs w:val="32"/>
          <w:highlight w:val="none"/>
          <w:lang w:val="en-US" w:eastAsia="zh-CN"/>
        </w:rPr>
        <w:t>所列危险，</w:t>
      </w:r>
      <w:r>
        <w:rPr>
          <w:rFonts w:ascii="Times New Roman" w:hAnsi="Times New Roman" w:eastAsia="仿宋_GB2312" w:cs="Times New Roman"/>
          <w:color w:val="000000"/>
          <w:sz w:val="32"/>
          <w:szCs w:val="32"/>
          <w:highlight w:val="none"/>
          <w:lang w:val="en-US" w:eastAsia="zh-CN"/>
        </w:rPr>
        <w:t>企业还应根据自身产品特点确定其他危险。针对各项风险，应采取有效的控制措施，确保风险降低至可接受程度，或经风险分析证明</w:t>
      </w:r>
      <w:r>
        <w:rPr>
          <w:rFonts w:hint="eastAsia" w:ascii="Times New Roman" w:hAnsi="Times New Roman" w:eastAsia="仿宋_GB2312" w:cs="Times New Roman"/>
          <w:color w:val="000000"/>
          <w:sz w:val="32"/>
          <w:szCs w:val="32"/>
          <w:highlight w:val="none"/>
          <w:lang w:val="en-US" w:eastAsia="zh-CN"/>
        </w:rPr>
        <w:t>受</w:t>
      </w:r>
      <w:r>
        <w:rPr>
          <w:rFonts w:ascii="Times New Roman" w:hAnsi="Times New Roman" w:eastAsia="仿宋_GB2312" w:cs="Times New Roman"/>
          <w:color w:val="000000"/>
          <w:sz w:val="32"/>
          <w:szCs w:val="32"/>
          <w:highlight w:val="none"/>
          <w:lang w:val="en-US" w:eastAsia="zh-CN"/>
        </w:rPr>
        <w:t>益大于风险。</w:t>
      </w:r>
    </w:p>
    <w:p w14:paraId="2539F2E0">
      <w:pPr>
        <w:keepNext w:val="0"/>
        <w:keepLines w:val="0"/>
        <w:pageBreakBefore w:val="0"/>
        <w:kinsoku/>
        <w:wordWrap/>
        <w:overflowPunct/>
        <w:topLinePunct w:val="0"/>
        <w:autoSpaceDE/>
        <w:autoSpaceDN/>
        <w:bidi w:val="0"/>
        <w:spacing w:line="520" w:lineRule="exact"/>
        <w:ind w:firstLine="640" w:firstLineChars="200"/>
        <w:textAlignment w:val="auto"/>
      </w:pPr>
      <w:r>
        <w:rPr>
          <w:rFonts w:hint="eastAsia" w:ascii="Times New Roman" w:hAnsi="Times New Roman" w:eastAsia="仿宋_GB2312" w:cs="Times New Roman"/>
          <w:color w:val="auto"/>
          <w:sz w:val="32"/>
          <w:szCs w:val="32"/>
          <w:highlight w:val="none"/>
          <w:lang w:val="zh-CN" w:eastAsia="zh-CN"/>
        </w:rPr>
        <w:t>参照《医疗器械可用性工程注册审查指导原则》提交产品使用错误评估报告。若前期已开展可用性工程工作，亦可提交可用性工程研究报告，用于替代使用错误评估报告。</w:t>
      </w:r>
    </w:p>
    <w:p w14:paraId="6A36D07A">
      <w:pPr>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2. 产品技术要求及检验报告</w:t>
      </w:r>
    </w:p>
    <w:p w14:paraId="4D64F0CA">
      <w:pPr>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（1）产品适用标准情况</w:t>
      </w:r>
    </w:p>
    <w:p w14:paraId="53AAC4D9">
      <w:pPr>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末梢血采集容器建议参考YY/T 0617《</w:t>
      </w:r>
      <w:r>
        <w:rPr>
          <w:rFonts w:ascii="Times New Roman" w:hAnsi="Times New Roman" w:eastAsia="仿宋_GB2312" w:cs="Times New Roman"/>
          <w:color w:val="000000"/>
          <w:sz w:val="32"/>
          <w:szCs w:val="32"/>
          <w:highlight w:val="none"/>
          <w:lang w:val="en-US" w:eastAsia="zh-CN"/>
        </w:rPr>
        <w:t>一次性使用人体末梢血样采集容器</w:t>
      </w:r>
      <w:r>
        <w:rPr>
          <w:rFonts w:hint="eastAsia" w:ascii="Times New Roman" w:hAnsi="Times New Roman" w:eastAsia="仿宋_GB2312" w:cs="Times New Roman"/>
          <w:color w:val="000000"/>
          <w:sz w:val="32"/>
          <w:szCs w:val="32"/>
          <w:highlight w:val="none"/>
          <w:lang w:val="en-US" w:eastAsia="zh-CN"/>
        </w:rPr>
        <w:t>》要求，若申报产品结构特征、适用范围、使用方式等与YY/T 0617的适用范围不一致，注册申请人应当提出不适用于此标准的说明，并提供经验证的证明性资料。</w:t>
      </w:r>
    </w:p>
    <w:p w14:paraId="1E5708DE">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20" w:lineRule="exact"/>
        <w:ind w:left="-10" w:leftChars="0" w:right="0" w:firstLine="640" w:firstLineChars="0"/>
        <w:jc w:val="left"/>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产品技术要求</w:t>
      </w:r>
    </w:p>
    <w:p w14:paraId="32B19D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20" w:lineRule="exact"/>
        <w:ind w:left="0" w:right="0" w:firstLine="640" w:firstLineChars="200"/>
        <w:jc w:val="left"/>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产品技术要求中性能指标项目的具体要求应与性能研究资料保持一致，主要包括以下要求：</w:t>
      </w:r>
      <w:r>
        <w:rPr>
          <w:rFonts w:hint="eastAsia" w:ascii="Times New Roman" w:hAnsi="Times New Roman" w:eastAsia="仿宋_GB2312" w:cs="Times New Roman"/>
          <w:b w:val="0"/>
          <w:bCs w:val="0"/>
          <w:color w:val="000000"/>
          <w:kern w:val="2"/>
          <w:sz w:val="32"/>
          <w:szCs w:val="32"/>
          <w:lang w:val="en-US" w:eastAsia="zh-CN" w:bidi="ar-SA"/>
        </w:rPr>
        <w:t>材料、充装体积、</w:t>
      </w:r>
      <w:r>
        <w:rPr>
          <w:rFonts w:hint="default" w:ascii="Times New Roman" w:hAnsi="Times New Roman" w:eastAsia="仿宋_GB2312" w:cs="Times New Roman"/>
          <w:b w:val="0"/>
          <w:bCs w:val="0"/>
          <w:color w:val="000000"/>
          <w:kern w:val="2"/>
          <w:sz w:val="32"/>
          <w:szCs w:val="32"/>
          <w:lang w:val="en-US" w:eastAsia="zh-CN" w:bidi="ar-SA"/>
        </w:rPr>
        <w:t>设计、结构、</w:t>
      </w:r>
      <w:r>
        <w:rPr>
          <w:rFonts w:hint="eastAsia" w:ascii="Times New Roman" w:hAnsi="Times New Roman" w:eastAsia="仿宋_GB2312" w:cs="Times New Roman"/>
          <w:b w:val="0"/>
          <w:bCs w:val="0"/>
          <w:color w:val="000000"/>
          <w:kern w:val="2"/>
          <w:sz w:val="32"/>
          <w:szCs w:val="32"/>
          <w:lang w:val="en-US" w:eastAsia="zh-CN" w:bidi="ar-SA"/>
        </w:rPr>
        <w:t>生物负载或无菌</w:t>
      </w:r>
      <w:r>
        <w:rPr>
          <w:rFonts w:hint="default" w:ascii="Times New Roman" w:hAnsi="Times New Roman" w:eastAsia="仿宋_GB2312" w:cs="Times New Roman"/>
          <w:b w:val="0"/>
          <w:bCs w:val="0"/>
          <w:color w:val="000000"/>
          <w:kern w:val="2"/>
          <w:sz w:val="32"/>
          <w:szCs w:val="32"/>
          <w:highlight w:val="none"/>
          <w:lang w:val="en-US" w:eastAsia="zh-CN" w:bidi="ar-SA"/>
        </w:rPr>
        <w:t>、添加剂</w:t>
      </w:r>
      <w:r>
        <w:rPr>
          <w:rFonts w:hint="default" w:ascii="Times New Roman" w:hAnsi="Times New Roman" w:eastAsia="仿宋_GB2312" w:cs="Times New Roman"/>
          <w:b w:val="0"/>
          <w:bCs w:val="0"/>
          <w:color w:val="000000"/>
          <w:kern w:val="2"/>
          <w:sz w:val="32"/>
          <w:szCs w:val="32"/>
          <w:lang w:val="en-US" w:eastAsia="zh-CN" w:bidi="ar-SA"/>
        </w:rPr>
        <w:t>、</w:t>
      </w:r>
      <w:r>
        <w:rPr>
          <w:rFonts w:hint="eastAsia" w:ascii="Times New Roman" w:hAnsi="Times New Roman" w:eastAsia="仿宋_GB2312" w:cs="Times New Roman"/>
          <w:b w:val="0"/>
          <w:bCs w:val="0"/>
          <w:color w:val="000000"/>
          <w:kern w:val="2"/>
          <w:sz w:val="32"/>
          <w:szCs w:val="32"/>
          <w:lang w:val="en-US" w:eastAsia="zh-CN" w:bidi="ar-SA"/>
        </w:rPr>
        <w:t>末梢采集</w:t>
      </w:r>
      <w:r>
        <w:rPr>
          <w:rFonts w:hint="default" w:ascii="Times New Roman" w:hAnsi="Times New Roman" w:eastAsia="仿宋_GB2312" w:cs="Times New Roman"/>
          <w:b w:val="0"/>
          <w:bCs w:val="0"/>
          <w:color w:val="000000"/>
          <w:kern w:val="2"/>
          <w:sz w:val="32"/>
          <w:szCs w:val="32"/>
          <w:lang w:val="en-US" w:eastAsia="zh-CN" w:bidi="ar-SA"/>
        </w:rPr>
        <w:t>采集容器的识别。</w:t>
      </w:r>
    </w:p>
    <w:p w14:paraId="1D6E93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20" w:lineRule="exact"/>
        <w:ind w:left="0" w:right="0" w:firstLine="640" w:firstLineChars="200"/>
        <w:jc w:val="left"/>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除此之外，对于采血管中</w:t>
      </w:r>
      <w:r>
        <w:rPr>
          <w:rFonts w:hint="default" w:ascii="Times New Roman" w:hAnsi="Times New Roman" w:eastAsia="仿宋_GB2312" w:cs="Times New Roman"/>
          <w:b w:val="0"/>
          <w:bCs w:val="0"/>
          <w:color w:val="000000"/>
          <w:kern w:val="2"/>
          <w:sz w:val="32"/>
          <w:szCs w:val="32"/>
          <w:highlight w:val="none"/>
          <w:lang w:val="en-US" w:eastAsia="zh-CN" w:bidi="ar-SA"/>
        </w:rPr>
        <w:t>的添加剂和附加物</w:t>
      </w:r>
      <w:r>
        <w:rPr>
          <w:rFonts w:hint="default" w:ascii="Times New Roman" w:hAnsi="Times New Roman" w:eastAsia="仿宋_GB2312" w:cs="Times New Roman"/>
          <w:b w:val="0"/>
          <w:bCs w:val="0"/>
          <w:color w:val="000000"/>
          <w:kern w:val="2"/>
          <w:sz w:val="32"/>
          <w:szCs w:val="32"/>
          <w:lang w:val="en-US" w:eastAsia="zh-CN" w:bidi="ar-SA"/>
        </w:rPr>
        <w:t>，还应检验下列项目：</w:t>
      </w:r>
    </w:p>
    <w:p w14:paraId="34AE70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20" w:lineRule="exact"/>
        <w:ind w:right="0" w:firstLine="320" w:firstLineChars="100"/>
        <w:jc w:val="left"/>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促凝剂管：促凝效果、促凝剂重量；</w:t>
      </w:r>
    </w:p>
    <w:p w14:paraId="71FB3E3B">
      <w:pPr>
        <w:pStyle w:val="2"/>
        <w:keepNext w:val="0"/>
        <w:keepLines w:val="0"/>
        <w:pageBreakBefore w:val="0"/>
        <w:kinsoku/>
        <w:wordWrap/>
        <w:overflowPunct/>
        <w:topLinePunct w:val="0"/>
        <w:autoSpaceDE/>
        <w:autoSpaceDN/>
        <w:bidi w:val="0"/>
        <w:spacing w:line="520" w:lineRule="exact"/>
        <w:ind w:firstLine="320" w:firstLineChars="100"/>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抗凝胶管:抗凝效果、抗凝剂重量。</w:t>
      </w:r>
    </w:p>
    <w:p w14:paraId="1A1F8F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20" w:lineRule="exact"/>
        <w:ind w:left="0" w:right="0" w:firstLine="320" w:firstLineChars="100"/>
        <w:jc w:val="left"/>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分离胶管：分离胶重量、分离胶比重、分离效果；</w:t>
      </w:r>
    </w:p>
    <w:p w14:paraId="3F613B3D">
      <w:pPr>
        <w:keepNext w:val="0"/>
        <w:keepLines w:val="0"/>
        <w:pageBreakBefore w:val="0"/>
        <w:numPr>
          <w:ilvl w:val="0"/>
          <w:numId w:val="0"/>
        </w:numPr>
        <w:kinsoku/>
        <w:wordWrap/>
        <w:overflowPunct/>
        <w:topLinePunct w:val="0"/>
        <w:autoSpaceDE/>
        <w:autoSpaceDN/>
        <w:bidi w:val="0"/>
        <w:spacing w:line="520" w:lineRule="exact"/>
        <w:ind w:firstLine="320" w:firstLineChars="100"/>
        <w:textAlignment w:val="auto"/>
        <w:rPr>
          <w:rFonts w:hint="default"/>
          <w:highlight w:val="none"/>
          <w:lang w:val="en-US" w:eastAsia="zh-CN"/>
        </w:rPr>
      </w:pPr>
      <w:r>
        <w:rPr>
          <w:rFonts w:hint="default" w:ascii="Times New Roman" w:hAnsi="Times New Roman" w:eastAsia="仿宋_GB2312" w:cs="Times New Roman"/>
          <w:b w:val="0"/>
          <w:bCs w:val="0"/>
          <w:color w:val="000000"/>
          <w:kern w:val="2"/>
          <w:sz w:val="32"/>
          <w:szCs w:val="32"/>
          <w:lang w:val="en-US" w:eastAsia="zh-CN" w:bidi="ar-SA"/>
        </w:rPr>
        <w:t>分离胶和促凝剂管：分离胶和促凝剂重量、促凝效果、分离胶</w:t>
      </w:r>
      <w:r>
        <w:rPr>
          <w:rFonts w:hint="default" w:ascii="Times New Roman" w:hAnsi="Times New Roman" w:eastAsia="仿宋_GB2312" w:cs="Times New Roman"/>
          <w:b w:val="0"/>
          <w:bCs w:val="0"/>
          <w:color w:val="000000"/>
          <w:kern w:val="2"/>
          <w:sz w:val="32"/>
          <w:szCs w:val="32"/>
          <w:highlight w:val="none"/>
          <w:lang w:val="en-US" w:eastAsia="zh-CN" w:bidi="ar-SA"/>
        </w:rPr>
        <w:t>比重、分离效果。</w:t>
      </w:r>
    </w:p>
    <w:p w14:paraId="519D17E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20" w:lineRule="exact"/>
        <w:ind w:left="0" w:right="0" w:firstLine="640" w:firstLineChars="200"/>
        <w:jc w:val="left"/>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（3）产品检验报告</w:t>
      </w:r>
    </w:p>
    <w:p w14:paraId="66E1F50E">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sz w:val="32"/>
          <w:szCs w:val="32"/>
          <w:highlight w:val="none"/>
        </w:rPr>
      </w:pPr>
      <w:r>
        <w:rPr>
          <w:rFonts w:eastAsia="仿宋_GB2312"/>
          <w:sz w:val="32"/>
          <w:szCs w:val="32"/>
          <w:highlight w:val="none"/>
        </w:rPr>
        <w:t>应说明检验用型号规格的典型性，如所检型号规格部分性能指标不足以覆盖其他型号规格时，应针对差异部分进行检验。同一注册单元内注册检验典型性产品确定原则和实例如下：</w:t>
      </w:r>
    </w:p>
    <w:p w14:paraId="250123B1">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sz w:val="32"/>
          <w:szCs w:val="32"/>
          <w:highlight w:val="none"/>
        </w:rPr>
      </w:pPr>
      <w:r>
        <w:rPr>
          <w:rFonts w:eastAsia="仿宋_GB2312"/>
          <w:sz w:val="32"/>
          <w:szCs w:val="32"/>
          <w:highlight w:val="none"/>
        </w:rPr>
        <w:t>装有不同添加剂和附加物的产品之间不能完全互相覆盖。</w:t>
      </w:r>
    </w:p>
    <w:p w14:paraId="7E6AF9F9">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auto"/>
          <w:sz w:val="32"/>
          <w:szCs w:val="32"/>
          <w:highlight w:val="none"/>
        </w:rPr>
      </w:pPr>
      <w:r>
        <w:rPr>
          <w:rFonts w:eastAsia="仿宋_GB2312"/>
          <w:color w:val="auto"/>
          <w:sz w:val="32"/>
          <w:szCs w:val="32"/>
          <w:highlight w:val="none"/>
        </w:rPr>
        <w:t>若添加剂和附加物、</w:t>
      </w:r>
      <w:r>
        <w:rPr>
          <w:rFonts w:hint="eastAsia" w:eastAsia="仿宋_GB2312"/>
          <w:color w:val="auto"/>
          <w:sz w:val="32"/>
          <w:szCs w:val="32"/>
          <w:highlight w:val="none"/>
          <w:lang w:eastAsia="zh-CN"/>
        </w:rPr>
        <w:t>公称</w:t>
      </w:r>
      <w:r>
        <w:rPr>
          <w:rFonts w:eastAsia="仿宋_GB2312"/>
          <w:color w:val="auto"/>
          <w:sz w:val="32"/>
          <w:szCs w:val="32"/>
          <w:highlight w:val="none"/>
        </w:rPr>
        <w:t>体积均相同，而管体</w:t>
      </w:r>
      <w:r>
        <w:rPr>
          <w:rFonts w:hint="eastAsia" w:eastAsia="仿宋_GB2312"/>
          <w:color w:val="auto"/>
          <w:sz w:val="32"/>
          <w:szCs w:val="32"/>
          <w:highlight w:val="none"/>
          <w:lang w:eastAsia="zh-CN"/>
        </w:rPr>
        <w:t>材质或结构</w:t>
      </w:r>
      <w:r>
        <w:rPr>
          <w:rFonts w:eastAsia="仿宋_GB2312"/>
          <w:color w:val="auto"/>
          <w:sz w:val="32"/>
          <w:szCs w:val="32"/>
          <w:highlight w:val="none"/>
        </w:rPr>
        <w:t>不同，则不能完全互相覆盖。如：同为</w:t>
      </w:r>
      <w:r>
        <w:rPr>
          <w:rFonts w:hint="eastAsia" w:eastAsia="仿宋_GB2312"/>
          <w:color w:val="auto"/>
          <w:sz w:val="32"/>
          <w:szCs w:val="32"/>
          <w:highlight w:val="none"/>
          <w:lang w:val="en-US" w:eastAsia="zh-CN"/>
        </w:rPr>
        <w:t>0.5</w:t>
      </w:r>
      <w:r>
        <w:rPr>
          <w:rFonts w:eastAsia="仿宋_GB2312"/>
          <w:color w:val="auto"/>
          <w:sz w:val="32"/>
          <w:szCs w:val="32"/>
          <w:highlight w:val="none"/>
        </w:rPr>
        <w:t>mL的肝素钠</w:t>
      </w:r>
      <w:r>
        <w:rPr>
          <w:rFonts w:hint="eastAsia" w:eastAsia="仿宋_GB2312"/>
          <w:color w:val="auto"/>
          <w:sz w:val="32"/>
          <w:szCs w:val="32"/>
          <w:highlight w:val="none"/>
          <w:lang w:eastAsia="zh-CN"/>
        </w:rPr>
        <w:t>末梢血采集容器</w:t>
      </w:r>
      <w:r>
        <w:rPr>
          <w:rFonts w:eastAsia="仿宋_GB2312"/>
          <w:color w:val="auto"/>
          <w:sz w:val="32"/>
          <w:szCs w:val="32"/>
          <w:highlight w:val="none"/>
        </w:rPr>
        <w:t>，</w:t>
      </w:r>
      <w:r>
        <w:rPr>
          <w:rFonts w:hint="eastAsia" w:eastAsia="仿宋_GB2312"/>
          <w:color w:val="auto"/>
          <w:sz w:val="32"/>
          <w:szCs w:val="32"/>
          <w:highlight w:val="none"/>
          <w:lang w:eastAsia="zh-CN"/>
        </w:rPr>
        <w:t>若盖子（</w:t>
      </w:r>
      <w:r>
        <w:rPr>
          <w:rFonts w:hint="eastAsia" w:eastAsia="仿宋_GB2312"/>
          <w:color w:val="auto"/>
          <w:sz w:val="32"/>
          <w:szCs w:val="32"/>
          <w:highlight w:val="none"/>
          <w:lang w:val="en-US" w:eastAsia="zh-CN"/>
        </w:rPr>
        <w:t>TPE或</w:t>
      </w:r>
      <w:r>
        <w:rPr>
          <w:rFonts w:hint="eastAsia" w:eastAsia="仿宋_GB2312"/>
          <w:color w:val="auto"/>
          <w:sz w:val="32"/>
          <w:szCs w:val="32"/>
          <w:highlight w:val="none"/>
        </w:rPr>
        <w:t>丁基胶</w:t>
      </w:r>
      <w:r>
        <w:rPr>
          <w:rFonts w:hint="eastAsia" w:eastAsia="仿宋_GB2312"/>
          <w:color w:val="auto"/>
          <w:sz w:val="32"/>
          <w:szCs w:val="32"/>
          <w:highlight w:val="none"/>
          <w:lang w:eastAsia="zh-CN"/>
        </w:rPr>
        <w:t>）和管身（</w:t>
      </w:r>
      <w:r>
        <w:rPr>
          <w:rFonts w:hint="eastAsia" w:eastAsia="仿宋_GB2312"/>
          <w:color w:val="auto"/>
          <w:sz w:val="32"/>
          <w:szCs w:val="32"/>
          <w:highlight w:val="none"/>
          <w:lang w:val="en-US" w:eastAsia="zh-CN"/>
        </w:rPr>
        <w:t>PP或PE</w:t>
      </w:r>
      <w:r>
        <w:rPr>
          <w:rFonts w:hint="eastAsia" w:eastAsia="仿宋_GB2312"/>
          <w:color w:val="auto"/>
          <w:sz w:val="32"/>
          <w:szCs w:val="32"/>
          <w:highlight w:val="none"/>
          <w:lang w:eastAsia="zh-CN"/>
        </w:rPr>
        <w:t>）的材质不同</w:t>
      </w:r>
      <w:r>
        <w:rPr>
          <w:rFonts w:eastAsia="仿宋_GB2312"/>
          <w:color w:val="auto"/>
          <w:sz w:val="32"/>
          <w:szCs w:val="32"/>
          <w:highlight w:val="none"/>
        </w:rPr>
        <w:t>，则应至少对不能互相覆盖的指标</w:t>
      </w:r>
      <w:r>
        <w:rPr>
          <w:rFonts w:hint="eastAsia" w:eastAsia="仿宋_GB2312"/>
          <w:color w:val="auto"/>
          <w:sz w:val="32"/>
          <w:szCs w:val="32"/>
          <w:highlight w:val="none"/>
          <w:lang w:eastAsia="zh-CN"/>
        </w:rPr>
        <w:t>如泄漏、强度等</w:t>
      </w:r>
      <w:r>
        <w:rPr>
          <w:rFonts w:eastAsia="仿宋_GB2312"/>
          <w:color w:val="auto"/>
          <w:sz w:val="32"/>
          <w:szCs w:val="32"/>
          <w:highlight w:val="none"/>
        </w:rPr>
        <w:t>做差异性能检验。</w:t>
      </w:r>
    </w:p>
    <w:p w14:paraId="1BB6A6A0">
      <w:pPr>
        <w:keepNext w:val="0"/>
        <w:keepLines w:val="0"/>
        <w:pageBreakBefore w:val="0"/>
        <w:kinsoku/>
        <w:wordWrap/>
        <w:overflowPunct/>
        <w:topLinePunct w:val="0"/>
        <w:autoSpaceDE/>
        <w:autoSpaceDN/>
        <w:bidi w:val="0"/>
        <w:spacing w:line="520" w:lineRule="exact"/>
        <w:ind w:firstLine="640" w:firstLineChars="200"/>
        <w:textAlignment w:val="auto"/>
        <w:outlineLvl w:val="3"/>
        <w:rPr>
          <w:rFonts w:eastAsia="仿宋_GB2312"/>
          <w:color w:val="auto"/>
          <w:sz w:val="32"/>
          <w:szCs w:val="32"/>
          <w:lang w:eastAsia="zh-Hans"/>
        </w:rPr>
      </w:pPr>
      <w:r>
        <w:rPr>
          <w:rFonts w:eastAsia="仿宋_GB2312"/>
          <w:color w:val="auto"/>
          <w:sz w:val="32"/>
          <w:szCs w:val="32"/>
        </w:rPr>
        <w:t>3</w:t>
      </w:r>
      <w:r>
        <w:rPr>
          <w:rFonts w:eastAsia="仿宋_GB2312"/>
          <w:color w:val="auto"/>
          <w:sz w:val="32"/>
          <w:szCs w:val="32"/>
          <w:lang w:eastAsia="zh-Hans"/>
        </w:rPr>
        <w:t>.研究资料</w:t>
      </w:r>
    </w:p>
    <w:p w14:paraId="146B3279">
      <w:pPr>
        <w:keepNext w:val="0"/>
        <w:keepLines w:val="0"/>
        <w:pageBreakBefore w:val="0"/>
        <w:kinsoku/>
        <w:wordWrap/>
        <w:overflowPunct/>
        <w:topLinePunct w:val="0"/>
        <w:autoSpaceDE/>
        <w:autoSpaceDN/>
        <w:bidi w:val="0"/>
        <w:spacing w:line="520" w:lineRule="exact"/>
        <w:ind w:firstLine="640" w:firstLineChars="200"/>
        <w:textAlignment w:val="auto"/>
        <w:outlineLvl w:val="4"/>
        <w:rPr>
          <w:rFonts w:eastAsia="仿宋_GB2312"/>
          <w:sz w:val="32"/>
          <w:szCs w:val="32"/>
          <w:lang w:eastAsia="zh-Hans"/>
        </w:rPr>
      </w:pPr>
      <w:r>
        <w:rPr>
          <w:rFonts w:eastAsia="仿宋_GB2312"/>
          <w:sz w:val="32"/>
          <w:szCs w:val="32"/>
        </w:rPr>
        <w:t>（1）</w:t>
      </w:r>
      <w:r>
        <w:rPr>
          <w:rFonts w:eastAsia="仿宋_GB2312"/>
          <w:sz w:val="32"/>
          <w:szCs w:val="32"/>
          <w:lang w:eastAsia="zh-Hans"/>
        </w:rPr>
        <w:t>产品性能研究</w:t>
      </w:r>
    </w:p>
    <w:p w14:paraId="13AD839C">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sz w:val="32"/>
          <w:szCs w:val="32"/>
        </w:rPr>
      </w:pPr>
      <w:r>
        <w:rPr>
          <w:rFonts w:eastAsia="仿宋_GB2312"/>
          <w:sz w:val="32"/>
          <w:szCs w:val="32"/>
        </w:rPr>
        <w:t>申报资料中应包括产品性能研究资料以及产品技术要求的研究和编制说明，包括所有指标的确定依据，所采用的标准或方法、采用的原因及理论基础。</w:t>
      </w:r>
    </w:p>
    <w:p w14:paraId="757409F0">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sz w:val="32"/>
          <w:szCs w:val="32"/>
        </w:rPr>
      </w:pPr>
      <w:r>
        <w:rPr>
          <w:rFonts w:eastAsia="仿宋_GB2312"/>
          <w:sz w:val="32"/>
          <w:szCs w:val="32"/>
        </w:rPr>
        <w:t>（2）生物学特性研究</w:t>
      </w:r>
    </w:p>
    <w:p w14:paraId="634B660D">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sz w:val="32"/>
          <w:szCs w:val="32"/>
        </w:rPr>
      </w:pPr>
      <w:r>
        <w:rPr>
          <w:rFonts w:hint="eastAsia" w:eastAsia="仿宋_GB2312"/>
          <w:sz w:val="32"/>
          <w:szCs w:val="32"/>
          <w:lang w:eastAsia="zh-CN"/>
        </w:rPr>
        <w:t>末梢血采集容器产品不与人体直接或间接接触，遵循GB/T16886.1《医疗器械生物学评价第1部分:风险管理过程中的评价与试验》的相关要求，无需进行生物相容性评价研究。</w:t>
      </w:r>
    </w:p>
    <w:p w14:paraId="51B1A93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4"/>
        <w:rPr>
          <w:rFonts w:eastAsia="仿宋_GB2312"/>
          <w:sz w:val="32"/>
          <w:szCs w:val="32"/>
          <w:lang w:eastAsia="zh-Hans"/>
        </w:rPr>
      </w:pPr>
      <w:r>
        <w:rPr>
          <w:rFonts w:eastAsia="仿宋_GB2312"/>
          <w:sz w:val="32"/>
          <w:szCs w:val="32"/>
          <w:lang w:eastAsia="zh-Hans"/>
        </w:rPr>
        <w:t>（3）灭菌工艺研究</w:t>
      </w:r>
    </w:p>
    <w:p w14:paraId="4D2012A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sz w:val="32"/>
          <w:szCs w:val="32"/>
        </w:rPr>
      </w:pPr>
      <w:r>
        <w:rPr>
          <w:rFonts w:eastAsia="仿宋_GB2312"/>
          <w:sz w:val="32"/>
          <w:szCs w:val="32"/>
          <w:lang w:eastAsia="zh-Hans"/>
        </w:rPr>
        <w:t>以无菌形式提供</w:t>
      </w:r>
      <w:r>
        <w:rPr>
          <w:rFonts w:hint="eastAsia" w:eastAsia="仿宋_GB2312"/>
          <w:sz w:val="32"/>
          <w:szCs w:val="32"/>
          <w:lang w:eastAsia="zh-CN"/>
        </w:rPr>
        <w:t>的</w:t>
      </w:r>
      <w:r>
        <w:rPr>
          <w:rFonts w:hint="eastAsia" w:eastAsia="仿宋_GB2312"/>
          <w:sz w:val="32"/>
          <w:szCs w:val="32"/>
        </w:rPr>
        <w:t>末梢血采集容器</w:t>
      </w:r>
      <w:r>
        <w:rPr>
          <w:rFonts w:eastAsia="仿宋_GB2312"/>
          <w:sz w:val="32"/>
          <w:szCs w:val="32"/>
        </w:rPr>
        <w:t>产品</w:t>
      </w:r>
      <w:r>
        <w:rPr>
          <w:rFonts w:eastAsia="仿宋_GB2312"/>
          <w:snapToGrid w:val="0"/>
          <w:kern w:val="0"/>
          <w:sz w:val="32"/>
          <w:szCs w:val="32"/>
        </w:rPr>
        <w:t>注册申请人</w:t>
      </w:r>
      <w:r>
        <w:rPr>
          <w:rFonts w:eastAsia="仿宋_GB2312"/>
          <w:sz w:val="32"/>
          <w:szCs w:val="32"/>
          <w:lang w:eastAsia="zh-Hans"/>
        </w:rPr>
        <w:t>应提交相关灭菌研究资料，</w:t>
      </w:r>
      <w:r>
        <w:rPr>
          <w:rFonts w:eastAsia="仿宋_GB2312"/>
          <w:sz w:val="32"/>
          <w:szCs w:val="32"/>
        </w:rPr>
        <w:t>应明确灭菌工艺（方法和参数）和无菌保证水平（SAL），该类</w:t>
      </w:r>
      <w:r>
        <w:rPr>
          <w:rFonts w:eastAsia="仿宋_GB2312"/>
          <w:sz w:val="32"/>
          <w:szCs w:val="32"/>
          <w:lang w:eastAsia="zh-Hans"/>
        </w:rPr>
        <w:t>产品</w:t>
      </w:r>
      <w:r>
        <w:rPr>
          <w:rFonts w:eastAsia="仿宋_GB2312"/>
          <w:sz w:val="32"/>
          <w:szCs w:val="32"/>
        </w:rPr>
        <w:t>SAL应达到1×10</w:t>
      </w:r>
      <w:r>
        <w:rPr>
          <w:rFonts w:eastAsia="仿宋_GB2312"/>
          <w:sz w:val="32"/>
          <w:szCs w:val="32"/>
          <w:vertAlign w:val="superscript"/>
        </w:rPr>
        <w:t>-6</w:t>
      </w:r>
      <w:r>
        <w:rPr>
          <w:rFonts w:eastAsia="仿宋_GB2312"/>
          <w:sz w:val="32"/>
          <w:szCs w:val="32"/>
        </w:rPr>
        <w:t>，</w:t>
      </w:r>
      <w:r>
        <w:rPr>
          <w:rFonts w:eastAsia="仿宋_GB2312"/>
          <w:sz w:val="32"/>
          <w:szCs w:val="32"/>
          <w:lang w:eastAsia="zh-Hans"/>
        </w:rPr>
        <w:t>同时应</w:t>
      </w:r>
      <w:r>
        <w:rPr>
          <w:rFonts w:eastAsia="仿宋_GB2312"/>
          <w:sz w:val="32"/>
          <w:szCs w:val="32"/>
        </w:rPr>
        <w:t>提供灭菌确认报告。</w:t>
      </w:r>
    </w:p>
    <w:p w14:paraId="213910A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pPr>
      <w:r>
        <w:rPr>
          <w:rFonts w:eastAsia="仿宋_GB2312"/>
          <w:sz w:val="32"/>
          <w:szCs w:val="32"/>
          <w:lang w:eastAsia="zh-Hans"/>
        </w:rPr>
        <w:t>如产品采用辐照方式灭菌时，可参照GB 18280.1《医疗保健产品灭菌 辐射 第1部分：医疗器械灭菌过程的开发、确认和常规控制要求》、GB 18280.2《医疗保健产品灭菌 辐射 第2部分：建立灭菌剂量》、GB/T 18280.3《医疗保健产品灭菌 辐射 第3部分：剂量测量指南》等标准的要求开展研究。</w:t>
      </w:r>
    </w:p>
    <w:p w14:paraId="591BAEF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sz w:val="32"/>
          <w:szCs w:val="32"/>
        </w:rPr>
      </w:pPr>
      <w:r>
        <w:rPr>
          <w:rFonts w:eastAsia="仿宋_GB2312"/>
          <w:sz w:val="32"/>
          <w:szCs w:val="32"/>
          <w:lang w:eastAsia="zh-Hans"/>
        </w:rPr>
        <w:t>若</w:t>
      </w:r>
      <w:r>
        <w:rPr>
          <w:rFonts w:eastAsia="仿宋_GB2312"/>
          <w:snapToGrid w:val="0"/>
          <w:kern w:val="0"/>
          <w:sz w:val="32"/>
          <w:szCs w:val="32"/>
        </w:rPr>
        <w:t>注册申请人</w:t>
      </w:r>
      <w:r>
        <w:rPr>
          <w:rFonts w:eastAsia="仿宋_GB2312"/>
          <w:sz w:val="32"/>
          <w:szCs w:val="32"/>
          <w:lang w:eastAsia="zh-Hans"/>
        </w:rPr>
        <w:t>采用其他灭菌方法，应充分考虑所采用的灭菌方法与产品的适应性。若采用蒸汽灭菌的方式，应充分考虑是否会影响</w:t>
      </w:r>
      <w:r>
        <w:rPr>
          <w:rFonts w:hint="eastAsia" w:eastAsia="仿宋_GB2312"/>
          <w:sz w:val="32"/>
          <w:szCs w:val="32"/>
        </w:rPr>
        <w:t>末梢血采集容器</w:t>
      </w:r>
      <w:r>
        <w:rPr>
          <w:rFonts w:hint="eastAsia" w:eastAsia="仿宋_GB2312"/>
          <w:sz w:val="32"/>
          <w:szCs w:val="32"/>
          <w:lang w:eastAsia="zh-CN"/>
        </w:rPr>
        <w:t>的尺寸等</w:t>
      </w:r>
      <w:r>
        <w:rPr>
          <w:rFonts w:eastAsia="仿宋_GB2312"/>
          <w:sz w:val="32"/>
          <w:szCs w:val="32"/>
          <w:lang w:eastAsia="zh-Hans"/>
        </w:rPr>
        <w:t>，并提供研究资料；若灭菌使用的方法容易出现残留，如环氧乙烷灭菌，应当明确残留物信息及采取的处理方法，并提供研究资料。</w:t>
      </w:r>
      <w:r>
        <w:rPr>
          <w:rFonts w:eastAsia="仿宋_GB2312"/>
          <w:snapToGrid w:val="0"/>
          <w:kern w:val="0"/>
          <w:sz w:val="32"/>
          <w:szCs w:val="32"/>
        </w:rPr>
        <w:t>注册申请人</w:t>
      </w:r>
      <w:r>
        <w:rPr>
          <w:rFonts w:eastAsia="仿宋_GB2312"/>
          <w:sz w:val="32"/>
          <w:szCs w:val="32"/>
        </w:rPr>
        <w:t>应充分考虑所采用的灭菌方法与包装的适应性，</w:t>
      </w:r>
      <w:r>
        <w:rPr>
          <w:rFonts w:eastAsia="仿宋_GB2312"/>
          <w:sz w:val="32"/>
          <w:szCs w:val="32"/>
          <w:lang w:eastAsia="zh-Hans"/>
        </w:rPr>
        <w:t>如所选灭菌方法是否会导致包装</w:t>
      </w:r>
      <w:r>
        <w:rPr>
          <w:rFonts w:eastAsia="仿宋_GB2312"/>
          <w:sz w:val="32"/>
          <w:szCs w:val="32"/>
        </w:rPr>
        <w:t>材料</w:t>
      </w:r>
      <w:r>
        <w:rPr>
          <w:rFonts w:eastAsia="仿宋_GB2312"/>
          <w:sz w:val="32"/>
          <w:szCs w:val="32"/>
          <w:lang w:eastAsia="zh-Hans"/>
        </w:rPr>
        <w:t>的</w:t>
      </w:r>
      <w:r>
        <w:rPr>
          <w:rFonts w:eastAsia="仿宋_GB2312"/>
          <w:sz w:val="32"/>
          <w:szCs w:val="32"/>
        </w:rPr>
        <w:t>颜色发生变化</w:t>
      </w:r>
      <w:r>
        <w:rPr>
          <w:rFonts w:hint="eastAsia" w:eastAsia="仿宋_GB2312"/>
          <w:sz w:val="32"/>
          <w:szCs w:val="32"/>
          <w:lang w:eastAsia="zh-CN"/>
        </w:rPr>
        <w:t>、包装</w:t>
      </w:r>
      <w:r>
        <w:rPr>
          <w:rFonts w:hint="default" w:ascii="Times New Roman" w:hAnsi="Times New Roman" w:eastAsia="仿宋_GB2312" w:cs="Times New Roman"/>
          <w:b w:val="0"/>
          <w:bCs w:val="0"/>
          <w:color w:val="000000"/>
          <w:kern w:val="2"/>
          <w:sz w:val="32"/>
          <w:szCs w:val="32"/>
          <w:lang w:val="en-US" w:eastAsia="zh-CN" w:bidi="ar-SA"/>
        </w:rPr>
        <w:t>破损变形</w:t>
      </w:r>
      <w:r>
        <w:rPr>
          <w:rFonts w:hint="eastAsia" w:ascii="Times New Roman" w:hAnsi="Times New Roman" w:eastAsia="仿宋_GB2312" w:cs="Times New Roman"/>
          <w:b w:val="0"/>
          <w:bCs w:val="0"/>
          <w:color w:val="000000"/>
          <w:kern w:val="2"/>
          <w:sz w:val="32"/>
          <w:szCs w:val="32"/>
          <w:lang w:val="en-US" w:eastAsia="zh-CN" w:bidi="ar-SA"/>
        </w:rPr>
        <w:t>、影响密封性</w:t>
      </w:r>
      <w:r>
        <w:rPr>
          <w:rFonts w:eastAsia="仿宋_GB2312"/>
          <w:sz w:val="32"/>
          <w:szCs w:val="32"/>
        </w:rPr>
        <w:t>等。</w:t>
      </w:r>
    </w:p>
    <w:p w14:paraId="0E01046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4"/>
        <w:rPr>
          <w:rFonts w:eastAsia="仿宋_GB2312"/>
          <w:sz w:val="32"/>
          <w:szCs w:val="32"/>
          <w:lang w:eastAsia="zh-Hans"/>
        </w:rPr>
      </w:pPr>
      <w:r>
        <w:rPr>
          <w:rFonts w:eastAsia="仿宋_GB2312"/>
          <w:sz w:val="32"/>
          <w:szCs w:val="32"/>
          <w:lang w:eastAsia="zh-Hans"/>
        </w:rPr>
        <w:t>（4）产品稳定性研究</w:t>
      </w:r>
    </w:p>
    <w:p w14:paraId="708F470E">
      <w:pPr>
        <w:keepNext w:val="0"/>
        <w:keepLines w:val="0"/>
        <w:pageBreakBefore w:val="0"/>
        <w:widowControl w:val="0"/>
        <w:kinsoku/>
        <w:wordWrap/>
        <w:overflowPunct/>
        <w:topLinePunct w:val="0"/>
        <w:autoSpaceDE/>
        <w:autoSpaceDN/>
        <w:bidi w:val="0"/>
        <w:adjustRightInd/>
        <w:snapToGrid/>
        <w:spacing w:line="520" w:lineRule="exact"/>
        <w:ind w:firstLine="636" w:firstLineChars="200"/>
        <w:textAlignment w:val="auto"/>
        <w:rPr>
          <w:rFonts w:eastAsia="仿宋_GB2312"/>
          <w:color w:val="000000"/>
          <w:spacing w:val="-1"/>
          <w:sz w:val="32"/>
          <w:szCs w:val="32"/>
        </w:rPr>
      </w:pPr>
      <w:r>
        <w:rPr>
          <w:rFonts w:eastAsia="仿宋_GB2312"/>
          <w:color w:val="000000"/>
          <w:spacing w:val="-1"/>
          <w:sz w:val="32"/>
          <w:szCs w:val="32"/>
        </w:rPr>
        <w:t>应提供货架有效期研究资料，证明在货架有效期内，产品可保持性能功能满足使用要求。</w:t>
      </w:r>
    </w:p>
    <w:p w14:paraId="74FCA43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sz w:val="32"/>
          <w:szCs w:val="32"/>
        </w:rPr>
      </w:pPr>
      <w:r>
        <w:rPr>
          <w:rFonts w:eastAsia="仿宋_GB2312"/>
          <w:sz w:val="32"/>
          <w:szCs w:val="32"/>
        </w:rPr>
        <w:t>产品有效期验证可采用加速稳定性试验或实时稳定性试验，申请人需在试验方案中设定检验项目、检验方法及判定标准。</w:t>
      </w:r>
    </w:p>
    <w:p w14:paraId="0BEDBE8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sz w:val="32"/>
          <w:szCs w:val="32"/>
          <w:lang w:eastAsia="zh-Hans"/>
        </w:rPr>
      </w:pPr>
      <w:r>
        <w:rPr>
          <w:rFonts w:eastAsia="仿宋_GB2312"/>
          <w:sz w:val="32"/>
          <w:szCs w:val="32"/>
          <w:lang w:eastAsia="zh-Hans"/>
        </w:rPr>
        <w:t>应当提供运输稳定性和包装研究资料。应明确产品的初包装材质和包装形式，并确保包装在产品有效期内和宣称的运输储存条件下，能够对产品起到防护作用。产品包装验证可依据有关国家标准进行（如GB/T 19633、GB/T 4857等），提交产品的包装验证报告。包装验证的资料内容应与包装说明中给出的信息相符。</w:t>
      </w:r>
    </w:p>
    <w:p w14:paraId="3CB7BF2B">
      <w:pPr>
        <w:keepNext w:val="0"/>
        <w:keepLines w:val="0"/>
        <w:pageBreakBefore w:val="0"/>
        <w:widowControl w:val="0"/>
        <w:kinsoku/>
        <w:wordWrap/>
        <w:topLinePunct w:val="0"/>
        <w:autoSpaceDE/>
        <w:autoSpaceDN/>
        <w:bidi w:val="0"/>
        <w:adjustRightInd/>
        <w:snapToGrid/>
        <w:spacing w:line="520" w:lineRule="exact"/>
        <w:ind w:firstLine="640" w:firstLineChars="200"/>
        <w:textAlignment w:val="auto"/>
        <w:outlineLvl w:val="4"/>
        <w:rPr>
          <w:rFonts w:eastAsia="仿宋_GB2312"/>
          <w:sz w:val="32"/>
          <w:szCs w:val="32"/>
          <w:lang w:eastAsia="zh-Hans"/>
        </w:rPr>
      </w:pPr>
      <w:r>
        <w:rPr>
          <w:rFonts w:eastAsia="仿宋_GB2312"/>
          <w:sz w:val="32"/>
          <w:szCs w:val="32"/>
          <w:lang w:eastAsia="zh-Hans"/>
        </w:rPr>
        <w:t>（5）其他资料</w:t>
      </w:r>
    </w:p>
    <w:p w14:paraId="0F694801">
      <w:pPr>
        <w:keepNext w:val="0"/>
        <w:keepLines w:val="0"/>
        <w:pageBreakBefore w:val="0"/>
        <w:widowControl w:val="0"/>
        <w:kinsoku/>
        <w:wordWrap/>
        <w:topLinePunct w:val="0"/>
        <w:autoSpaceDE/>
        <w:autoSpaceDN/>
        <w:bidi w:val="0"/>
        <w:adjustRightInd/>
        <w:snapToGrid/>
        <w:spacing w:line="520" w:lineRule="exact"/>
        <w:ind w:firstLine="640" w:firstLineChars="200"/>
        <w:textAlignment w:val="auto"/>
        <w:rPr>
          <w:rFonts w:eastAsia="仿宋_GB2312"/>
          <w:sz w:val="32"/>
          <w:szCs w:val="32"/>
          <w:lang w:eastAsia="zh-Hans"/>
        </w:rPr>
      </w:pPr>
      <w:r>
        <w:rPr>
          <w:rFonts w:hint="eastAsia" w:eastAsia="仿宋_GB2312"/>
          <w:sz w:val="32"/>
          <w:szCs w:val="32"/>
          <w:lang w:eastAsia="zh-CN"/>
        </w:rPr>
        <w:t>末梢血采集容器</w:t>
      </w:r>
      <w:r>
        <w:rPr>
          <w:rFonts w:eastAsia="仿宋_GB2312"/>
          <w:sz w:val="32"/>
          <w:szCs w:val="32"/>
          <w:lang w:eastAsia="zh-Hans"/>
        </w:rPr>
        <w:t>产品列入《免于</w:t>
      </w:r>
      <w:r>
        <w:rPr>
          <w:rFonts w:hint="eastAsia" w:eastAsia="仿宋_GB2312"/>
          <w:sz w:val="32"/>
          <w:szCs w:val="32"/>
          <w:lang w:val="en-US" w:eastAsia="zh-CN"/>
        </w:rPr>
        <w:t>进行</w:t>
      </w:r>
      <w:r>
        <w:rPr>
          <w:rFonts w:eastAsia="仿宋_GB2312"/>
          <w:sz w:val="32"/>
          <w:szCs w:val="32"/>
          <w:lang w:eastAsia="zh-Hans"/>
        </w:rPr>
        <w:t>临床评价医疗器械目录》，</w:t>
      </w:r>
      <w:r>
        <w:rPr>
          <w:rFonts w:eastAsia="仿宋_GB2312"/>
          <w:snapToGrid w:val="0"/>
          <w:kern w:val="0"/>
          <w:sz w:val="32"/>
          <w:szCs w:val="32"/>
        </w:rPr>
        <w:t>注册申请人</w:t>
      </w:r>
      <w:r>
        <w:rPr>
          <w:rFonts w:eastAsia="仿宋_GB2312"/>
          <w:sz w:val="32"/>
          <w:szCs w:val="32"/>
          <w:lang w:eastAsia="zh-Hans"/>
        </w:rPr>
        <w:t>应当按照《列入免于进行临床评价医疗器械目录产品对比说明技术指导原则》，从基本原理、结构组成、性能、安全性、适用范围等方面，证明产品的安全有效性。</w:t>
      </w:r>
    </w:p>
    <w:p w14:paraId="42E46FAC">
      <w:pPr>
        <w:keepNext w:val="0"/>
        <w:keepLines w:val="0"/>
        <w:pageBreakBefore w:val="0"/>
        <w:widowControl w:val="0"/>
        <w:kinsoku/>
        <w:wordWrap/>
        <w:topLinePunct w:val="0"/>
        <w:autoSpaceDE/>
        <w:autoSpaceDN/>
        <w:bidi w:val="0"/>
        <w:adjustRightInd/>
        <w:snapToGrid/>
        <w:spacing w:line="520" w:lineRule="exact"/>
        <w:ind w:firstLine="640" w:firstLineChars="200"/>
        <w:textAlignment w:val="auto"/>
        <w:outlineLvl w:val="4"/>
        <w:rPr>
          <w:rFonts w:eastAsia="仿宋_GB2312"/>
          <w:sz w:val="32"/>
          <w:szCs w:val="32"/>
        </w:rPr>
      </w:pPr>
      <w:r>
        <w:rPr>
          <w:rFonts w:eastAsia="仿宋_GB2312"/>
          <w:sz w:val="32"/>
          <w:szCs w:val="32"/>
        </w:rPr>
        <w:t>（6）添加剂的信息</w:t>
      </w:r>
    </w:p>
    <w:p w14:paraId="6DD8B18E">
      <w:pPr>
        <w:keepNext w:val="0"/>
        <w:keepLines w:val="0"/>
        <w:pageBreakBefore w:val="0"/>
        <w:widowControl w:val="0"/>
        <w:kinsoku/>
        <w:wordWrap/>
        <w:topLinePunct w:val="0"/>
        <w:autoSpaceDE/>
        <w:autoSpaceDN/>
        <w:bidi w:val="0"/>
        <w:adjustRightInd/>
        <w:snapToGrid/>
        <w:spacing w:line="520" w:lineRule="exact"/>
        <w:ind w:firstLine="640" w:firstLineChars="200"/>
        <w:textAlignment w:val="auto"/>
        <w:rPr>
          <w:rFonts w:eastAsia="仿宋_GB2312"/>
          <w:sz w:val="32"/>
          <w:szCs w:val="32"/>
        </w:rPr>
      </w:pPr>
      <w:r>
        <w:rPr>
          <w:rFonts w:eastAsia="仿宋_GB2312"/>
          <w:sz w:val="32"/>
          <w:szCs w:val="32"/>
        </w:rPr>
        <w:t>不同的添加剂决定了</w:t>
      </w:r>
      <w:r>
        <w:rPr>
          <w:rFonts w:hint="eastAsia" w:eastAsia="仿宋_GB2312"/>
          <w:sz w:val="32"/>
          <w:szCs w:val="32"/>
          <w:lang w:eastAsia="zh-CN"/>
        </w:rPr>
        <w:t>末梢血采集容器</w:t>
      </w:r>
      <w:r>
        <w:rPr>
          <w:rFonts w:eastAsia="仿宋_GB2312"/>
          <w:sz w:val="32"/>
          <w:szCs w:val="32"/>
        </w:rPr>
        <w:t>不同的临床使用，应对各种添加剂的配方、来源、装量和混合方法等给予关注。</w:t>
      </w:r>
    </w:p>
    <w:p w14:paraId="3990A914">
      <w:pPr>
        <w:keepNext w:val="0"/>
        <w:keepLines w:val="0"/>
        <w:pageBreakBefore w:val="0"/>
        <w:widowControl w:val="0"/>
        <w:kinsoku/>
        <w:wordWrap/>
        <w:topLinePunct w:val="0"/>
        <w:autoSpaceDE/>
        <w:autoSpaceDN/>
        <w:bidi w:val="0"/>
        <w:adjustRightInd/>
        <w:snapToGrid/>
        <w:spacing w:line="520" w:lineRule="exact"/>
        <w:ind w:firstLine="640" w:firstLineChars="200"/>
        <w:textAlignment w:val="auto"/>
        <w:outlineLvl w:val="4"/>
        <w:rPr>
          <w:rFonts w:hint="default" w:eastAsia="仿宋_GB2312"/>
          <w:sz w:val="32"/>
          <w:szCs w:val="32"/>
          <w:lang w:val="en-US" w:eastAsia="zh-CN"/>
        </w:rPr>
      </w:pPr>
      <w:r>
        <w:rPr>
          <w:rFonts w:hint="default" w:eastAsia="仿宋_GB2312"/>
          <w:sz w:val="32"/>
          <w:szCs w:val="32"/>
          <w:lang w:val="en-US" w:eastAsia="zh-CN"/>
        </w:rPr>
        <w:t>（7）防污染与防二次损伤研究</w:t>
      </w:r>
    </w:p>
    <w:p w14:paraId="0F8B0D70">
      <w:pPr>
        <w:keepNext w:val="0"/>
        <w:keepLines w:val="0"/>
        <w:pageBreakBefore w:val="0"/>
        <w:widowControl w:val="0"/>
        <w:kinsoku/>
        <w:wordWrap/>
        <w:topLinePunct w:val="0"/>
        <w:autoSpaceDE/>
        <w:autoSpaceDN/>
        <w:bidi w:val="0"/>
        <w:adjustRightInd/>
        <w:snapToGrid/>
        <w:spacing w:line="520" w:lineRule="exact"/>
        <w:ind w:firstLine="640" w:firstLineChars="200"/>
        <w:textAlignment w:val="auto"/>
        <w:outlineLvl w:val="4"/>
        <w:rPr>
          <w:rFonts w:hint="default" w:eastAsia="仿宋_GB2312"/>
          <w:sz w:val="32"/>
          <w:szCs w:val="32"/>
          <w:lang w:val="en-US" w:eastAsia="zh-CN"/>
        </w:rPr>
      </w:pPr>
      <w:r>
        <w:rPr>
          <w:rFonts w:hint="default" w:eastAsia="仿宋_GB2312"/>
          <w:sz w:val="32"/>
          <w:szCs w:val="32"/>
          <w:lang w:val="en-US" w:eastAsia="zh-CN"/>
        </w:rPr>
        <w:t>末梢</w:t>
      </w:r>
      <w:r>
        <w:rPr>
          <w:rFonts w:hint="eastAsia" w:eastAsia="仿宋_GB2312"/>
          <w:sz w:val="32"/>
          <w:szCs w:val="32"/>
          <w:lang w:val="en-US" w:eastAsia="zh-CN"/>
        </w:rPr>
        <w:t>血采集</w:t>
      </w:r>
      <w:r>
        <w:rPr>
          <w:rFonts w:hint="default" w:eastAsia="仿宋_GB2312"/>
          <w:sz w:val="32"/>
          <w:szCs w:val="32"/>
          <w:lang w:val="en-US" w:eastAsia="zh-CN"/>
        </w:rPr>
        <w:t>容器的使用场景为人体末梢皮肤，应提交防污染和防二次损伤的研究资料，重点验证：</w:t>
      </w:r>
    </w:p>
    <w:p w14:paraId="72270F6A">
      <w:pPr>
        <w:keepNext w:val="0"/>
        <w:keepLines w:val="0"/>
        <w:pageBreakBefore w:val="0"/>
        <w:widowControl w:val="0"/>
        <w:kinsoku/>
        <w:wordWrap/>
        <w:topLinePunct w:val="0"/>
        <w:autoSpaceDE/>
        <w:autoSpaceDN/>
        <w:bidi w:val="0"/>
        <w:adjustRightInd/>
        <w:snapToGrid/>
        <w:spacing w:line="520" w:lineRule="exact"/>
        <w:ind w:firstLine="640" w:firstLineChars="200"/>
        <w:textAlignment w:val="auto"/>
        <w:outlineLvl w:val="4"/>
        <w:rPr>
          <w:rFonts w:hint="default" w:eastAsia="仿宋_GB2312"/>
          <w:sz w:val="32"/>
          <w:szCs w:val="32"/>
          <w:lang w:val="en-US" w:eastAsia="zh-CN"/>
        </w:rPr>
      </w:pPr>
      <w:r>
        <w:rPr>
          <w:rFonts w:hint="default" w:eastAsia="仿宋_GB2312"/>
          <w:sz w:val="32"/>
          <w:szCs w:val="32"/>
          <w:lang w:val="en-US" w:eastAsia="zh-CN"/>
        </w:rPr>
        <w:t>密封盖开启后，内表面无外露污染；</w:t>
      </w:r>
    </w:p>
    <w:p w14:paraId="4DDF75B9">
      <w:pPr>
        <w:keepNext w:val="0"/>
        <w:keepLines w:val="0"/>
        <w:pageBreakBefore w:val="0"/>
        <w:widowControl w:val="0"/>
        <w:kinsoku/>
        <w:wordWrap/>
        <w:topLinePunct w:val="0"/>
        <w:autoSpaceDE/>
        <w:autoSpaceDN/>
        <w:bidi w:val="0"/>
        <w:adjustRightInd/>
        <w:snapToGrid/>
        <w:spacing w:line="520" w:lineRule="exact"/>
        <w:ind w:firstLine="640" w:firstLineChars="200"/>
        <w:textAlignment w:val="auto"/>
        <w:outlineLvl w:val="4"/>
        <w:rPr>
          <w:rFonts w:hint="default" w:eastAsia="仿宋_GB2312"/>
          <w:sz w:val="32"/>
          <w:szCs w:val="32"/>
          <w:lang w:val="en-US" w:eastAsia="zh-CN"/>
        </w:rPr>
      </w:pPr>
      <w:r>
        <w:rPr>
          <w:rFonts w:hint="default" w:eastAsia="仿宋_GB2312"/>
          <w:sz w:val="32"/>
          <w:szCs w:val="32"/>
          <w:lang w:val="en-US" w:eastAsia="zh-CN"/>
        </w:rPr>
        <w:t>管口圆润化处理效果，经模拟皮肤接触试验，无划伤、刺伤及其他皮肤损伤；</w:t>
      </w:r>
    </w:p>
    <w:p w14:paraId="2AD02660">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val="en-US" w:eastAsia="zh-CN"/>
        </w:rPr>
        <w:t>8</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 xml:space="preserve"> 联合使用</w:t>
      </w:r>
    </w:p>
    <w:p w14:paraId="148C17F8">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如申报产品声称与其他医疗器械联合使用，应当提供证明联合使用安全有效的研究资料。</w:t>
      </w:r>
    </w:p>
    <w:p w14:paraId="02FF025F">
      <w:pPr>
        <w:keepNext w:val="0"/>
        <w:keepLines w:val="0"/>
        <w:pageBreakBefore w:val="0"/>
        <w:widowControl w:val="0"/>
        <w:kinsoku/>
        <w:wordWrap/>
        <w:topLinePunct w:val="0"/>
        <w:autoSpaceDE/>
        <w:autoSpaceDN/>
        <w:bidi w:val="0"/>
        <w:adjustRightInd/>
        <w:snapToGrid/>
        <w:spacing w:line="520" w:lineRule="exact"/>
        <w:ind w:right="-67" w:rightChars="-32" w:firstLine="640" w:firstLineChars="200"/>
        <w:textAlignment w:val="auto"/>
        <w:outlineLvl w:val="2"/>
        <w:rPr>
          <w:rFonts w:eastAsia="楷体_GB2312"/>
          <w:color w:val="000000"/>
          <w:sz w:val="32"/>
          <w:szCs w:val="32"/>
        </w:rPr>
      </w:pPr>
      <w:r>
        <w:rPr>
          <w:rFonts w:hint="eastAsia" w:eastAsia="楷体_GB2312"/>
          <w:color w:val="000000"/>
          <w:sz w:val="32"/>
          <w:szCs w:val="32"/>
          <w:lang w:eastAsia="zh-CN"/>
        </w:rPr>
        <w:t>（</w:t>
      </w:r>
      <w:r>
        <w:rPr>
          <w:rFonts w:eastAsia="楷体_GB2312"/>
          <w:color w:val="000000"/>
          <w:sz w:val="32"/>
          <w:szCs w:val="32"/>
        </w:rPr>
        <w:t>四）临床评价资料</w:t>
      </w:r>
    </w:p>
    <w:p w14:paraId="7A917068">
      <w:pPr>
        <w:keepNext w:val="0"/>
        <w:keepLines w:val="0"/>
        <w:pageBreakBefore w:val="0"/>
        <w:widowControl w:val="0"/>
        <w:kinsoku/>
        <w:wordWrap/>
        <w:topLinePunct w:val="0"/>
        <w:autoSpaceDE/>
        <w:autoSpaceDN/>
        <w:bidi w:val="0"/>
        <w:adjustRightInd/>
        <w:snapToGrid/>
        <w:spacing w:line="520" w:lineRule="exact"/>
        <w:ind w:right="-67" w:rightChars="-32" w:firstLine="636" w:firstLineChars="200"/>
        <w:textAlignment w:val="auto"/>
        <w:outlineLvl w:val="2"/>
        <w:rPr>
          <w:rFonts w:eastAsia="仿宋_GB2312"/>
          <w:color w:val="000000"/>
          <w:spacing w:val="-1"/>
          <w:sz w:val="32"/>
          <w:szCs w:val="32"/>
        </w:rPr>
      </w:pPr>
      <w:r>
        <w:rPr>
          <w:rFonts w:eastAsia="仿宋_GB2312"/>
          <w:color w:val="000000"/>
          <w:spacing w:val="-1"/>
          <w:sz w:val="32"/>
          <w:szCs w:val="32"/>
        </w:rPr>
        <w:t>该产品列入《免于临床评价医疗器械目录》，</w:t>
      </w:r>
      <w:r>
        <w:rPr>
          <w:rFonts w:eastAsia="仿宋_GB2312"/>
          <w:snapToGrid w:val="0"/>
          <w:kern w:val="0"/>
          <w:sz w:val="32"/>
          <w:szCs w:val="32"/>
        </w:rPr>
        <w:t>注册申请人</w:t>
      </w:r>
      <w:r>
        <w:rPr>
          <w:rFonts w:eastAsia="仿宋_GB2312"/>
          <w:color w:val="000000"/>
          <w:spacing w:val="-1"/>
          <w:sz w:val="32"/>
          <w:szCs w:val="32"/>
        </w:rPr>
        <w:t>无需提交临床评价资料。</w:t>
      </w:r>
    </w:p>
    <w:p w14:paraId="474D1F35">
      <w:pPr>
        <w:spacing w:line="520" w:lineRule="exact"/>
        <w:ind w:right="-67" w:rightChars="-32" w:firstLine="636" w:firstLineChars="200"/>
        <w:outlineLvl w:val="2"/>
        <w:rPr>
          <w:rFonts w:eastAsia="仿宋_GB2312"/>
          <w:color w:val="000000"/>
          <w:spacing w:val="-1"/>
          <w:sz w:val="32"/>
          <w:szCs w:val="32"/>
        </w:rPr>
      </w:pPr>
      <w:r>
        <w:rPr>
          <w:rFonts w:eastAsia="仿宋_GB2312"/>
          <w:color w:val="000000"/>
          <w:spacing w:val="-1"/>
          <w:sz w:val="32"/>
          <w:szCs w:val="32"/>
        </w:rPr>
        <w:t>若无法证明申报产品与《目录》产品具有等同性，则应按照《医疗器械临床评价技术指导原则》其他路径开展相应工作，提供符合要求的临床评价资料。</w:t>
      </w:r>
    </w:p>
    <w:p w14:paraId="4C8A381C">
      <w:pPr>
        <w:spacing w:line="520" w:lineRule="exact"/>
        <w:ind w:right="-67" w:rightChars="-32" w:firstLine="640" w:firstLineChars="200"/>
        <w:outlineLvl w:val="2"/>
        <w:rPr>
          <w:rFonts w:eastAsia="楷体_GB2312"/>
          <w:color w:val="000000"/>
          <w:sz w:val="32"/>
          <w:szCs w:val="32"/>
        </w:rPr>
      </w:pPr>
      <w:r>
        <w:rPr>
          <w:rFonts w:eastAsia="楷体_GB2312"/>
          <w:color w:val="000000"/>
          <w:sz w:val="32"/>
          <w:szCs w:val="32"/>
        </w:rPr>
        <w:t>（五）产品说明书和标签样稿</w:t>
      </w:r>
    </w:p>
    <w:p w14:paraId="5D57B9F0">
      <w:pPr>
        <w:spacing w:line="520" w:lineRule="exact"/>
        <w:ind w:firstLine="640" w:firstLineChars="200"/>
        <w:rPr>
          <w:rFonts w:eastAsia="仿宋_GB2312"/>
          <w:color w:val="000000"/>
          <w:sz w:val="32"/>
          <w:szCs w:val="32"/>
        </w:rPr>
      </w:pPr>
      <w:r>
        <w:rPr>
          <w:rFonts w:eastAsia="仿宋_GB2312"/>
          <w:color w:val="000000"/>
          <w:sz w:val="32"/>
          <w:szCs w:val="32"/>
        </w:rPr>
        <w:t>产品说明书和标签的编写应符合《医疗器械说明书和标签管理规定》及YY/T 0</w:t>
      </w:r>
      <w:r>
        <w:rPr>
          <w:rFonts w:hint="eastAsia" w:eastAsia="仿宋_GB2312"/>
          <w:color w:val="000000"/>
          <w:sz w:val="32"/>
          <w:szCs w:val="32"/>
          <w:lang w:val="en-US" w:eastAsia="zh-CN"/>
        </w:rPr>
        <w:t>6</w:t>
      </w:r>
      <w:r>
        <w:rPr>
          <w:rFonts w:eastAsia="仿宋_GB2312"/>
          <w:color w:val="000000"/>
          <w:sz w:val="32"/>
          <w:szCs w:val="32"/>
        </w:rPr>
        <w:t>1</w:t>
      </w:r>
      <w:r>
        <w:rPr>
          <w:rFonts w:hint="eastAsia" w:eastAsia="仿宋_GB2312"/>
          <w:color w:val="000000"/>
          <w:sz w:val="32"/>
          <w:szCs w:val="32"/>
          <w:lang w:val="en-US" w:eastAsia="zh-CN"/>
        </w:rPr>
        <w:t>7</w:t>
      </w:r>
      <w:r>
        <w:rPr>
          <w:rFonts w:eastAsia="仿宋_GB2312"/>
          <w:color w:val="000000"/>
          <w:sz w:val="32"/>
          <w:szCs w:val="32"/>
        </w:rPr>
        <w:t>中10章的要求，同时应注意以下内容：</w:t>
      </w:r>
    </w:p>
    <w:p w14:paraId="55B13021">
      <w:pPr>
        <w:spacing w:line="520" w:lineRule="exact"/>
        <w:ind w:firstLine="640" w:firstLineChars="200"/>
        <w:rPr>
          <w:rFonts w:eastAsia="仿宋_GB2312"/>
          <w:color w:val="000000"/>
          <w:sz w:val="32"/>
          <w:szCs w:val="32"/>
        </w:rPr>
      </w:pPr>
      <w:r>
        <w:rPr>
          <w:rFonts w:eastAsia="仿宋_GB2312"/>
          <w:sz w:val="32"/>
          <w:szCs w:val="32"/>
        </w:rPr>
        <w:t>1.适</w:t>
      </w:r>
      <w:r>
        <w:rPr>
          <w:rFonts w:eastAsia="仿宋_GB2312"/>
          <w:color w:val="000000"/>
          <w:sz w:val="32"/>
          <w:szCs w:val="32"/>
        </w:rPr>
        <w:t>用的采血方法的说明；</w:t>
      </w:r>
    </w:p>
    <w:p w14:paraId="4FF28481">
      <w:pPr>
        <w:spacing w:line="520" w:lineRule="exact"/>
        <w:ind w:firstLine="640" w:firstLineChars="200"/>
        <w:rPr>
          <w:rFonts w:eastAsia="仿宋_GB2312"/>
          <w:color w:val="000000"/>
          <w:sz w:val="32"/>
          <w:szCs w:val="32"/>
        </w:rPr>
      </w:pPr>
      <w:r>
        <w:rPr>
          <w:rFonts w:eastAsia="仿宋_GB2312"/>
          <w:sz w:val="32"/>
          <w:szCs w:val="32"/>
        </w:rPr>
        <w:t>2.</w:t>
      </w:r>
      <w:r>
        <w:rPr>
          <w:rFonts w:eastAsia="仿宋_GB2312"/>
          <w:color w:val="000000"/>
          <w:sz w:val="32"/>
          <w:szCs w:val="32"/>
        </w:rPr>
        <w:t>添加剂符号和色标的说明；</w:t>
      </w:r>
    </w:p>
    <w:p w14:paraId="458067AB">
      <w:pPr>
        <w:spacing w:line="520" w:lineRule="exact"/>
        <w:ind w:firstLine="640" w:firstLineChars="200"/>
        <w:rPr>
          <w:rFonts w:eastAsia="仿宋_GB2312"/>
          <w:color w:val="000000"/>
          <w:sz w:val="32"/>
          <w:szCs w:val="32"/>
        </w:rPr>
      </w:pPr>
      <w:r>
        <w:rPr>
          <w:rFonts w:hint="eastAsia" w:eastAsia="仿宋_GB2312"/>
          <w:sz w:val="32"/>
          <w:szCs w:val="32"/>
          <w:lang w:val="en-US" w:eastAsia="zh-CN"/>
        </w:rPr>
        <w:t>3</w:t>
      </w:r>
      <w:r>
        <w:rPr>
          <w:rFonts w:eastAsia="仿宋_GB2312"/>
          <w:sz w:val="32"/>
          <w:szCs w:val="32"/>
        </w:rPr>
        <w:t>.</w:t>
      </w:r>
      <w:r>
        <w:rPr>
          <w:rFonts w:eastAsia="仿宋_GB2312"/>
          <w:color w:val="000000"/>
          <w:sz w:val="32"/>
          <w:szCs w:val="32"/>
        </w:rPr>
        <w:t>添加剂与采集血液混合（机械和手工）的方法；</w:t>
      </w:r>
    </w:p>
    <w:p w14:paraId="580DF8B1">
      <w:pPr>
        <w:spacing w:line="520" w:lineRule="exact"/>
        <w:ind w:firstLine="640" w:firstLineChars="200"/>
        <w:rPr>
          <w:rFonts w:eastAsia="仿宋_GB2312"/>
          <w:color w:val="000000"/>
          <w:sz w:val="32"/>
          <w:szCs w:val="32"/>
        </w:rPr>
      </w:pPr>
      <w:r>
        <w:rPr>
          <w:rFonts w:hint="eastAsia" w:eastAsia="仿宋_GB2312"/>
          <w:sz w:val="32"/>
          <w:szCs w:val="32"/>
          <w:lang w:val="en-US" w:eastAsia="zh-CN"/>
        </w:rPr>
        <w:t>4</w:t>
      </w:r>
      <w:r>
        <w:rPr>
          <w:rFonts w:eastAsia="仿宋_GB2312"/>
          <w:sz w:val="32"/>
          <w:szCs w:val="32"/>
        </w:rPr>
        <w:t>.</w:t>
      </w:r>
      <w:r>
        <w:rPr>
          <w:rFonts w:eastAsia="仿宋_GB2312"/>
          <w:color w:val="000000"/>
          <w:sz w:val="32"/>
          <w:szCs w:val="32"/>
        </w:rPr>
        <w:t>如果用于检验血液中的某一物质，则</w:t>
      </w:r>
      <w:r>
        <w:rPr>
          <w:rFonts w:hint="eastAsia" w:eastAsia="仿宋_GB2312"/>
          <w:color w:val="000000"/>
          <w:sz w:val="32"/>
          <w:szCs w:val="32"/>
        </w:rPr>
        <w:t>末梢血采集容器</w:t>
      </w:r>
      <w:r>
        <w:rPr>
          <w:rFonts w:eastAsia="仿宋_GB2312"/>
          <w:color w:val="000000"/>
          <w:sz w:val="32"/>
          <w:szCs w:val="32"/>
        </w:rPr>
        <w:t>中该物质的限量应进行说明。</w:t>
      </w:r>
    </w:p>
    <w:p w14:paraId="27CE782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eastAsia="仿宋_GB2312"/>
          <w:color w:val="000000"/>
          <w:sz w:val="32"/>
          <w:szCs w:val="32"/>
        </w:rPr>
      </w:pPr>
      <w:r>
        <w:rPr>
          <w:rFonts w:eastAsia="仿宋_GB2312"/>
          <w:color w:val="000000"/>
          <w:sz w:val="32"/>
          <w:szCs w:val="32"/>
        </w:rPr>
        <w:t>按产品说明书操作</w:t>
      </w:r>
      <w:r>
        <w:rPr>
          <w:rFonts w:hint="eastAsia" w:eastAsia="仿宋_GB2312"/>
          <w:color w:val="000000"/>
          <w:sz w:val="32"/>
          <w:szCs w:val="32"/>
          <w:lang w:eastAsia="zh-CN"/>
        </w:rPr>
        <w:t>末梢血采集容器</w:t>
      </w:r>
      <w:r>
        <w:rPr>
          <w:rFonts w:eastAsia="仿宋_GB2312"/>
          <w:color w:val="000000"/>
          <w:sz w:val="32"/>
          <w:szCs w:val="32"/>
        </w:rPr>
        <w:t>时应做到：采血时对患者健康的危害为最小；在血样采集、混合、化验和后处理过程中，操作者和相关设备受血液病毒感染和污染的风险为最小；有利于无公害化处理。</w:t>
      </w:r>
    </w:p>
    <w:p w14:paraId="04F5468D">
      <w:pPr>
        <w:keepNext w:val="0"/>
        <w:keepLines w:val="0"/>
        <w:pageBreakBefore w:val="0"/>
        <w:kinsoku/>
        <w:wordWrap/>
        <w:overflowPunct/>
        <w:topLinePunct w:val="0"/>
        <w:autoSpaceDE/>
        <w:autoSpaceDN/>
        <w:bidi w:val="0"/>
        <w:spacing w:line="520" w:lineRule="exact"/>
        <w:ind w:right="-67" w:rightChars="-32" w:firstLine="640" w:firstLineChars="200"/>
        <w:textAlignment w:val="auto"/>
        <w:outlineLvl w:val="2"/>
        <w:rPr>
          <w:rFonts w:eastAsia="楷体_GB2312"/>
          <w:color w:val="000000"/>
          <w:sz w:val="32"/>
          <w:szCs w:val="32"/>
        </w:rPr>
      </w:pPr>
      <w:r>
        <w:rPr>
          <w:rFonts w:eastAsia="楷体_GB2312"/>
          <w:color w:val="000000"/>
          <w:sz w:val="32"/>
          <w:szCs w:val="32"/>
        </w:rPr>
        <w:t>（六）质量管理体系文件</w:t>
      </w:r>
    </w:p>
    <w:p w14:paraId="1232A4C1">
      <w:pPr>
        <w:pStyle w:val="2"/>
        <w:keepNext w:val="0"/>
        <w:keepLines w:val="0"/>
        <w:pageBreakBefore w:val="0"/>
        <w:kinsoku/>
        <w:wordWrap/>
        <w:overflowPunct/>
        <w:topLinePunct w:val="0"/>
        <w:autoSpaceDE/>
        <w:autoSpaceDN/>
        <w:bidi w:val="0"/>
        <w:spacing w:line="520" w:lineRule="exact"/>
        <w:ind w:firstLine="640" w:firstLineChars="200"/>
        <w:textAlignment w:val="auto"/>
        <w:rPr>
          <w:rFonts w:hint="eastAsia" w:eastAsia="仿宋_GB2312" w:asciiTheme="minorHAnsi" w:hAnsiTheme="minorHAnsi" w:cstheme="minorBidi"/>
          <w:color w:val="000000"/>
          <w:kern w:val="2"/>
          <w:sz w:val="32"/>
          <w:szCs w:val="32"/>
          <w:lang w:val="en-US" w:eastAsia="zh-CN" w:bidi="ar-SA"/>
        </w:rPr>
      </w:pPr>
      <w:r>
        <w:rPr>
          <w:rFonts w:eastAsia="仿宋_GB2312" w:asciiTheme="minorHAnsi" w:hAnsiTheme="minorHAnsi" w:cstheme="minorBidi"/>
          <w:color w:val="000000"/>
          <w:kern w:val="2"/>
          <w:sz w:val="32"/>
          <w:szCs w:val="32"/>
          <w:lang w:val="en-US" w:eastAsia="zh-CN" w:bidi="ar-SA"/>
        </w:rPr>
        <w:t>注册申请人应按照《关于公布医疗器械注册申报资料要求和批准证明文件格式的公告》中附件5《医疗器械注册申报资料要求及说明》，提交申报产品的质量管理体系文件</w:t>
      </w:r>
      <w:r>
        <w:rPr>
          <w:rFonts w:hint="eastAsia" w:eastAsia="仿宋_GB2312" w:asciiTheme="minorHAnsi" w:hAnsiTheme="minorHAnsi" w:cstheme="minorBidi"/>
          <w:color w:val="000000"/>
          <w:kern w:val="2"/>
          <w:sz w:val="32"/>
          <w:szCs w:val="32"/>
          <w:lang w:val="en-US" w:eastAsia="zh-CN" w:bidi="ar-SA"/>
        </w:rPr>
        <w:t>。</w:t>
      </w:r>
    </w:p>
    <w:p w14:paraId="5E03C944">
      <w:pPr>
        <w:spacing w:line="520" w:lineRule="exact"/>
        <w:ind w:right="-67" w:rightChars="-32"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三、参考文献</w:t>
      </w:r>
    </w:p>
    <w:p w14:paraId="1604FE66">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[1]中华人民共和国国务院.医疗器械监督管理条例:中华人民共和国国务院令第739号[Z].</w:t>
      </w:r>
    </w:p>
    <w:p w14:paraId="52FD84A4">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[2]国家市场监督管理总局.医疗器械注册与备案管理办法:国家市场监督管理总局令第47号[Z].</w:t>
      </w:r>
    </w:p>
    <w:p w14:paraId="746FC9D0">
      <w:pPr>
        <w:tabs>
          <w:tab w:val="left" w:pos="532"/>
        </w:tabs>
        <w:spacing w:line="520" w:lineRule="exact"/>
        <w:ind w:left="2" w:firstLine="640" w:firstLineChars="200"/>
        <w:rPr>
          <w:rFonts w:ascii="Times New Roman" w:hAnsi="Times New Roman" w:eastAsia="仿宋_GB2312" w:cs="Times New Roman"/>
          <w:sz w:val="32"/>
          <w:szCs w:val="32"/>
          <w:lang w:eastAsia="zh-Hans"/>
        </w:rPr>
      </w:pPr>
      <w:r>
        <w:rPr>
          <w:rFonts w:ascii="Times New Roman" w:hAnsi="Times New Roman" w:eastAsia="仿宋_GB2312" w:cs="Times New Roman"/>
          <w:sz w:val="32"/>
          <w:szCs w:val="32"/>
          <w:lang w:eastAsia="zh-Hans"/>
        </w:rPr>
        <w:t>[3]国家食品药品监督管理局.医疗器械说明书和标签管理规定:国家食品药品监督管理总局令第6号[Z].</w:t>
      </w:r>
    </w:p>
    <w:p w14:paraId="7320E7FC">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lang w:eastAsia="zh-Hans"/>
        </w:rPr>
        <w:t>[4]国家药品监督管理局.医疗器械注册申报资料要求和批准证明文件格式:国家药监局通告2021年第121号[Z].</w:t>
      </w:r>
    </w:p>
    <w:p w14:paraId="7B263C69">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ascii="Times New Roman" w:hAnsi="Times New Roman" w:eastAsia="仿宋_GB2312" w:cs="Times New Roman"/>
          <w:sz w:val="32"/>
          <w:szCs w:val="32"/>
          <w:lang w:eastAsia="zh-Hans"/>
        </w:rPr>
        <w:t>国家药品监督管理局.医疗器械通用名称命名指导原则:国家药监局通告2019年第99号[Z].</w:t>
      </w:r>
    </w:p>
    <w:p w14:paraId="7C251C8D">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ascii="Times New Roman" w:hAnsi="Times New Roman" w:eastAsia="仿宋_GB2312" w:cs="Times New Roman"/>
          <w:sz w:val="32"/>
          <w:szCs w:val="32"/>
          <w:lang w:eastAsia="zh-Hans"/>
        </w:rPr>
        <w:t>国家药品监督管理局.</w:t>
      </w:r>
      <w:r>
        <w:rPr>
          <w:rFonts w:ascii="Times New Roman" w:hAnsi="Times New Roman" w:eastAsia="仿宋_GB2312" w:cs="Times New Roman"/>
          <w:sz w:val="32"/>
          <w:szCs w:val="32"/>
        </w:rPr>
        <w:t>医疗器械产品技术要求编写指导原则:</w:t>
      </w:r>
      <w:r>
        <w:rPr>
          <w:rFonts w:ascii="Times New Roman" w:hAnsi="Times New Roman" w:eastAsia="仿宋_GB2312" w:cs="Times New Roman"/>
          <w:sz w:val="32"/>
          <w:szCs w:val="32"/>
          <w:lang w:eastAsia="zh-Hans"/>
        </w:rPr>
        <w:t>国家药监局通告</w:t>
      </w:r>
      <w:r>
        <w:rPr>
          <w:rFonts w:ascii="Times New Roman" w:hAnsi="Times New Roman" w:eastAsia="仿宋_GB2312" w:cs="Times New Roman"/>
          <w:sz w:val="32"/>
          <w:szCs w:val="32"/>
        </w:rPr>
        <w:t>2022年第8号[Z].</w:t>
      </w:r>
    </w:p>
    <w:p w14:paraId="50BB9D80">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[7]GB 18280.1-2015,医疗保健产品灭菌 确认和常规控制要求 辐射灭菌[S].</w:t>
      </w:r>
    </w:p>
    <w:p w14:paraId="1B69CAD3">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[8]GB 18280.2-2015,医疗保健产品灭菌 辐射 第2部分：建立灭菌剂量[S].</w:t>
      </w:r>
    </w:p>
    <w:p w14:paraId="16B85230">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[9]GB/T 18280.3-2015,医疗保健产品灭菌 辐射 第3部分：剂量测量指南[S].</w:t>
      </w:r>
    </w:p>
    <w:p w14:paraId="5E11D01D">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[10]GB/T 14233.1-2022,医用输液、输血、注射器具检验方法 第1部分：化学分析方法[S].</w:t>
      </w:r>
    </w:p>
    <w:p w14:paraId="27177F64">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[11]GB/T 14233.2-2005,医用输液、输血、注射器具检验方法 第2部分：生物学试验方法[S].</w:t>
      </w:r>
    </w:p>
    <w:p w14:paraId="76D29DA0">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[12]YY/</w:t>
      </w:r>
      <w:r>
        <w:rPr>
          <w:rFonts w:ascii="Times New Roman" w:hAnsi="Times New Roman" w:eastAsia="仿宋_GB2312" w:cs="Times New Roman"/>
          <w:sz w:val="32"/>
          <w:szCs w:val="32"/>
          <w:lang w:eastAsia="zh-Hans"/>
        </w:rPr>
        <w:t xml:space="preserve">T </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lang w:val="en-US" w:eastAsia="zh-CN"/>
        </w:rPr>
        <w:t>617</w:t>
      </w:r>
      <w:r>
        <w:rPr>
          <w:rFonts w:ascii="Times New Roman" w:hAnsi="Times New Roman" w:eastAsia="仿宋_GB2312" w:cs="Times New Roman"/>
          <w:sz w:val="32"/>
          <w:szCs w:val="32"/>
        </w:rPr>
        <w:t>-2021,一次性使用人体</w:t>
      </w:r>
      <w:r>
        <w:rPr>
          <w:rFonts w:hint="eastAsia" w:ascii="Times New Roman" w:hAnsi="Times New Roman" w:eastAsia="仿宋_GB2312" w:cs="Times New Roman"/>
          <w:sz w:val="32"/>
          <w:szCs w:val="32"/>
          <w:lang w:val="en-US" w:eastAsia="zh-CN"/>
        </w:rPr>
        <w:t>末梢</w:t>
      </w:r>
      <w:r>
        <w:rPr>
          <w:rFonts w:ascii="Times New Roman" w:hAnsi="Times New Roman" w:eastAsia="仿宋_GB2312" w:cs="Times New Roman"/>
          <w:sz w:val="32"/>
          <w:szCs w:val="32"/>
        </w:rPr>
        <w:t>血样采集容器[S].</w:t>
      </w:r>
    </w:p>
    <w:p w14:paraId="097EC158">
      <w:pPr>
        <w:tabs>
          <w:tab w:val="left" w:pos="532"/>
        </w:tabs>
        <w:spacing w:line="520" w:lineRule="exact"/>
        <w:ind w:left="2"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[13]GB/T 42062-2022,医疗器械 风险管理对医疗器械的应用[S].</w:t>
      </w:r>
    </w:p>
    <w:p w14:paraId="7FC65E14">
      <w:pPr>
        <w:pStyle w:val="2"/>
        <w:keepNext w:val="0"/>
        <w:keepLines w:val="0"/>
        <w:pageBreakBefore w:val="0"/>
        <w:kinsoku/>
        <w:wordWrap/>
        <w:overflowPunct/>
        <w:topLinePunct w:val="0"/>
        <w:autoSpaceDE/>
        <w:autoSpaceDN/>
        <w:bidi w:val="0"/>
        <w:spacing w:line="520" w:lineRule="exact"/>
        <w:ind w:firstLine="640" w:firstLineChars="200"/>
        <w:textAlignment w:val="auto"/>
        <w:rPr>
          <w:rFonts w:hint="default" w:eastAsia="仿宋_GB2312" w:asciiTheme="minorHAnsi" w:hAnsiTheme="minorHAnsi" w:cstheme="minorBidi"/>
          <w:color w:val="000000"/>
          <w:kern w:val="2"/>
          <w:sz w:val="32"/>
          <w:szCs w:val="32"/>
          <w:lang w:val="en-US" w:eastAsia="zh-CN" w:bidi="ar-SA"/>
        </w:rPr>
        <w:sectPr>
          <w:pgSz w:w="11906" w:h="16838"/>
          <w:pgMar w:top="1440" w:right="1800" w:bottom="1440" w:left="1800" w:header="851" w:footer="992" w:gutter="0"/>
          <w:lnNumType w:countBy="1" w:restart="continuous"/>
          <w:cols w:space="425" w:num="1"/>
          <w:docGrid w:type="lines" w:linePitch="312" w:charSpace="0"/>
        </w:sectPr>
      </w:pPr>
      <w:r>
        <w:rPr>
          <w:rFonts w:ascii="Times New Roman" w:hAnsi="Times New Roman" w:eastAsia="仿宋_GB2312" w:cs="Times New Roman"/>
          <w:sz w:val="32"/>
          <w:szCs w:val="32"/>
        </w:rPr>
        <w:t>[14]YY/T 0466.1-</w:t>
      </w:r>
      <w:r>
        <w:rPr>
          <w:rFonts w:hint="eastAsia" w:ascii="Times New Roman" w:hAnsi="Times New Roman" w:eastAsia="仿宋_GB2312" w:cs="Times New Roman"/>
          <w:sz w:val="32"/>
          <w:szCs w:val="32"/>
          <w:lang w:val="en-US" w:eastAsia="zh-CN"/>
        </w:rPr>
        <w:t>2023</w:t>
      </w:r>
      <w:r>
        <w:rPr>
          <w:rFonts w:ascii="Times New Roman" w:hAnsi="Times New Roman" w:eastAsia="仿宋_GB2312" w:cs="Times New Roman"/>
          <w:sz w:val="32"/>
          <w:szCs w:val="32"/>
        </w:rPr>
        <w:t>,医疗器械 用于医疗器械标签、标记和提供信息的符号第1部分：通用要求[S].</w:t>
      </w:r>
    </w:p>
    <w:p w14:paraId="1767E722">
      <w:pPr>
        <w:spacing w:line="240" w:lineRule="auto"/>
        <w:rPr>
          <w:rFonts w:ascii="Times New Roman" w:hAnsi="Times New Roman" w:eastAsia="仿宋_GB2312" w:cs="Times New Roman"/>
          <w:b/>
          <w:sz w:val="28"/>
          <w:szCs w:val="28"/>
        </w:rPr>
      </w:pPr>
    </w:p>
    <w:p w14:paraId="5D301E57">
      <w:pPr>
        <w:spacing w:line="520" w:lineRule="exact"/>
        <w:ind w:right="-67" w:rightChars="-32"/>
        <w:rPr>
          <w:rFonts w:eastAsia="黑体"/>
          <w:bCs/>
          <w:sz w:val="32"/>
          <w:szCs w:val="32"/>
        </w:rPr>
      </w:pPr>
      <w:r>
        <w:rPr>
          <w:rFonts w:eastAsia="黑体"/>
          <w:bCs/>
          <w:sz w:val="32"/>
          <w:szCs w:val="32"/>
        </w:rPr>
        <w:t>附件</w:t>
      </w:r>
      <w:r>
        <w:rPr>
          <w:rFonts w:hint="eastAsia" w:eastAsia="黑体"/>
          <w:bCs/>
          <w:sz w:val="32"/>
          <w:szCs w:val="32"/>
          <w:lang w:val="en-US" w:eastAsia="zh-CN"/>
        </w:rPr>
        <w:t>1</w:t>
      </w:r>
    </w:p>
    <w:p w14:paraId="28BF2328">
      <w:pPr>
        <w:spacing w:line="520" w:lineRule="exact"/>
        <w:ind w:firstLine="0" w:firstLineChars="0"/>
        <w:rPr>
          <w:rFonts w:eastAsia="黑体"/>
          <w:color w:val="auto"/>
          <w:sz w:val="32"/>
          <w:szCs w:val="32"/>
          <w:highlight w:val="none"/>
          <w:lang w:eastAsia="zh-Hans"/>
        </w:rPr>
      </w:pPr>
      <w:r>
        <w:rPr>
          <w:rFonts w:hint="eastAsia" w:eastAsia="黑体"/>
          <w:color w:val="auto"/>
          <w:sz w:val="32"/>
          <w:szCs w:val="32"/>
          <w:highlight w:val="none"/>
          <w:lang w:eastAsia="zh-CN"/>
        </w:rPr>
        <w:t>一</w:t>
      </w:r>
      <w:r>
        <w:rPr>
          <w:rFonts w:eastAsia="黑体"/>
          <w:color w:val="auto"/>
          <w:sz w:val="32"/>
          <w:szCs w:val="32"/>
          <w:highlight w:val="none"/>
          <w:lang w:eastAsia="zh-Hans"/>
        </w:rPr>
        <w:t>、添加剂</w:t>
      </w:r>
    </w:p>
    <w:p w14:paraId="215676AD">
      <w:pPr>
        <w:spacing w:line="52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lang w:eastAsia="zh-CN"/>
        </w:rPr>
        <w:t>末梢血采集容器</w:t>
      </w:r>
      <w:r>
        <w:rPr>
          <w:rFonts w:eastAsia="仿宋_GB2312"/>
          <w:color w:val="auto"/>
          <w:sz w:val="32"/>
          <w:szCs w:val="32"/>
          <w:highlight w:val="none"/>
        </w:rPr>
        <w:t>中的添加剂主要包括抗凝剂和促凝剂等</w:t>
      </w:r>
      <w:r>
        <w:rPr>
          <w:rFonts w:hint="eastAsia" w:eastAsia="仿宋_GB2312"/>
          <w:color w:val="auto"/>
          <w:sz w:val="32"/>
          <w:szCs w:val="32"/>
          <w:highlight w:val="none"/>
          <w:lang w:eastAsia="zh-CN"/>
        </w:rPr>
        <w:t>。</w:t>
      </w:r>
    </w:p>
    <w:p w14:paraId="76733BE5">
      <w:pPr>
        <w:spacing w:line="520" w:lineRule="exact"/>
        <w:ind w:firstLine="640" w:firstLineChars="200"/>
        <w:rPr>
          <w:rFonts w:eastAsia="仿宋_GB2312"/>
          <w:color w:val="auto"/>
          <w:sz w:val="32"/>
          <w:szCs w:val="32"/>
          <w:highlight w:val="none"/>
        </w:rPr>
      </w:pPr>
      <w:r>
        <w:rPr>
          <w:rFonts w:eastAsia="仿宋_GB2312"/>
          <w:color w:val="auto"/>
          <w:sz w:val="32"/>
          <w:szCs w:val="32"/>
          <w:highlight w:val="none"/>
        </w:rPr>
        <w:t>添加剂可以几种物理状态供应，包括液体状态（如柠檬酸磷酸盐葡萄糖腺嘌呤、柠檬酸钠）、溶液干燥物或冷冻干燥物（如EDTA盐、肝素锂、肝素钠、氟化物/草酸盐、氟化物/EDTA和氟化物/肝素）或粉状</w:t>
      </w:r>
      <w:r>
        <w:rPr>
          <w:rFonts w:eastAsia="仿宋_GB2312"/>
          <w:color w:val="auto"/>
          <w:sz w:val="32"/>
          <w:szCs w:val="32"/>
          <w:highlight w:val="none"/>
          <w:lang w:eastAsia="zh-Hans"/>
        </w:rPr>
        <w:t>等</w:t>
      </w:r>
      <w:r>
        <w:rPr>
          <w:rFonts w:eastAsia="仿宋_GB2312"/>
          <w:color w:val="auto"/>
          <w:sz w:val="32"/>
          <w:szCs w:val="32"/>
          <w:highlight w:val="none"/>
        </w:rPr>
        <w:t>。溶液状态容易与血样混合，由于含有</w:t>
      </w:r>
      <w:r>
        <w:rPr>
          <w:rFonts w:hint="eastAsia" w:eastAsia="仿宋_GB2312"/>
          <w:color w:val="auto"/>
          <w:sz w:val="32"/>
          <w:szCs w:val="32"/>
          <w:highlight w:val="none"/>
        </w:rPr>
        <w:t>水分</w:t>
      </w:r>
      <w:r>
        <w:rPr>
          <w:rFonts w:eastAsia="仿宋_GB2312"/>
          <w:color w:val="auto"/>
          <w:sz w:val="32"/>
          <w:szCs w:val="32"/>
          <w:highlight w:val="none"/>
        </w:rPr>
        <w:t>，对血液具有一定的稀释作用，有时可能会影响检验的准确性。干燥状态的添加剂如果在试管内分布不均，大的结晶颗粒很可能不能在短时间内充分溶解于血样，从而影响预期抗凝效果（会形成凝血块堵塞检验仪器）。所以，用专用设备向容器内喷射雾化抗凝剂，使其均匀地分布于试管内壁，干燥后在管壁形成均匀的结晶体是一种理想的形式。</w:t>
      </w:r>
    </w:p>
    <w:p w14:paraId="736414A2">
      <w:pPr>
        <w:spacing w:line="520" w:lineRule="exact"/>
        <w:ind w:firstLine="640" w:firstLineChars="200"/>
        <w:rPr>
          <w:rFonts w:eastAsia="黑体"/>
          <w:color w:val="auto"/>
          <w:sz w:val="32"/>
          <w:szCs w:val="32"/>
          <w:highlight w:val="none"/>
          <w:lang w:eastAsia="zh-Hans"/>
        </w:rPr>
      </w:pPr>
      <w:r>
        <w:rPr>
          <w:rFonts w:hint="eastAsia" w:eastAsia="黑体"/>
          <w:color w:val="auto"/>
          <w:sz w:val="32"/>
          <w:szCs w:val="32"/>
          <w:highlight w:val="none"/>
          <w:lang w:eastAsia="zh-CN"/>
        </w:rPr>
        <w:t>二</w:t>
      </w:r>
      <w:r>
        <w:rPr>
          <w:rFonts w:eastAsia="黑体"/>
          <w:color w:val="auto"/>
          <w:sz w:val="32"/>
          <w:szCs w:val="32"/>
          <w:highlight w:val="none"/>
          <w:lang w:eastAsia="zh-Hans"/>
        </w:rPr>
        <w:t>、附加物</w:t>
      </w:r>
    </w:p>
    <w:p w14:paraId="687D57F7">
      <w:pPr>
        <w:spacing w:line="52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eastAsia="zh-CN"/>
        </w:rPr>
        <w:t>末梢血采集容器中</w:t>
      </w:r>
      <w:r>
        <w:rPr>
          <w:rFonts w:eastAsia="仿宋_GB2312"/>
          <w:color w:val="auto"/>
          <w:sz w:val="32"/>
          <w:szCs w:val="32"/>
          <w:highlight w:val="none"/>
        </w:rPr>
        <w:t>附加物是为了满足某些特殊检验要求的分离胶或分离粒子等。</w:t>
      </w:r>
    </w:p>
    <w:p w14:paraId="5375501B">
      <w:pPr>
        <w:spacing w:line="520" w:lineRule="exact"/>
        <w:outlineLvl w:val="0"/>
        <w:rPr>
          <w:rFonts w:hint="eastAsia" w:eastAsia="黑体"/>
          <w:color w:val="auto"/>
          <w:sz w:val="32"/>
          <w:szCs w:val="32"/>
          <w:highlight w:val="none"/>
          <w:lang w:val="en-US" w:eastAsia="zh-CN"/>
        </w:rPr>
      </w:pPr>
      <w:r>
        <w:rPr>
          <w:rFonts w:eastAsia="黑体"/>
          <w:color w:val="auto"/>
          <w:sz w:val="32"/>
          <w:szCs w:val="32"/>
          <w:highlight w:val="none"/>
        </w:rPr>
        <w:br w:type="page"/>
      </w:r>
    </w:p>
    <w:p w14:paraId="6B07421E">
      <w:pPr>
        <w:spacing w:line="520" w:lineRule="exact"/>
        <w:jc w:val="center"/>
        <w:rPr>
          <w:rFonts w:eastAsia="仿宋_GB2312"/>
          <w:sz w:val="32"/>
          <w:szCs w:val="32"/>
        </w:rPr>
      </w:pPr>
      <w:r>
        <w:rPr>
          <w:rFonts w:eastAsia="方正小标宋简体"/>
          <w:sz w:val="44"/>
          <w:szCs w:val="44"/>
          <w:highlight w:val="none"/>
        </w:rPr>
        <w:t>不同添加剂</w:t>
      </w:r>
      <w:r>
        <w:rPr>
          <w:rFonts w:hint="eastAsia" w:eastAsia="方正小标宋简体"/>
          <w:sz w:val="44"/>
          <w:szCs w:val="44"/>
          <w:highlight w:val="none"/>
          <w:lang w:eastAsia="zh-CN"/>
        </w:rPr>
        <w:t>、</w:t>
      </w:r>
      <w:r>
        <w:rPr>
          <w:rFonts w:eastAsia="方正小标宋简体"/>
          <w:sz w:val="44"/>
          <w:szCs w:val="44"/>
          <w:highlight w:val="none"/>
        </w:rPr>
        <w:t>附加物的作用原理</w:t>
      </w:r>
      <w:r>
        <w:rPr>
          <w:rFonts w:eastAsia="方正小标宋简体"/>
          <w:sz w:val="44"/>
          <w:szCs w:val="44"/>
        </w:rPr>
        <w:br w:type="textWrapping"/>
      </w:r>
    </w:p>
    <w:p w14:paraId="06EA4EF9">
      <w:pPr>
        <w:spacing w:line="520" w:lineRule="exact"/>
        <w:ind w:firstLine="640" w:firstLineChars="200"/>
        <w:rPr>
          <w:rFonts w:eastAsia="黑体"/>
          <w:sz w:val="32"/>
          <w:szCs w:val="32"/>
          <w:lang w:eastAsia="zh-Hans"/>
        </w:rPr>
      </w:pPr>
      <w:r>
        <w:rPr>
          <w:rFonts w:eastAsia="黑体"/>
          <w:sz w:val="32"/>
          <w:szCs w:val="32"/>
          <w:lang w:eastAsia="zh-Hans"/>
        </w:rPr>
        <w:t>一、抗凝剂</w:t>
      </w:r>
    </w:p>
    <w:p w14:paraId="17C2D6FB">
      <w:pPr>
        <w:spacing w:line="520" w:lineRule="exact"/>
        <w:ind w:right="-67" w:rightChars="-32" w:firstLine="640" w:firstLineChars="200"/>
        <w:rPr>
          <w:rFonts w:eastAsia="楷体_GB2312"/>
          <w:color w:val="000000"/>
          <w:sz w:val="32"/>
          <w:szCs w:val="32"/>
        </w:rPr>
      </w:pPr>
      <w:r>
        <w:rPr>
          <w:rFonts w:eastAsia="楷体_GB2312"/>
          <w:color w:val="000000"/>
          <w:sz w:val="32"/>
          <w:szCs w:val="32"/>
        </w:rPr>
        <w:t>（</w:t>
      </w:r>
      <w:r>
        <w:rPr>
          <w:rFonts w:eastAsia="楷体_GB2312"/>
          <w:color w:val="000000"/>
          <w:sz w:val="32"/>
          <w:szCs w:val="32"/>
          <w:lang w:eastAsia="zh-Hans"/>
        </w:rPr>
        <w:t>一）</w:t>
      </w:r>
      <w:r>
        <w:rPr>
          <w:rFonts w:eastAsia="楷体_GB2312"/>
          <w:color w:val="000000"/>
          <w:sz w:val="32"/>
          <w:szCs w:val="32"/>
        </w:rPr>
        <w:t>乙二胺四乙酸（EDTA）盐</w:t>
      </w:r>
    </w:p>
    <w:p w14:paraId="20A7FF30">
      <w:pPr>
        <w:spacing w:line="520" w:lineRule="exact"/>
        <w:ind w:firstLine="640" w:firstLineChars="200"/>
        <w:rPr>
          <w:rFonts w:eastAsia="仿宋_GB2312"/>
          <w:color w:val="000000"/>
          <w:sz w:val="32"/>
          <w:szCs w:val="32"/>
        </w:rPr>
      </w:pPr>
      <w:r>
        <w:rPr>
          <w:rFonts w:eastAsia="仿宋_GB2312"/>
          <w:color w:val="000000"/>
          <w:sz w:val="32"/>
          <w:szCs w:val="32"/>
        </w:rPr>
        <w:t>EDTA有二钠、二钾和三钾盐。均可与钙离子结合成螯合物，从而阻止血液凝固。EDTA盐可经高温烘干，抗凝作用不变，通常配成15g/L水溶液，每瓶0.4mL，干燥后可抗凝5mL血液。EDTA盐对红、白细胞形态影响很小，根据国际血液学标准委员会（International committee standard of hematology，ICSH）1993年文件建议，血细胞计数用EDTA二钾作抗凝剂，用量为EDTA-K</w:t>
      </w:r>
      <w:r>
        <w:rPr>
          <w:rFonts w:eastAsia="仿宋_GB2312"/>
          <w:color w:val="000000"/>
          <w:sz w:val="32"/>
          <w:szCs w:val="32"/>
          <w:vertAlign w:val="subscript"/>
        </w:rPr>
        <w:t>2</w:t>
      </w:r>
      <w:r>
        <w:rPr>
          <w:rFonts w:eastAsia="仿宋_GB2312"/>
          <w:color w:val="000000"/>
          <w:sz w:val="32"/>
          <w:szCs w:val="32"/>
        </w:rPr>
        <w:t>·2H</w:t>
      </w:r>
      <w:r>
        <w:rPr>
          <w:rFonts w:eastAsia="仿宋_GB2312"/>
          <w:color w:val="000000"/>
          <w:sz w:val="32"/>
          <w:szCs w:val="32"/>
          <w:vertAlign w:val="subscript"/>
        </w:rPr>
        <w:t>2</w:t>
      </w:r>
      <w:r>
        <w:rPr>
          <w:rFonts w:eastAsia="仿宋_GB2312"/>
          <w:color w:val="000000"/>
          <w:sz w:val="32"/>
          <w:szCs w:val="32"/>
        </w:rPr>
        <w:t>O 1.5-2.2mg （4.45±0.85μmol）/mL血液。 EDTA-Na</w:t>
      </w:r>
      <w:r>
        <w:rPr>
          <w:rFonts w:eastAsia="仿宋_GB2312"/>
          <w:color w:val="000000"/>
          <w:sz w:val="32"/>
          <w:szCs w:val="32"/>
          <w:vertAlign w:val="subscript"/>
        </w:rPr>
        <w:t>2</w:t>
      </w:r>
      <w:r>
        <w:rPr>
          <w:rFonts w:eastAsia="仿宋_GB2312"/>
          <w:color w:val="000000"/>
          <w:sz w:val="32"/>
          <w:szCs w:val="32"/>
        </w:rPr>
        <w:t>与EDTA-K</w:t>
      </w:r>
      <w:r>
        <w:rPr>
          <w:rFonts w:eastAsia="仿宋_GB2312"/>
          <w:color w:val="000000"/>
          <w:sz w:val="32"/>
          <w:szCs w:val="32"/>
          <w:vertAlign w:val="subscript"/>
        </w:rPr>
        <w:t>2</w:t>
      </w:r>
      <w:r>
        <w:rPr>
          <w:rFonts w:eastAsia="仿宋_GB2312"/>
          <w:color w:val="000000"/>
          <w:sz w:val="32"/>
          <w:szCs w:val="32"/>
        </w:rPr>
        <w:t>对血细胞计数影响均较小，但二钠溶解度明显低于二钾，有时影响抗凝效果，其他抗凝剂不适合于血细胞计数。</w:t>
      </w:r>
    </w:p>
    <w:p w14:paraId="08593BD2">
      <w:pPr>
        <w:spacing w:line="520" w:lineRule="exact"/>
        <w:ind w:right="-67" w:rightChars="-32" w:firstLine="640" w:firstLineChars="200"/>
        <w:rPr>
          <w:rFonts w:eastAsia="楷体_GB2312"/>
          <w:color w:val="000000"/>
          <w:sz w:val="32"/>
          <w:szCs w:val="32"/>
        </w:rPr>
      </w:pPr>
      <w:r>
        <w:rPr>
          <w:rFonts w:eastAsia="楷体_GB2312"/>
          <w:color w:val="000000"/>
          <w:sz w:val="32"/>
          <w:szCs w:val="32"/>
        </w:rPr>
        <w:t>（</w:t>
      </w:r>
      <w:r>
        <w:rPr>
          <w:rFonts w:eastAsia="楷体_GB2312"/>
          <w:color w:val="000000"/>
          <w:sz w:val="32"/>
          <w:szCs w:val="32"/>
          <w:lang w:eastAsia="zh-Hans"/>
        </w:rPr>
        <w:t>二）</w:t>
      </w:r>
      <w:r>
        <w:rPr>
          <w:rFonts w:eastAsia="楷体_GB2312"/>
          <w:color w:val="000000"/>
          <w:sz w:val="32"/>
          <w:szCs w:val="32"/>
        </w:rPr>
        <w:t>柠檬酸钠（枸橼酸钠）</w:t>
      </w:r>
    </w:p>
    <w:p w14:paraId="7C0866C9">
      <w:pPr>
        <w:spacing w:line="520" w:lineRule="exact"/>
        <w:ind w:firstLine="640" w:firstLineChars="200"/>
        <w:rPr>
          <w:rFonts w:eastAsia="仿宋_GB2312"/>
          <w:color w:val="000000"/>
          <w:sz w:val="32"/>
          <w:szCs w:val="32"/>
        </w:rPr>
      </w:pPr>
      <w:r>
        <w:rPr>
          <w:rFonts w:eastAsia="仿宋_GB2312"/>
          <w:color w:val="000000"/>
          <w:sz w:val="32"/>
          <w:szCs w:val="32"/>
        </w:rPr>
        <w:t>柠檬酸钠可与血中钙离子形成可溶性螯合物，从而阻止血液凝固。</w:t>
      </w:r>
      <w:r>
        <w:rPr>
          <w:rFonts w:eastAsia="仿宋_GB2312"/>
          <w:color w:val="000000"/>
          <w:sz w:val="32"/>
          <w:szCs w:val="32"/>
        </w:rPr>
        <w:br w:type="textWrapping"/>
      </w:r>
      <w:r>
        <w:rPr>
          <w:rFonts w:eastAsia="仿宋_GB2312"/>
          <w:color w:val="000000"/>
          <w:sz w:val="32"/>
          <w:szCs w:val="32"/>
        </w:rPr>
        <w:t>　　柠檬酸钠有Na</w:t>
      </w:r>
      <w:r>
        <w:rPr>
          <w:rFonts w:eastAsia="仿宋_GB2312"/>
          <w:color w:val="000000"/>
          <w:sz w:val="32"/>
          <w:szCs w:val="32"/>
          <w:vertAlign w:val="subscript"/>
        </w:rPr>
        <w:t>3</w:t>
      </w:r>
      <w:r>
        <w:rPr>
          <w:rFonts w:eastAsia="仿宋_GB2312"/>
          <w:color w:val="000000"/>
          <w:sz w:val="32"/>
          <w:szCs w:val="32"/>
        </w:rPr>
        <w:t>C</w:t>
      </w:r>
      <w:r>
        <w:rPr>
          <w:rFonts w:eastAsia="仿宋_GB2312"/>
          <w:color w:val="000000"/>
          <w:sz w:val="32"/>
          <w:szCs w:val="32"/>
          <w:vertAlign w:val="subscript"/>
        </w:rPr>
        <w:t>6</w:t>
      </w:r>
      <w:r>
        <w:rPr>
          <w:rFonts w:eastAsia="仿宋_GB2312"/>
          <w:color w:val="000000"/>
          <w:sz w:val="32"/>
          <w:szCs w:val="32"/>
        </w:rPr>
        <w:t>H</w:t>
      </w:r>
      <w:r>
        <w:rPr>
          <w:rFonts w:eastAsia="仿宋_GB2312"/>
          <w:color w:val="000000"/>
          <w:sz w:val="32"/>
          <w:szCs w:val="32"/>
          <w:vertAlign w:val="subscript"/>
        </w:rPr>
        <w:t>5</w:t>
      </w:r>
      <w:r>
        <w:rPr>
          <w:rFonts w:eastAsia="仿宋_GB2312"/>
          <w:color w:val="000000"/>
          <w:sz w:val="32"/>
          <w:szCs w:val="32"/>
        </w:rPr>
        <w:t>O</w:t>
      </w:r>
      <w:r>
        <w:rPr>
          <w:rFonts w:eastAsia="仿宋_GB2312"/>
          <w:color w:val="000000"/>
          <w:sz w:val="32"/>
          <w:szCs w:val="32"/>
          <w:vertAlign w:val="subscript"/>
        </w:rPr>
        <w:t>7</w:t>
      </w:r>
      <w:r>
        <w:rPr>
          <w:rFonts w:eastAsia="仿宋_GB2312"/>
          <w:color w:val="000000"/>
          <w:sz w:val="32"/>
          <w:szCs w:val="32"/>
        </w:rPr>
        <w:t>·2H</w:t>
      </w:r>
      <w:r>
        <w:rPr>
          <w:rFonts w:eastAsia="仿宋_GB2312"/>
          <w:color w:val="000000"/>
          <w:sz w:val="32"/>
          <w:szCs w:val="32"/>
          <w:vertAlign w:val="subscript"/>
        </w:rPr>
        <w:t>2</w:t>
      </w:r>
      <w:r>
        <w:rPr>
          <w:rFonts w:eastAsia="仿宋_GB2312"/>
          <w:color w:val="000000"/>
          <w:sz w:val="32"/>
          <w:szCs w:val="32"/>
        </w:rPr>
        <w:t>O和2Na</w:t>
      </w:r>
      <w:r>
        <w:rPr>
          <w:rFonts w:eastAsia="仿宋_GB2312"/>
          <w:color w:val="000000"/>
          <w:sz w:val="32"/>
          <w:szCs w:val="32"/>
          <w:vertAlign w:val="subscript"/>
        </w:rPr>
        <w:t>3</w:t>
      </w:r>
      <w:r>
        <w:rPr>
          <w:rFonts w:eastAsia="仿宋_GB2312"/>
          <w:color w:val="000000"/>
          <w:sz w:val="32"/>
          <w:szCs w:val="32"/>
        </w:rPr>
        <w:t>C</w:t>
      </w:r>
      <w:r>
        <w:rPr>
          <w:rFonts w:eastAsia="仿宋_GB2312"/>
          <w:color w:val="000000"/>
          <w:sz w:val="32"/>
          <w:szCs w:val="32"/>
          <w:vertAlign w:val="subscript"/>
        </w:rPr>
        <w:t>6</w:t>
      </w:r>
      <w:r>
        <w:rPr>
          <w:rFonts w:eastAsia="仿宋_GB2312"/>
          <w:color w:val="000000"/>
          <w:sz w:val="32"/>
          <w:szCs w:val="32"/>
        </w:rPr>
        <w:t>H</w:t>
      </w:r>
      <w:r>
        <w:rPr>
          <w:rFonts w:eastAsia="仿宋_GB2312"/>
          <w:color w:val="000000"/>
          <w:sz w:val="32"/>
          <w:szCs w:val="32"/>
          <w:vertAlign w:val="subscript"/>
        </w:rPr>
        <w:t>5</w:t>
      </w:r>
      <w:r>
        <w:rPr>
          <w:rFonts w:eastAsia="仿宋_GB2312"/>
          <w:color w:val="000000"/>
          <w:sz w:val="32"/>
          <w:szCs w:val="32"/>
        </w:rPr>
        <w:t>·11H</w:t>
      </w:r>
      <w:r>
        <w:rPr>
          <w:rFonts w:eastAsia="仿宋_GB2312"/>
          <w:color w:val="000000"/>
          <w:sz w:val="32"/>
          <w:szCs w:val="32"/>
          <w:vertAlign w:val="subscript"/>
        </w:rPr>
        <w:t>2</w:t>
      </w:r>
      <w:r>
        <w:rPr>
          <w:rFonts w:eastAsia="仿宋_GB2312"/>
          <w:color w:val="000000"/>
          <w:sz w:val="32"/>
          <w:szCs w:val="32"/>
        </w:rPr>
        <w:t>O等多种晶体。通常用前者配成109mmol/L(32g/L)水溶液（也有用106mmol/L浓度）、129mmol/L(35g/L)水溶液，与血液按1：9或1：4比例使用。柠檬酸钠对凝血V因子有较好的保护作用，使其活性减缓，故常用于凝血象的检查，也用于红细胞沉降率的测定。</w:t>
      </w:r>
    </w:p>
    <w:p w14:paraId="74FAEA89">
      <w:pPr>
        <w:spacing w:line="520" w:lineRule="exact"/>
        <w:ind w:right="-67" w:rightChars="-32" w:firstLine="640" w:firstLineChars="200"/>
        <w:rPr>
          <w:rFonts w:eastAsia="楷体_GB2312"/>
          <w:color w:val="000000"/>
          <w:sz w:val="32"/>
          <w:szCs w:val="32"/>
        </w:rPr>
      </w:pPr>
      <w:r>
        <w:rPr>
          <w:rFonts w:eastAsia="楷体_GB2312"/>
          <w:color w:val="000000"/>
          <w:sz w:val="32"/>
          <w:szCs w:val="32"/>
        </w:rPr>
        <w:t>（</w:t>
      </w:r>
      <w:r>
        <w:rPr>
          <w:rFonts w:eastAsia="楷体_GB2312"/>
          <w:color w:val="000000"/>
          <w:sz w:val="32"/>
          <w:szCs w:val="32"/>
          <w:lang w:eastAsia="zh-Hans"/>
        </w:rPr>
        <w:t>三）</w:t>
      </w:r>
      <w:r>
        <w:rPr>
          <w:rFonts w:eastAsia="楷体_GB2312"/>
          <w:color w:val="000000"/>
          <w:sz w:val="32"/>
          <w:szCs w:val="32"/>
        </w:rPr>
        <w:t>草酸盐</w:t>
      </w:r>
    </w:p>
    <w:p w14:paraId="63A969F0">
      <w:pPr>
        <w:spacing w:line="520" w:lineRule="exact"/>
        <w:ind w:firstLine="640" w:firstLineChars="200"/>
        <w:rPr>
          <w:rFonts w:eastAsia="仿宋_GB2312"/>
          <w:color w:val="000000"/>
          <w:sz w:val="32"/>
          <w:szCs w:val="32"/>
        </w:rPr>
      </w:pPr>
      <w:r>
        <w:rPr>
          <w:rFonts w:eastAsia="仿宋_GB2312"/>
          <w:color w:val="000000"/>
          <w:sz w:val="32"/>
          <w:szCs w:val="32"/>
        </w:rPr>
        <w:t>草酸盐可与血中钙离子生成草酸钙沉淀，从而阻止血液凝固。草酸钠通常用0.1mol/L浓度，与血液按1：9比例使用，过去主要用于凝血象检查。实践发现草酸盐对凝血Ⅴ因子保护功能差，影响凝血酶原时间测定效果；另外由于草酸盐与钙结合形成沉淀物，会影响自动凝血仪的使用，因此，多数学者认为凝血象检查选用柠檬酸钠为抗凝剂更为适宜。</w:t>
      </w:r>
    </w:p>
    <w:p w14:paraId="64FEAD18">
      <w:pPr>
        <w:spacing w:line="520" w:lineRule="exact"/>
        <w:ind w:right="-67" w:rightChars="-32" w:firstLine="640" w:firstLineChars="200"/>
        <w:rPr>
          <w:rFonts w:eastAsia="楷体_GB2312"/>
          <w:color w:val="000000"/>
          <w:sz w:val="32"/>
          <w:szCs w:val="32"/>
        </w:rPr>
      </w:pPr>
      <w:r>
        <w:rPr>
          <w:rFonts w:eastAsia="楷体_GB2312"/>
          <w:color w:val="000000"/>
          <w:sz w:val="32"/>
          <w:szCs w:val="32"/>
        </w:rPr>
        <w:t>（</w:t>
      </w:r>
      <w:r>
        <w:rPr>
          <w:rFonts w:eastAsia="楷体_GB2312"/>
          <w:color w:val="000000"/>
          <w:sz w:val="32"/>
          <w:szCs w:val="32"/>
          <w:lang w:eastAsia="zh-Hans"/>
        </w:rPr>
        <w:t>四</w:t>
      </w:r>
      <w:r>
        <w:rPr>
          <w:rFonts w:eastAsia="楷体_GB2312"/>
          <w:color w:val="000000"/>
          <w:sz w:val="32"/>
          <w:szCs w:val="32"/>
        </w:rPr>
        <w:t>）肝素</w:t>
      </w:r>
    </w:p>
    <w:p w14:paraId="51D16C91">
      <w:pPr>
        <w:spacing w:line="520" w:lineRule="exact"/>
        <w:ind w:firstLine="640" w:firstLineChars="200"/>
        <w:rPr>
          <w:rFonts w:eastAsia="仿宋_GB2312"/>
          <w:color w:val="000000"/>
          <w:sz w:val="32"/>
          <w:szCs w:val="32"/>
        </w:rPr>
      </w:pPr>
      <w:r>
        <w:rPr>
          <w:rFonts w:eastAsia="仿宋_GB2312"/>
          <w:color w:val="000000"/>
          <w:sz w:val="32"/>
          <w:szCs w:val="32"/>
        </w:rPr>
        <w:t>肝素广泛在于肺、肝、脾等几乎所有组织和血管周围肥大细胞和嗜碱性粒细胞的颗粒中。肝素可加强抗凝血酶Ⅲ（AT-Ⅲ）灭活丝氨酸蛋白酶，从而阻止凝血酶形成，并有阻止血小板聚集等多种抗凝作用。尽管肝素可以保持红细胞的自然形态，但由于其常可引起白细胞聚集，使用涂片在罗氏染色时产生蓝色背景，因此肝素抗凝血不适合全血液学一般检查。肝素是红细胞渗透性试验理想的抗凝剂。</w:t>
      </w:r>
    </w:p>
    <w:p w14:paraId="0561F537">
      <w:pPr>
        <w:spacing w:line="520" w:lineRule="exact"/>
        <w:ind w:right="-67" w:rightChars="-32" w:firstLine="640" w:firstLineChars="200"/>
        <w:rPr>
          <w:rFonts w:eastAsia="楷体_GB2312"/>
          <w:color w:val="000000"/>
          <w:sz w:val="32"/>
          <w:szCs w:val="32"/>
        </w:rPr>
      </w:pPr>
      <w:r>
        <w:rPr>
          <w:rFonts w:eastAsia="楷体_GB2312"/>
          <w:color w:val="000000"/>
          <w:sz w:val="32"/>
          <w:szCs w:val="32"/>
        </w:rPr>
        <w:t>（</w:t>
      </w:r>
      <w:r>
        <w:rPr>
          <w:rFonts w:eastAsia="楷体_GB2312"/>
          <w:color w:val="000000"/>
          <w:sz w:val="32"/>
          <w:szCs w:val="32"/>
          <w:lang w:eastAsia="zh-Hans"/>
        </w:rPr>
        <w:t>五</w:t>
      </w:r>
      <w:r>
        <w:rPr>
          <w:rFonts w:eastAsia="楷体_GB2312"/>
          <w:color w:val="000000"/>
          <w:sz w:val="32"/>
          <w:szCs w:val="32"/>
        </w:rPr>
        <w:t>）氟化钠</w:t>
      </w:r>
    </w:p>
    <w:p w14:paraId="1AEB501A">
      <w:pPr>
        <w:spacing w:line="520" w:lineRule="exact"/>
        <w:ind w:firstLine="640" w:firstLineChars="200"/>
        <w:rPr>
          <w:rFonts w:eastAsia="仿宋_GB2312"/>
          <w:color w:val="000000"/>
          <w:sz w:val="32"/>
          <w:szCs w:val="32"/>
        </w:rPr>
      </w:pPr>
      <w:r>
        <w:rPr>
          <w:rFonts w:eastAsia="仿宋_GB2312"/>
          <w:color w:val="000000"/>
          <w:sz w:val="32"/>
          <w:szCs w:val="32"/>
        </w:rPr>
        <w:t>氟化钠是一种弱效抗凝剂，一般常同草酸钾合并使用，其比例为氟化钠1份，草酸钾3份。有良好的防止血糖降解作用，是血糖检测的优良保存剂。血糖酵解抑制剂主要是抑制参与糖酵解的酶的活性，其中抑制己糖激酶、磷酸果糖激酶和丙酮酸激酶这3种限速酶效果最佳。氟化钠阻断烯醇化酶，抑制甘油3磷酸脱氢酶的活性，使葡萄糖分解抑制。但不是抑制限速酶，故起效慢；而草酸钾抑制丙酮酸激酶，采血后立即有效抗糖酵解，减少氟化物的用量。</w:t>
      </w:r>
    </w:p>
    <w:p w14:paraId="41A8DF98">
      <w:pPr>
        <w:spacing w:line="520" w:lineRule="exact"/>
        <w:ind w:firstLine="640" w:firstLineChars="200"/>
        <w:rPr>
          <w:rFonts w:eastAsia="黑体"/>
          <w:sz w:val="32"/>
          <w:szCs w:val="32"/>
          <w:lang w:eastAsia="zh-Hans"/>
        </w:rPr>
      </w:pPr>
      <w:r>
        <w:rPr>
          <w:rFonts w:eastAsia="黑体"/>
          <w:sz w:val="32"/>
          <w:szCs w:val="32"/>
          <w:lang w:eastAsia="zh-Hans"/>
        </w:rPr>
        <w:t>二、促凝剂</w:t>
      </w:r>
    </w:p>
    <w:p w14:paraId="75D900BF">
      <w:pPr>
        <w:spacing w:line="520" w:lineRule="exact"/>
        <w:ind w:firstLine="640" w:firstLineChars="200"/>
        <w:rPr>
          <w:rFonts w:eastAsia="仿宋_GB2312"/>
          <w:color w:val="000000"/>
          <w:sz w:val="32"/>
          <w:szCs w:val="32"/>
        </w:rPr>
      </w:pPr>
      <w:r>
        <w:rPr>
          <w:rFonts w:eastAsia="仿宋_GB2312"/>
          <w:color w:val="000000"/>
          <w:sz w:val="32"/>
          <w:szCs w:val="32"/>
        </w:rPr>
        <w:t>由于过去采血后血液自然凝固，分离血清时间长影响了分析仪的多种功能的充分发挥，为了检测技术的快速化，往</w:t>
      </w:r>
      <w:r>
        <w:rPr>
          <w:rFonts w:hint="eastAsia" w:eastAsia="仿宋_GB2312"/>
          <w:color w:val="000000"/>
          <w:sz w:val="32"/>
          <w:szCs w:val="32"/>
          <w:lang w:eastAsia="zh-CN"/>
        </w:rPr>
        <w:t>末梢血采集容器</w:t>
      </w:r>
      <w:r>
        <w:rPr>
          <w:rFonts w:eastAsia="仿宋_GB2312"/>
          <w:color w:val="000000"/>
          <w:sz w:val="32"/>
          <w:szCs w:val="32"/>
        </w:rPr>
        <w:t>中添加促凝剂缩短了血液凝固时间。血液促凝剂是为了临床检验中快速分离血清标本而研制的促凝剂,一般常用促凝剂有SiO</w:t>
      </w:r>
      <w:r>
        <w:rPr>
          <w:rFonts w:eastAsia="仿宋_GB2312"/>
          <w:color w:val="000000"/>
          <w:sz w:val="32"/>
          <w:szCs w:val="32"/>
          <w:vertAlign w:val="subscript"/>
        </w:rPr>
        <w:t>2</w:t>
      </w:r>
      <w:r>
        <w:rPr>
          <w:rFonts w:eastAsia="仿宋_GB2312"/>
          <w:color w:val="000000"/>
          <w:sz w:val="32"/>
          <w:szCs w:val="32"/>
        </w:rPr>
        <w:t>、凝血酶、蛇毒等促凝成分, 经特殊加工制成粉剂，用定量喷雾器均匀喷在</w:t>
      </w:r>
      <w:r>
        <w:rPr>
          <w:rFonts w:hint="eastAsia" w:eastAsia="仿宋_GB2312"/>
          <w:color w:val="000000"/>
          <w:sz w:val="32"/>
          <w:szCs w:val="32"/>
          <w:lang w:eastAsia="zh-CN"/>
        </w:rPr>
        <w:t>末梢血采集容器</w:t>
      </w:r>
      <w:r>
        <w:rPr>
          <w:rFonts w:eastAsia="仿宋_GB2312"/>
          <w:color w:val="000000"/>
          <w:sz w:val="32"/>
          <w:szCs w:val="32"/>
        </w:rPr>
        <w:t>内壁上, 达到快速促凝的目的。</w:t>
      </w:r>
    </w:p>
    <w:p w14:paraId="0D6FEE08">
      <w:pPr>
        <w:spacing w:line="520" w:lineRule="exact"/>
        <w:ind w:firstLine="640" w:firstLineChars="200"/>
        <w:rPr>
          <w:rFonts w:eastAsia="黑体"/>
          <w:sz w:val="32"/>
          <w:szCs w:val="32"/>
          <w:lang w:eastAsia="zh-Hans"/>
        </w:rPr>
      </w:pPr>
      <w:r>
        <w:rPr>
          <w:rFonts w:eastAsia="黑体"/>
          <w:sz w:val="32"/>
          <w:szCs w:val="32"/>
          <w:lang w:eastAsia="zh-Hans"/>
        </w:rPr>
        <w:t>三、分离胶</w:t>
      </w:r>
    </w:p>
    <w:p w14:paraId="50B1F10E">
      <w:pPr>
        <w:spacing w:line="520" w:lineRule="exact"/>
        <w:ind w:firstLine="640" w:firstLineChars="200"/>
        <w:rPr>
          <w:rFonts w:eastAsia="仿宋_GB2312"/>
          <w:color w:val="000000"/>
          <w:sz w:val="32"/>
          <w:szCs w:val="32"/>
        </w:rPr>
      </w:pPr>
      <w:r>
        <w:rPr>
          <w:rFonts w:eastAsia="仿宋_GB2312"/>
          <w:color w:val="000000"/>
          <w:sz w:val="32"/>
          <w:szCs w:val="32"/>
        </w:rPr>
        <w:t>分离胶能够将血液中的液体成分（血清）和固体成分（血细胞）彻底分开并积聚在试管中形成屏障。根据不同的使用目的，分离胶也可与促凝剂、肝素、EDTA盐等搭配使用。</w:t>
      </w:r>
    </w:p>
    <w:p w14:paraId="1D1C3C02">
      <w:pPr>
        <w:spacing w:line="520" w:lineRule="exact"/>
        <w:ind w:firstLine="640" w:firstLineChars="200"/>
        <w:rPr>
          <w:rFonts w:eastAsia="仿宋_GB2312"/>
          <w:sz w:val="28"/>
          <w:szCs w:val="28"/>
        </w:rPr>
      </w:pPr>
      <w:r>
        <w:rPr>
          <w:rFonts w:eastAsia="仿宋_GB2312"/>
          <w:color w:val="000000"/>
          <w:sz w:val="32"/>
          <w:szCs w:val="32"/>
        </w:rPr>
        <w:t>分离胶是由疏水有机化合物和硅石粉组成，具有触变性的粘液胶体，其结构中含有大量氢键，由于氢键的缔合作用形成网状结构，在离心力的作用下网状结构被破坏变为粘度低的流体，当离心力消失后又重新形成网状结构，这种性质被称为触变性（thixotropy）。即在温度不变的情况下，对这种粘液胶体施加一定的机械力，可从高粘度的凝胶状态变为低粘度的溶胶状态，如果机械力消失又恢复原来高粘度的凝胶状态。触变性是因为分离胶的结构内部含有大量氢键网状结构之故。分离胶比重维持在1.05左右，血清比重约1.02，血细胞比重约1.08，当分离胶与凝固后的血液在同一试管中离心时，由于对分离胶施加离心力而引起硅石凝聚体中的氢链网状结构被破坏变成链状结构，分离胶就成为粘度低的物质，比分离胶重的血块就移到管的底部，分离胶发生</w:t>
      </w:r>
      <w:r>
        <w:rPr>
          <w:rFonts w:hint="eastAsia" w:eastAsia="仿宋_GB2312"/>
          <w:color w:val="000000"/>
          <w:sz w:val="32"/>
          <w:szCs w:val="32"/>
        </w:rPr>
        <w:t>反转</w:t>
      </w:r>
      <w:r>
        <w:rPr>
          <w:rFonts w:eastAsia="仿宋_GB2312"/>
          <w:color w:val="000000"/>
          <w:sz w:val="32"/>
          <w:szCs w:val="32"/>
        </w:rPr>
        <w:t>现象，形成管底部血块/分离胶/血清三层。当离心机停止转动失去离心力后，分离胶中硅石凝聚体的链状粒子间再次由氢键构成网状结构，恢复初始高粘度凝胶状态，在血清中血块间形成隔离层。</w:t>
      </w:r>
    </w:p>
    <w:p w14:paraId="05E591FA">
      <w:pPr>
        <w:spacing w:line="520" w:lineRule="exact"/>
      </w:pPr>
    </w:p>
    <w:p w14:paraId="53A240A3">
      <w:pPr>
        <w:pStyle w:val="2"/>
        <w:spacing w:line="520" w:lineRule="exact"/>
      </w:pPr>
    </w:p>
    <w:p w14:paraId="1B674799">
      <w:pPr>
        <w:spacing w:line="520" w:lineRule="exact"/>
        <w:ind w:right="-67" w:rightChars="-32"/>
        <w:rPr>
          <w:rFonts w:hint="eastAsia" w:eastAsia="黑体"/>
          <w:bCs/>
          <w:sz w:val="32"/>
          <w:szCs w:val="32"/>
          <w:lang w:eastAsia="zh-CN"/>
        </w:rPr>
      </w:pPr>
      <w:r>
        <w:rPr>
          <w:rFonts w:eastAsia="黑体"/>
          <w:bCs/>
          <w:sz w:val="32"/>
          <w:szCs w:val="32"/>
        </w:rPr>
        <w:t>附</w:t>
      </w:r>
      <w:r>
        <w:rPr>
          <w:rFonts w:eastAsia="黑体"/>
          <w:sz w:val="32"/>
          <w:szCs w:val="32"/>
        </w:rPr>
        <w:t>件</w:t>
      </w:r>
      <w:r>
        <w:rPr>
          <w:rFonts w:hint="eastAsia" w:eastAsia="黑体"/>
          <w:sz w:val="32"/>
          <w:szCs w:val="32"/>
          <w:lang w:val="en-US" w:eastAsia="zh-CN"/>
        </w:rPr>
        <w:t>2</w:t>
      </w:r>
    </w:p>
    <w:p w14:paraId="0451A504">
      <w:pPr>
        <w:pStyle w:val="2"/>
        <w:spacing w:line="520" w:lineRule="exact"/>
        <w:rPr>
          <w:rFonts w:ascii="Times New Roman" w:hAnsi="Times New Roman"/>
        </w:rPr>
      </w:pPr>
    </w:p>
    <w:p w14:paraId="7E2618B9">
      <w:pPr>
        <w:spacing w:line="520" w:lineRule="exact"/>
        <w:ind w:right="-67" w:rightChars="-32"/>
        <w:jc w:val="center"/>
        <w:rPr>
          <w:rFonts w:eastAsia="方正小标宋简体"/>
          <w:bCs/>
          <w:sz w:val="44"/>
          <w:szCs w:val="44"/>
        </w:rPr>
      </w:pPr>
      <w:r>
        <w:rPr>
          <w:rFonts w:eastAsia="方正小标宋简体"/>
          <w:bCs/>
          <w:sz w:val="44"/>
          <w:szCs w:val="44"/>
        </w:rPr>
        <w:t>产品主要危险</w:t>
      </w:r>
    </w:p>
    <w:p w14:paraId="605F720E">
      <w:pPr>
        <w:pStyle w:val="2"/>
        <w:spacing w:line="520" w:lineRule="exact"/>
        <w:rPr>
          <w:rFonts w:ascii="Times New Roman" w:hAnsi="Times New Roman"/>
        </w:rPr>
      </w:pPr>
    </w:p>
    <w:tbl>
      <w:tblPr>
        <w:tblStyle w:val="11"/>
        <w:tblW w:w="85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3125"/>
        <w:gridCol w:w="4195"/>
      </w:tblGrid>
      <w:tr w14:paraId="33D50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Align w:val="center"/>
          </w:tcPr>
          <w:p w14:paraId="349E5DA3">
            <w:pPr>
              <w:spacing w:line="520" w:lineRule="exact"/>
              <w:jc w:val="center"/>
              <w:rPr>
                <w:rFonts w:eastAsia="黑体"/>
                <w:sz w:val="28"/>
                <w:szCs w:val="28"/>
              </w:rPr>
            </w:pPr>
            <w:r>
              <w:rPr>
                <w:rFonts w:eastAsia="黑体"/>
                <w:sz w:val="28"/>
                <w:szCs w:val="28"/>
              </w:rPr>
              <w:t>危</w:t>
            </w:r>
            <w:r>
              <w:rPr>
                <w:rFonts w:eastAsia="黑体"/>
                <w:sz w:val="28"/>
                <w:szCs w:val="28"/>
                <w:lang w:eastAsia="zh-Hans"/>
              </w:rPr>
              <w:t>险</w:t>
            </w:r>
            <w:r>
              <w:rPr>
                <w:rFonts w:eastAsia="黑体"/>
                <w:sz w:val="28"/>
                <w:szCs w:val="28"/>
              </w:rPr>
              <w:t>的分类</w:t>
            </w:r>
          </w:p>
        </w:tc>
        <w:tc>
          <w:tcPr>
            <w:tcW w:w="3125" w:type="dxa"/>
            <w:vAlign w:val="center"/>
          </w:tcPr>
          <w:p w14:paraId="0BD65458">
            <w:pPr>
              <w:spacing w:line="520" w:lineRule="exact"/>
              <w:jc w:val="center"/>
              <w:rPr>
                <w:rFonts w:eastAsia="黑体"/>
                <w:sz w:val="28"/>
                <w:szCs w:val="28"/>
              </w:rPr>
            </w:pPr>
            <w:r>
              <w:rPr>
                <w:rFonts w:eastAsia="黑体"/>
                <w:sz w:val="28"/>
                <w:szCs w:val="28"/>
              </w:rPr>
              <w:t>危</w:t>
            </w:r>
            <w:r>
              <w:rPr>
                <w:rFonts w:eastAsia="黑体"/>
                <w:sz w:val="28"/>
                <w:szCs w:val="28"/>
                <w:lang w:eastAsia="zh-Hans"/>
              </w:rPr>
              <w:t>险</w:t>
            </w:r>
            <w:r>
              <w:rPr>
                <w:rFonts w:eastAsia="黑体"/>
                <w:sz w:val="28"/>
                <w:szCs w:val="28"/>
              </w:rPr>
              <w:t>的形成原因</w:t>
            </w:r>
          </w:p>
        </w:tc>
        <w:tc>
          <w:tcPr>
            <w:tcW w:w="4195" w:type="dxa"/>
            <w:vAlign w:val="center"/>
          </w:tcPr>
          <w:p w14:paraId="50C1E76B">
            <w:pPr>
              <w:spacing w:line="520" w:lineRule="exact"/>
              <w:jc w:val="center"/>
              <w:rPr>
                <w:rFonts w:eastAsia="黑体"/>
                <w:sz w:val="28"/>
                <w:szCs w:val="28"/>
              </w:rPr>
            </w:pPr>
            <w:r>
              <w:rPr>
                <w:rFonts w:eastAsia="黑体"/>
                <w:sz w:val="28"/>
                <w:szCs w:val="28"/>
              </w:rPr>
              <w:t>可能的后果</w:t>
            </w:r>
          </w:p>
        </w:tc>
      </w:tr>
      <w:tr w14:paraId="1AD0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Merge w:val="restart"/>
            <w:vAlign w:val="center"/>
          </w:tcPr>
          <w:p w14:paraId="38572CDE">
            <w:pPr>
              <w:spacing w:line="520" w:lineRule="exact"/>
              <w:jc w:val="center"/>
              <w:rPr>
                <w:rFonts w:eastAsia="仿宋_GB2312"/>
                <w:bCs/>
                <w:sz w:val="28"/>
                <w:szCs w:val="28"/>
              </w:rPr>
            </w:pPr>
            <w:r>
              <w:rPr>
                <w:rFonts w:eastAsia="仿宋_GB2312"/>
                <w:bCs/>
                <w:sz w:val="28"/>
                <w:szCs w:val="28"/>
              </w:rPr>
              <w:t>生物学危</w:t>
            </w:r>
            <w:r>
              <w:rPr>
                <w:rFonts w:eastAsia="仿宋_GB2312"/>
                <w:bCs/>
                <w:sz w:val="28"/>
                <w:szCs w:val="28"/>
                <w:lang w:eastAsia="zh-Hans"/>
              </w:rPr>
              <w:t>险</w:t>
            </w:r>
          </w:p>
        </w:tc>
        <w:tc>
          <w:tcPr>
            <w:tcW w:w="3125" w:type="dxa"/>
            <w:vAlign w:val="center"/>
          </w:tcPr>
          <w:p w14:paraId="39006E21">
            <w:pPr>
              <w:spacing w:line="520" w:lineRule="exact"/>
              <w:rPr>
                <w:rFonts w:eastAsia="仿宋_GB2312"/>
                <w:bCs/>
                <w:sz w:val="28"/>
                <w:szCs w:val="28"/>
              </w:rPr>
            </w:pPr>
            <w:r>
              <w:rPr>
                <w:rFonts w:eastAsia="仿宋_GB2312"/>
                <w:bCs/>
                <w:sz w:val="28"/>
                <w:szCs w:val="28"/>
              </w:rPr>
              <w:t>产品未进行灭菌或灭菌不彻底</w:t>
            </w:r>
          </w:p>
        </w:tc>
        <w:tc>
          <w:tcPr>
            <w:tcW w:w="4195" w:type="dxa"/>
            <w:vAlign w:val="center"/>
          </w:tcPr>
          <w:p w14:paraId="69C97887">
            <w:pPr>
              <w:spacing w:line="520" w:lineRule="exact"/>
              <w:rPr>
                <w:rFonts w:eastAsia="仿宋_GB2312"/>
                <w:bCs/>
                <w:sz w:val="28"/>
                <w:szCs w:val="28"/>
              </w:rPr>
            </w:pPr>
            <w:r>
              <w:rPr>
                <w:rFonts w:eastAsia="仿宋_GB2312"/>
                <w:bCs/>
                <w:sz w:val="28"/>
                <w:szCs w:val="28"/>
              </w:rPr>
              <w:t>造成产品污染，造成内部添加剂长菌，有效成分不足，导致检验结果不准确</w:t>
            </w:r>
          </w:p>
        </w:tc>
      </w:tr>
      <w:tr w14:paraId="2A41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Merge w:val="continue"/>
            <w:vAlign w:val="center"/>
          </w:tcPr>
          <w:p w14:paraId="0B95571C">
            <w:pPr>
              <w:spacing w:line="520" w:lineRule="exact"/>
              <w:jc w:val="center"/>
              <w:rPr>
                <w:rFonts w:eastAsia="仿宋_GB2312"/>
                <w:bCs/>
                <w:sz w:val="28"/>
                <w:szCs w:val="28"/>
              </w:rPr>
            </w:pPr>
          </w:p>
        </w:tc>
        <w:tc>
          <w:tcPr>
            <w:tcW w:w="3125" w:type="dxa"/>
            <w:vAlign w:val="center"/>
          </w:tcPr>
          <w:p w14:paraId="6B2F41A7">
            <w:pPr>
              <w:spacing w:line="520" w:lineRule="exact"/>
              <w:rPr>
                <w:rFonts w:eastAsia="仿宋_GB2312"/>
                <w:bCs/>
                <w:sz w:val="28"/>
                <w:szCs w:val="28"/>
              </w:rPr>
            </w:pPr>
            <w:r>
              <w:rPr>
                <w:rFonts w:eastAsia="仿宋_GB2312"/>
                <w:bCs/>
                <w:sz w:val="28"/>
                <w:szCs w:val="28"/>
              </w:rPr>
              <w:t>产品不经灭菌或未达到预期的灭菌效果</w:t>
            </w:r>
          </w:p>
          <w:p w14:paraId="5B6F886C">
            <w:pPr>
              <w:spacing w:line="520" w:lineRule="exact"/>
              <w:rPr>
                <w:rFonts w:eastAsia="仿宋_GB2312"/>
                <w:bCs/>
                <w:sz w:val="28"/>
                <w:szCs w:val="28"/>
              </w:rPr>
            </w:pPr>
            <w:r>
              <w:rPr>
                <w:rFonts w:eastAsia="仿宋_GB2312"/>
                <w:bCs/>
                <w:sz w:val="28"/>
                <w:szCs w:val="28"/>
              </w:rPr>
              <w:t>工艺和生产环境不当</w:t>
            </w:r>
          </w:p>
          <w:p w14:paraId="38F99C78">
            <w:pPr>
              <w:spacing w:line="520" w:lineRule="exact"/>
              <w:rPr>
                <w:rFonts w:eastAsia="仿宋_GB2312"/>
                <w:bCs/>
                <w:sz w:val="28"/>
                <w:szCs w:val="28"/>
              </w:rPr>
            </w:pPr>
            <w:r>
              <w:rPr>
                <w:rFonts w:eastAsia="仿宋_GB2312"/>
                <w:bCs/>
                <w:sz w:val="28"/>
                <w:szCs w:val="28"/>
              </w:rPr>
              <w:t>所用的溶解水纯度没达到要求</w:t>
            </w:r>
          </w:p>
        </w:tc>
        <w:tc>
          <w:tcPr>
            <w:tcW w:w="4195" w:type="dxa"/>
            <w:vAlign w:val="center"/>
          </w:tcPr>
          <w:p w14:paraId="18B99512">
            <w:pPr>
              <w:spacing w:line="520" w:lineRule="exact"/>
              <w:rPr>
                <w:rFonts w:eastAsia="仿宋_GB2312"/>
                <w:bCs/>
                <w:sz w:val="28"/>
                <w:szCs w:val="28"/>
              </w:rPr>
            </w:pPr>
            <w:r>
              <w:rPr>
                <w:rFonts w:eastAsia="仿宋_GB2312"/>
                <w:bCs/>
                <w:sz w:val="28"/>
                <w:szCs w:val="28"/>
              </w:rPr>
              <w:t>采血管内液体发生霉变</w:t>
            </w:r>
          </w:p>
        </w:tc>
      </w:tr>
      <w:tr w14:paraId="25AE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Merge w:val="continue"/>
            <w:vAlign w:val="center"/>
          </w:tcPr>
          <w:p w14:paraId="4E32361E">
            <w:pPr>
              <w:spacing w:line="520" w:lineRule="exact"/>
              <w:jc w:val="center"/>
              <w:rPr>
                <w:rFonts w:eastAsia="仿宋_GB2312"/>
                <w:sz w:val="28"/>
                <w:szCs w:val="28"/>
              </w:rPr>
            </w:pPr>
          </w:p>
        </w:tc>
        <w:tc>
          <w:tcPr>
            <w:tcW w:w="3125" w:type="dxa"/>
            <w:vAlign w:val="center"/>
          </w:tcPr>
          <w:p w14:paraId="15F0736E">
            <w:pPr>
              <w:spacing w:line="520" w:lineRule="exact"/>
              <w:rPr>
                <w:rFonts w:eastAsia="仿宋_GB2312"/>
                <w:bCs/>
                <w:sz w:val="28"/>
                <w:szCs w:val="28"/>
              </w:rPr>
            </w:pPr>
            <w:r>
              <w:rPr>
                <w:rFonts w:eastAsia="仿宋_GB2312"/>
                <w:bCs/>
                <w:sz w:val="28"/>
                <w:szCs w:val="28"/>
              </w:rPr>
              <w:t>产品未在清洁环境中生产</w:t>
            </w:r>
          </w:p>
        </w:tc>
        <w:tc>
          <w:tcPr>
            <w:tcW w:w="4195" w:type="dxa"/>
            <w:vAlign w:val="center"/>
          </w:tcPr>
          <w:p w14:paraId="7C18A640">
            <w:pPr>
              <w:spacing w:line="520" w:lineRule="exact"/>
              <w:rPr>
                <w:rFonts w:eastAsia="仿宋_GB2312"/>
                <w:bCs/>
                <w:sz w:val="28"/>
                <w:szCs w:val="28"/>
              </w:rPr>
            </w:pPr>
            <w:r>
              <w:rPr>
                <w:rFonts w:eastAsia="仿宋_GB2312"/>
                <w:bCs/>
                <w:sz w:val="28"/>
                <w:szCs w:val="28"/>
              </w:rPr>
              <w:t>引入细菌内毒素或微粒物质，可能导致管内添加剂污染，影响检验结果</w:t>
            </w:r>
          </w:p>
        </w:tc>
      </w:tr>
      <w:tr w14:paraId="4EE6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Merge w:val="continue"/>
            <w:vAlign w:val="center"/>
          </w:tcPr>
          <w:p w14:paraId="60147314">
            <w:pPr>
              <w:spacing w:line="520" w:lineRule="exact"/>
              <w:jc w:val="center"/>
              <w:rPr>
                <w:rFonts w:eastAsia="仿宋_GB2312"/>
                <w:sz w:val="28"/>
                <w:szCs w:val="28"/>
              </w:rPr>
            </w:pPr>
          </w:p>
        </w:tc>
        <w:tc>
          <w:tcPr>
            <w:tcW w:w="3125" w:type="dxa"/>
            <w:vAlign w:val="center"/>
          </w:tcPr>
          <w:p w14:paraId="2EACFF64">
            <w:pPr>
              <w:spacing w:line="520" w:lineRule="exact"/>
              <w:rPr>
                <w:rFonts w:eastAsia="仿宋_GB2312"/>
                <w:bCs/>
                <w:sz w:val="28"/>
                <w:szCs w:val="28"/>
              </w:rPr>
            </w:pPr>
            <w:r>
              <w:rPr>
                <w:rFonts w:eastAsia="仿宋_GB2312"/>
                <w:bCs/>
                <w:sz w:val="28"/>
                <w:szCs w:val="28"/>
              </w:rPr>
              <w:t>原材料质量不合格或内壁处理工艺控制不良</w:t>
            </w:r>
          </w:p>
        </w:tc>
        <w:tc>
          <w:tcPr>
            <w:tcW w:w="4195" w:type="dxa"/>
            <w:vAlign w:val="center"/>
          </w:tcPr>
          <w:p w14:paraId="7A016DE4">
            <w:pPr>
              <w:spacing w:line="520" w:lineRule="exact"/>
              <w:rPr>
                <w:rFonts w:eastAsia="仿宋_GB2312"/>
                <w:bCs/>
                <w:sz w:val="28"/>
                <w:szCs w:val="28"/>
              </w:rPr>
            </w:pPr>
            <w:r>
              <w:rPr>
                <w:rFonts w:eastAsia="仿宋_GB2312"/>
                <w:bCs/>
                <w:sz w:val="28"/>
                <w:szCs w:val="28"/>
              </w:rPr>
              <w:t>产品内壁发生水解而产生脱落，可能影响部分细胞计数检验结果</w:t>
            </w:r>
          </w:p>
        </w:tc>
      </w:tr>
      <w:tr w14:paraId="1E439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Merge w:val="continue"/>
            <w:vAlign w:val="center"/>
          </w:tcPr>
          <w:p w14:paraId="13CA2A55">
            <w:pPr>
              <w:spacing w:line="520" w:lineRule="exact"/>
              <w:jc w:val="center"/>
              <w:rPr>
                <w:rFonts w:eastAsia="仿宋_GB2312"/>
                <w:sz w:val="28"/>
                <w:szCs w:val="28"/>
              </w:rPr>
            </w:pPr>
          </w:p>
        </w:tc>
        <w:tc>
          <w:tcPr>
            <w:tcW w:w="3125" w:type="dxa"/>
            <w:vAlign w:val="center"/>
          </w:tcPr>
          <w:p w14:paraId="2F53048F">
            <w:pPr>
              <w:spacing w:line="520" w:lineRule="exact"/>
              <w:rPr>
                <w:rFonts w:eastAsia="仿宋_GB2312"/>
                <w:bCs/>
                <w:sz w:val="28"/>
                <w:szCs w:val="28"/>
              </w:rPr>
            </w:pPr>
            <w:r>
              <w:rPr>
                <w:rFonts w:hint="default" w:eastAsia="仿宋_GB2312"/>
                <w:bCs/>
                <w:sz w:val="28"/>
                <w:szCs w:val="28"/>
                <w:lang w:val="en-US" w:eastAsia="zh-CN"/>
              </w:rPr>
              <w:t>生物相容性不合格（如材质细胞毒性、致敏性）</w:t>
            </w:r>
          </w:p>
        </w:tc>
        <w:tc>
          <w:tcPr>
            <w:tcW w:w="4195" w:type="dxa"/>
            <w:vAlign w:val="center"/>
          </w:tcPr>
          <w:p w14:paraId="1ABE8DE5">
            <w:pPr>
              <w:spacing w:line="520" w:lineRule="exact"/>
              <w:rPr>
                <w:rFonts w:eastAsia="仿宋_GB2312"/>
                <w:bCs/>
                <w:sz w:val="28"/>
                <w:szCs w:val="28"/>
              </w:rPr>
            </w:pPr>
            <w:r>
              <w:rPr>
                <w:rFonts w:hint="default" w:eastAsia="仿宋_GB2312"/>
                <w:bCs/>
                <w:sz w:val="28"/>
                <w:szCs w:val="28"/>
                <w:lang w:val="en-US" w:eastAsia="zh-CN"/>
              </w:rPr>
              <w:t>患者皮肤红肿、瘙痒、过敏；血样溶血，无法完成检验</w:t>
            </w:r>
          </w:p>
        </w:tc>
      </w:tr>
      <w:tr w14:paraId="733A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Align w:val="center"/>
          </w:tcPr>
          <w:p w14:paraId="68DD179A">
            <w:pPr>
              <w:spacing w:line="520" w:lineRule="exact"/>
              <w:jc w:val="center"/>
              <w:rPr>
                <w:rFonts w:eastAsia="仿宋_GB2312"/>
                <w:sz w:val="28"/>
                <w:szCs w:val="28"/>
                <w:highlight w:val="yellow"/>
              </w:rPr>
            </w:pPr>
            <w:r>
              <w:rPr>
                <w:rFonts w:hint="default" w:ascii="Times New Roman" w:hAnsi="Times New Roman" w:eastAsia="仿宋_GB2312" w:cs="Times New Roman"/>
                <w:b w:val="0"/>
                <w:bCs w:val="0"/>
                <w:color w:val="000000"/>
                <w:kern w:val="2"/>
                <w:sz w:val="32"/>
                <w:szCs w:val="32"/>
                <w:highlight w:val="none"/>
                <w:lang w:val="en-US" w:eastAsia="zh-CN" w:bidi="ar-SA"/>
              </w:rPr>
              <w:t>机械危险</w:t>
            </w:r>
          </w:p>
        </w:tc>
        <w:tc>
          <w:tcPr>
            <w:tcW w:w="3125" w:type="dxa"/>
            <w:vAlign w:val="center"/>
          </w:tcPr>
          <w:p w14:paraId="141B7A82">
            <w:pPr>
              <w:spacing w:line="520" w:lineRule="exact"/>
              <w:rPr>
                <w:rFonts w:hint="default" w:eastAsia="仿宋_GB2312"/>
                <w:bCs/>
                <w:sz w:val="28"/>
                <w:szCs w:val="28"/>
                <w:highlight w:val="none"/>
                <w:lang w:val="en-US" w:eastAsia="zh-CN"/>
              </w:rPr>
            </w:pPr>
            <w:r>
              <w:rPr>
                <w:rFonts w:hint="eastAsia" w:eastAsia="仿宋_GB2312"/>
                <w:bCs/>
                <w:sz w:val="28"/>
                <w:szCs w:val="28"/>
                <w:highlight w:val="none"/>
                <w:lang w:val="en-US" w:eastAsia="zh-CN"/>
              </w:rPr>
              <w:t>管</w:t>
            </w:r>
            <w:r>
              <w:rPr>
                <w:rFonts w:hint="default" w:eastAsia="仿宋_GB2312"/>
                <w:bCs/>
                <w:sz w:val="28"/>
                <w:szCs w:val="28"/>
                <w:highlight w:val="none"/>
                <w:lang w:val="en-US" w:eastAsia="zh-CN"/>
              </w:rPr>
              <w:t>口未做圆润化处理，有毛刺、锐边</w:t>
            </w:r>
          </w:p>
        </w:tc>
        <w:tc>
          <w:tcPr>
            <w:tcW w:w="4195" w:type="dxa"/>
            <w:vAlign w:val="center"/>
          </w:tcPr>
          <w:p w14:paraId="07DD7E9E">
            <w:pPr>
              <w:spacing w:line="520" w:lineRule="exact"/>
              <w:rPr>
                <w:rFonts w:hint="default" w:eastAsia="仿宋_GB2312"/>
                <w:bCs/>
                <w:sz w:val="28"/>
                <w:szCs w:val="28"/>
                <w:highlight w:val="none"/>
                <w:lang w:val="en-US" w:eastAsia="zh-CN"/>
              </w:rPr>
            </w:pPr>
            <w:r>
              <w:rPr>
                <w:rFonts w:hint="eastAsia" w:eastAsia="仿宋_GB2312"/>
                <w:bCs/>
                <w:sz w:val="28"/>
                <w:szCs w:val="28"/>
                <w:highlight w:val="none"/>
                <w:lang w:val="en-US" w:eastAsia="zh-CN"/>
              </w:rPr>
              <w:t>采</w:t>
            </w:r>
            <w:r>
              <w:rPr>
                <w:rFonts w:hint="default" w:eastAsia="仿宋_GB2312"/>
                <w:bCs/>
                <w:sz w:val="28"/>
                <w:szCs w:val="28"/>
                <w:highlight w:val="none"/>
                <w:lang w:val="en-US" w:eastAsia="zh-CN"/>
              </w:rPr>
              <w:t>集血样时划伤患者皮肤，造成二次损伤；划伤操作人员手部，导致血液暴露感染</w:t>
            </w:r>
          </w:p>
        </w:tc>
      </w:tr>
      <w:tr w14:paraId="56F5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Merge w:val="restart"/>
            <w:vAlign w:val="center"/>
          </w:tcPr>
          <w:p w14:paraId="2D0463DB">
            <w:pPr>
              <w:spacing w:line="520" w:lineRule="exact"/>
              <w:jc w:val="center"/>
              <w:rPr>
                <w:rFonts w:eastAsia="仿宋_GB2312"/>
                <w:bCs/>
                <w:sz w:val="28"/>
                <w:szCs w:val="28"/>
              </w:rPr>
            </w:pPr>
            <w:r>
              <w:rPr>
                <w:rFonts w:eastAsia="仿宋_GB2312"/>
                <w:bCs/>
                <w:sz w:val="28"/>
                <w:szCs w:val="28"/>
              </w:rPr>
              <w:t>与产品使用相关的危</w:t>
            </w:r>
            <w:r>
              <w:rPr>
                <w:rFonts w:eastAsia="仿宋_GB2312"/>
                <w:bCs/>
                <w:sz w:val="28"/>
                <w:szCs w:val="28"/>
                <w:lang w:eastAsia="zh-Hans"/>
              </w:rPr>
              <w:t>险</w:t>
            </w:r>
          </w:p>
        </w:tc>
        <w:tc>
          <w:tcPr>
            <w:tcW w:w="3125" w:type="dxa"/>
            <w:vAlign w:val="center"/>
          </w:tcPr>
          <w:p w14:paraId="6A07745B">
            <w:pPr>
              <w:spacing w:line="520" w:lineRule="exact"/>
              <w:rPr>
                <w:rFonts w:eastAsia="仿宋_GB2312"/>
                <w:bCs/>
                <w:sz w:val="28"/>
                <w:szCs w:val="28"/>
              </w:rPr>
            </w:pPr>
            <w:r>
              <w:rPr>
                <w:rFonts w:eastAsia="仿宋_GB2312"/>
                <w:bCs/>
                <w:sz w:val="28"/>
                <w:szCs w:val="28"/>
              </w:rPr>
              <w:t>添加剂分布不均匀</w:t>
            </w:r>
          </w:p>
        </w:tc>
        <w:tc>
          <w:tcPr>
            <w:tcW w:w="4195" w:type="dxa"/>
            <w:vAlign w:val="center"/>
          </w:tcPr>
          <w:p w14:paraId="403DC67A">
            <w:pPr>
              <w:spacing w:line="520" w:lineRule="exact"/>
              <w:rPr>
                <w:rFonts w:eastAsia="仿宋_GB2312"/>
                <w:bCs/>
                <w:sz w:val="28"/>
                <w:szCs w:val="28"/>
              </w:rPr>
            </w:pPr>
            <w:r>
              <w:rPr>
                <w:rFonts w:eastAsia="仿宋_GB2312"/>
                <w:bCs/>
                <w:sz w:val="28"/>
                <w:szCs w:val="28"/>
              </w:rPr>
              <w:t>对血样产生影响而导致检验结果不准确</w:t>
            </w:r>
          </w:p>
        </w:tc>
      </w:tr>
      <w:tr w14:paraId="109B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Merge w:val="continue"/>
            <w:vAlign w:val="center"/>
          </w:tcPr>
          <w:p w14:paraId="79FDEF91">
            <w:pPr>
              <w:spacing w:line="520" w:lineRule="exact"/>
              <w:rPr>
                <w:rFonts w:eastAsia="仿宋_GB2312"/>
                <w:bCs/>
                <w:sz w:val="28"/>
                <w:szCs w:val="28"/>
              </w:rPr>
            </w:pPr>
          </w:p>
        </w:tc>
        <w:tc>
          <w:tcPr>
            <w:tcW w:w="3125" w:type="dxa"/>
            <w:vAlign w:val="center"/>
          </w:tcPr>
          <w:p w14:paraId="2611447E">
            <w:pPr>
              <w:spacing w:line="520" w:lineRule="exact"/>
              <w:rPr>
                <w:rFonts w:eastAsia="仿宋_GB2312"/>
                <w:bCs/>
                <w:sz w:val="28"/>
                <w:szCs w:val="28"/>
                <w:highlight w:val="none"/>
              </w:rPr>
            </w:pPr>
            <w:r>
              <w:rPr>
                <w:rFonts w:hint="default" w:eastAsia="仿宋_GB2312"/>
                <w:bCs/>
                <w:sz w:val="28"/>
                <w:szCs w:val="28"/>
                <w:highlight w:val="none"/>
                <w:lang w:val="en-US" w:eastAsia="zh-CN"/>
              </w:rPr>
              <w:t>密封盖开启力过大/过小</w:t>
            </w:r>
          </w:p>
        </w:tc>
        <w:tc>
          <w:tcPr>
            <w:tcW w:w="4195" w:type="dxa"/>
            <w:vAlign w:val="center"/>
          </w:tcPr>
          <w:p w14:paraId="09397651">
            <w:pPr>
              <w:spacing w:line="520" w:lineRule="exact"/>
              <w:rPr>
                <w:rFonts w:eastAsia="仿宋_GB2312"/>
                <w:bCs/>
                <w:sz w:val="28"/>
                <w:szCs w:val="28"/>
                <w:highlight w:val="none"/>
              </w:rPr>
            </w:pPr>
            <w:r>
              <w:rPr>
                <w:rFonts w:hint="default" w:eastAsia="仿宋_GB2312"/>
                <w:bCs/>
                <w:sz w:val="28"/>
                <w:szCs w:val="28"/>
                <w:highlight w:val="none"/>
                <w:lang w:val="en-US" w:eastAsia="zh-CN"/>
              </w:rPr>
              <w:t>开启力过大导致管体变形、破裂；开启力过小导致储运过程中盖体松动，血样污染</w:t>
            </w:r>
          </w:p>
        </w:tc>
      </w:tr>
      <w:tr w14:paraId="7A77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Merge w:val="continue"/>
            <w:vAlign w:val="center"/>
          </w:tcPr>
          <w:p w14:paraId="2986A43C">
            <w:pPr>
              <w:spacing w:line="520" w:lineRule="exact"/>
              <w:rPr>
                <w:rFonts w:eastAsia="仿宋_GB2312"/>
                <w:bCs/>
                <w:sz w:val="28"/>
                <w:szCs w:val="28"/>
              </w:rPr>
            </w:pPr>
          </w:p>
        </w:tc>
        <w:tc>
          <w:tcPr>
            <w:tcW w:w="3125" w:type="dxa"/>
            <w:vAlign w:val="center"/>
          </w:tcPr>
          <w:p w14:paraId="5ABA588D">
            <w:pPr>
              <w:spacing w:line="520" w:lineRule="exact"/>
              <w:rPr>
                <w:rFonts w:eastAsia="仿宋_GB2312"/>
                <w:bCs/>
                <w:sz w:val="28"/>
                <w:szCs w:val="28"/>
                <w:highlight w:val="none"/>
              </w:rPr>
            </w:pPr>
            <w:r>
              <w:rPr>
                <w:rFonts w:hint="default" w:eastAsia="仿宋_GB2312"/>
                <w:bCs/>
                <w:sz w:val="28"/>
                <w:szCs w:val="28"/>
                <w:highlight w:val="none"/>
                <w:lang w:val="en-US" w:eastAsia="zh-CN"/>
              </w:rPr>
              <w:t>密封性能不合格，漏液</w:t>
            </w:r>
          </w:p>
        </w:tc>
        <w:tc>
          <w:tcPr>
            <w:tcW w:w="4195" w:type="dxa"/>
            <w:vAlign w:val="center"/>
          </w:tcPr>
          <w:p w14:paraId="3C3B584E">
            <w:pPr>
              <w:spacing w:line="520" w:lineRule="exact"/>
              <w:rPr>
                <w:rFonts w:eastAsia="仿宋_GB2312"/>
                <w:bCs/>
                <w:sz w:val="28"/>
                <w:szCs w:val="28"/>
                <w:highlight w:val="none"/>
              </w:rPr>
            </w:pPr>
            <w:r>
              <w:rPr>
                <w:rFonts w:hint="default" w:eastAsia="仿宋_GB2312"/>
                <w:bCs/>
                <w:sz w:val="28"/>
                <w:szCs w:val="28"/>
                <w:highlight w:val="none"/>
                <w:lang w:val="en-US" w:eastAsia="zh-CN"/>
              </w:rPr>
              <w:t>血样挥发、污染或凝固，无法完成检验；血样泄漏造成操作人员血液暴露</w:t>
            </w:r>
          </w:p>
        </w:tc>
      </w:tr>
      <w:tr w14:paraId="41FC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Merge w:val="continue"/>
            <w:vAlign w:val="center"/>
          </w:tcPr>
          <w:p w14:paraId="06F800DD">
            <w:pPr>
              <w:spacing w:line="520" w:lineRule="exact"/>
              <w:rPr>
                <w:rFonts w:eastAsia="仿宋_GB2312"/>
                <w:bCs/>
                <w:sz w:val="28"/>
                <w:szCs w:val="28"/>
              </w:rPr>
            </w:pPr>
          </w:p>
        </w:tc>
        <w:tc>
          <w:tcPr>
            <w:tcW w:w="3125" w:type="dxa"/>
            <w:vAlign w:val="center"/>
          </w:tcPr>
          <w:p w14:paraId="76E898D9">
            <w:pPr>
              <w:spacing w:line="520" w:lineRule="exact"/>
              <w:rPr>
                <w:rFonts w:eastAsia="仿宋_GB2312"/>
                <w:bCs/>
                <w:sz w:val="28"/>
                <w:szCs w:val="28"/>
                <w:highlight w:val="none"/>
              </w:rPr>
            </w:pPr>
            <w:r>
              <w:rPr>
                <w:rFonts w:hint="default" w:ascii="Times New Roman" w:hAnsi="Times New Roman" w:eastAsia="仿宋_GB2312" w:cs="Times New Roman"/>
                <w:b w:val="0"/>
                <w:bCs w:val="0"/>
                <w:color w:val="000000"/>
                <w:kern w:val="2"/>
                <w:sz w:val="32"/>
                <w:szCs w:val="32"/>
                <w:highlight w:val="none"/>
                <w:lang w:val="en-US" w:eastAsia="zh-CN" w:bidi="ar-SA"/>
              </w:rPr>
              <w:t>公称容量偏差过大</w:t>
            </w:r>
          </w:p>
        </w:tc>
        <w:tc>
          <w:tcPr>
            <w:tcW w:w="4195" w:type="dxa"/>
            <w:vAlign w:val="center"/>
          </w:tcPr>
          <w:p w14:paraId="650B1600">
            <w:pPr>
              <w:spacing w:line="520" w:lineRule="exact"/>
              <w:rPr>
                <w:rFonts w:eastAsia="仿宋_GB2312"/>
                <w:bCs/>
                <w:sz w:val="28"/>
                <w:szCs w:val="28"/>
                <w:highlight w:val="none"/>
              </w:rPr>
            </w:pPr>
            <w:r>
              <w:rPr>
                <w:rFonts w:hint="default" w:ascii="Times New Roman" w:hAnsi="Times New Roman" w:eastAsia="仿宋_GB2312" w:cs="Times New Roman"/>
                <w:b w:val="0"/>
                <w:bCs w:val="0"/>
                <w:color w:val="000000"/>
                <w:kern w:val="2"/>
                <w:sz w:val="32"/>
                <w:szCs w:val="32"/>
                <w:highlight w:val="none"/>
                <w:lang w:val="en-US" w:eastAsia="zh-CN" w:bidi="ar-SA"/>
              </w:rPr>
              <w:t>采血量不足或过多，检验结果偏差</w:t>
            </w:r>
          </w:p>
        </w:tc>
      </w:tr>
    </w:tbl>
    <w:p w14:paraId="26E62DAA">
      <w:pPr>
        <w:spacing w:line="520" w:lineRule="exact"/>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Tahoma">
    <w:altName w:val="DejaVu Sans"/>
    <w:panose1 w:val="020B0604030504040204"/>
    <w:charset w:val="00"/>
    <w:family w:val="swiss"/>
    <w:pitch w:val="default"/>
    <w:sig w:usb0="00000000" w:usb1="00000000" w:usb2="00000029" w:usb3="00000000" w:csb0="200101FF" w:csb1="20280000"/>
  </w:font>
  <w:font w:name="DejaVu Sans">
    <w:panose1 w:val="020B0603030804020204"/>
    <w:charset w:val="00"/>
    <w:family w:val="auto"/>
    <w:pitch w:val="default"/>
    <w:sig w:usb0="E7006EFF" w:usb1="D200FDFF" w:usb2="0A246029" w:usb3="0400200C" w:csb0="600001FF" w:csb1="D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3EE8D">
    <w:pPr>
      <w:pStyle w:val="10"/>
      <w:jc w:val="right"/>
    </w:pPr>
    <w:sdt>
      <w:sdtPr>
        <w:id w:val="484983177"/>
        <w:docPartObj>
          <w:docPartGallery w:val="autotext"/>
        </w:docPartObj>
      </w:sdtPr>
      <w:sdtContent>
        <w:r>
          <w:t xml:space="preserve">— </w:t>
        </w:r>
        <w:r>
          <w:fldChar w:fldCharType="begin"/>
        </w:r>
        <w:r>
          <w:instrText xml:space="preserve">PAGE   \* MERGEFORMAT</w:instrText>
        </w:r>
        <w:r>
          <w:fldChar w:fldCharType="separate"/>
        </w:r>
        <w:r>
          <w:rPr>
            <w:lang w:val="zh-CN"/>
          </w:rPr>
          <w:t>81</w:t>
        </w:r>
        <w:r>
          <w:fldChar w:fldCharType="end"/>
        </w:r>
      </w:sdtContent>
    </w:sdt>
    <w: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11C2E"/>
    <w:multiLevelType w:val="singleLevel"/>
    <w:tmpl w:val="AFF11C2E"/>
    <w:lvl w:ilvl="0" w:tentative="0">
      <w:start w:val="2"/>
      <w:numFmt w:val="decimal"/>
      <w:suff w:val="nothing"/>
      <w:lvlText w:val="（%1）"/>
      <w:lvlJc w:val="left"/>
      <w:pPr>
        <w:ind w:left="-1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NTllZTE1M2VlMTk2NzE5ZTYxMWI4ZGRhMjIwNTEifQ=="/>
  </w:docVars>
  <w:rsids>
    <w:rsidRoot w:val="2BFA5FAA"/>
    <w:rsid w:val="044155EA"/>
    <w:rsid w:val="08C55105"/>
    <w:rsid w:val="0A812815"/>
    <w:rsid w:val="0A9F4195"/>
    <w:rsid w:val="0C166557"/>
    <w:rsid w:val="0C4A0131"/>
    <w:rsid w:val="15936F3B"/>
    <w:rsid w:val="19142BD8"/>
    <w:rsid w:val="1E7CB321"/>
    <w:rsid w:val="1F136AA8"/>
    <w:rsid w:val="22B97967"/>
    <w:rsid w:val="22C73E32"/>
    <w:rsid w:val="282910EA"/>
    <w:rsid w:val="28E10B5D"/>
    <w:rsid w:val="2A077209"/>
    <w:rsid w:val="2BDC7CE9"/>
    <w:rsid w:val="2BFA5FAA"/>
    <w:rsid w:val="2C992537"/>
    <w:rsid w:val="2CD94E8D"/>
    <w:rsid w:val="2D517119"/>
    <w:rsid w:val="2F320AFA"/>
    <w:rsid w:val="34861A27"/>
    <w:rsid w:val="355F614C"/>
    <w:rsid w:val="37C4498C"/>
    <w:rsid w:val="37F76B0F"/>
    <w:rsid w:val="39B527DE"/>
    <w:rsid w:val="3BA551EE"/>
    <w:rsid w:val="3FB7653F"/>
    <w:rsid w:val="43A062AD"/>
    <w:rsid w:val="44CB3E9E"/>
    <w:rsid w:val="4C2E2E0F"/>
    <w:rsid w:val="4F365D17"/>
    <w:rsid w:val="566413BC"/>
    <w:rsid w:val="57BF226E"/>
    <w:rsid w:val="593C217C"/>
    <w:rsid w:val="5C2C472A"/>
    <w:rsid w:val="5D7635E2"/>
    <w:rsid w:val="74BA691F"/>
    <w:rsid w:val="763C15B6"/>
    <w:rsid w:val="7789082B"/>
    <w:rsid w:val="77BA6559"/>
    <w:rsid w:val="7E9D87C2"/>
    <w:rsid w:val="7EA83B9A"/>
    <w:rsid w:val="BAFF6232"/>
    <w:rsid w:val="EFF3C2A8"/>
    <w:rsid w:val="FEFFAE67"/>
    <w:rsid w:val="FFFFE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7">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8">
    <w:name w:val="annotation text"/>
    <w:basedOn w:val="1"/>
    <w:qFormat/>
    <w:uiPriority w:val="0"/>
    <w:pPr>
      <w:jc w:val="left"/>
    </w:pPr>
  </w:style>
  <w:style w:type="paragraph" w:styleId="9">
    <w:name w:val="Plain Text"/>
    <w:basedOn w:val="1"/>
    <w:qFormat/>
    <w:uiPriority w:val="0"/>
    <w:rPr>
      <w:rFonts w:ascii="宋体" w:hAnsi="Courier New" w:cs="Courier New"/>
      <w:szCs w:val="21"/>
    </w:rPr>
  </w:style>
  <w:style w:type="paragraph" w:styleId="10">
    <w:name w:val="footer"/>
    <w:basedOn w:val="1"/>
    <w:qFormat/>
    <w:uiPriority w:val="99"/>
    <w:pPr>
      <w:tabs>
        <w:tab w:val="center" w:pos="4153"/>
        <w:tab w:val="right" w:pos="8306"/>
      </w:tabs>
      <w:wordWrap w:val="0"/>
      <w:snapToGrid w:val="0"/>
      <w:jc w:val="left"/>
    </w:pPr>
    <w:rPr>
      <w:sz w:val="28"/>
      <w:szCs w:val="28"/>
    </w:r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3603</Words>
  <Characters>3788</Characters>
  <Lines>0</Lines>
  <Paragraphs>0</Paragraphs>
  <TotalTime>0</TotalTime>
  <ScaleCrop>false</ScaleCrop>
  <LinksUpToDate>false</LinksUpToDate>
  <CharactersWithSpaces>3828</CharactersWithSpaces>
  <Application>WPS Office_12.8.2.18605_F1E327BC-269C-435d-A152-05C5408002CA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2026-03-22T00:27:00Z</dcterms:created>
  <dc:creator>WPS_1528724767</dc:creator>
  <cp:lastModifiedBy>wuyuanshenping</cp:lastModifiedBy>
  <dcterms:modified xsi:type="dcterms:W3CDTF">2026-07-31T16:42:48Z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12FEF41F24DE417593F00DF8B3DBF0FF_13</vt:lpwstr>
  </property>
  <property fmtid="{D5CDD505-2E9C-101B-9397-08002B2CF9AE}" pid="4" name="KSOTemplateDocerSaveRecord">
    <vt:lpwstr>eyJoZGlkIjoiYzRhYzU3MzFlY2FkMDAwZWM2ZjliMzgwZDcyZTFmN2MiLCJ1c2VySWQiOiIzNzc3MDc4OTYifQ==</vt:lpwstr>
  </property>
</Properties>
</file>