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503BB" w14:textId="77777777" w:rsidR="00215884" w:rsidRDefault="0085653E">
      <w:pPr>
        <w:spacing w:line="520" w:lineRule="exact"/>
        <w:ind w:rightChars="-32" w:right="-102"/>
        <w:jc w:val="center"/>
        <w:rPr>
          <w:rFonts w:eastAsia="方正小标宋简体"/>
          <w:bCs/>
          <w:color w:val="000000"/>
          <w:sz w:val="44"/>
          <w:szCs w:val="44"/>
        </w:rPr>
      </w:pPr>
      <w:r>
        <w:rPr>
          <w:rFonts w:eastAsia="方正小标宋简体"/>
          <w:bCs/>
          <w:color w:val="000000"/>
          <w:sz w:val="44"/>
          <w:szCs w:val="44"/>
        </w:rPr>
        <w:t>麻醉废气收集器注册</w:t>
      </w:r>
      <w:r>
        <w:rPr>
          <w:rFonts w:eastAsia="方正小标宋简体"/>
          <w:bCs/>
          <w:sz w:val="44"/>
          <w:szCs w:val="44"/>
        </w:rPr>
        <w:t>审查</w:t>
      </w:r>
      <w:r>
        <w:rPr>
          <w:rFonts w:eastAsia="方正小标宋简体"/>
          <w:bCs/>
          <w:color w:val="000000"/>
          <w:sz w:val="44"/>
          <w:szCs w:val="44"/>
        </w:rPr>
        <w:t>指导原则</w:t>
      </w:r>
    </w:p>
    <w:p w14:paraId="68DCD368" w14:textId="77777777" w:rsidR="00215884" w:rsidRDefault="0085653E">
      <w:pPr>
        <w:spacing w:line="520" w:lineRule="exact"/>
        <w:ind w:rightChars="-32" w:right="-102"/>
        <w:jc w:val="center"/>
        <w:rPr>
          <w:rFonts w:eastAsia="方正小标宋简体"/>
          <w:bCs/>
          <w:color w:val="000000"/>
          <w:sz w:val="44"/>
          <w:szCs w:val="44"/>
          <w:lang w:val="en"/>
        </w:rPr>
      </w:pPr>
      <w:r>
        <w:rPr>
          <w:rFonts w:eastAsia="方正小标宋简体" w:hint="eastAsia"/>
          <w:bCs/>
          <w:color w:val="000000"/>
          <w:sz w:val="44"/>
          <w:szCs w:val="44"/>
          <w:lang w:val="en"/>
        </w:rPr>
        <w:t>（征求意见稿）</w:t>
      </w:r>
    </w:p>
    <w:p w14:paraId="7AA718A4" w14:textId="77777777" w:rsidR="00215884" w:rsidRDefault="00215884">
      <w:pPr>
        <w:spacing w:line="500" w:lineRule="exact"/>
        <w:rPr>
          <w:rFonts w:eastAsia="仿宋_GB2312"/>
          <w:color w:val="000000"/>
          <w:szCs w:val="32"/>
        </w:rPr>
      </w:pPr>
    </w:p>
    <w:p w14:paraId="77693FF0"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本指导原则旨在指导注册申请人对麻醉废气收集器注册申报资料的准备及撰写，同时也为技术审评部门对注册申报资料的审评提供技术参考。</w:t>
      </w:r>
    </w:p>
    <w:p w14:paraId="1BC6DDD7"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本指导原则是对麻醉废气收集器注册申报资料的一般要求，注册申请人需依据产品的具体特性确定其中内容是否使用。若不适用，需具体阐述理由及相应的科学依据，并依据产品的具体特性对注册申报资料的内容进行充实和细化。</w:t>
      </w:r>
    </w:p>
    <w:p w14:paraId="37393A20"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2977C03B" w14:textId="77777777" w:rsidR="00215884" w:rsidRDefault="0085653E">
      <w:pPr>
        <w:spacing w:line="500" w:lineRule="exact"/>
        <w:ind w:firstLineChars="200" w:firstLine="640"/>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14:paraId="721672C5" w14:textId="77777777" w:rsidR="00215884" w:rsidRDefault="0085653E">
      <w:pPr>
        <w:spacing w:line="500" w:lineRule="exact"/>
        <w:ind w:firstLineChars="200" w:firstLine="640"/>
        <w:rPr>
          <w:rFonts w:eastAsia="黑体"/>
          <w:color w:val="000000"/>
          <w:szCs w:val="32"/>
        </w:rPr>
      </w:pPr>
      <w:r>
        <w:rPr>
          <w:rFonts w:eastAsia="黑体"/>
          <w:color w:val="000000"/>
          <w:szCs w:val="32"/>
        </w:rPr>
        <w:t>一、适用范围</w:t>
      </w:r>
    </w:p>
    <w:p w14:paraId="623DD983"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本指导原则适用于</w:t>
      </w:r>
      <w:r>
        <w:rPr>
          <w:rFonts w:eastAsia="仿宋_GB2312" w:hint="eastAsia"/>
          <w:color w:val="000000"/>
          <w:szCs w:val="32"/>
        </w:rPr>
        <w:t>符合</w:t>
      </w:r>
      <w:r>
        <w:rPr>
          <w:rFonts w:eastAsia="仿宋_GB2312"/>
          <w:color w:val="000000"/>
          <w:szCs w:val="32"/>
        </w:rPr>
        <w:t>《医疗器械分类目录》中分类编码为</w:t>
      </w:r>
      <w:r>
        <w:rPr>
          <w:rFonts w:eastAsia="仿宋_GB2312"/>
          <w:color w:val="000000"/>
          <w:szCs w:val="32"/>
        </w:rPr>
        <w:t>0</w:t>
      </w:r>
      <w:r>
        <w:rPr>
          <w:rFonts w:eastAsia="仿宋_GB2312" w:hint="eastAsia"/>
          <w:color w:val="000000"/>
          <w:szCs w:val="32"/>
        </w:rPr>
        <w:t>8</w:t>
      </w:r>
      <w:r>
        <w:rPr>
          <w:rFonts w:eastAsia="仿宋_GB2312"/>
          <w:color w:val="000000"/>
          <w:szCs w:val="32"/>
        </w:rPr>
        <w:t>-</w:t>
      </w:r>
      <w:r>
        <w:rPr>
          <w:rFonts w:eastAsia="仿宋_GB2312" w:hint="eastAsia"/>
          <w:color w:val="000000"/>
          <w:szCs w:val="32"/>
        </w:rPr>
        <w:t>05</w:t>
      </w:r>
      <w:r>
        <w:rPr>
          <w:rFonts w:eastAsia="仿宋_GB2312"/>
          <w:color w:val="000000"/>
          <w:szCs w:val="32"/>
        </w:rPr>
        <w:t>-0</w:t>
      </w:r>
      <w:r>
        <w:rPr>
          <w:rFonts w:eastAsia="仿宋_GB2312" w:hint="eastAsia"/>
          <w:color w:val="000000"/>
          <w:szCs w:val="32"/>
        </w:rPr>
        <w:t>9</w:t>
      </w:r>
      <w:r>
        <w:rPr>
          <w:rFonts w:eastAsia="仿宋_GB2312"/>
          <w:color w:val="000000"/>
          <w:szCs w:val="32"/>
        </w:rPr>
        <w:t>的麻醉废气收集器。本指导原则不适</w:t>
      </w:r>
      <w:r>
        <w:rPr>
          <w:rFonts w:eastAsia="仿宋_GB2312"/>
          <w:color w:val="000000"/>
          <w:szCs w:val="32"/>
        </w:rPr>
        <w:t>用于有源麻醉废气净化系统、可重复使用麻醉废气处理装置</w:t>
      </w:r>
      <w:r>
        <w:rPr>
          <w:rFonts w:eastAsia="仿宋_GB2312" w:hint="eastAsia"/>
          <w:color w:val="000000"/>
          <w:szCs w:val="32"/>
        </w:rPr>
        <w:t>、麻醉气体过滤器以及带有二氧化碳吸附功能的麻醉气体吸附器</w:t>
      </w:r>
      <w:r>
        <w:rPr>
          <w:rFonts w:eastAsia="仿宋_GB2312"/>
          <w:color w:val="000000"/>
          <w:szCs w:val="32"/>
        </w:rPr>
        <w:t>。</w:t>
      </w:r>
    </w:p>
    <w:p w14:paraId="79CE70CB" w14:textId="77777777" w:rsidR="00215884" w:rsidRDefault="0085653E">
      <w:pPr>
        <w:spacing w:line="500" w:lineRule="exact"/>
        <w:ind w:firstLineChars="200" w:firstLine="640"/>
        <w:rPr>
          <w:rFonts w:eastAsia="黑体"/>
          <w:color w:val="000000"/>
          <w:szCs w:val="32"/>
        </w:rPr>
      </w:pPr>
      <w:r>
        <w:rPr>
          <w:rFonts w:eastAsia="黑体"/>
          <w:color w:val="000000"/>
          <w:szCs w:val="32"/>
        </w:rPr>
        <w:lastRenderedPageBreak/>
        <w:t>二、注册审查要点</w:t>
      </w:r>
    </w:p>
    <w:p w14:paraId="7FCA25C3" w14:textId="77777777" w:rsidR="00215884" w:rsidRDefault="0085653E">
      <w:pPr>
        <w:spacing w:line="500" w:lineRule="exact"/>
        <w:ind w:firstLineChars="200" w:firstLine="640"/>
        <w:rPr>
          <w:rFonts w:eastAsia="楷体_GB2312"/>
          <w:color w:val="000000"/>
          <w:szCs w:val="32"/>
        </w:rPr>
      </w:pPr>
      <w:r>
        <w:rPr>
          <w:rFonts w:eastAsia="楷体_GB2312"/>
          <w:color w:val="000000"/>
          <w:szCs w:val="32"/>
        </w:rPr>
        <w:t>（一）监管信息</w:t>
      </w:r>
    </w:p>
    <w:p w14:paraId="09179A29"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1.</w:t>
      </w:r>
      <w:r>
        <w:rPr>
          <w:rFonts w:eastAsia="仿宋_GB2312"/>
          <w:color w:val="000000"/>
          <w:szCs w:val="32"/>
        </w:rPr>
        <w:t>产品名称</w:t>
      </w:r>
    </w:p>
    <w:p w14:paraId="6981D528"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产品</w:t>
      </w:r>
      <w:r>
        <w:rPr>
          <w:rFonts w:eastAsia="仿宋_GB2312"/>
          <w:color w:val="000000"/>
          <w:szCs w:val="32"/>
        </w:rPr>
        <w:t>命名</w:t>
      </w:r>
      <w:r>
        <w:rPr>
          <w:rFonts w:eastAsia="仿宋_GB2312" w:hint="eastAsia"/>
          <w:color w:val="000000"/>
          <w:szCs w:val="32"/>
        </w:rPr>
        <w:t>应符合</w:t>
      </w:r>
      <w:r>
        <w:rPr>
          <w:rFonts w:eastAsia="仿宋_GB2312"/>
          <w:color w:val="000000"/>
          <w:szCs w:val="32"/>
        </w:rPr>
        <w:t>《</w:t>
      </w:r>
      <w:r>
        <w:rPr>
          <w:rFonts w:eastAsia="仿宋_GB2312"/>
          <w:szCs w:val="32"/>
        </w:rPr>
        <w:t>医疗器械通用名称命名规则》或行业标准中的通用名称等相关文件的要求，</w:t>
      </w:r>
      <w:r>
        <w:rPr>
          <w:rFonts w:eastAsia="仿宋_GB2312" w:hint="eastAsia"/>
          <w:szCs w:val="32"/>
        </w:rPr>
        <w:t>由一个核心词和一般不超过三个特征词组成，</w:t>
      </w:r>
      <w:r>
        <w:rPr>
          <w:rFonts w:eastAsia="仿宋_GB2312"/>
          <w:szCs w:val="32"/>
        </w:rPr>
        <w:t>以体现产品的特性、使用特点和预期用途</w:t>
      </w:r>
      <w:r>
        <w:rPr>
          <w:rFonts w:eastAsia="仿宋_GB2312" w:hint="eastAsia"/>
          <w:szCs w:val="32"/>
        </w:rPr>
        <w:t>。如</w:t>
      </w:r>
      <w:r>
        <w:rPr>
          <w:rFonts w:eastAsia="仿宋_GB2312"/>
          <w:color w:val="000000"/>
          <w:szCs w:val="32"/>
        </w:rPr>
        <w:t>一次性使用麻醉废气吸附器、麻醉废气</w:t>
      </w:r>
      <w:r>
        <w:rPr>
          <w:rFonts w:eastAsia="仿宋_GB2312" w:hint="eastAsia"/>
          <w:color w:val="000000"/>
          <w:szCs w:val="32"/>
        </w:rPr>
        <w:t>吸附器</w:t>
      </w:r>
      <w:r>
        <w:rPr>
          <w:rFonts w:eastAsia="仿宋_GB2312"/>
          <w:color w:val="000000"/>
          <w:szCs w:val="32"/>
        </w:rPr>
        <w:t>、麻醉气体吸附器</w:t>
      </w:r>
      <w:r>
        <w:rPr>
          <w:rFonts w:eastAsia="仿宋_GB2312" w:hint="eastAsia"/>
          <w:color w:val="000000"/>
          <w:szCs w:val="32"/>
        </w:rPr>
        <w:t>等。</w:t>
      </w:r>
    </w:p>
    <w:p w14:paraId="34DB5D90"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分类编码</w:t>
      </w:r>
    </w:p>
    <w:p w14:paraId="5EA124B8"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根据《医疗器械分类目录》，分类编码为</w:t>
      </w:r>
      <w:r>
        <w:rPr>
          <w:rFonts w:eastAsia="仿宋_GB2312"/>
          <w:szCs w:val="32"/>
        </w:rPr>
        <w:t>08</w:t>
      </w:r>
      <w:r>
        <w:rPr>
          <w:rFonts w:eastAsia="仿宋_GB2312"/>
          <w:szCs w:val="32"/>
        </w:rPr>
        <w:t>呼吸、麻醉和急救器械</w:t>
      </w:r>
      <w:r>
        <w:rPr>
          <w:rFonts w:eastAsia="仿宋_GB2312"/>
          <w:szCs w:val="32"/>
        </w:rPr>
        <w:t>-05</w:t>
      </w:r>
      <w:r>
        <w:rPr>
          <w:rFonts w:eastAsia="仿宋_GB2312"/>
          <w:szCs w:val="32"/>
        </w:rPr>
        <w:t>呼吸、麻醉、急救设备辅助装置</w:t>
      </w:r>
      <w:r>
        <w:rPr>
          <w:rFonts w:eastAsia="仿宋_GB2312"/>
          <w:szCs w:val="32"/>
        </w:rPr>
        <w:t>-09</w:t>
      </w:r>
      <w:r>
        <w:rPr>
          <w:rFonts w:eastAsia="仿宋_GB2312"/>
          <w:szCs w:val="32"/>
        </w:rPr>
        <w:t>麻醉废气吸附器</w:t>
      </w:r>
      <w:r>
        <w:rPr>
          <w:rFonts w:eastAsia="仿宋_GB2312" w:hint="eastAsia"/>
          <w:szCs w:val="32"/>
        </w:rPr>
        <w:t>。</w:t>
      </w:r>
      <w:r>
        <w:rPr>
          <w:rFonts w:eastAsia="仿宋_GB2312"/>
          <w:color w:val="000000"/>
          <w:szCs w:val="32"/>
        </w:rPr>
        <w:t>管理类别为</w:t>
      </w:r>
      <w:r>
        <w:rPr>
          <w:rFonts w:eastAsia="仿宋_GB2312" w:hint="eastAsia"/>
          <w:color w:val="000000"/>
          <w:szCs w:val="32"/>
        </w:rPr>
        <w:t>第二</w:t>
      </w:r>
      <w:r>
        <w:rPr>
          <w:rFonts w:eastAsia="仿宋_GB2312"/>
          <w:color w:val="000000"/>
          <w:szCs w:val="32"/>
        </w:rPr>
        <w:t>类。</w:t>
      </w:r>
    </w:p>
    <w:p w14:paraId="670A84A7"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3.</w:t>
      </w:r>
      <w:r>
        <w:rPr>
          <w:rFonts w:eastAsia="仿宋_GB2312"/>
          <w:color w:val="000000"/>
          <w:szCs w:val="32"/>
        </w:rPr>
        <w:t>注册单元划分的原则和实例</w:t>
      </w:r>
    </w:p>
    <w:p w14:paraId="198FE465"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注册单元划分应符合《医疗器械注册单元划分指导原则》要求。以产品设计原理、性能指标、适用范围、关键材料、生产工艺为核心划分依据</w:t>
      </w:r>
      <w:r>
        <w:rPr>
          <w:rFonts w:eastAsia="仿宋_GB2312" w:hint="eastAsia"/>
          <w:color w:val="000000"/>
          <w:szCs w:val="32"/>
        </w:rPr>
        <w:t>。</w:t>
      </w:r>
      <w:r>
        <w:rPr>
          <w:rFonts w:eastAsia="仿宋_GB2312"/>
          <w:color w:val="000000"/>
          <w:szCs w:val="32"/>
        </w:rPr>
        <w:t>仅规格尺寸、接口形式、吸附剂量不同的产品可划分为同一注册单元。不同吸附原理</w:t>
      </w:r>
      <w:r>
        <w:rPr>
          <w:rFonts w:eastAsia="仿宋_GB2312" w:hint="eastAsia"/>
          <w:color w:val="000000"/>
          <w:szCs w:val="32"/>
        </w:rPr>
        <w:t>和不同吸附介质</w:t>
      </w:r>
      <w:r>
        <w:rPr>
          <w:rFonts w:eastAsia="仿宋_GB2312"/>
          <w:color w:val="000000"/>
          <w:szCs w:val="32"/>
        </w:rPr>
        <w:t>的产品宜划分为不同注册单元。</w:t>
      </w:r>
      <w:r>
        <w:rPr>
          <w:rFonts w:eastAsia="仿宋_GB2312" w:hint="eastAsia"/>
          <w:color w:val="000000"/>
          <w:szCs w:val="32"/>
        </w:rPr>
        <w:t>回路外使用的麻醉废气吸附器与用于吸附麻醉剂管道内的残留麻醉气体的吸附器建议划分为不同注册单元。</w:t>
      </w:r>
    </w:p>
    <w:p w14:paraId="4039B57B"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4.</w:t>
      </w:r>
      <w:r>
        <w:rPr>
          <w:rFonts w:eastAsia="仿宋_GB2312"/>
          <w:color w:val="000000"/>
          <w:szCs w:val="32"/>
        </w:rPr>
        <w:t>型号规格</w:t>
      </w:r>
    </w:p>
    <w:p w14:paraId="00F411C5" w14:textId="77777777" w:rsidR="00215884" w:rsidRDefault="0085653E">
      <w:pPr>
        <w:spacing w:line="500" w:lineRule="exact"/>
        <w:ind w:firstLineChars="200" w:firstLine="640"/>
        <w:rPr>
          <w:rFonts w:eastAsia="仿宋_GB2312"/>
          <w:szCs w:val="32"/>
        </w:rPr>
      </w:pPr>
      <w:r>
        <w:rPr>
          <w:rFonts w:eastAsia="仿宋_GB2312"/>
          <w:szCs w:val="32"/>
        </w:rPr>
        <w:t>应明确申报产品的型号规格。</w:t>
      </w:r>
    </w:p>
    <w:p w14:paraId="2E5A5D21"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5.</w:t>
      </w:r>
      <w:r>
        <w:rPr>
          <w:rFonts w:eastAsia="仿宋_GB2312"/>
          <w:color w:val="000000"/>
          <w:szCs w:val="32"/>
        </w:rPr>
        <w:t>结构组成</w:t>
      </w:r>
    </w:p>
    <w:p w14:paraId="5BB3750F"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lastRenderedPageBreak/>
        <w:t>应</w:t>
      </w:r>
      <w:r>
        <w:rPr>
          <w:rFonts w:eastAsia="仿宋_GB2312"/>
          <w:color w:val="000000"/>
          <w:szCs w:val="32"/>
        </w:rPr>
        <w:t>提供所含组件描述</w:t>
      </w:r>
      <w:r>
        <w:rPr>
          <w:rFonts w:eastAsia="仿宋_GB2312" w:hint="eastAsia"/>
          <w:color w:val="000000"/>
          <w:szCs w:val="32"/>
        </w:rPr>
        <w:t>，通常包括气体输入接口、吸附介质、气体输出接口、</w:t>
      </w:r>
      <w:r>
        <w:rPr>
          <w:rFonts w:eastAsia="仿宋_GB2312" w:hint="eastAsia"/>
          <w:color w:val="000000"/>
          <w:szCs w:val="32"/>
        </w:rPr>
        <w:t>壳体、过滤部件（如适用）密封件等。应明确各部件</w:t>
      </w:r>
      <w:r>
        <w:rPr>
          <w:rFonts w:eastAsia="仿宋_GB2312"/>
          <w:color w:val="000000"/>
          <w:szCs w:val="32"/>
        </w:rPr>
        <w:t>选用</w:t>
      </w:r>
      <w:r>
        <w:rPr>
          <w:rFonts w:eastAsia="仿宋_GB2312" w:hint="eastAsia"/>
          <w:color w:val="000000"/>
          <w:szCs w:val="32"/>
        </w:rPr>
        <w:t>的</w:t>
      </w:r>
      <w:r>
        <w:rPr>
          <w:rFonts w:eastAsia="仿宋_GB2312"/>
          <w:color w:val="000000"/>
          <w:szCs w:val="32"/>
        </w:rPr>
        <w:t>材料</w:t>
      </w:r>
      <w:r>
        <w:rPr>
          <w:rFonts w:eastAsia="仿宋_GB2312" w:hint="eastAsia"/>
          <w:color w:val="000000"/>
          <w:szCs w:val="32"/>
        </w:rPr>
        <w:t>和</w:t>
      </w:r>
      <w:r>
        <w:rPr>
          <w:rFonts w:eastAsia="仿宋_GB2312"/>
          <w:color w:val="000000"/>
          <w:szCs w:val="32"/>
        </w:rPr>
        <w:t>符合标</w:t>
      </w:r>
      <w:r>
        <w:rPr>
          <w:rFonts w:eastAsia="仿宋_GB2312" w:hint="eastAsia"/>
          <w:color w:val="000000"/>
          <w:szCs w:val="32"/>
        </w:rPr>
        <w:t>准，</w:t>
      </w:r>
      <w:r>
        <w:rPr>
          <w:rFonts w:eastAsia="仿宋_GB2312"/>
          <w:color w:val="000000"/>
          <w:szCs w:val="32"/>
        </w:rPr>
        <w:t>交付状态及有效期信息。</w:t>
      </w:r>
    </w:p>
    <w:p w14:paraId="0E9E9D07" w14:textId="77777777" w:rsidR="00215884" w:rsidRDefault="0085653E">
      <w:pPr>
        <w:spacing w:line="500" w:lineRule="exact"/>
        <w:ind w:firstLineChars="200" w:firstLine="640"/>
        <w:rPr>
          <w:rFonts w:eastAsia="楷体_GB2312"/>
          <w:color w:val="000000"/>
          <w:szCs w:val="32"/>
        </w:rPr>
      </w:pPr>
      <w:r>
        <w:rPr>
          <w:rFonts w:eastAsia="楷体_GB2312"/>
          <w:color w:val="000000"/>
          <w:szCs w:val="32"/>
        </w:rPr>
        <w:t>（二）综述资料</w:t>
      </w:r>
    </w:p>
    <w:p w14:paraId="75FAC5CB" w14:textId="77777777" w:rsidR="00215884" w:rsidRDefault="0085653E">
      <w:pPr>
        <w:spacing w:line="500" w:lineRule="exact"/>
        <w:ind w:firstLineChars="200" w:firstLine="640"/>
        <w:rPr>
          <w:rFonts w:eastAsia="仿宋_GB2312"/>
          <w:szCs w:val="32"/>
        </w:rPr>
      </w:pPr>
      <w:r>
        <w:rPr>
          <w:rFonts w:eastAsia="仿宋_GB2312"/>
          <w:szCs w:val="32"/>
        </w:rPr>
        <w:t>1.</w:t>
      </w:r>
      <w:r>
        <w:rPr>
          <w:rFonts w:eastAsia="仿宋_GB2312" w:hint="eastAsia"/>
          <w:szCs w:val="32"/>
        </w:rPr>
        <w:t>1</w:t>
      </w:r>
      <w:r>
        <w:rPr>
          <w:rFonts w:eastAsia="仿宋_GB2312" w:hint="eastAsia"/>
          <w:szCs w:val="32"/>
        </w:rPr>
        <w:t>工作</w:t>
      </w:r>
      <w:r>
        <w:rPr>
          <w:rFonts w:eastAsia="仿宋_GB2312"/>
          <w:szCs w:val="32"/>
        </w:rPr>
        <w:t>原理</w:t>
      </w:r>
      <w:r>
        <w:rPr>
          <w:rFonts w:eastAsia="仿宋_GB2312" w:hint="eastAsia"/>
          <w:szCs w:val="32"/>
        </w:rPr>
        <w:t>需应详细说明产品吸附麻醉废气的机理。例如：通过活性炭等多孔吸附材料巨大的比表面积和微孔结构，对挥发性麻醉气体分子（如七氟烷、异氟烷等）进行物理吸附，从而降低排放废气或呼吸回路中麻醉气体的浓度。</w:t>
      </w:r>
    </w:p>
    <w:p w14:paraId="3082FC0D" w14:textId="77777777" w:rsidR="00215884" w:rsidRDefault="0085653E">
      <w:pPr>
        <w:spacing w:line="500" w:lineRule="exact"/>
        <w:ind w:firstLineChars="200" w:firstLine="640"/>
        <w:jc w:val="left"/>
      </w:pPr>
      <w:r>
        <w:rPr>
          <w:rFonts w:eastAsia="仿宋_GB2312"/>
          <w:szCs w:val="32"/>
        </w:rPr>
        <w:t>1.2</w:t>
      </w:r>
      <w:r>
        <w:rPr>
          <w:rFonts w:eastAsia="仿宋_GB2312"/>
          <w:szCs w:val="32"/>
        </w:rPr>
        <w:t>申报资料中需明确</w:t>
      </w:r>
      <w:r>
        <w:rPr>
          <w:rFonts w:eastAsia="仿宋_GB2312" w:hint="eastAsia"/>
          <w:szCs w:val="32"/>
        </w:rPr>
        <w:t>各部件</w:t>
      </w:r>
      <w:r>
        <w:rPr>
          <w:rFonts w:eastAsia="仿宋_GB2312"/>
          <w:szCs w:val="32"/>
        </w:rPr>
        <w:t>材料</w:t>
      </w:r>
      <w:r>
        <w:rPr>
          <w:rFonts w:eastAsia="仿宋_GB2312" w:hint="eastAsia"/>
          <w:szCs w:val="32"/>
        </w:rPr>
        <w:t>的</w:t>
      </w:r>
      <w:r>
        <w:rPr>
          <w:rFonts w:eastAsia="仿宋_GB2312"/>
          <w:kern w:val="0"/>
          <w:szCs w:val="32"/>
        </w:rPr>
        <w:t>基本信息，</w:t>
      </w:r>
      <w:r>
        <w:rPr>
          <w:rFonts w:eastAsia="仿宋_GB2312" w:hint="eastAsia"/>
          <w:kern w:val="0"/>
          <w:szCs w:val="32"/>
        </w:rPr>
        <w:t>包括</w:t>
      </w:r>
      <w:r>
        <w:rPr>
          <w:rFonts w:eastAsia="仿宋_GB2312"/>
          <w:kern w:val="0"/>
          <w:szCs w:val="32"/>
        </w:rPr>
        <w:t>通用名称</w:t>
      </w:r>
      <w:r>
        <w:rPr>
          <w:rFonts w:eastAsia="仿宋_GB2312"/>
          <w:kern w:val="0"/>
          <w:szCs w:val="32"/>
        </w:rPr>
        <w:t>/</w:t>
      </w:r>
      <w:r>
        <w:rPr>
          <w:rFonts w:eastAsia="仿宋_GB2312"/>
          <w:kern w:val="0"/>
          <w:szCs w:val="32"/>
        </w:rPr>
        <w:t>化学名称、材料商品名（</w:t>
      </w:r>
      <w:r>
        <w:rPr>
          <w:rFonts w:eastAsia="仿宋_GB2312" w:hint="eastAsia"/>
          <w:kern w:val="0"/>
          <w:szCs w:val="32"/>
        </w:rPr>
        <w:t>如</w:t>
      </w:r>
      <w:r>
        <w:rPr>
          <w:rFonts w:eastAsia="仿宋_GB2312"/>
          <w:kern w:val="0"/>
          <w:szCs w:val="32"/>
        </w:rPr>
        <w:t>有）、材料代号</w:t>
      </w:r>
      <w:r>
        <w:rPr>
          <w:rFonts w:eastAsia="仿宋_GB2312"/>
          <w:kern w:val="0"/>
          <w:szCs w:val="32"/>
        </w:rPr>
        <w:t>/</w:t>
      </w:r>
      <w:r>
        <w:rPr>
          <w:rFonts w:eastAsia="仿宋_GB2312"/>
          <w:kern w:val="0"/>
          <w:szCs w:val="32"/>
        </w:rPr>
        <w:t>牌号（</w:t>
      </w:r>
      <w:r>
        <w:rPr>
          <w:rFonts w:eastAsia="仿宋_GB2312" w:hint="eastAsia"/>
          <w:kern w:val="0"/>
          <w:szCs w:val="32"/>
        </w:rPr>
        <w:t>如</w:t>
      </w:r>
      <w:r>
        <w:rPr>
          <w:rFonts w:eastAsia="仿宋_GB2312"/>
          <w:kern w:val="0"/>
          <w:szCs w:val="32"/>
        </w:rPr>
        <w:t>有）、符合的材料标准（如适用）等基本信息。重点说明吸附剂（如活性炭）的特性</w:t>
      </w:r>
      <w:r>
        <w:rPr>
          <w:rFonts w:eastAsia="仿宋_GB2312" w:hint="eastAsia"/>
          <w:kern w:val="0"/>
          <w:szCs w:val="32"/>
        </w:rPr>
        <w:t>，应</w:t>
      </w:r>
      <w:r>
        <w:rPr>
          <w:rFonts w:eastAsia="仿宋_GB2312" w:hint="eastAsia"/>
          <w:szCs w:val="32"/>
        </w:rPr>
        <w:t>采用符合</w:t>
      </w:r>
      <w:r>
        <w:rPr>
          <w:rFonts w:eastAsia="仿宋_GB2312" w:hint="eastAsia"/>
          <w:szCs w:val="32"/>
        </w:rPr>
        <w:t>GB</w:t>
      </w:r>
      <w:r>
        <w:rPr>
          <w:rFonts w:eastAsia="仿宋_GB2312" w:hint="eastAsia"/>
          <w:szCs w:val="32"/>
        </w:rPr>
        <w:t>/T 7701</w:t>
      </w:r>
      <w:r>
        <w:rPr>
          <w:rFonts w:eastAsia="仿宋_GB2312" w:hint="eastAsia"/>
          <w:szCs w:val="32"/>
        </w:rPr>
        <w:t>表</w:t>
      </w:r>
      <w:r>
        <w:rPr>
          <w:rFonts w:eastAsia="仿宋_GB2312" w:hint="eastAsia"/>
          <w:szCs w:val="32"/>
        </w:rPr>
        <w:t>3</w:t>
      </w:r>
      <w:r>
        <w:rPr>
          <w:rFonts w:eastAsia="仿宋_GB2312" w:hint="eastAsia"/>
          <w:szCs w:val="32"/>
        </w:rPr>
        <w:t>规定的活性炭（不包括粒度指标），粒度指标应符合表</w:t>
      </w:r>
      <w:r>
        <w:rPr>
          <w:rFonts w:eastAsia="仿宋_GB2312" w:hint="eastAsia"/>
          <w:szCs w:val="32"/>
        </w:rPr>
        <w:t>4</w:t>
      </w:r>
      <w:r>
        <w:rPr>
          <w:rFonts w:eastAsia="仿宋_GB2312" w:hint="eastAsia"/>
          <w:szCs w:val="32"/>
        </w:rPr>
        <w:t>的规定，活性炭</w:t>
      </w:r>
      <w:r>
        <w:rPr>
          <w:rFonts w:eastAsia="仿宋_GB2312"/>
          <w:kern w:val="0"/>
          <w:szCs w:val="32"/>
        </w:rPr>
        <w:t>来源及质量控制标准。</w:t>
      </w:r>
    </w:p>
    <w:p w14:paraId="2C0C4994" w14:textId="77777777" w:rsidR="00215884" w:rsidRDefault="0085653E">
      <w:pPr>
        <w:spacing w:line="500" w:lineRule="exact"/>
        <w:ind w:firstLineChars="200" w:firstLine="640"/>
        <w:rPr>
          <w:rFonts w:eastAsia="仿宋_GB2312"/>
          <w:color w:val="000000"/>
          <w:szCs w:val="32"/>
        </w:rPr>
      </w:pPr>
      <w:r>
        <w:rPr>
          <w:rFonts w:eastAsia="仿宋_GB2312"/>
          <w:szCs w:val="32"/>
        </w:rPr>
        <w:t>1.</w:t>
      </w:r>
      <w:r>
        <w:rPr>
          <w:rFonts w:eastAsia="仿宋_GB2312" w:hint="eastAsia"/>
          <w:szCs w:val="32"/>
        </w:rPr>
        <w:t>3</w:t>
      </w:r>
      <w:r>
        <w:rPr>
          <w:rFonts w:eastAsia="仿宋_GB2312"/>
          <w:szCs w:val="32"/>
        </w:rPr>
        <w:t>需提供产品各型号规格的划分原则。对于存在多种型号、规格的产</w:t>
      </w:r>
      <w:r>
        <w:rPr>
          <w:rFonts w:eastAsia="仿宋_GB2312"/>
          <w:color w:val="000000"/>
          <w:szCs w:val="32"/>
        </w:rPr>
        <w:t>品，需明确各型号、规格的区别。以对比表、结构图等形式说明结构组成、接口类型、吸附剂填充量、外形尺寸等关键信息。</w:t>
      </w:r>
    </w:p>
    <w:p w14:paraId="6E6F77D9"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产品的适用范围、适用人群、</w:t>
      </w:r>
      <w:r>
        <w:rPr>
          <w:rFonts w:eastAsia="仿宋_GB2312" w:hint="eastAsia"/>
          <w:color w:val="000000"/>
          <w:szCs w:val="32"/>
        </w:rPr>
        <w:t>预期使用场景、</w:t>
      </w:r>
      <w:r>
        <w:rPr>
          <w:rFonts w:eastAsia="仿宋_GB2312"/>
          <w:color w:val="000000"/>
          <w:szCs w:val="32"/>
        </w:rPr>
        <w:t>禁忌证</w:t>
      </w:r>
    </w:p>
    <w:p w14:paraId="4555ABCE"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适用范围的描述需清晰准确</w:t>
      </w:r>
      <w:r>
        <w:rPr>
          <w:rFonts w:eastAsia="仿宋_GB2312" w:hint="eastAsia"/>
          <w:color w:val="000000"/>
          <w:szCs w:val="32"/>
        </w:rPr>
        <w:t>。例如“用于临床全麻手术时，吸附来自麻醉机排放口的麻醉残气，降低排放到手术室中麻醉气体的浓度。”或“用于临床全麻手术后，吸附麻醉呼吸回路中的麻醉残气，使全麻患者尽快苏醒。”</w:t>
      </w:r>
    </w:p>
    <w:p w14:paraId="02ACCDF0"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lastRenderedPageBreak/>
        <w:t>应详述申报产品的适用人群</w:t>
      </w:r>
      <w:r>
        <w:rPr>
          <w:rFonts w:eastAsia="仿宋_GB2312" w:hint="eastAsia"/>
          <w:color w:val="000000"/>
          <w:szCs w:val="32"/>
        </w:rPr>
        <w:t>，</w:t>
      </w:r>
      <w:r>
        <w:rPr>
          <w:rFonts w:eastAsia="仿宋_GB2312" w:hint="eastAsia"/>
          <w:szCs w:val="32"/>
        </w:rPr>
        <w:t>如全身麻醉的患者</w:t>
      </w:r>
      <w:r>
        <w:rPr>
          <w:rFonts w:eastAsia="仿宋_GB2312"/>
          <w:szCs w:val="32"/>
        </w:rPr>
        <w:t>。</w:t>
      </w:r>
    </w:p>
    <w:p w14:paraId="3A652A55"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应明确申报产品使用场所要求，如医疗机构</w:t>
      </w:r>
      <w:r>
        <w:rPr>
          <w:rFonts w:eastAsia="仿宋_GB2312" w:hint="eastAsia"/>
          <w:color w:val="000000"/>
          <w:szCs w:val="32"/>
        </w:rPr>
        <w:t>等</w:t>
      </w:r>
      <w:r>
        <w:rPr>
          <w:rFonts w:eastAsia="仿宋_GB2312"/>
          <w:color w:val="000000"/>
          <w:szCs w:val="32"/>
        </w:rPr>
        <w:t>。</w:t>
      </w:r>
    </w:p>
    <w:p w14:paraId="5615D6EC" w14:textId="77777777" w:rsidR="00215884" w:rsidRDefault="0085653E">
      <w:pPr>
        <w:spacing w:line="500" w:lineRule="exact"/>
        <w:ind w:firstLineChars="200" w:firstLine="640"/>
        <w:rPr>
          <w:rFonts w:eastAsia="仿宋_GB2312"/>
          <w:color w:val="000000"/>
          <w:szCs w:val="32"/>
        </w:rPr>
      </w:pPr>
      <w:r>
        <w:rPr>
          <w:rFonts w:eastAsia="仿宋_GB2312"/>
          <w:snapToGrid w:val="0"/>
          <w:kern w:val="0"/>
          <w:szCs w:val="32"/>
        </w:rPr>
        <w:t>应说明产品临床应用的禁忌证。</w:t>
      </w:r>
    </w:p>
    <w:p w14:paraId="1EE2F6A0"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3.</w:t>
      </w:r>
      <w:r>
        <w:rPr>
          <w:rFonts w:eastAsia="仿宋_GB2312"/>
          <w:color w:val="000000"/>
          <w:szCs w:val="32"/>
        </w:rPr>
        <w:t>包装说明</w:t>
      </w:r>
    </w:p>
    <w:p w14:paraId="041C1845"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说明申报</w:t>
      </w:r>
      <w:r>
        <w:rPr>
          <w:rFonts w:eastAsia="仿宋_GB2312"/>
          <w:color w:val="000000"/>
          <w:szCs w:val="32"/>
        </w:rPr>
        <w:t>产品的包装信息，包括包装形式、包装材料、包装工艺</w:t>
      </w:r>
      <w:r>
        <w:rPr>
          <w:rFonts w:eastAsia="仿宋_GB2312" w:hint="eastAsia"/>
          <w:color w:val="000000"/>
          <w:szCs w:val="32"/>
        </w:rPr>
        <w:t>等。以无菌形式提供的医疗器械，</w:t>
      </w:r>
      <w:r>
        <w:rPr>
          <w:rFonts w:eastAsia="仿宋_GB2312" w:hint="eastAsia"/>
          <w:szCs w:val="32"/>
        </w:rPr>
        <w:t>应当说明其无菌屏障系统的信息</w:t>
      </w:r>
      <w:r>
        <w:rPr>
          <w:rFonts w:eastAsia="仿宋_GB2312"/>
          <w:szCs w:val="32"/>
        </w:rPr>
        <w:t>。</w:t>
      </w:r>
      <w:r>
        <w:rPr>
          <w:rFonts w:eastAsia="仿宋_GB2312" w:hint="eastAsia"/>
          <w:szCs w:val="32"/>
        </w:rPr>
        <w:t>具有微生物限度要求的医疗器械，应当说明保持其微生物指标的包装信息。</w:t>
      </w:r>
      <w:r>
        <w:rPr>
          <w:rFonts w:eastAsia="仿宋_GB2312" w:hint="eastAsia"/>
          <w:color w:val="000000"/>
          <w:szCs w:val="32"/>
        </w:rPr>
        <w:t>说明如何确保最终使用者</w:t>
      </w:r>
      <w:r>
        <w:rPr>
          <w:rFonts w:eastAsia="仿宋_GB2312" w:hint="eastAsia"/>
          <w:color w:val="000000"/>
          <w:szCs w:val="32"/>
        </w:rPr>
        <w:t>可清晰地辨识包装的完整性。</w:t>
      </w:r>
    </w:p>
    <w:p w14:paraId="44DBAEC3" w14:textId="77777777" w:rsidR="00215884" w:rsidRDefault="0085653E">
      <w:pPr>
        <w:spacing w:line="500" w:lineRule="exact"/>
        <w:ind w:firstLineChars="200" w:firstLine="640"/>
        <w:rPr>
          <w:rFonts w:eastAsia="楷体_GB2312"/>
          <w:b/>
          <w:color w:val="000000"/>
          <w:szCs w:val="32"/>
        </w:rPr>
      </w:pPr>
      <w:r>
        <w:rPr>
          <w:rFonts w:eastAsia="楷体_GB2312"/>
          <w:color w:val="000000"/>
          <w:szCs w:val="32"/>
        </w:rPr>
        <w:t>（三）非临床资料</w:t>
      </w:r>
    </w:p>
    <w:p w14:paraId="3ACC4250"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1.</w:t>
      </w:r>
      <w:r>
        <w:rPr>
          <w:rFonts w:eastAsia="仿宋_GB2312"/>
          <w:color w:val="000000"/>
          <w:szCs w:val="32"/>
        </w:rPr>
        <w:t>产品风险管理资料</w:t>
      </w:r>
    </w:p>
    <w:p w14:paraId="4918B7E0" w14:textId="77777777" w:rsidR="00215884" w:rsidRDefault="0085653E">
      <w:pPr>
        <w:overflowPunct w:val="0"/>
        <w:autoSpaceDE w:val="0"/>
        <w:autoSpaceDN w:val="0"/>
        <w:adjustRightInd w:val="0"/>
        <w:spacing w:line="500" w:lineRule="exact"/>
        <w:ind w:firstLineChars="200" w:firstLine="640"/>
        <w:rPr>
          <w:rFonts w:eastAsia="仿宋_GB2312"/>
          <w:kern w:val="0"/>
          <w:szCs w:val="32"/>
          <w:lang w:val="zh-CN"/>
        </w:rPr>
      </w:pPr>
      <w:r>
        <w:rPr>
          <w:rFonts w:eastAsia="仿宋_GB2312" w:hint="eastAsia"/>
          <w:szCs w:val="32"/>
        </w:rPr>
        <w:t>麻醉废气吸附器</w:t>
      </w:r>
      <w:r>
        <w:rPr>
          <w:rFonts w:eastAsia="仿宋_GB2312"/>
          <w:szCs w:val="32"/>
        </w:rPr>
        <w:t>产品的风险管理报告应符合</w:t>
      </w:r>
      <w:r>
        <w:rPr>
          <w:rFonts w:eastAsia="仿宋_GB2312"/>
          <w:szCs w:val="32"/>
        </w:rPr>
        <w:t>GB/T 42062</w:t>
      </w:r>
      <w:r>
        <w:rPr>
          <w:rFonts w:eastAsia="仿宋_GB2312"/>
          <w:szCs w:val="32"/>
        </w:rPr>
        <w:t>《医疗器械</w:t>
      </w:r>
      <w:r>
        <w:rPr>
          <w:rFonts w:eastAsia="仿宋_GB2312"/>
          <w:szCs w:val="32"/>
        </w:rPr>
        <w:t xml:space="preserve"> </w:t>
      </w:r>
      <w:r>
        <w:rPr>
          <w:rFonts w:eastAsia="仿宋_GB2312"/>
          <w:szCs w:val="32"/>
        </w:rPr>
        <w:t>风险管理对医疗器械的应用》的有关要求</w:t>
      </w:r>
      <w:r>
        <w:rPr>
          <w:rFonts w:eastAsia="仿宋_GB2312"/>
          <w:kern w:val="0"/>
          <w:szCs w:val="32"/>
          <w:lang w:val="zh-CN"/>
        </w:rPr>
        <w:t>。注册申请人应重点说明：申报产品的研制阶段</w:t>
      </w:r>
      <w:r>
        <w:rPr>
          <w:rFonts w:eastAsia="仿宋_GB2312" w:hint="eastAsia"/>
          <w:kern w:val="0"/>
          <w:szCs w:val="32"/>
        </w:rPr>
        <w:t>及</w:t>
      </w:r>
      <w:r>
        <w:rPr>
          <w:rFonts w:eastAsia="仿宋_GB2312"/>
          <w:kern w:val="0"/>
          <w:szCs w:val="32"/>
          <w:lang w:val="zh-CN"/>
        </w:rPr>
        <w:t>对有关可能的危害及产生的风险进行了估计和评价，针对性地实施了降低风险的技术和管理方面的措施。产品性能测试对上述措施的有效性进行了部分验证，达到了通用和专用标准的要求。注册申请人对所有剩余风险进行了评价，全部达到可接受的水平。</w:t>
      </w:r>
    </w:p>
    <w:p w14:paraId="5452EAC9" w14:textId="77777777" w:rsidR="00215884" w:rsidRDefault="0085653E">
      <w:pPr>
        <w:overflowPunct w:val="0"/>
        <w:autoSpaceDE w:val="0"/>
        <w:autoSpaceDN w:val="0"/>
        <w:adjustRightInd w:val="0"/>
        <w:spacing w:line="500" w:lineRule="exact"/>
        <w:ind w:firstLineChars="200" w:firstLine="640"/>
        <w:rPr>
          <w:rFonts w:eastAsia="仿宋_GB2312"/>
          <w:kern w:val="0"/>
          <w:szCs w:val="32"/>
          <w:lang w:val="zh-CN"/>
        </w:rPr>
      </w:pPr>
      <w:r>
        <w:rPr>
          <w:rFonts w:eastAsia="仿宋_GB2312"/>
          <w:kern w:val="0"/>
          <w:szCs w:val="32"/>
          <w:lang w:val="zh-CN"/>
        </w:rPr>
        <w:t>产品风险分析资料应为注册申请人关于产品安全性的承诺提供支持。应对申报</w:t>
      </w:r>
      <w:r>
        <w:rPr>
          <w:rFonts w:eastAsia="仿宋_GB2312"/>
          <w:kern w:val="0"/>
          <w:szCs w:val="32"/>
          <w:lang w:val="zh-CN"/>
        </w:rPr>
        <w:t>产品的可能危害进行判定并列出清单（</w:t>
      </w:r>
      <w:r>
        <w:rPr>
          <w:rFonts w:eastAsia="仿宋_GB2312"/>
          <w:kern w:val="0"/>
          <w:szCs w:val="32"/>
        </w:rPr>
        <w:t>详</w:t>
      </w:r>
      <w:r>
        <w:rPr>
          <w:rFonts w:eastAsia="仿宋_GB2312"/>
          <w:kern w:val="0"/>
          <w:szCs w:val="32"/>
          <w:lang w:val="zh-CN"/>
        </w:rPr>
        <w:t>见</w:t>
      </w:r>
      <w:r>
        <w:rPr>
          <w:rFonts w:eastAsia="仿宋_GB2312" w:hint="eastAsia"/>
          <w:kern w:val="0"/>
          <w:szCs w:val="32"/>
        </w:rPr>
        <w:t>附件</w:t>
      </w:r>
      <w:r>
        <w:rPr>
          <w:rFonts w:eastAsia="仿宋_GB2312"/>
          <w:kern w:val="0"/>
          <w:szCs w:val="32"/>
          <w:lang w:val="zh-CN"/>
        </w:rPr>
        <w:t>）。</w:t>
      </w:r>
    </w:p>
    <w:p w14:paraId="0C05F5C4" w14:textId="77777777" w:rsidR="00215884" w:rsidRDefault="0085653E">
      <w:pPr>
        <w:autoSpaceDE w:val="0"/>
        <w:autoSpaceDN w:val="0"/>
        <w:spacing w:line="500" w:lineRule="exact"/>
        <w:ind w:firstLineChars="200" w:firstLine="640"/>
        <w:jc w:val="left"/>
        <w:outlineLvl w:val="2"/>
        <w:rPr>
          <w:rFonts w:eastAsia="仿宋_GB2312"/>
          <w:bCs/>
          <w:szCs w:val="32"/>
        </w:rPr>
      </w:pPr>
      <w:r>
        <w:rPr>
          <w:rFonts w:eastAsia="仿宋_GB2312"/>
          <w:bCs/>
          <w:szCs w:val="32"/>
        </w:rPr>
        <w:t>2.</w:t>
      </w:r>
      <w:r>
        <w:rPr>
          <w:rFonts w:eastAsia="仿宋_GB2312"/>
          <w:bCs/>
          <w:szCs w:val="32"/>
        </w:rPr>
        <w:t>医疗器械安全和性能基本原则清单</w:t>
      </w:r>
    </w:p>
    <w:p w14:paraId="5BB22463" w14:textId="77777777" w:rsidR="00215884" w:rsidRDefault="0085653E">
      <w:pPr>
        <w:pStyle w:val="a9"/>
        <w:spacing w:before="0" w:line="500" w:lineRule="exact"/>
        <w:ind w:firstLineChars="200" w:firstLine="640"/>
        <w:outlineLvl w:val="9"/>
      </w:pPr>
      <w:r>
        <w:rPr>
          <w:rFonts w:ascii="Times New Roman" w:eastAsia="仿宋_GB2312" w:hAnsi="Times New Roman" w:hint="eastAsia"/>
          <w:bCs w:val="0"/>
          <w:kern w:val="0"/>
        </w:rPr>
        <w:lastRenderedPageBreak/>
        <w:t>应提交</w:t>
      </w:r>
      <w:r>
        <w:rPr>
          <w:rFonts w:ascii="Times New Roman" w:eastAsia="仿宋_GB2312" w:hAnsi="Times New Roman"/>
          <w:bCs w:val="0"/>
          <w:kern w:val="0"/>
        </w:rPr>
        <w:t>《医疗器械安全和性能基本原则清单》</w:t>
      </w:r>
      <w:r>
        <w:rPr>
          <w:rFonts w:ascii="Times New Roman" w:eastAsia="仿宋_GB2312" w:hAnsi="Times New Roman" w:hint="eastAsia"/>
          <w:bCs w:val="0"/>
          <w:kern w:val="0"/>
        </w:rPr>
        <w:t>，说明产品符合</w:t>
      </w:r>
      <w:r>
        <w:rPr>
          <w:rFonts w:ascii="Times New Roman" w:eastAsia="仿宋_GB2312" w:hAnsi="Times New Roman"/>
          <w:bCs w:val="0"/>
          <w:kern w:val="0"/>
        </w:rPr>
        <w:t>各项适用要求所采用的方法，以及证明其符合性的文件。对于《医疗器械安全和性能基本原则清单》中不适用的各项要求，应当说明理由。</w:t>
      </w:r>
    </w:p>
    <w:p w14:paraId="5C2ACF0B"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w:t>
      </w:r>
      <w:r>
        <w:rPr>
          <w:rFonts w:eastAsia="仿宋_GB2312"/>
          <w:color w:val="000000"/>
          <w:szCs w:val="32"/>
        </w:rPr>
        <w:t>产品技术要求的主要性能指标</w:t>
      </w:r>
    </w:p>
    <w:p w14:paraId="7155B41B"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产品技术要求需符合</w:t>
      </w:r>
      <w:r>
        <w:rPr>
          <w:rFonts w:eastAsia="仿宋_GB2312"/>
          <w:szCs w:val="32"/>
        </w:rPr>
        <w:t>《医疗器械产品技术要求编写指导原则》</w:t>
      </w:r>
      <w:r>
        <w:rPr>
          <w:rFonts w:eastAsia="仿宋_GB2312" w:hint="eastAsia"/>
          <w:szCs w:val="32"/>
        </w:rPr>
        <w:t>、</w:t>
      </w:r>
      <w:r>
        <w:rPr>
          <w:rFonts w:eastAsia="仿宋_GB2312"/>
          <w:color w:val="000000"/>
          <w:szCs w:val="32"/>
        </w:rPr>
        <w:t>相关国家标准、行业标准和有关法律、法规的相应要求。</w:t>
      </w:r>
      <w:r>
        <w:rPr>
          <w:rFonts w:eastAsia="仿宋_GB2312"/>
          <w:szCs w:val="32"/>
        </w:rPr>
        <w:t>本条款给出需要考虑的产品主要技术指标，如有其他指标，注册申请人结合相应的标准、</w:t>
      </w:r>
      <w:r>
        <w:rPr>
          <w:rFonts w:eastAsia="仿宋_GB2312"/>
          <w:color w:val="000000"/>
          <w:szCs w:val="32"/>
        </w:rPr>
        <w:t>产品设计特点及临床应用进行制</w:t>
      </w:r>
      <w:r>
        <w:rPr>
          <w:rFonts w:eastAsia="仿宋_GB2312"/>
          <w:szCs w:val="32"/>
        </w:rPr>
        <w:t>定。注册申请人如不采用以下条款（包括国家标准、行业标准要求），应当说明理由。</w:t>
      </w:r>
    </w:p>
    <w:p w14:paraId="7FEB6B36"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.1</w:t>
      </w:r>
      <w:r>
        <w:rPr>
          <w:rFonts w:eastAsia="仿宋_GB2312"/>
          <w:color w:val="000000"/>
          <w:szCs w:val="32"/>
        </w:rPr>
        <w:t>产品型号</w:t>
      </w:r>
      <w:r>
        <w:rPr>
          <w:rFonts w:eastAsia="仿宋_GB2312"/>
          <w:color w:val="000000"/>
          <w:szCs w:val="32"/>
        </w:rPr>
        <w:t>/</w:t>
      </w:r>
      <w:r>
        <w:rPr>
          <w:rFonts w:eastAsia="仿宋_GB2312"/>
          <w:color w:val="000000"/>
          <w:szCs w:val="32"/>
        </w:rPr>
        <w:t>规格及其划分的说明</w:t>
      </w:r>
    </w:p>
    <w:p w14:paraId="057CFD1E" w14:textId="77777777" w:rsidR="00215884" w:rsidRDefault="0085653E">
      <w:pPr>
        <w:spacing w:line="500" w:lineRule="exact"/>
        <w:ind w:firstLineChars="200" w:firstLine="640"/>
        <w:jc w:val="left"/>
        <w:rPr>
          <w:rFonts w:eastAsia="仿宋_GB2312"/>
          <w:color w:val="000000"/>
          <w:szCs w:val="32"/>
        </w:rPr>
      </w:pPr>
      <w:r>
        <w:rPr>
          <w:rFonts w:eastAsia="仿宋_GB2312" w:hint="eastAsia"/>
          <w:color w:val="000000"/>
          <w:szCs w:val="32"/>
        </w:rPr>
        <w:t>应</w:t>
      </w:r>
      <w:r>
        <w:rPr>
          <w:rFonts w:eastAsia="仿宋_GB2312"/>
          <w:color w:val="000000"/>
          <w:szCs w:val="32"/>
        </w:rPr>
        <w:t>说明产品的型号、规格，明确产品型号、规格的划分说明。</w:t>
      </w:r>
    </w:p>
    <w:p w14:paraId="27071D2D"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.2</w:t>
      </w:r>
      <w:r>
        <w:rPr>
          <w:rFonts w:eastAsia="仿宋_GB2312"/>
          <w:color w:val="000000"/>
          <w:szCs w:val="32"/>
        </w:rPr>
        <w:t>性能指标</w:t>
      </w:r>
    </w:p>
    <w:p w14:paraId="56F70071"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产品技术要求的主要性能指标需包括以下适用内容：</w:t>
      </w:r>
    </w:p>
    <w:p w14:paraId="5CD8D8A0"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外观与尺寸、过滤介质填充量、过滤介质颗粒直径、吸附性能、气流阻力、密封性、气体泄漏等。</w:t>
      </w:r>
    </w:p>
    <w:p w14:paraId="05FB4958"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.3</w:t>
      </w:r>
      <w:r>
        <w:rPr>
          <w:rFonts w:eastAsia="仿宋_GB2312" w:hint="eastAsia"/>
          <w:color w:val="000000"/>
          <w:szCs w:val="32"/>
        </w:rPr>
        <w:t>产品检验报告</w:t>
      </w:r>
    </w:p>
    <w:p w14:paraId="143978EF" w14:textId="77777777" w:rsidR="00215884" w:rsidRDefault="0085653E">
      <w:pPr>
        <w:pStyle w:val="10"/>
        <w:spacing w:line="500" w:lineRule="exact"/>
        <w:ind w:firstLine="640"/>
        <w:rPr>
          <w:kern w:val="0"/>
        </w:rPr>
      </w:pPr>
      <w:r>
        <w:rPr>
          <w:rFonts w:hint="eastAsia"/>
          <w:kern w:val="0"/>
        </w:rPr>
        <w:t>注册申请人应按照产品技术要求进行检验，并提交检验报告。</w:t>
      </w:r>
      <w:r>
        <w:rPr>
          <w:rFonts w:hint="eastAsia"/>
          <w:kern w:val="0"/>
        </w:rPr>
        <w:t>可以是</w:t>
      </w:r>
      <w:r>
        <w:rPr>
          <w:rFonts w:hint="eastAsia"/>
          <w:lang w:val="zh-TW" w:eastAsia="zh-TW"/>
        </w:rPr>
        <w:t>注册申请人出具的自检报告或委托有资质的医疗器械检验机构出具的检验报告。若提交自检报告，按照《医疗器械自检管理规定》的要求提供相关资料</w:t>
      </w:r>
      <w:r>
        <w:rPr>
          <w:rFonts w:hint="eastAsia"/>
          <w:lang w:val="zh-TW"/>
        </w:rPr>
        <w:t>。</w:t>
      </w:r>
      <w:bookmarkStart w:id="0" w:name="_GoBack"/>
      <w:bookmarkEnd w:id="0"/>
      <w:r>
        <w:rPr>
          <w:rFonts w:hint="eastAsia"/>
          <w:szCs w:val="20"/>
        </w:rPr>
        <w:t>如选用典型性型号检验，</w:t>
      </w:r>
      <w:r>
        <w:rPr>
          <w:rFonts w:hint="eastAsia"/>
          <w:kern w:val="0"/>
        </w:rPr>
        <w:t>应说明检验用型号规格的典型性。</w:t>
      </w:r>
    </w:p>
    <w:p w14:paraId="58704282" w14:textId="77777777" w:rsidR="00215884" w:rsidRDefault="0085653E">
      <w:pPr>
        <w:pStyle w:val="10"/>
        <w:spacing w:line="500" w:lineRule="exact"/>
        <w:ind w:firstLine="640"/>
        <w:rPr>
          <w:color w:val="000000"/>
        </w:rPr>
      </w:pPr>
      <w:r>
        <w:rPr>
          <w:color w:val="000000"/>
        </w:rPr>
        <w:lastRenderedPageBreak/>
        <w:t>3.</w:t>
      </w:r>
      <w:r>
        <w:rPr>
          <w:rFonts w:hint="eastAsia"/>
          <w:color w:val="000000"/>
        </w:rPr>
        <w:t>4</w:t>
      </w:r>
      <w:r>
        <w:rPr>
          <w:color w:val="000000"/>
        </w:rPr>
        <w:t>同一注册单元内检验典型性产品确定原则</w:t>
      </w:r>
    </w:p>
    <w:p w14:paraId="65B466D1"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同一注册单元内所检验的产品应当能够代表本注册单元内其他产品的安全性和有效性，并提供典型性检验样品的确定依据。</w:t>
      </w:r>
    </w:p>
    <w:p w14:paraId="54D947DA"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4.</w:t>
      </w:r>
      <w:r>
        <w:rPr>
          <w:rFonts w:eastAsia="仿宋_GB2312"/>
          <w:color w:val="000000"/>
          <w:szCs w:val="32"/>
        </w:rPr>
        <w:t>研究资料</w:t>
      </w:r>
    </w:p>
    <w:p w14:paraId="2EA64D90" w14:textId="77777777" w:rsidR="00215884" w:rsidRDefault="0085653E">
      <w:pPr>
        <w:spacing w:line="500" w:lineRule="exact"/>
        <w:ind w:firstLineChars="200" w:firstLine="640"/>
        <w:jc w:val="left"/>
        <w:rPr>
          <w:rFonts w:eastAsia="仿宋_GB2312"/>
          <w:color w:val="000000"/>
          <w:szCs w:val="32"/>
        </w:rPr>
      </w:pPr>
      <w:r>
        <w:rPr>
          <w:rFonts w:eastAsia="仿宋_GB2312"/>
          <w:color w:val="000000"/>
          <w:szCs w:val="32"/>
        </w:rPr>
        <w:t>4.1</w:t>
      </w:r>
      <w:r>
        <w:rPr>
          <w:rFonts w:eastAsia="仿宋_GB2312" w:hint="eastAsia"/>
          <w:color w:val="000000"/>
          <w:szCs w:val="32"/>
        </w:rPr>
        <w:t>性能研究</w:t>
      </w:r>
    </w:p>
    <w:p w14:paraId="3CFA5F36"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应当提供产品化学</w:t>
      </w:r>
      <w:r>
        <w:rPr>
          <w:rFonts w:eastAsia="仿宋_GB2312"/>
          <w:color w:val="000000"/>
          <w:szCs w:val="32"/>
        </w:rPr>
        <w:t>/</w:t>
      </w:r>
      <w:r>
        <w:rPr>
          <w:rFonts w:eastAsia="仿宋_GB2312"/>
          <w:color w:val="000000"/>
          <w:szCs w:val="32"/>
        </w:rPr>
        <w:t>材料表征、</w:t>
      </w:r>
      <w:r>
        <w:rPr>
          <w:rFonts w:eastAsia="仿宋_GB2312" w:hint="eastAsia"/>
          <w:color w:val="000000"/>
          <w:szCs w:val="32"/>
        </w:rPr>
        <w:t>物理和</w:t>
      </w:r>
      <w:r>
        <w:rPr>
          <w:rFonts w:eastAsia="仿宋_GB2312" w:hint="eastAsia"/>
          <w:color w:val="000000"/>
          <w:szCs w:val="32"/>
        </w:rPr>
        <w:t>/</w:t>
      </w:r>
      <w:r>
        <w:rPr>
          <w:rFonts w:eastAsia="仿宋_GB2312" w:hint="eastAsia"/>
          <w:color w:val="000000"/>
          <w:szCs w:val="32"/>
        </w:rPr>
        <w:t>或机械性能指标</w:t>
      </w:r>
      <w:r>
        <w:rPr>
          <w:rFonts w:eastAsia="仿宋_GB2312"/>
          <w:color w:val="000000"/>
          <w:szCs w:val="32"/>
        </w:rPr>
        <w:t>及检验方法的确定依据</w:t>
      </w:r>
      <w:r>
        <w:rPr>
          <w:rFonts w:eastAsia="仿宋_GB2312" w:hint="eastAsia"/>
          <w:color w:val="000000"/>
          <w:szCs w:val="32"/>
        </w:rPr>
        <w:t>，</w:t>
      </w:r>
      <w:r>
        <w:rPr>
          <w:rFonts w:eastAsia="仿宋_GB2312" w:hint="eastAsia"/>
          <w:szCs w:val="20"/>
        </w:rPr>
        <w:t>设计输入来源以及临床意义，</w:t>
      </w:r>
      <w:r>
        <w:rPr>
          <w:rFonts w:eastAsia="仿宋_GB2312"/>
          <w:szCs w:val="32"/>
        </w:rPr>
        <w:t>所采用的标准或方法、采用的原因及理论基础。</w:t>
      </w:r>
    </w:p>
    <w:p w14:paraId="6C23628C"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2</w:t>
      </w:r>
      <w:r>
        <w:rPr>
          <w:rFonts w:eastAsia="仿宋_GB2312"/>
          <w:color w:val="000000"/>
          <w:szCs w:val="32"/>
        </w:rPr>
        <w:t>生物学特性研究</w:t>
      </w:r>
    </w:p>
    <w:p w14:paraId="24887D16" w14:textId="77777777" w:rsidR="00215884" w:rsidRDefault="0085653E">
      <w:pPr>
        <w:snapToGrid w:val="0"/>
        <w:spacing w:line="500" w:lineRule="exact"/>
        <w:ind w:firstLineChars="200" w:firstLine="640"/>
        <w:rPr>
          <w:rFonts w:eastAsia="仿宋_GB2312"/>
          <w:szCs w:val="32"/>
        </w:rPr>
      </w:pPr>
      <w:r>
        <w:rPr>
          <w:rFonts w:eastAsia="仿宋_GB2312" w:hint="eastAsia"/>
          <w:szCs w:val="32"/>
        </w:rPr>
        <w:t>如产品不直接或间接与人体接触则无需提供生物相容性研究资料。如产品通过气路间接与人体接触</w:t>
      </w:r>
      <w:r>
        <w:rPr>
          <w:rFonts w:eastAsia="仿宋_GB2312"/>
          <w:szCs w:val="32"/>
        </w:rPr>
        <w:t>生物相容性评价研究资料应当包括：生物相容性评价的依据和方法；产品所用材料的描述与人体接触的性质；实施或豁免生物学试验的理由和论证；对于现有数据或试验结果的评价。产品首次注册时应根据产品所用材料及与人体的接触性质、接触时间，参照</w:t>
      </w:r>
      <w:r>
        <w:rPr>
          <w:rFonts w:eastAsia="仿宋_GB2312"/>
          <w:szCs w:val="32"/>
        </w:rPr>
        <w:t>GB/T 16886</w:t>
      </w:r>
      <w:r>
        <w:rPr>
          <w:rFonts w:eastAsia="仿宋_GB2312"/>
          <w:szCs w:val="32"/>
        </w:rPr>
        <w:t>系列标准、</w:t>
      </w:r>
      <w:r>
        <w:rPr>
          <w:rFonts w:eastAsia="仿宋_GB2312"/>
          <w:szCs w:val="32"/>
        </w:rPr>
        <w:t>YY/T 1778.1</w:t>
      </w:r>
      <w:r>
        <w:rPr>
          <w:rFonts w:eastAsia="仿宋_GB2312" w:hint="eastAsia"/>
          <w:szCs w:val="32"/>
        </w:rPr>
        <w:t>的要求对其进行生物相容性评价。</w:t>
      </w:r>
    </w:p>
    <w:p w14:paraId="233381F2" w14:textId="77777777" w:rsidR="00215884" w:rsidRDefault="0085653E">
      <w:pPr>
        <w:spacing w:line="500" w:lineRule="exact"/>
        <w:ind w:left="10" w:firstLineChars="200" w:firstLine="640"/>
        <w:rPr>
          <w:rFonts w:eastAsia="仿宋_GB2312"/>
        </w:rPr>
      </w:pPr>
      <w:r>
        <w:rPr>
          <w:rFonts w:eastAsia="仿宋_GB2312" w:hint="eastAsia"/>
        </w:rPr>
        <w:t xml:space="preserve">4.3 </w:t>
      </w:r>
      <w:r>
        <w:rPr>
          <w:rFonts w:eastAsia="仿宋_GB2312" w:hint="eastAsia"/>
        </w:rPr>
        <w:t>可用性工程研究</w:t>
      </w:r>
    </w:p>
    <w:p w14:paraId="0A0CE94C" w14:textId="77777777" w:rsidR="00215884" w:rsidRDefault="0085653E">
      <w:pPr>
        <w:spacing w:line="500" w:lineRule="exact"/>
        <w:ind w:left="10" w:firstLineChars="200" w:firstLine="640"/>
        <w:rPr>
          <w:rFonts w:eastAsia="仿宋_GB2312"/>
        </w:rPr>
      </w:pPr>
      <w:r>
        <w:rPr>
          <w:rFonts w:eastAsia="仿宋_GB2312" w:hint="eastAsia"/>
        </w:rPr>
        <w:t>应参照《医疗器械可用性工程</w:t>
      </w:r>
      <w:r>
        <w:rPr>
          <w:rFonts w:eastAsia="仿宋_GB2312" w:hint="eastAsia"/>
        </w:rPr>
        <w:t>注册审查指导原则》提供相应资料。</w:t>
      </w:r>
    </w:p>
    <w:p w14:paraId="2C5ECDEB"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4</w:t>
      </w:r>
      <w:r>
        <w:rPr>
          <w:rFonts w:eastAsia="仿宋_GB2312"/>
          <w:color w:val="000000"/>
          <w:szCs w:val="32"/>
        </w:rPr>
        <w:t>稳定性研究</w:t>
      </w:r>
    </w:p>
    <w:p w14:paraId="4C0E8AE2"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4</w:t>
      </w:r>
      <w:r>
        <w:rPr>
          <w:rFonts w:eastAsia="仿宋_GB2312"/>
          <w:color w:val="000000"/>
          <w:szCs w:val="32"/>
        </w:rPr>
        <w:t>.1</w:t>
      </w:r>
      <w:r>
        <w:rPr>
          <w:rFonts w:eastAsia="仿宋_GB2312"/>
          <w:color w:val="000000"/>
          <w:szCs w:val="32"/>
        </w:rPr>
        <w:t>货架有效期</w:t>
      </w:r>
    </w:p>
    <w:p w14:paraId="64F2EA20" w14:textId="77777777" w:rsidR="00215884" w:rsidRDefault="0085653E">
      <w:pPr>
        <w:pStyle w:val="3"/>
        <w:spacing w:line="500" w:lineRule="exact"/>
        <w:ind w:firstLine="640"/>
        <w:rPr>
          <w:rFonts w:ascii="Times New Roman" w:eastAsia="仿宋_GB2312" w:hAnsi="Times New Roman"/>
          <w:kern w:val="2"/>
          <w:szCs w:val="32"/>
        </w:rPr>
      </w:pPr>
      <w:r>
        <w:rPr>
          <w:rFonts w:ascii="Times New Roman" w:eastAsia="仿宋_GB2312" w:hAnsi="Times New Roman"/>
          <w:kern w:val="2"/>
          <w:szCs w:val="32"/>
        </w:rPr>
        <w:lastRenderedPageBreak/>
        <w:t>应提供货架有效期研究资料，证明在货架有效期内，产品可保持性能功能满足使用要求。产品有效期验证可采用加速老化或实时老化的研究，实时老化的研究是唯一能够反映产品在规定储存条件下实际稳定性要求的方法，应遵循极限试验等原则；当加速稳定性试验与实时稳定性试验结果不一致时，应以实时稳定性试验结果为准。</w:t>
      </w:r>
      <w:r>
        <w:rPr>
          <w:rFonts w:ascii="Times New Roman" w:eastAsia="仿宋_GB2312" w:hAnsi="Times New Roman" w:hint="eastAsia"/>
          <w:kern w:val="2"/>
          <w:szCs w:val="32"/>
        </w:rPr>
        <w:t>进行货架效期研究时应重点关注产品自身老化以及包装破损导致的产品失效。</w:t>
      </w:r>
    </w:p>
    <w:p w14:paraId="560CA84A" w14:textId="77777777" w:rsidR="00215884" w:rsidRDefault="0085653E">
      <w:pPr>
        <w:pStyle w:val="3"/>
        <w:spacing w:line="500" w:lineRule="exact"/>
        <w:ind w:firstLine="640"/>
        <w:rPr>
          <w:rFonts w:ascii="Times New Roman" w:eastAsia="仿宋_GB2312" w:hAnsi="Times New Roman"/>
          <w:kern w:val="2"/>
          <w:szCs w:val="32"/>
        </w:rPr>
      </w:pPr>
      <w:r>
        <w:rPr>
          <w:rFonts w:ascii="Times New Roman" w:eastAsia="仿宋_GB2312" w:hAnsi="Times New Roman" w:hint="eastAsia"/>
          <w:kern w:val="2"/>
          <w:szCs w:val="32"/>
        </w:rPr>
        <w:t>应结合麻醉废气吸附器的吸附性能、使用环境、麻醉气体吸附浓度提供产品使用寿命验证</w:t>
      </w:r>
      <w:r>
        <w:rPr>
          <w:rFonts w:ascii="Times New Roman" w:eastAsia="仿宋_GB2312" w:hAnsi="Times New Roman" w:hint="eastAsia"/>
          <w:kern w:val="2"/>
          <w:szCs w:val="32"/>
        </w:rPr>
        <w:t>资料。</w:t>
      </w:r>
    </w:p>
    <w:p w14:paraId="3EA0F07B"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4</w:t>
      </w:r>
      <w:r>
        <w:rPr>
          <w:rFonts w:eastAsia="仿宋_GB2312"/>
          <w:color w:val="000000"/>
          <w:szCs w:val="32"/>
        </w:rPr>
        <w:t>.2</w:t>
      </w:r>
      <w:r>
        <w:rPr>
          <w:rFonts w:eastAsia="仿宋_GB2312"/>
          <w:color w:val="000000"/>
          <w:szCs w:val="32"/>
        </w:rPr>
        <w:t>运输稳定性</w:t>
      </w:r>
    </w:p>
    <w:p w14:paraId="3F36711B"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注册申请人需提交运输稳定性验证资料，证明在规定的运输条件下，运输过程中环境条件（例如：震动、振动、温度和湿度的波动）不会对医疗器械的特性和性能，包括完整性和清洁度，造成不利影响。</w:t>
      </w:r>
    </w:p>
    <w:p w14:paraId="269DEB28" w14:textId="77777777" w:rsidR="00215884" w:rsidRDefault="0085653E">
      <w:pPr>
        <w:spacing w:line="50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5</w:t>
      </w:r>
      <w:r>
        <w:rPr>
          <w:rFonts w:eastAsia="仿宋_GB2312" w:hint="eastAsia"/>
          <w:color w:val="000000"/>
          <w:szCs w:val="32"/>
        </w:rPr>
        <w:t>其他资料</w:t>
      </w:r>
    </w:p>
    <w:p w14:paraId="135328EA"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对于符合</w:t>
      </w:r>
      <w:r>
        <w:rPr>
          <w:rFonts w:eastAsia="仿宋_GB2312"/>
          <w:color w:val="000000"/>
          <w:szCs w:val="32"/>
        </w:rPr>
        <w:t>列入《免于进行临床评价医疗器械目录》（以下简称《目录》）</w:t>
      </w:r>
      <w:r>
        <w:rPr>
          <w:rFonts w:eastAsia="仿宋_GB2312" w:hint="eastAsia"/>
          <w:color w:val="000000"/>
          <w:szCs w:val="32"/>
        </w:rPr>
        <w:t>中</w:t>
      </w:r>
      <w:r>
        <w:rPr>
          <w:rFonts w:eastAsia="仿宋_GB2312"/>
          <w:color w:val="000000"/>
          <w:szCs w:val="32"/>
        </w:rPr>
        <w:t>分类编码为</w:t>
      </w:r>
      <w:r>
        <w:rPr>
          <w:rFonts w:eastAsia="仿宋_GB2312"/>
          <w:color w:val="000000"/>
          <w:szCs w:val="32"/>
        </w:rPr>
        <w:t>08-0</w:t>
      </w:r>
      <w:r>
        <w:rPr>
          <w:rFonts w:eastAsia="仿宋_GB2312" w:hint="eastAsia"/>
          <w:color w:val="000000"/>
          <w:szCs w:val="32"/>
        </w:rPr>
        <w:t>5</w:t>
      </w:r>
      <w:r>
        <w:rPr>
          <w:rFonts w:eastAsia="仿宋_GB2312"/>
          <w:color w:val="000000"/>
          <w:szCs w:val="32"/>
        </w:rPr>
        <w:t>-</w:t>
      </w:r>
      <w:r>
        <w:rPr>
          <w:rFonts w:eastAsia="仿宋_GB2312" w:hint="eastAsia"/>
          <w:color w:val="000000"/>
          <w:szCs w:val="32"/>
        </w:rPr>
        <w:t>09</w:t>
      </w:r>
      <w:r>
        <w:rPr>
          <w:rFonts w:eastAsia="仿宋_GB2312"/>
          <w:color w:val="000000"/>
          <w:szCs w:val="32"/>
        </w:rPr>
        <w:t>的</w:t>
      </w:r>
      <w:r>
        <w:rPr>
          <w:rFonts w:eastAsia="仿宋_GB2312" w:hint="eastAsia"/>
          <w:color w:val="000000"/>
          <w:szCs w:val="32"/>
        </w:rPr>
        <w:t>一次性使用麻醉废气吸附器产品</w:t>
      </w:r>
      <w:r>
        <w:rPr>
          <w:rFonts w:eastAsia="仿宋_GB2312"/>
          <w:color w:val="000000"/>
          <w:szCs w:val="32"/>
        </w:rPr>
        <w:t>，注册申请人需提交申报产品相关信息与《目录》所述内容的对比资料，和申报产品与已获准境内注册的《目录》中医疗器械的对比表，可参照《列入免于临床评价医疗器械目录产品对比说明技术指导原则》</w:t>
      </w:r>
      <w:r>
        <w:rPr>
          <w:rFonts w:eastAsia="仿宋_GB2312" w:hint="eastAsia"/>
          <w:color w:val="000000"/>
          <w:szCs w:val="32"/>
        </w:rPr>
        <w:t>的要求</w:t>
      </w:r>
      <w:r>
        <w:rPr>
          <w:rFonts w:eastAsia="仿宋_GB2312"/>
          <w:color w:val="000000"/>
          <w:szCs w:val="32"/>
        </w:rPr>
        <w:t>提交具体资料。</w:t>
      </w:r>
    </w:p>
    <w:p w14:paraId="78554224" w14:textId="77777777" w:rsidR="00215884" w:rsidRDefault="0085653E">
      <w:pPr>
        <w:spacing w:line="500" w:lineRule="exact"/>
        <w:ind w:firstLineChars="200" w:firstLine="640"/>
        <w:rPr>
          <w:rFonts w:eastAsia="楷体_GB2312"/>
          <w:color w:val="000000"/>
          <w:szCs w:val="32"/>
        </w:rPr>
      </w:pPr>
      <w:r>
        <w:rPr>
          <w:rFonts w:eastAsia="楷体_GB2312"/>
          <w:color w:val="000000"/>
          <w:szCs w:val="32"/>
        </w:rPr>
        <w:t>（四）临床评价资料</w:t>
      </w:r>
    </w:p>
    <w:p w14:paraId="79D75490" w14:textId="77777777" w:rsidR="00215884" w:rsidRDefault="0085653E">
      <w:pPr>
        <w:spacing w:line="500" w:lineRule="exact"/>
        <w:ind w:firstLineChars="200" w:firstLine="640"/>
        <w:rPr>
          <w:rFonts w:eastAsia="仿宋_GB2312"/>
          <w:szCs w:val="32"/>
        </w:rPr>
      </w:pPr>
      <w:r>
        <w:rPr>
          <w:rFonts w:eastAsia="仿宋_GB2312"/>
          <w:szCs w:val="32"/>
        </w:rPr>
        <w:lastRenderedPageBreak/>
        <w:t>若无法证明申报产品与《免于临床评价医疗器械目录》所述的产品具有等同性，</w:t>
      </w:r>
      <w:r>
        <w:rPr>
          <w:rFonts w:eastAsia="仿宋_GB2312" w:hint="eastAsia"/>
          <w:szCs w:val="32"/>
        </w:rPr>
        <w:t>则应按照《医疗器械临床评价技术指导原则》提交临床评价资料。</w:t>
      </w:r>
    </w:p>
    <w:p w14:paraId="54D41152" w14:textId="77777777" w:rsidR="00215884" w:rsidRDefault="0085653E">
      <w:pPr>
        <w:spacing w:line="500" w:lineRule="exact"/>
        <w:ind w:firstLineChars="200" w:firstLine="640"/>
        <w:rPr>
          <w:rFonts w:eastAsia="楷体_GB2312"/>
          <w:color w:val="000000"/>
          <w:szCs w:val="32"/>
        </w:rPr>
      </w:pPr>
      <w:r>
        <w:rPr>
          <w:rFonts w:eastAsia="楷体_GB2312"/>
          <w:color w:val="000000"/>
          <w:szCs w:val="32"/>
        </w:rPr>
        <w:t>（五）产品说明书和标签样稿</w:t>
      </w:r>
    </w:p>
    <w:p w14:paraId="66A95E1D" w14:textId="77777777" w:rsidR="00215884" w:rsidRDefault="0085653E">
      <w:pPr>
        <w:spacing w:line="500" w:lineRule="exact"/>
        <w:ind w:firstLineChars="200" w:firstLine="640"/>
        <w:rPr>
          <w:rFonts w:eastAsia="仿宋_GB2312"/>
          <w:szCs w:val="32"/>
        </w:rPr>
      </w:pPr>
      <w:r>
        <w:rPr>
          <w:rFonts w:eastAsia="仿宋_GB2312" w:hint="eastAsia"/>
          <w:color w:val="000000"/>
          <w:szCs w:val="32"/>
        </w:rPr>
        <w:t>产品说明书、标签应符合《医疗器械说明书和标签管理规定》（国家食品药品监督管理总局令第</w:t>
      </w:r>
      <w:r>
        <w:rPr>
          <w:rFonts w:eastAsia="仿宋_GB2312" w:hint="eastAsia"/>
          <w:color w:val="000000"/>
          <w:szCs w:val="32"/>
        </w:rPr>
        <w:t>6</w:t>
      </w:r>
      <w:r>
        <w:rPr>
          <w:rFonts w:eastAsia="仿宋_GB2312" w:hint="eastAsia"/>
          <w:color w:val="000000"/>
          <w:szCs w:val="32"/>
        </w:rPr>
        <w:t>号）的要求，其中标识符号符合</w:t>
      </w:r>
      <w:r>
        <w:rPr>
          <w:rFonts w:eastAsia="仿宋_GB2312" w:hint="eastAsia"/>
          <w:color w:val="000000"/>
          <w:szCs w:val="32"/>
        </w:rPr>
        <w:t xml:space="preserve">YY/T </w:t>
      </w:r>
      <w:r>
        <w:rPr>
          <w:rFonts w:eastAsia="仿宋_GB2312" w:hint="eastAsia"/>
          <w:color w:val="000000"/>
          <w:szCs w:val="32"/>
        </w:rPr>
        <w:t>0466.1</w:t>
      </w:r>
      <w:r>
        <w:rPr>
          <w:rFonts w:eastAsia="仿宋_GB2312" w:hint="eastAsia"/>
          <w:color w:val="000000"/>
          <w:szCs w:val="32"/>
        </w:rPr>
        <w:t>《医疗器械用于医疗器械标签、标记和提供信息的符号》等相关标准。所提交的文本和标签样稿应内容清晰、完整。说明书中的适用范围、禁忌证、注意事项、警示信息、有效期等信息应与产品综述资料、研究资料中所描述及验证的内容一致。</w:t>
      </w:r>
      <w:r>
        <w:rPr>
          <w:rFonts w:eastAsia="仿宋_GB2312"/>
          <w:color w:val="000000"/>
          <w:szCs w:val="32"/>
        </w:rPr>
        <w:t>应注意以下内容：</w:t>
      </w:r>
    </w:p>
    <w:p w14:paraId="0A8C6AE3"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1.</w:t>
      </w:r>
      <w:r>
        <w:rPr>
          <w:rFonts w:eastAsia="仿宋_GB2312" w:hint="eastAsia"/>
          <w:color w:val="000000"/>
          <w:szCs w:val="32"/>
        </w:rPr>
        <w:t>产品的结构组成及主要性能指标应与产品技术要求内容一致。</w:t>
      </w:r>
    </w:p>
    <w:p w14:paraId="47ED2C9A"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2.</w:t>
      </w:r>
      <w:r>
        <w:rPr>
          <w:rFonts w:eastAsia="仿宋_GB2312" w:hint="eastAsia"/>
          <w:color w:val="000000"/>
          <w:szCs w:val="32"/>
        </w:rPr>
        <w:t>应标明产品的货架有效期，严禁使用超过货架有效期的产品。</w:t>
      </w:r>
    </w:p>
    <w:p w14:paraId="70D4FB3D"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3.</w:t>
      </w:r>
      <w:r>
        <w:rPr>
          <w:rFonts w:eastAsia="仿宋_GB2312" w:hint="eastAsia"/>
          <w:color w:val="000000"/>
          <w:szCs w:val="32"/>
        </w:rPr>
        <w:t>产品与配套使用的医疗器械进行连接时，应确认接头已正确连接和拧紧。</w:t>
      </w:r>
    </w:p>
    <w:p w14:paraId="35B7578F"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4.</w:t>
      </w:r>
      <w:r>
        <w:rPr>
          <w:rFonts w:eastAsia="仿宋_GB2312" w:hint="eastAsia"/>
          <w:color w:val="000000"/>
          <w:szCs w:val="32"/>
        </w:rPr>
        <w:t>一次性使用产品应当注明，并明确禁止重复使用。</w:t>
      </w:r>
    </w:p>
    <w:p w14:paraId="55A6E14A"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5.</w:t>
      </w:r>
      <w:r>
        <w:rPr>
          <w:rFonts w:eastAsia="仿宋_GB2312" w:hint="eastAsia"/>
          <w:color w:val="000000"/>
          <w:szCs w:val="32"/>
        </w:rPr>
        <w:t>明确产品的使用寿命。</w:t>
      </w:r>
    </w:p>
    <w:p w14:paraId="7E1DB3A3"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6</w:t>
      </w:r>
      <w:r>
        <w:rPr>
          <w:rFonts w:eastAsia="仿宋_GB2312" w:hint="eastAsia"/>
          <w:color w:val="000000"/>
          <w:szCs w:val="32"/>
        </w:rPr>
        <w:t>.</w:t>
      </w:r>
      <w:r>
        <w:rPr>
          <w:rFonts w:eastAsia="仿宋_GB2312" w:hint="eastAsia"/>
          <w:color w:val="000000"/>
          <w:szCs w:val="32"/>
        </w:rPr>
        <w:t>明确产品的储存、运输要求。</w:t>
      </w:r>
    </w:p>
    <w:p w14:paraId="548179A9" w14:textId="77777777" w:rsidR="00215884" w:rsidRDefault="0085653E">
      <w:pPr>
        <w:snapToGrid w:val="0"/>
        <w:spacing w:line="500" w:lineRule="exact"/>
        <w:ind w:firstLineChars="200" w:firstLine="640"/>
      </w:pPr>
      <w:r>
        <w:rPr>
          <w:rFonts w:eastAsia="仿宋_GB2312" w:hint="eastAsia"/>
          <w:color w:val="000000"/>
          <w:szCs w:val="32"/>
        </w:rPr>
        <w:t>7</w:t>
      </w:r>
      <w:r>
        <w:rPr>
          <w:rFonts w:eastAsia="仿宋_GB2312"/>
          <w:color w:val="000000"/>
          <w:szCs w:val="32"/>
        </w:rPr>
        <w:t>.</w:t>
      </w:r>
      <w:r>
        <w:rPr>
          <w:rFonts w:eastAsia="仿宋_GB2312"/>
          <w:color w:val="000000"/>
          <w:szCs w:val="32"/>
        </w:rPr>
        <w:t>使用前检查包装是否完好，如有破损，严禁使用。</w:t>
      </w:r>
    </w:p>
    <w:p w14:paraId="06253592" w14:textId="77777777" w:rsidR="00215884" w:rsidRDefault="0085653E">
      <w:pPr>
        <w:spacing w:line="500" w:lineRule="exact"/>
        <w:ind w:firstLineChars="200" w:firstLine="640"/>
        <w:rPr>
          <w:rFonts w:eastAsia="仿宋_GB2312"/>
          <w:color w:val="000000"/>
          <w:szCs w:val="32"/>
        </w:rPr>
      </w:pPr>
      <w:r>
        <w:rPr>
          <w:rFonts w:eastAsia="仿宋_GB2312" w:hint="eastAsia"/>
          <w:color w:val="000000"/>
          <w:szCs w:val="32"/>
        </w:rPr>
        <w:t>8.</w:t>
      </w:r>
      <w:r>
        <w:rPr>
          <w:rFonts w:eastAsia="仿宋_GB2312" w:hint="eastAsia"/>
          <w:color w:val="000000"/>
          <w:szCs w:val="32"/>
        </w:rPr>
        <w:t>产品使用后，应按照《医疗废物管理条例》的要求处理。</w:t>
      </w:r>
    </w:p>
    <w:p w14:paraId="5C84C81A" w14:textId="77777777" w:rsidR="00215884" w:rsidRDefault="0085653E">
      <w:pPr>
        <w:spacing w:line="500" w:lineRule="exact"/>
        <w:ind w:firstLineChars="200" w:firstLine="640"/>
        <w:rPr>
          <w:rFonts w:eastAsia="楷体_GB2312"/>
          <w:color w:val="000000"/>
          <w:szCs w:val="32"/>
        </w:rPr>
      </w:pPr>
      <w:r>
        <w:rPr>
          <w:rFonts w:eastAsia="楷体_GB2312"/>
          <w:color w:val="000000"/>
          <w:szCs w:val="32"/>
        </w:rPr>
        <w:lastRenderedPageBreak/>
        <w:t>（六）质量管理体系文件</w:t>
      </w:r>
    </w:p>
    <w:p w14:paraId="6CFD71C6" w14:textId="77777777" w:rsidR="00215884" w:rsidRDefault="0085653E">
      <w:pPr>
        <w:pStyle w:val="1"/>
        <w:spacing w:line="500" w:lineRule="exact"/>
        <w:ind w:leftChars="0" w:left="0" w:firstLineChars="200" w:firstLine="640"/>
        <w:rPr>
          <w:rFonts w:eastAsia="仿宋_GB2312" w:cs="Times New Roman"/>
          <w:bCs w:val="0"/>
          <w:kern w:val="2"/>
          <w:szCs w:val="32"/>
        </w:rPr>
      </w:pPr>
      <w:bookmarkStart w:id="1" w:name="_Toc265839389"/>
      <w:r>
        <w:rPr>
          <w:rFonts w:eastAsia="仿宋_GB2312" w:cs="Times New Roman"/>
          <w:bCs w:val="0"/>
          <w:kern w:val="2"/>
          <w:szCs w:val="32"/>
        </w:rPr>
        <w:t>根据《医疗器械注册申报资料要求及说明》六、质量管理体系文件要求提交资料。</w:t>
      </w:r>
    </w:p>
    <w:p w14:paraId="52029B16" w14:textId="77777777" w:rsidR="00215884" w:rsidRDefault="0085653E">
      <w:pPr>
        <w:pStyle w:val="10"/>
        <w:spacing w:line="520" w:lineRule="exact"/>
        <w:ind w:firstLine="640"/>
        <w:jc w:val="left"/>
        <w:outlineLvl w:val="0"/>
        <w:rPr>
          <w:rFonts w:eastAsia="黑体"/>
        </w:rPr>
      </w:pPr>
      <w:r>
        <w:rPr>
          <w:rFonts w:eastAsia="黑体" w:hint="eastAsia"/>
        </w:rPr>
        <w:t>三、</w:t>
      </w:r>
      <w:r>
        <w:rPr>
          <w:rFonts w:eastAsia="黑体"/>
        </w:rPr>
        <w:t>参考文献</w:t>
      </w:r>
      <w:bookmarkEnd w:id="1"/>
    </w:p>
    <w:p w14:paraId="49047308" w14:textId="77777777" w:rsidR="00215884" w:rsidRDefault="0085653E">
      <w:pPr>
        <w:spacing w:line="520" w:lineRule="exact"/>
        <w:ind w:rightChars="-32" w:right="-102" w:firstLineChars="200" w:firstLine="640"/>
        <w:rPr>
          <w:rFonts w:eastAsia="仿宋_GB2312"/>
          <w:color w:val="000000"/>
          <w:szCs w:val="32"/>
        </w:rPr>
      </w:pPr>
      <w:r>
        <w:rPr>
          <w:rFonts w:eastAsia="仿宋_GB2312"/>
          <w:color w:val="000000"/>
          <w:szCs w:val="32"/>
        </w:rPr>
        <w:t>[1]</w:t>
      </w:r>
      <w:r>
        <w:rPr>
          <w:rFonts w:eastAsia="仿宋_GB2312"/>
          <w:szCs w:val="32"/>
          <w:lang w:val="en"/>
        </w:rPr>
        <w:t>中华人民共和国国务院</w:t>
      </w:r>
      <w:r>
        <w:rPr>
          <w:rFonts w:eastAsia="仿宋_GB2312" w:hint="eastAsia"/>
          <w:szCs w:val="32"/>
          <w:lang w:val="en"/>
        </w:rPr>
        <w:t>.</w:t>
      </w:r>
      <w:r>
        <w:rPr>
          <w:rFonts w:eastAsia="仿宋_GB2312"/>
          <w:szCs w:val="32"/>
        </w:rPr>
        <w:t>医疗器械监督管理条例</w:t>
      </w:r>
      <w:r>
        <w:rPr>
          <w:rFonts w:eastAsia="仿宋_GB2312" w:hint="eastAsia"/>
          <w:szCs w:val="32"/>
        </w:rPr>
        <w:t>:</w:t>
      </w:r>
      <w:r>
        <w:rPr>
          <w:rFonts w:eastAsia="仿宋_GB2312"/>
          <w:szCs w:val="32"/>
          <w:lang w:val="en"/>
        </w:rPr>
        <w:t>中华人民共和国国务院令第</w:t>
      </w:r>
      <w:r>
        <w:rPr>
          <w:rFonts w:eastAsia="仿宋_GB2312"/>
          <w:szCs w:val="32"/>
          <w:lang w:val="en"/>
        </w:rPr>
        <w:t>739</w:t>
      </w:r>
      <w:r>
        <w:rPr>
          <w:rFonts w:eastAsia="仿宋_GB2312"/>
          <w:szCs w:val="32"/>
          <w:lang w:val="en"/>
        </w:rPr>
        <w:t>号</w:t>
      </w:r>
      <w:r>
        <w:rPr>
          <w:rFonts w:eastAsia="仿宋_GB2312"/>
          <w:szCs w:val="32"/>
        </w:rPr>
        <w:t>[Z].</w:t>
      </w:r>
    </w:p>
    <w:p w14:paraId="4ABDE427" w14:textId="77777777" w:rsidR="00215884" w:rsidRDefault="0085653E">
      <w:pPr>
        <w:spacing w:line="520" w:lineRule="exact"/>
        <w:ind w:firstLineChars="200" w:firstLine="640"/>
        <w:rPr>
          <w:rFonts w:eastAsia="仿宋_GB2312"/>
          <w:szCs w:val="32"/>
        </w:rPr>
      </w:pPr>
      <w:r>
        <w:rPr>
          <w:rFonts w:eastAsia="仿宋_GB2312"/>
          <w:color w:val="000000"/>
          <w:szCs w:val="32"/>
        </w:rPr>
        <w:t>[2]</w:t>
      </w:r>
      <w:r>
        <w:rPr>
          <w:rFonts w:eastAsia="仿宋_GB2312"/>
          <w:szCs w:val="32"/>
        </w:rPr>
        <w:t>国家市场监督管理总局</w:t>
      </w:r>
      <w:r>
        <w:rPr>
          <w:rFonts w:eastAsia="仿宋_GB2312" w:hint="eastAsia"/>
          <w:szCs w:val="32"/>
        </w:rPr>
        <w:t>.</w:t>
      </w:r>
      <w:r>
        <w:rPr>
          <w:rFonts w:eastAsia="仿宋_GB2312"/>
          <w:szCs w:val="32"/>
        </w:rPr>
        <w:t>医疗器械注册与备案管理办法</w:t>
      </w:r>
      <w:r>
        <w:rPr>
          <w:rFonts w:eastAsia="仿宋_GB2312"/>
          <w:szCs w:val="32"/>
        </w:rPr>
        <w:t>:</w:t>
      </w:r>
      <w:r>
        <w:rPr>
          <w:rFonts w:eastAsia="仿宋_GB2312"/>
          <w:szCs w:val="32"/>
        </w:rPr>
        <w:t>国家市场监督管理总局令第</w:t>
      </w:r>
      <w:r>
        <w:rPr>
          <w:rFonts w:eastAsia="仿宋_GB2312"/>
          <w:szCs w:val="32"/>
        </w:rPr>
        <w:t>47</w:t>
      </w:r>
      <w:r>
        <w:rPr>
          <w:rFonts w:eastAsia="仿宋_GB2312"/>
          <w:szCs w:val="32"/>
        </w:rPr>
        <w:t>号</w:t>
      </w:r>
      <w:r>
        <w:rPr>
          <w:rFonts w:eastAsia="仿宋_GB2312"/>
          <w:szCs w:val="32"/>
        </w:rPr>
        <w:t>[Z].</w:t>
      </w:r>
    </w:p>
    <w:p w14:paraId="71E69BBC" w14:textId="77777777" w:rsidR="00215884" w:rsidRDefault="0085653E">
      <w:pPr>
        <w:spacing w:line="520" w:lineRule="exact"/>
        <w:ind w:firstLineChars="200" w:firstLine="640"/>
        <w:rPr>
          <w:rFonts w:eastAsia="仿宋_GB2312"/>
          <w:szCs w:val="32"/>
        </w:rPr>
      </w:pPr>
      <w:r>
        <w:rPr>
          <w:rFonts w:eastAsia="仿宋_GB2312"/>
          <w:szCs w:val="32"/>
        </w:rPr>
        <w:t>[3]</w:t>
      </w:r>
      <w:r>
        <w:rPr>
          <w:rFonts w:eastAsia="仿宋_GB2312"/>
          <w:szCs w:val="32"/>
        </w:rPr>
        <w:t>国家药品监督管理局</w:t>
      </w:r>
      <w:r>
        <w:rPr>
          <w:rFonts w:eastAsia="仿宋_GB2312" w:hint="eastAsia"/>
          <w:szCs w:val="32"/>
        </w:rPr>
        <w:t>.</w:t>
      </w:r>
      <w:r>
        <w:rPr>
          <w:rFonts w:eastAsia="仿宋_GB2312"/>
          <w:szCs w:val="32"/>
        </w:rPr>
        <w:t>医疗器械生产质量管理规范</w:t>
      </w:r>
      <w:r>
        <w:rPr>
          <w:rFonts w:eastAsia="仿宋_GB2312" w:hint="eastAsia"/>
          <w:szCs w:val="32"/>
        </w:rPr>
        <w:t>:</w:t>
      </w:r>
      <w:r>
        <w:rPr>
          <w:rFonts w:eastAsia="仿宋_GB2312"/>
          <w:szCs w:val="32"/>
        </w:rPr>
        <w:t>国家药品监督管理局</w:t>
      </w:r>
      <w:r>
        <w:rPr>
          <w:rFonts w:eastAsia="仿宋_GB2312"/>
          <w:szCs w:val="32"/>
        </w:rPr>
        <w:t>20</w:t>
      </w:r>
      <w:r>
        <w:rPr>
          <w:rFonts w:eastAsia="仿宋_GB2312" w:hint="eastAsia"/>
          <w:szCs w:val="32"/>
        </w:rPr>
        <w:t>25</w:t>
      </w:r>
      <w:r>
        <w:rPr>
          <w:rFonts w:eastAsia="仿宋_GB2312"/>
          <w:szCs w:val="32"/>
        </w:rPr>
        <w:t>年第</w:t>
      </w:r>
      <w:r>
        <w:rPr>
          <w:rFonts w:eastAsia="仿宋_GB2312" w:hint="eastAsia"/>
          <w:szCs w:val="32"/>
        </w:rPr>
        <w:t>107</w:t>
      </w:r>
      <w:r>
        <w:rPr>
          <w:rFonts w:eastAsia="仿宋_GB2312"/>
          <w:szCs w:val="32"/>
        </w:rPr>
        <w:t>号</w:t>
      </w:r>
      <w:r>
        <w:rPr>
          <w:rFonts w:eastAsia="仿宋_GB2312"/>
          <w:szCs w:val="32"/>
        </w:rPr>
        <w:t>[Z].</w:t>
      </w:r>
    </w:p>
    <w:p w14:paraId="36F166E5" w14:textId="77777777" w:rsidR="00215884" w:rsidRDefault="0085653E">
      <w:pPr>
        <w:spacing w:line="520" w:lineRule="exact"/>
        <w:ind w:firstLineChars="200" w:firstLine="640"/>
        <w:rPr>
          <w:rFonts w:eastAsia="仿宋_GB2312"/>
          <w:color w:val="000000"/>
          <w:szCs w:val="32"/>
        </w:rPr>
      </w:pPr>
      <w:r>
        <w:rPr>
          <w:rFonts w:eastAsia="仿宋_GB2312"/>
          <w:color w:val="000000"/>
          <w:szCs w:val="32"/>
        </w:rPr>
        <w:t>[4]</w:t>
      </w:r>
      <w:r>
        <w:rPr>
          <w:rFonts w:eastAsia="仿宋_GB2312"/>
          <w:color w:val="000000"/>
          <w:szCs w:val="32"/>
        </w:rPr>
        <w:t>国家药品监督管理局中华人民共和国国家卫生</w:t>
      </w:r>
      <w:r>
        <w:rPr>
          <w:rFonts w:eastAsia="仿宋_GB2312" w:hint="eastAsia"/>
          <w:color w:val="000000"/>
          <w:szCs w:val="32"/>
        </w:rPr>
        <w:t>健康委员会</w:t>
      </w:r>
      <w:r>
        <w:rPr>
          <w:rFonts w:eastAsia="仿宋_GB2312" w:hint="eastAsia"/>
          <w:color w:val="000000"/>
          <w:szCs w:val="32"/>
        </w:rPr>
        <w:t>.</w:t>
      </w:r>
      <w:r>
        <w:rPr>
          <w:rFonts w:eastAsia="仿宋_GB2312"/>
          <w:color w:val="000000"/>
          <w:szCs w:val="32"/>
        </w:rPr>
        <w:t>医疗器械临床试验质量管理规范</w:t>
      </w:r>
      <w:r>
        <w:rPr>
          <w:rFonts w:eastAsia="仿宋_GB2312" w:hint="eastAsia"/>
          <w:color w:val="000000"/>
          <w:szCs w:val="32"/>
        </w:rPr>
        <w:t>:</w:t>
      </w:r>
      <w:r>
        <w:rPr>
          <w:rFonts w:eastAsia="仿宋_GB2312" w:hint="eastAsia"/>
          <w:color w:val="000000"/>
          <w:szCs w:val="32"/>
        </w:rPr>
        <w:t>国家药监局</w:t>
      </w:r>
      <w:r>
        <w:rPr>
          <w:rFonts w:eastAsia="仿宋_GB2312" w:hint="eastAsia"/>
          <w:color w:val="000000"/>
          <w:szCs w:val="32"/>
        </w:rPr>
        <w:t xml:space="preserve"> </w:t>
      </w:r>
      <w:r>
        <w:rPr>
          <w:rFonts w:eastAsia="仿宋_GB2312" w:hint="eastAsia"/>
          <w:color w:val="000000"/>
          <w:szCs w:val="32"/>
        </w:rPr>
        <w:t>国家卫生健康委公告</w:t>
      </w:r>
      <w:r>
        <w:rPr>
          <w:rFonts w:eastAsia="仿宋_GB2312" w:hint="eastAsia"/>
          <w:color w:val="000000"/>
          <w:szCs w:val="32"/>
        </w:rPr>
        <w:t>2022</w:t>
      </w:r>
      <w:r>
        <w:rPr>
          <w:rFonts w:eastAsia="仿宋_GB2312" w:hint="eastAsia"/>
          <w:color w:val="000000"/>
          <w:szCs w:val="32"/>
        </w:rPr>
        <w:t>年第</w:t>
      </w:r>
      <w:r>
        <w:rPr>
          <w:rFonts w:eastAsia="仿宋_GB2312" w:hint="eastAsia"/>
          <w:color w:val="000000"/>
          <w:szCs w:val="32"/>
        </w:rPr>
        <w:t>28</w:t>
      </w:r>
      <w:r>
        <w:rPr>
          <w:rFonts w:eastAsia="仿宋_GB2312" w:hint="eastAsia"/>
          <w:color w:val="000000"/>
          <w:szCs w:val="32"/>
        </w:rPr>
        <w:t>号</w:t>
      </w:r>
      <w:r>
        <w:rPr>
          <w:rFonts w:eastAsia="仿宋_GB2312"/>
          <w:color w:val="000000"/>
          <w:szCs w:val="32"/>
        </w:rPr>
        <w:t>[Z].</w:t>
      </w:r>
    </w:p>
    <w:p w14:paraId="660532BC" w14:textId="77777777" w:rsidR="00215884" w:rsidRDefault="0085653E">
      <w:pPr>
        <w:spacing w:line="520" w:lineRule="exact"/>
        <w:ind w:firstLineChars="200" w:firstLine="640"/>
        <w:rPr>
          <w:rFonts w:eastAsia="仿宋_GB2312"/>
          <w:color w:val="000000"/>
          <w:szCs w:val="32"/>
        </w:rPr>
      </w:pPr>
      <w:r>
        <w:rPr>
          <w:rFonts w:eastAsia="仿宋_GB2312"/>
          <w:color w:val="000000"/>
          <w:szCs w:val="32"/>
        </w:rPr>
        <w:t>[5]</w:t>
      </w:r>
      <w:r>
        <w:rPr>
          <w:rFonts w:eastAsia="仿宋_GB2312"/>
          <w:color w:val="000000"/>
          <w:szCs w:val="32"/>
        </w:rPr>
        <w:t>国家药品监督管理局中华人民共和国国家卫生</w:t>
      </w:r>
      <w:r>
        <w:rPr>
          <w:rFonts w:eastAsia="仿宋_GB2312" w:hint="eastAsia"/>
          <w:color w:val="000000"/>
          <w:szCs w:val="32"/>
        </w:rPr>
        <w:t>健康委员会</w:t>
      </w:r>
      <w:r>
        <w:rPr>
          <w:rFonts w:eastAsia="仿宋_GB2312" w:hint="eastAsia"/>
          <w:color w:val="000000"/>
          <w:szCs w:val="32"/>
        </w:rPr>
        <w:t>.</w:t>
      </w:r>
      <w:r>
        <w:rPr>
          <w:rFonts w:eastAsia="仿宋_GB2312"/>
          <w:color w:val="000000"/>
          <w:szCs w:val="32"/>
        </w:rPr>
        <w:t>定制式医疗器械监督管理规定（试行）</w:t>
      </w:r>
      <w:r>
        <w:rPr>
          <w:rFonts w:eastAsia="仿宋_GB2312" w:hint="eastAsia"/>
          <w:color w:val="000000"/>
          <w:szCs w:val="32"/>
        </w:rPr>
        <w:t>:</w:t>
      </w:r>
      <w:r>
        <w:rPr>
          <w:rFonts w:eastAsia="仿宋_GB2312"/>
          <w:color w:val="000000"/>
          <w:szCs w:val="32"/>
        </w:rPr>
        <w:t>国家药品监督管理局国家卫生健康委</w:t>
      </w:r>
      <w:r>
        <w:rPr>
          <w:rFonts w:eastAsia="仿宋_GB2312"/>
          <w:color w:val="000000"/>
          <w:szCs w:val="32"/>
        </w:rPr>
        <w:t>2019</w:t>
      </w:r>
      <w:r>
        <w:rPr>
          <w:rFonts w:eastAsia="仿宋_GB2312"/>
          <w:color w:val="000000"/>
          <w:szCs w:val="32"/>
        </w:rPr>
        <w:t>年第</w:t>
      </w:r>
      <w:r>
        <w:rPr>
          <w:rFonts w:eastAsia="仿宋_GB2312"/>
          <w:color w:val="000000"/>
          <w:szCs w:val="32"/>
        </w:rPr>
        <w:t>53</w:t>
      </w:r>
      <w:r>
        <w:rPr>
          <w:rFonts w:eastAsia="仿宋_GB2312"/>
          <w:color w:val="000000"/>
          <w:szCs w:val="32"/>
        </w:rPr>
        <w:t>号</w:t>
      </w:r>
      <w:r>
        <w:rPr>
          <w:rFonts w:eastAsia="仿宋_GB2312"/>
          <w:color w:val="000000"/>
          <w:szCs w:val="32"/>
        </w:rPr>
        <w:t>[Z].</w:t>
      </w:r>
    </w:p>
    <w:p w14:paraId="70784470" w14:textId="77777777" w:rsidR="00215884" w:rsidRDefault="0085653E">
      <w:pPr>
        <w:spacing w:line="520" w:lineRule="exact"/>
        <w:ind w:rightChars="-32" w:right="-102" w:firstLineChars="200" w:firstLine="640"/>
        <w:rPr>
          <w:rFonts w:eastAsia="仿宋_GB2312"/>
          <w:color w:val="000000"/>
          <w:szCs w:val="32"/>
        </w:rPr>
      </w:pPr>
      <w:r>
        <w:rPr>
          <w:rFonts w:eastAsia="仿宋_GB2312"/>
          <w:color w:val="000000"/>
          <w:szCs w:val="32"/>
        </w:rPr>
        <w:t>[6]</w:t>
      </w:r>
      <w:r>
        <w:rPr>
          <w:rFonts w:eastAsia="仿宋_GB2312" w:hint="eastAsia"/>
          <w:szCs w:val="32"/>
        </w:rPr>
        <w:t>国家药品监督管理局</w:t>
      </w:r>
      <w:r>
        <w:rPr>
          <w:rFonts w:eastAsia="仿宋_GB2312" w:hint="eastAsia"/>
          <w:szCs w:val="32"/>
        </w:rPr>
        <w:t>.</w:t>
      </w:r>
      <w:r>
        <w:rPr>
          <w:rFonts w:eastAsia="仿宋_GB2312"/>
          <w:szCs w:val="32"/>
        </w:rPr>
        <w:t>医疗器械注册申报资料要求和批准证明文件格式</w:t>
      </w:r>
      <w:r>
        <w:rPr>
          <w:rFonts w:eastAsia="仿宋_GB2312" w:hint="eastAsia"/>
          <w:szCs w:val="32"/>
        </w:rPr>
        <w:t>:</w:t>
      </w:r>
      <w:r>
        <w:rPr>
          <w:rFonts w:eastAsia="仿宋_GB2312" w:hint="eastAsia"/>
          <w:szCs w:val="32"/>
        </w:rPr>
        <w:t>国家药监局公告</w:t>
      </w:r>
      <w:r>
        <w:rPr>
          <w:rFonts w:eastAsia="仿宋_GB2312" w:hint="eastAsia"/>
          <w:szCs w:val="32"/>
        </w:rPr>
        <w:t>2021</w:t>
      </w:r>
      <w:r>
        <w:rPr>
          <w:rFonts w:eastAsia="仿宋_GB2312" w:hint="eastAsia"/>
          <w:szCs w:val="32"/>
        </w:rPr>
        <w:t>年第</w:t>
      </w:r>
      <w:r>
        <w:rPr>
          <w:rFonts w:eastAsia="仿宋_GB2312" w:hint="eastAsia"/>
          <w:szCs w:val="32"/>
        </w:rPr>
        <w:t>121</w:t>
      </w:r>
      <w:r>
        <w:rPr>
          <w:rFonts w:eastAsia="仿宋_GB2312" w:hint="eastAsia"/>
          <w:szCs w:val="32"/>
        </w:rPr>
        <w:t>号</w:t>
      </w:r>
      <w:r>
        <w:rPr>
          <w:rFonts w:eastAsia="仿宋_GB2312"/>
          <w:szCs w:val="32"/>
        </w:rPr>
        <w:t>[Z].</w:t>
      </w:r>
    </w:p>
    <w:p w14:paraId="50E67D57" w14:textId="77777777" w:rsidR="00215884" w:rsidRDefault="0085653E">
      <w:pPr>
        <w:spacing w:line="520" w:lineRule="exact"/>
        <w:ind w:firstLineChars="200" w:firstLine="640"/>
        <w:rPr>
          <w:rFonts w:eastAsia="仿宋_GB2312"/>
          <w:color w:val="000000"/>
          <w:szCs w:val="32"/>
        </w:rPr>
      </w:pPr>
      <w:r>
        <w:rPr>
          <w:rFonts w:eastAsia="仿宋_GB2312"/>
          <w:color w:val="000000"/>
          <w:szCs w:val="32"/>
        </w:rPr>
        <w:t>[</w:t>
      </w:r>
      <w:r>
        <w:rPr>
          <w:rFonts w:eastAsia="仿宋_GB2312" w:hint="eastAsia"/>
          <w:color w:val="000000"/>
          <w:szCs w:val="32"/>
        </w:rPr>
        <w:t>7</w:t>
      </w:r>
      <w:r>
        <w:rPr>
          <w:rFonts w:eastAsia="仿宋_GB2312"/>
          <w:color w:val="000000"/>
          <w:szCs w:val="32"/>
        </w:rPr>
        <w:t>]</w:t>
      </w:r>
      <w:r>
        <w:rPr>
          <w:rFonts w:eastAsia="仿宋_GB2312" w:hint="eastAsia"/>
          <w:color w:val="000000"/>
          <w:szCs w:val="32"/>
        </w:rPr>
        <w:t>国家食品药品监督管理局</w:t>
      </w:r>
      <w:r>
        <w:rPr>
          <w:rFonts w:eastAsia="仿宋_GB2312" w:hint="eastAsia"/>
          <w:color w:val="000000"/>
          <w:szCs w:val="32"/>
        </w:rPr>
        <w:t>.</w:t>
      </w:r>
      <w:r>
        <w:rPr>
          <w:rFonts w:eastAsia="仿宋_GB2312" w:hint="eastAsia"/>
          <w:szCs w:val="32"/>
        </w:rPr>
        <w:t>医疗器械说明书和标签管理规定</w:t>
      </w:r>
      <w:r>
        <w:rPr>
          <w:rFonts w:eastAsia="仿宋_GB2312" w:hint="eastAsia"/>
          <w:szCs w:val="32"/>
        </w:rPr>
        <w:t>:</w:t>
      </w:r>
      <w:r>
        <w:rPr>
          <w:rFonts w:eastAsia="仿宋_GB2312" w:hint="eastAsia"/>
          <w:szCs w:val="32"/>
        </w:rPr>
        <w:t>国家食品药品监督管理总局令第</w:t>
      </w:r>
      <w:r>
        <w:rPr>
          <w:rFonts w:eastAsia="仿宋_GB2312" w:hint="eastAsia"/>
          <w:szCs w:val="32"/>
        </w:rPr>
        <w:t>6</w:t>
      </w:r>
      <w:r>
        <w:rPr>
          <w:rFonts w:eastAsia="仿宋_GB2312" w:hint="eastAsia"/>
          <w:szCs w:val="32"/>
        </w:rPr>
        <w:t>号</w:t>
      </w:r>
      <w:r>
        <w:rPr>
          <w:rFonts w:eastAsia="仿宋_GB2312" w:hint="eastAsia"/>
          <w:szCs w:val="32"/>
        </w:rPr>
        <w:t>[Z].</w:t>
      </w:r>
    </w:p>
    <w:p w14:paraId="356347CD" w14:textId="77777777" w:rsidR="00215884" w:rsidRDefault="0085653E">
      <w:pPr>
        <w:spacing w:line="520" w:lineRule="exact"/>
        <w:ind w:firstLineChars="200" w:firstLine="640"/>
        <w:rPr>
          <w:rFonts w:eastAsia="仿宋_GB2312"/>
          <w:szCs w:val="32"/>
        </w:rPr>
      </w:pPr>
      <w:r>
        <w:rPr>
          <w:rFonts w:eastAsia="仿宋_GB2312"/>
          <w:color w:val="000000"/>
          <w:szCs w:val="32"/>
        </w:rPr>
        <w:t>[</w:t>
      </w:r>
      <w:r>
        <w:rPr>
          <w:rFonts w:eastAsia="仿宋_GB2312" w:hint="eastAsia"/>
          <w:color w:val="000000"/>
          <w:szCs w:val="32"/>
        </w:rPr>
        <w:t>8</w:t>
      </w:r>
      <w:r>
        <w:rPr>
          <w:rFonts w:eastAsia="仿宋_GB2312"/>
          <w:color w:val="000000"/>
          <w:szCs w:val="32"/>
        </w:rPr>
        <w:t>]</w:t>
      </w:r>
      <w:r>
        <w:rPr>
          <w:rFonts w:eastAsia="仿宋_GB2312" w:hint="eastAsia"/>
          <w:szCs w:val="32"/>
        </w:rPr>
        <w:t>国家食品药品监督管理局</w:t>
      </w:r>
      <w:r>
        <w:rPr>
          <w:rFonts w:eastAsia="仿宋_GB2312" w:hint="eastAsia"/>
          <w:szCs w:val="32"/>
        </w:rPr>
        <w:t>.</w:t>
      </w:r>
      <w:r>
        <w:rPr>
          <w:rFonts w:eastAsia="仿宋_GB2312"/>
          <w:szCs w:val="32"/>
        </w:rPr>
        <w:t>医疗器械分类规则</w:t>
      </w:r>
      <w:r>
        <w:rPr>
          <w:rFonts w:eastAsia="仿宋_GB2312" w:hint="eastAsia"/>
          <w:szCs w:val="32"/>
        </w:rPr>
        <w:t>:</w:t>
      </w:r>
      <w:r>
        <w:rPr>
          <w:rFonts w:eastAsia="仿宋_GB2312"/>
          <w:szCs w:val="32"/>
          <w:lang w:val="en"/>
        </w:rPr>
        <w:t>国家食品药品监督管理总局令第</w:t>
      </w:r>
      <w:r>
        <w:rPr>
          <w:rFonts w:eastAsia="仿宋_GB2312"/>
          <w:szCs w:val="32"/>
          <w:lang w:val="en"/>
        </w:rPr>
        <w:t>15</w:t>
      </w:r>
      <w:r>
        <w:rPr>
          <w:rFonts w:eastAsia="仿宋_GB2312"/>
          <w:szCs w:val="32"/>
          <w:lang w:val="en"/>
        </w:rPr>
        <w:t>号</w:t>
      </w:r>
      <w:r>
        <w:rPr>
          <w:rFonts w:eastAsia="仿宋_GB2312"/>
          <w:szCs w:val="32"/>
        </w:rPr>
        <w:t>[Z].</w:t>
      </w:r>
    </w:p>
    <w:p w14:paraId="3CC64B1B" w14:textId="77777777" w:rsidR="00215884" w:rsidRDefault="0085653E">
      <w:pPr>
        <w:spacing w:line="520" w:lineRule="exact"/>
        <w:ind w:rightChars="-32" w:right="-102" w:firstLineChars="200" w:firstLine="640"/>
        <w:rPr>
          <w:rFonts w:eastAsia="仿宋_GB2312"/>
          <w:color w:val="000000"/>
          <w:szCs w:val="32"/>
        </w:rPr>
      </w:pPr>
      <w:r>
        <w:rPr>
          <w:rFonts w:eastAsia="仿宋_GB2312"/>
          <w:color w:val="000000"/>
          <w:szCs w:val="32"/>
        </w:rPr>
        <w:lastRenderedPageBreak/>
        <w:t>[</w:t>
      </w:r>
      <w:r>
        <w:rPr>
          <w:rFonts w:eastAsia="仿宋_GB2312" w:hint="eastAsia"/>
          <w:color w:val="000000"/>
          <w:szCs w:val="32"/>
        </w:rPr>
        <w:t>9</w:t>
      </w:r>
      <w:r>
        <w:rPr>
          <w:rFonts w:eastAsia="仿宋_GB2312"/>
          <w:color w:val="000000"/>
          <w:szCs w:val="32"/>
        </w:rPr>
        <w:t>]</w:t>
      </w:r>
      <w:r>
        <w:rPr>
          <w:rFonts w:eastAsia="仿宋_GB2312"/>
          <w:szCs w:val="28"/>
        </w:rPr>
        <w:t>国家食品药品监督管理局</w:t>
      </w:r>
      <w:r>
        <w:rPr>
          <w:rFonts w:eastAsia="仿宋_GB2312" w:hint="eastAsia"/>
          <w:szCs w:val="32"/>
        </w:rPr>
        <w:t>.</w:t>
      </w:r>
      <w:r>
        <w:rPr>
          <w:rFonts w:eastAsia="仿宋_GB2312"/>
          <w:szCs w:val="32"/>
        </w:rPr>
        <w:t>医疗器械通用名称命名规则</w:t>
      </w:r>
      <w:r>
        <w:rPr>
          <w:rFonts w:eastAsia="仿宋_GB2312" w:hint="eastAsia"/>
          <w:szCs w:val="32"/>
        </w:rPr>
        <w:t>：</w:t>
      </w:r>
      <w:r>
        <w:rPr>
          <w:rFonts w:eastAsia="仿宋_GB2312"/>
          <w:szCs w:val="28"/>
        </w:rPr>
        <w:t>国家食品药品监督管理总局令第</w:t>
      </w:r>
      <w:r>
        <w:rPr>
          <w:rFonts w:eastAsia="仿宋_GB2312"/>
          <w:szCs w:val="28"/>
        </w:rPr>
        <w:t>19</w:t>
      </w:r>
      <w:r>
        <w:rPr>
          <w:rFonts w:eastAsia="仿宋_GB2312"/>
          <w:szCs w:val="28"/>
        </w:rPr>
        <w:t>号</w:t>
      </w:r>
      <w:r>
        <w:rPr>
          <w:rFonts w:eastAsia="仿宋_GB2312"/>
          <w:szCs w:val="32"/>
        </w:rPr>
        <w:t>[Z].</w:t>
      </w:r>
    </w:p>
    <w:p w14:paraId="1E3C172A" w14:textId="77777777" w:rsidR="00215884" w:rsidRDefault="0085653E">
      <w:pPr>
        <w:spacing w:line="520" w:lineRule="exact"/>
        <w:ind w:firstLineChars="200" w:firstLine="640"/>
        <w:rPr>
          <w:rFonts w:eastAsia="仿宋_GB2312"/>
          <w:color w:val="000000"/>
          <w:szCs w:val="32"/>
        </w:rPr>
      </w:pPr>
      <w:r>
        <w:rPr>
          <w:rFonts w:eastAsia="仿宋_GB2312"/>
          <w:color w:val="000000"/>
          <w:szCs w:val="32"/>
        </w:rPr>
        <w:t>[1</w:t>
      </w:r>
      <w:r>
        <w:rPr>
          <w:rFonts w:eastAsia="仿宋_GB2312" w:hint="eastAsia"/>
          <w:color w:val="000000"/>
          <w:szCs w:val="32"/>
        </w:rPr>
        <w:t>0</w:t>
      </w:r>
      <w:r>
        <w:rPr>
          <w:rFonts w:eastAsia="仿宋_GB2312"/>
          <w:color w:val="000000"/>
          <w:szCs w:val="32"/>
        </w:rPr>
        <w:t>]</w:t>
      </w:r>
      <w:r>
        <w:rPr>
          <w:rFonts w:eastAsia="仿宋_GB2312"/>
          <w:szCs w:val="32"/>
          <w:lang w:val="en"/>
        </w:rPr>
        <w:t>国家食品药品监督管理局</w:t>
      </w:r>
      <w:r>
        <w:rPr>
          <w:rFonts w:eastAsia="仿宋_GB2312"/>
          <w:szCs w:val="32"/>
        </w:rPr>
        <w:t>.</w:t>
      </w:r>
      <w:r>
        <w:rPr>
          <w:rFonts w:eastAsia="仿宋_GB2312"/>
          <w:szCs w:val="32"/>
        </w:rPr>
        <w:t>医疗器械分类目录</w:t>
      </w:r>
      <w:r>
        <w:rPr>
          <w:rFonts w:eastAsia="仿宋_GB2312" w:hint="eastAsia"/>
          <w:szCs w:val="32"/>
        </w:rPr>
        <w:t>:</w:t>
      </w:r>
      <w:r>
        <w:rPr>
          <w:rFonts w:eastAsia="仿宋_GB2312"/>
          <w:szCs w:val="32"/>
          <w:lang w:val="en"/>
        </w:rPr>
        <w:t>国家食品药品监督管理总局</w:t>
      </w:r>
      <w:r>
        <w:rPr>
          <w:rFonts w:eastAsia="仿宋_GB2312" w:hint="eastAsia"/>
          <w:szCs w:val="32"/>
          <w:lang w:val="en"/>
        </w:rPr>
        <w:t>公告</w:t>
      </w:r>
      <w:r>
        <w:rPr>
          <w:rFonts w:eastAsia="仿宋_GB2312"/>
          <w:szCs w:val="32"/>
          <w:lang w:val="en"/>
        </w:rPr>
        <w:t>2017</w:t>
      </w:r>
      <w:r>
        <w:rPr>
          <w:rFonts w:eastAsia="仿宋_GB2312"/>
          <w:szCs w:val="32"/>
          <w:lang w:val="en"/>
        </w:rPr>
        <w:t>年第</w:t>
      </w:r>
      <w:r>
        <w:rPr>
          <w:rFonts w:eastAsia="仿宋_GB2312"/>
          <w:szCs w:val="32"/>
          <w:lang w:val="en"/>
        </w:rPr>
        <w:t>104</w:t>
      </w:r>
      <w:r>
        <w:rPr>
          <w:rFonts w:eastAsia="仿宋_GB2312"/>
          <w:szCs w:val="32"/>
          <w:lang w:val="en"/>
        </w:rPr>
        <w:t>号</w:t>
      </w:r>
      <w:r>
        <w:rPr>
          <w:rFonts w:eastAsia="仿宋_GB2312"/>
          <w:szCs w:val="32"/>
        </w:rPr>
        <w:t>[Z].</w:t>
      </w:r>
    </w:p>
    <w:p w14:paraId="02515D42" w14:textId="77777777" w:rsidR="00215884" w:rsidRDefault="0085653E">
      <w:pPr>
        <w:spacing w:line="520" w:lineRule="exact"/>
        <w:ind w:rightChars="-32" w:right="-102" w:firstLineChars="200" w:firstLine="640"/>
        <w:rPr>
          <w:rFonts w:eastAsia="仿宋_GB2312"/>
          <w:color w:val="000000"/>
          <w:szCs w:val="32"/>
        </w:rPr>
      </w:pPr>
      <w:r>
        <w:rPr>
          <w:rFonts w:eastAsia="仿宋_GB2312"/>
          <w:color w:val="000000"/>
          <w:szCs w:val="32"/>
        </w:rPr>
        <w:t>[1</w:t>
      </w:r>
      <w:r>
        <w:rPr>
          <w:rFonts w:eastAsia="仿宋_GB2312" w:hint="eastAsia"/>
          <w:color w:val="000000"/>
          <w:szCs w:val="32"/>
        </w:rPr>
        <w:t>1</w:t>
      </w:r>
      <w:r>
        <w:rPr>
          <w:rFonts w:eastAsia="仿宋_GB2312"/>
          <w:color w:val="000000"/>
          <w:szCs w:val="32"/>
        </w:rPr>
        <w:t>]</w:t>
      </w:r>
      <w:r>
        <w:rPr>
          <w:rFonts w:eastAsia="仿宋_GB2312"/>
          <w:szCs w:val="32"/>
          <w:lang w:val="en"/>
        </w:rPr>
        <w:t>国家食品药品监督管理局</w:t>
      </w:r>
      <w:r>
        <w:rPr>
          <w:rFonts w:eastAsia="仿宋_GB2312"/>
          <w:szCs w:val="32"/>
        </w:rPr>
        <w:t>.</w:t>
      </w:r>
      <w:r>
        <w:rPr>
          <w:rFonts w:eastAsia="仿宋_GB2312"/>
          <w:szCs w:val="32"/>
        </w:rPr>
        <w:t>医疗器械注册单元划分指导原则</w:t>
      </w:r>
      <w:r>
        <w:rPr>
          <w:rFonts w:eastAsia="仿宋_GB2312" w:hint="eastAsia"/>
          <w:szCs w:val="32"/>
        </w:rPr>
        <w:t>:</w:t>
      </w:r>
      <w:r>
        <w:rPr>
          <w:rFonts w:eastAsia="仿宋_GB2312" w:hint="eastAsia"/>
          <w:szCs w:val="32"/>
        </w:rPr>
        <w:t>总局通</w:t>
      </w:r>
      <w:r>
        <w:rPr>
          <w:rFonts w:eastAsia="仿宋_GB2312"/>
          <w:szCs w:val="32"/>
          <w:lang w:val="en"/>
        </w:rPr>
        <w:t>告</w:t>
      </w:r>
      <w:r>
        <w:rPr>
          <w:rFonts w:eastAsia="仿宋_GB2312"/>
          <w:szCs w:val="32"/>
          <w:lang w:val="en"/>
        </w:rPr>
        <w:t>2017</w:t>
      </w:r>
      <w:r>
        <w:rPr>
          <w:rFonts w:eastAsia="仿宋_GB2312"/>
          <w:szCs w:val="32"/>
          <w:lang w:val="en"/>
        </w:rPr>
        <w:t>年第</w:t>
      </w:r>
      <w:r>
        <w:rPr>
          <w:rFonts w:eastAsia="仿宋_GB2312"/>
          <w:szCs w:val="32"/>
          <w:lang w:val="en"/>
        </w:rPr>
        <w:t>187</w:t>
      </w:r>
      <w:r>
        <w:rPr>
          <w:rFonts w:eastAsia="仿宋_GB2312"/>
          <w:szCs w:val="32"/>
          <w:lang w:val="en"/>
        </w:rPr>
        <w:t>号</w:t>
      </w:r>
      <w:r>
        <w:rPr>
          <w:rFonts w:eastAsia="仿宋_GB2312"/>
          <w:szCs w:val="32"/>
        </w:rPr>
        <w:t>[Z].</w:t>
      </w:r>
    </w:p>
    <w:p w14:paraId="06736CE5"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w:t>
      </w:r>
      <w:r>
        <w:rPr>
          <w:rFonts w:eastAsia="仿宋_GB2312" w:hint="eastAsia"/>
          <w:bCs/>
          <w:szCs w:val="32"/>
        </w:rPr>
        <w:t>12</w:t>
      </w:r>
      <w:r>
        <w:rPr>
          <w:rFonts w:eastAsia="仿宋_GB2312"/>
          <w:bCs/>
          <w:szCs w:val="32"/>
          <w:lang w:val="en"/>
        </w:rPr>
        <w:t>]</w:t>
      </w:r>
      <w:r>
        <w:rPr>
          <w:rFonts w:eastAsia="仿宋_GB2312"/>
          <w:bCs/>
          <w:szCs w:val="32"/>
          <w:lang w:val="en"/>
        </w:rPr>
        <w:t>国家药品监督管理局</w:t>
      </w:r>
      <w:r>
        <w:rPr>
          <w:rFonts w:eastAsia="仿宋_GB2312"/>
          <w:bCs/>
          <w:szCs w:val="32"/>
          <w:lang w:val="en"/>
        </w:rPr>
        <w:t>.</w:t>
      </w:r>
      <w:r>
        <w:rPr>
          <w:rFonts w:eastAsia="仿宋_GB2312"/>
          <w:bCs/>
          <w:szCs w:val="32"/>
          <w:lang w:val="en"/>
        </w:rPr>
        <w:t>医疗器械注册自检管理规定</w:t>
      </w:r>
      <w:r>
        <w:rPr>
          <w:rFonts w:eastAsia="仿宋_GB2312"/>
          <w:bCs/>
          <w:szCs w:val="32"/>
          <w:lang w:val="en"/>
        </w:rPr>
        <w:t>:</w:t>
      </w:r>
      <w:r>
        <w:rPr>
          <w:rFonts w:eastAsia="仿宋_GB2312"/>
          <w:bCs/>
          <w:szCs w:val="32"/>
          <w:lang w:val="en"/>
        </w:rPr>
        <w:t>国家药监局公告</w:t>
      </w:r>
      <w:r>
        <w:rPr>
          <w:rFonts w:eastAsia="仿宋_GB2312"/>
          <w:bCs/>
          <w:szCs w:val="32"/>
          <w:lang w:val="en"/>
        </w:rPr>
        <w:t>2021</w:t>
      </w:r>
      <w:r>
        <w:rPr>
          <w:rFonts w:eastAsia="仿宋_GB2312"/>
          <w:bCs/>
          <w:szCs w:val="32"/>
          <w:lang w:val="en"/>
        </w:rPr>
        <w:t>年第</w:t>
      </w:r>
      <w:r>
        <w:rPr>
          <w:rFonts w:eastAsia="仿宋_GB2312"/>
          <w:bCs/>
          <w:szCs w:val="32"/>
          <w:lang w:val="en"/>
        </w:rPr>
        <w:t>126</w:t>
      </w:r>
      <w:r>
        <w:rPr>
          <w:rFonts w:eastAsia="仿宋_GB2312"/>
          <w:bCs/>
          <w:szCs w:val="32"/>
          <w:lang w:val="en"/>
        </w:rPr>
        <w:t>号</w:t>
      </w:r>
      <w:r>
        <w:rPr>
          <w:rFonts w:eastAsia="仿宋_GB2312"/>
          <w:bCs/>
          <w:szCs w:val="32"/>
          <w:lang w:val="en"/>
        </w:rPr>
        <w:t>[Z].</w:t>
      </w:r>
    </w:p>
    <w:p w14:paraId="15253E5A"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w:t>
      </w:r>
      <w:r>
        <w:rPr>
          <w:rFonts w:eastAsia="仿宋_GB2312" w:hint="eastAsia"/>
          <w:bCs/>
          <w:szCs w:val="32"/>
        </w:rPr>
        <w:t>13</w:t>
      </w:r>
      <w:r>
        <w:rPr>
          <w:rFonts w:eastAsia="仿宋_GB2312"/>
          <w:bCs/>
          <w:szCs w:val="32"/>
          <w:lang w:val="en"/>
        </w:rPr>
        <w:t>]</w:t>
      </w:r>
      <w:r>
        <w:rPr>
          <w:rFonts w:eastAsia="仿宋_GB2312"/>
          <w:bCs/>
          <w:szCs w:val="32"/>
          <w:lang w:val="en"/>
        </w:rPr>
        <w:t>国家药品监督管理局</w:t>
      </w:r>
      <w:r>
        <w:rPr>
          <w:rFonts w:eastAsia="仿宋_GB2312"/>
          <w:bCs/>
          <w:szCs w:val="32"/>
          <w:lang w:val="en"/>
        </w:rPr>
        <w:t>.</w:t>
      </w:r>
      <w:r>
        <w:rPr>
          <w:rFonts w:eastAsia="仿宋_GB2312" w:hint="eastAsia"/>
          <w:bCs/>
          <w:szCs w:val="32"/>
          <w:lang w:val="en"/>
        </w:rPr>
        <w:t>《医疗器械通用名称命名指导原则》（</w:t>
      </w:r>
      <w:r>
        <w:rPr>
          <w:rFonts w:eastAsia="仿宋_GB2312" w:hint="eastAsia"/>
          <w:bCs/>
          <w:szCs w:val="32"/>
          <w:lang w:val="en"/>
        </w:rPr>
        <w:t>2019</w:t>
      </w:r>
      <w:r>
        <w:rPr>
          <w:rFonts w:eastAsia="仿宋_GB2312" w:hint="eastAsia"/>
          <w:bCs/>
          <w:szCs w:val="32"/>
          <w:lang w:val="en"/>
        </w:rPr>
        <w:t>年第</w:t>
      </w:r>
      <w:r>
        <w:rPr>
          <w:rFonts w:eastAsia="仿宋_GB2312" w:hint="eastAsia"/>
          <w:bCs/>
          <w:szCs w:val="32"/>
          <w:lang w:val="en"/>
        </w:rPr>
        <w:t>99</w:t>
      </w:r>
      <w:r>
        <w:rPr>
          <w:rFonts w:eastAsia="仿宋_GB2312" w:hint="eastAsia"/>
          <w:bCs/>
          <w:szCs w:val="32"/>
          <w:lang w:val="en"/>
        </w:rPr>
        <w:t>号）</w:t>
      </w:r>
      <w:r>
        <w:rPr>
          <w:rFonts w:eastAsia="仿宋_GB2312"/>
          <w:bCs/>
          <w:szCs w:val="32"/>
          <w:lang w:val="en"/>
        </w:rPr>
        <w:t>[Z].</w:t>
      </w:r>
    </w:p>
    <w:p w14:paraId="50D5ACCC" w14:textId="77777777" w:rsidR="00215884" w:rsidRDefault="0085653E">
      <w:pPr>
        <w:spacing w:line="520" w:lineRule="exact"/>
        <w:ind w:firstLineChars="200" w:firstLine="640"/>
        <w:outlineLvl w:val="0"/>
        <w:rPr>
          <w:lang w:val="en"/>
        </w:rPr>
      </w:pPr>
      <w:r>
        <w:rPr>
          <w:rFonts w:eastAsia="仿宋_GB2312"/>
          <w:bCs/>
          <w:szCs w:val="32"/>
          <w:lang w:val="en"/>
        </w:rPr>
        <w:t>[</w:t>
      </w:r>
      <w:r>
        <w:rPr>
          <w:rFonts w:eastAsia="仿宋_GB2312" w:hint="eastAsia"/>
          <w:bCs/>
          <w:szCs w:val="32"/>
        </w:rPr>
        <w:t>14</w:t>
      </w:r>
      <w:r>
        <w:rPr>
          <w:rFonts w:eastAsia="仿宋_GB2312"/>
          <w:bCs/>
          <w:szCs w:val="32"/>
          <w:lang w:val="en"/>
        </w:rPr>
        <w:t>]</w:t>
      </w:r>
      <w:r>
        <w:rPr>
          <w:rFonts w:eastAsia="仿宋_GB2312"/>
          <w:bCs/>
          <w:szCs w:val="32"/>
          <w:lang w:val="en"/>
        </w:rPr>
        <w:t>国家食品药品监督管理局</w:t>
      </w:r>
      <w:r>
        <w:rPr>
          <w:rFonts w:eastAsia="仿宋_GB2312"/>
          <w:bCs/>
          <w:szCs w:val="32"/>
          <w:lang w:val="en"/>
        </w:rPr>
        <w:t>.</w:t>
      </w:r>
      <w:r>
        <w:rPr>
          <w:rFonts w:eastAsia="仿宋_GB2312"/>
          <w:bCs/>
          <w:szCs w:val="32"/>
          <w:lang w:val="en"/>
        </w:rPr>
        <w:t>医疗器械生物学评价和审查指南</w:t>
      </w:r>
      <w:r>
        <w:rPr>
          <w:rFonts w:eastAsia="仿宋_GB2312"/>
          <w:bCs/>
          <w:szCs w:val="32"/>
          <w:lang w:val="en"/>
        </w:rPr>
        <w:t>:</w:t>
      </w:r>
      <w:r>
        <w:rPr>
          <w:rFonts w:eastAsia="仿宋_GB2312"/>
          <w:bCs/>
          <w:szCs w:val="32"/>
          <w:lang w:val="en"/>
        </w:rPr>
        <w:t>国家食品药品监督管理局通知</w:t>
      </w:r>
      <w:r>
        <w:rPr>
          <w:rFonts w:eastAsia="仿宋_GB2312"/>
          <w:bCs/>
          <w:szCs w:val="32"/>
          <w:lang w:val="en"/>
        </w:rPr>
        <w:t>2007</w:t>
      </w:r>
      <w:r>
        <w:rPr>
          <w:rFonts w:eastAsia="仿宋_GB2312"/>
          <w:bCs/>
          <w:szCs w:val="32"/>
          <w:lang w:val="en"/>
        </w:rPr>
        <w:t>年</w:t>
      </w:r>
      <w:r>
        <w:rPr>
          <w:rFonts w:eastAsia="仿宋_GB2312"/>
          <w:bCs/>
          <w:szCs w:val="32"/>
          <w:lang w:val="en"/>
        </w:rPr>
        <w:t>345</w:t>
      </w:r>
      <w:r>
        <w:rPr>
          <w:rFonts w:eastAsia="仿宋_GB2312"/>
          <w:bCs/>
          <w:szCs w:val="32"/>
          <w:lang w:val="en"/>
        </w:rPr>
        <w:t>号</w:t>
      </w:r>
      <w:r>
        <w:rPr>
          <w:rFonts w:eastAsia="仿宋_GB2312"/>
          <w:bCs/>
          <w:szCs w:val="32"/>
          <w:lang w:val="en"/>
        </w:rPr>
        <w:t>[Z].</w:t>
      </w:r>
    </w:p>
    <w:p w14:paraId="3052DBD9"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[1</w:t>
      </w:r>
      <w:r>
        <w:rPr>
          <w:rFonts w:eastAsia="仿宋_GB2312" w:hint="eastAsia"/>
          <w:bCs/>
          <w:szCs w:val="32"/>
        </w:rPr>
        <w:t>5</w:t>
      </w:r>
      <w:r>
        <w:rPr>
          <w:rFonts w:eastAsia="仿宋_GB2312"/>
          <w:bCs/>
          <w:szCs w:val="32"/>
          <w:lang w:val="en"/>
        </w:rPr>
        <w:t>]</w:t>
      </w:r>
      <w:r>
        <w:rPr>
          <w:rFonts w:eastAsia="仿宋_GB2312"/>
          <w:bCs/>
          <w:szCs w:val="32"/>
          <w:lang w:val="en"/>
        </w:rPr>
        <w:t>国家药品监督管理局</w:t>
      </w:r>
      <w:r>
        <w:rPr>
          <w:rFonts w:eastAsia="仿宋_GB2312"/>
          <w:bCs/>
          <w:szCs w:val="32"/>
          <w:lang w:val="en"/>
        </w:rPr>
        <w:t>.</w:t>
      </w:r>
      <w:r>
        <w:rPr>
          <w:rFonts w:eastAsia="仿宋_GB2312"/>
          <w:bCs/>
          <w:szCs w:val="32"/>
          <w:lang w:val="en"/>
        </w:rPr>
        <w:t>列入免于临床评价医疗器械目录产品对比说明技术指导原则</w:t>
      </w:r>
      <w:r>
        <w:rPr>
          <w:rFonts w:eastAsia="仿宋_GB2312"/>
          <w:bCs/>
          <w:szCs w:val="32"/>
          <w:lang w:val="en"/>
        </w:rPr>
        <w:t>:</w:t>
      </w:r>
      <w:r>
        <w:rPr>
          <w:rFonts w:eastAsia="仿宋_GB2312"/>
          <w:bCs/>
          <w:szCs w:val="32"/>
          <w:lang w:val="en"/>
        </w:rPr>
        <w:t>国家药监局通告</w:t>
      </w:r>
      <w:r>
        <w:rPr>
          <w:rFonts w:eastAsia="仿宋_GB2312"/>
          <w:bCs/>
          <w:szCs w:val="32"/>
          <w:lang w:val="en"/>
        </w:rPr>
        <w:t>2021</w:t>
      </w:r>
      <w:r>
        <w:rPr>
          <w:rFonts w:eastAsia="仿宋_GB2312"/>
          <w:bCs/>
          <w:szCs w:val="32"/>
          <w:lang w:val="en"/>
        </w:rPr>
        <w:t>年第</w:t>
      </w:r>
      <w:r>
        <w:rPr>
          <w:rFonts w:eastAsia="仿宋_GB2312"/>
          <w:bCs/>
          <w:szCs w:val="32"/>
          <w:lang w:val="en"/>
        </w:rPr>
        <w:t>73</w:t>
      </w:r>
      <w:r>
        <w:rPr>
          <w:rFonts w:eastAsia="仿宋_GB2312"/>
          <w:bCs/>
          <w:szCs w:val="32"/>
          <w:lang w:val="en"/>
        </w:rPr>
        <w:t>号</w:t>
      </w:r>
      <w:r>
        <w:rPr>
          <w:rFonts w:eastAsia="仿宋_GB2312"/>
          <w:bCs/>
          <w:szCs w:val="32"/>
          <w:lang w:val="en"/>
        </w:rPr>
        <w:t xml:space="preserve"> [Z].</w:t>
      </w:r>
    </w:p>
    <w:p w14:paraId="75C8EBCB"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w:t>
      </w:r>
      <w:r>
        <w:rPr>
          <w:rFonts w:eastAsia="仿宋_GB2312" w:hint="eastAsia"/>
          <w:bCs/>
          <w:szCs w:val="32"/>
        </w:rPr>
        <w:t>16</w:t>
      </w:r>
      <w:r>
        <w:rPr>
          <w:rFonts w:eastAsia="仿宋_GB2312"/>
          <w:bCs/>
          <w:szCs w:val="32"/>
          <w:lang w:val="en"/>
        </w:rPr>
        <w:t>]</w:t>
      </w:r>
      <w:r>
        <w:rPr>
          <w:rFonts w:eastAsia="仿宋_GB2312"/>
          <w:bCs/>
          <w:szCs w:val="32"/>
          <w:lang w:val="en"/>
        </w:rPr>
        <w:t>国家药品监督管理局</w:t>
      </w:r>
      <w:r>
        <w:rPr>
          <w:rFonts w:eastAsia="仿宋_GB2312"/>
          <w:bCs/>
          <w:szCs w:val="32"/>
          <w:lang w:val="en"/>
        </w:rPr>
        <w:t>.</w:t>
      </w:r>
      <w:r>
        <w:rPr>
          <w:rFonts w:eastAsia="仿宋_GB2312"/>
          <w:bCs/>
          <w:szCs w:val="32"/>
          <w:lang w:val="en"/>
        </w:rPr>
        <w:t>免于临床评价医疗器械目录：国家药监局通告</w:t>
      </w:r>
      <w:hyperlink r:id="rId7" w:tgtFrame="https://www.nmpa.gov.cn/so/_blank" w:tooltip="国家药监局关于发布免于进行临床评价医疗器械目录的通告（2025年第19号）" w:history="1">
        <w:r>
          <w:rPr>
            <w:rFonts w:eastAsia="仿宋_GB2312" w:hint="eastAsia"/>
            <w:bCs/>
            <w:szCs w:val="32"/>
            <w:lang w:val="en"/>
          </w:rPr>
          <w:t>2025</w:t>
        </w:r>
        <w:r>
          <w:rPr>
            <w:rFonts w:eastAsia="仿宋_GB2312" w:hint="eastAsia"/>
            <w:bCs/>
            <w:szCs w:val="32"/>
            <w:lang w:val="en"/>
          </w:rPr>
          <w:t>年第</w:t>
        </w:r>
        <w:r>
          <w:rPr>
            <w:rFonts w:eastAsia="仿宋_GB2312" w:hint="eastAsia"/>
            <w:bCs/>
            <w:szCs w:val="32"/>
            <w:lang w:val="en"/>
          </w:rPr>
          <w:t>19</w:t>
        </w:r>
        <w:r>
          <w:rPr>
            <w:rFonts w:eastAsia="仿宋_GB2312" w:hint="eastAsia"/>
            <w:bCs/>
            <w:szCs w:val="32"/>
            <w:lang w:val="en"/>
          </w:rPr>
          <w:t>号）</w:t>
        </w:r>
      </w:hyperlink>
      <w:r>
        <w:rPr>
          <w:rFonts w:eastAsia="仿宋_GB2312"/>
          <w:bCs/>
          <w:szCs w:val="32"/>
          <w:lang w:val="en"/>
        </w:rPr>
        <w:t>[Z].</w:t>
      </w:r>
    </w:p>
    <w:p w14:paraId="380AD464"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w:t>
      </w:r>
      <w:r>
        <w:rPr>
          <w:rFonts w:eastAsia="仿宋_GB2312" w:hint="eastAsia"/>
          <w:bCs/>
          <w:szCs w:val="32"/>
        </w:rPr>
        <w:t>17</w:t>
      </w:r>
      <w:r>
        <w:rPr>
          <w:rFonts w:eastAsia="仿宋_GB2312"/>
          <w:bCs/>
          <w:szCs w:val="32"/>
          <w:lang w:val="en"/>
        </w:rPr>
        <w:t>]GB/T 42061,</w:t>
      </w:r>
      <w:r>
        <w:rPr>
          <w:rFonts w:eastAsia="仿宋_GB2312"/>
          <w:bCs/>
          <w:szCs w:val="32"/>
          <w:lang w:val="en"/>
        </w:rPr>
        <w:t>医疗器械质量管理体系用于法规的要求</w:t>
      </w:r>
      <w:r>
        <w:rPr>
          <w:rFonts w:eastAsia="仿宋_GB2312"/>
          <w:bCs/>
          <w:szCs w:val="32"/>
          <w:lang w:val="en"/>
        </w:rPr>
        <w:t>[S].</w:t>
      </w:r>
    </w:p>
    <w:p w14:paraId="1282CDBB"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w:t>
      </w:r>
      <w:r>
        <w:rPr>
          <w:rFonts w:eastAsia="仿宋_GB2312" w:hint="eastAsia"/>
          <w:bCs/>
          <w:szCs w:val="32"/>
        </w:rPr>
        <w:t>18</w:t>
      </w:r>
      <w:r>
        <w:rPr>
          <w:rFonts w:eastAsia="仿宋_GB2312"/>
          <w:bCs/>
          <w:szCs w:val="32"/>
          <w:lang w:val="en"/>
        </w:rPr>
        <w:t>]GB/T 42062,</w:t>
      </w:r>
      <w:r>
        <w:rPr>
          <w:rFonts w:eastAsia="仿宋_GB2312"/>
          <w:bCs/>
          <w:szCs w:val="32"/>
          <w:lang w:val="en"/>
        </w:rPr>
        <w:t>医疗器械风险管理对医疗器械的应用</w:t>
      </w:r>
      <w:r>
        <w:rPr>
          <w:rFonts w:eastAsia="仿宋_GB2312"/>
          <w:bCs/>
          <w:szCs w:val="32"/>
          <w:lang w:val="en"/>
        </w:rPr>
        <w:t>[S].</w:t>
      </w:r>
    </w:p>
    <w:p w14:paraId="3F1B4AC3"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w:t>
      </w:r>
      <w:r>
        <w:rPr>
          <w:rFonts w:eastAsia="仿宋_GB2312" w:hint="eastAsia"/>
          <w:bCs/>
          <w:szCs w:val="32"/>
        </w:rPr>
        <w:t>1</w:t>
      </w:r>
      <w:r>
        <w:rPr>
          <w:rFonts w:eastAsia="仿宋_GB2312" w:hint="eastAsia"/>
          <w:bCs/>
          <w:szCs w:val="32"/>
        </w:rPr>
        <w:t>9</w:t>
      </w:r>
      <w:r>
        <w:rPr>
          <w:rFonts w:eastAsia="仿宋_GB2312"/>
          <w:bCs/>
          <w:szCs w:val="32"/>
          <w:lang w:val="en"/>
        </w:rPr>
        <w:t xml:space="preserve">]GB/T </w:t>
      </w:r>
      <w:r>
        <w:rPr>
          <w:rFonts w:eastAsia="仿宋_GB2312" w:hint="eastAsia"/>
          <w:bCs/>
          <w:szCs w:val="32"/>
        </w:rPr>
        <w:t>7701</w:t>
      </w:r>
      <w:r>
        <w:rPr>
          <w:rFonts w:eastAsia="仿宋_GB2312"/>
          <w:bCs/>
          <w:szCs w:val="32"/>
          <w:lang w:val="en"/>
        </w:rPr>
        <w:t>.1,</w:t>
      </w:r>
      <w:r>
        <w:rPr>
          <w:rFonts w:eastAsia="仿宋_GB2312" w:hint="eastAsia"/>
          <w:bCs/>
          <w:szCs w:val="32"/>
          <w:lang w:val="en"/>
        </w:rPr>
        <w:t>煤质颗粒活性炭</w:t>
      </w:r>
      <w:r>
        <w:rPr>
          <w:rFonts w:eastAsia="仿宋_GB2312" w:hint="eastAsia"/>
          <w:bCs/>
          <w:szCs w:val="32"/>
        </w:rPr>
        <w:t xml:space="preserve"> </w:t>
      </w:r>
      <w:r>
        <w:rPr>
          <w:rFonts w:eastAsia="仿宋_GB2312" w:hint="eastAsia"/>
          <w:bCs/>
          <w:szCs w:val="32"/>
        </w:rPr>
        <w:t>第</w:t>
      </w:r>
      <w:r>
        <w:rPr>
          <w:rFonts w:eastAsia="仿宋_GB2312" w:hint="eastAsia"/>
          <w:bCs/>
          <w:szCs w:val="32"/>
        </w:rPr>
        <w:t>1</w:t>
      </w:r>
      <w:r>
        <w:rPr>
          <w:rFonts w:eastAsia="仿宋_GB2312" w:hint="eastAsia"/>
          <w:bCs/>
          <w:szCs w:val="32"/>
        </w:rPr>
        <w:t>部分：</w:t>
      </w:r>
      <w:r>
        <w:rPr>
          <w:rFonts w:eastAsia="仿宋_GB2312" w:hint="eastAsia"/>
          <w:bCs/>
          <w:szCs w:val="32"/>
          <w:lang w:val="en"/>
        </w:rPr>
        <w:t>气相用煤</w:t>
      </w:r>
      <w:r>
        <w:rPr>
          <w:rFonts w:eastAsia="仿宋_GB2312" w:hint="eastAsia"/>
          <w:bCs/>
          <w:szCs w:val="32"/>
          <w:lang w:val="en"/>
        </w:rPr>
        <w:lastRenderedPageBreak/>
        <w:t>质颗粒活性炭</w:t>
      </w:r>
      <w:r>
        <w:rPr>
          <w:rFonts w:eastAsia="仿宋_GB2312"/>
          <w:bCs/>
          <w:szCs w:val="32"/>
          <w:lang w:val="en"/>
        </w:rPr>
        <w:t>[S].</w:t>
      </w:r>
    </w:p>
    <w:p w14:paraId="150FEDCA" w14:textId="77777777" w:rsidR="00215884" w:rsidRDefault="0085653E">
      <w:pPr>
        <w:spacing w:line="520" w:lineRule="exact"/>
        <w:ind w:firstLineChars="200" w:firstLine="640"/>
        <w:outlineLvl w:val="0"/>
        <w:rPr>
          <w:rFonts w:eastAsia="仿宋_GB2312"/>
          <w:bCs/>
          <w:szCs w:val="32"/>
          <w:lang w:val="en"/>
        </w:rPr>
      </w:pPr>
      <w:r>
        <w:rPr>
          <w:rFonts w:eastAsia="仿宋_GB2312"/>
          <w:bCs/>
          <w:szCs w:val="32"/>
          <w:lang w:val="en"/>
        </w:rPr>
        <w:t>[</w:t>
      </w:r>
      <w:r>
        <w:rPr>
          <w:rFonts w:eastAsia="仿宋_GB2312" w:hint="eastAsia"/>
          <w:bCs/>
          <w:szCs w:val="32"/>
        </w:rPr>
        <w:t>20</w:t>
      </w:r>
      <w:r>
        <w:rPr>
          <w:rFonts w:eastAsia="仿宋_GB2312"/>
          <w:bCs/>
          <w:szCs w:val="32"/>
          <w:lang w:val="en"/>
        </w:rPr>
        <w:t>]GB/T 16886.1,</w:t>
      </w:r>
      <w:r>
        <w:rPr>
          <w:rFonts w:eastAsia="仿宋_GB2312"/>
          <w:bCs/>
          <w:szCs w:val="32"/>
          <w:lang w:val="en"/>
        </w:rPr>
        <w:t>医疗器械生物学评价</w:t>
      </w:r>
      <w:r>
        <w:rPr>
          <w:rFonts w:eastAsia="仿宋_GB2312"/>
          <w:bCs/>
          <w:szCs w:val="32"/>
          <w:lang w:val="en"/>
        </w:rPr>
        <w:t xml:space="preserve"> </w:t>
      </w:r>
      <w:r>
        <w:rPr>
          <w:rFonts w:eastAsia="仿宋_GB2312"/>
          <w:bCs/>
          <w:szCs w:val="32"/>
          <w:lang w:val="en"/>
        </w:rPr>
        <w:t>第</w:t>
      </w:r>
      <w:r>
        <w:rPr>
          <w:rFonts w:eastAsia="仿宋_GB2312"/>
          <w:bCs/>
          <w:szCs w:val="32"/>
          <w:lang w:val="en"/>
        </w:rPr>
        <w:t>1</w:t>
      </w:r>
      <w:r>
        <w:rPr>
          <w:rFonts w:eastAsia="仿宋_GB2312"/>
          <w:bCs/>
          <w:szCs w:val="32"/>
          <w:lang w:val="en"/>
        </w:rPr>
        <w:t>部分：风险管理过程中的评价与试验</w:t>
      </w:r>
      <w:r>
        <w:rPr>
          <w:rFonts w:eastAsia="仿宋_GB2312"/>
          <w:bCs/>
          <w:szCs w:val="32"/>
          <w:lang w:val="en"/>
        </w:rPr>
        <w:t>[S].</w:t>
      </w:r>
    </w:p>
    <w:p w14:paraId="1F2214C8" w14:textId="77777777" w:rsidR="00215884" w:rsidRDefault="0085653E">
      <w:pPr>
        <w:spacing w:line="520" w:lineRule="exact"/>
        <w:ind w:firstLineChars="200" w:firstLine="640"/>
        <w:rPr>
          <w:rFonts w:eastAsia="仿宋_GB2312"/>
          <w:szCs w:val="32"/>
        </w:rPr>
      </w:pPr>
      <w:r>
        <w:rPr>
          <w:rFonts w:eastAsia="仿宋_GB2312" w:hint="eastAsia"/>
          <w:szCs w:val="32"/>
        </w:rPr>
        <w:t>[21]YY/T 1778,</w:t>
      </w:r>
      <w:r>
        <w:rPr>
          <w:rFonts w:eastAsia="仿宋_GB2312" w:hint="eastAsia"/>
          <w:szCs w:val="32"/>
        </w:rPr>
        <w:t>《医疗应用中呼吸气体通路生物相容性评价》系列标准</w:t>
      </w:r>
      <w:r>
        <w:rPr>
          <w:rFonts w:eastAsia="仿宋_GB2312" w:hint="eastAsia"/>
          <w:szCs w:val="32"/>
        </w:rPr>
        <w:t>[S].</w:t>
      </w:r>
    </w:p>
    <w:p w14:paraId="7984118C" w14:textId="77777777" w:rsidR="00215884" w:rsidRDefault="00215884">
      <w:pPr>
        <w:pStyle w:val="af"/>
        <w:rPr>
          <w:lang w:val="en"/>
        </w:rPr>
      </w:pPr>
    </w:p>
    <w:p w14:paraId="5AA22058" w14:textId="77777777" w:rsidR="00215884" w:rsidRDefault="00215884">
      <w:pPr>
        <w:spacing w:line="520" w:lineRule="exact"/>
        <w:ind w:firstLine="200"/>
        <w:rPr>
          <w:rFonts w:eastAsia="仿宋_GB2312"/>
          <w:color w:val="000000"/>
          <w:szCs w:val="32"/>
        </w:rPr>
      </w:pPr>
    </w:p>
    <w:p w14:paraId="18BFACCF" w14:textId="77777777" w:rsidR="00215884" w:rsidRDefault="00215884">
      <w:pPr>
        <w:pStyle w:val="af"/>
        <w:rPr>
          <w:rFonts w:eastAsia="仿宋_GB2312"/>
          <w:color w:val="000000"/>
          <w:szCs w:val="32"/>
        </w:rPr>
      </w:pPr>
    </w:p>
    <w:p w14:paraId="0C5536B4" w14:textId="77777777" w:rsidR="00215884" w:rsidRDefault="00215884">
      <w:pPr>
        <w:pStyle w:val="af"/>
        <w:rPr>
          <w:rFonts w:eastAsia="仿宋_GB2312"/>
          <w:color w:val="000000"/>
          <w:szCs w:val="32"/>
        </w:rPr>
      </w:pPr>
    </w:p>
    <w:p w14:paraId="3C203F07" w14:textId="77777777" w:rsidR="00215884" w:rsidRDefault="00215884">
      <w:pPr>
        <w:pStyle w:val="af"/>
        <w:rPr>
          <w:rFonts w:eastAsia="仿宋_GB2312"/>
          <w:color w:val="000000"/>
          <w:szCs w:val="32"/>
        </w:rPr>
      </w:pPr>
    </w:p>
    <w:p w14:paraId="3C1ECCC1" w14:textId="77777777" w:rsidR="00215884" w:rsidRDefault="00215884">
      <w:pPr>
        <w:pStyle w:val="af"/>
      </w:pPr>
    </w:p>
    <w:p w14:paraId="04A1E075" w14:textId="77777777" w:rsidR="00215884" w:rsidRDefault="0085653E">
      <w:pPr>
        <w:widowControl/>
        <w:jc w:val="left"/>
        <w:rPr>
          <w:rFonts w:ascii="黑体" w:eastAsia="黑体" w:hAnsi="黑体" w:cs="黑体"/>
          <w:color w:val="000000"/>
          <w:szCs w:val="32"/>
        </w:rPr>
      </w:pPr>
      <w:r>
        <w:rPr>
          <w:rFonts w:ascii="黑体" w:eastAsia="黑体" w:hAnsi="黑体" w:cs="黑体" w:hint="eastAsia"/>
          <w:color w:val="000000"/>
          <w:szCs w:val="32"/>
        </w:rPr>
        <w:br w:type="page"/>
      </w:r>
    </w:p>
    <w:p w14:paraId="512CA1E6" w14:textId="77777777" w:rsidR="00215884" w:rsidRDefault="0085653E">
      <w:pPr>
        <w:pStyle w:val="11"/>
        <w:ind w:firstLineChars="0" w:firstLine="0"/>
        <w:rPr>
          <w:rFonts w:ascii="黑体" w:eastAsia="黑体" w:hAnsi="黑体" w:cs="黑体"/>
          <w:color w:val="000000"/>
          <w:szCs w:val="32"/>
        </w:rPr>
      </w:pPr>
      <w:r>
        <w:rPr>
          <w:rFonts w:ascii="黑体" w:eastAsia="黑体" w:hAnsi="黑体" w:cs="黑体" w:hint="eastAsia"/>
          <w:color w:val="000000"/>
          <w:szCs w:val="32"/>
        </w:rPr>
        <w:lastRenderedPageBreak/>
        <w:t>附件</w:t>
      </w:r>
    </w:p>
    <w:p w14:paraId="384BD3A4" w14:textId="77777777" w:rsidR="00215884" w:rsidRDefault="0085653E">
      <w:pPr>
        <w:pStyle w:val="11"/>
        <w:ind w:firstLineChars="0" w:firstLine="0"/>
        <w:jc w:val="center"/>
        <w:rPr>
          <w:rFonts w:eastAsia="黑体"/>
          <w:bCs/>
          <w:szCs w:val="32"/>
        </w:rPr>
      </w:pPr>
      <w:r>
        <w:rPr>
          <w:rFonts w:eastAsia="黑体"/>
        </w:rPr>
        <w:t>产品主要危害</w:t>
      </w:r>
    </w:p>
    <w:tbl>
      <w:tblPr>
        <w:tblStyle w:val="ac"/>
        <w:tblW w:w="8520" w:type="dxa"/>
        <w:jc w:val="center"/>
        <w:tblLook w:val="04A0" w:firstRow="1" w:lastRow="0" w:firstColumn="1" w:lastColumn="0" w:noHBand="0" w:noVBand="1"/>
      </w:tblPr>
      <w:tblGrid>
        <w:gridCol w:w="908"/>
        <w:gridCol w:w="1635"/>
        <w:gridCol w:w="3286"/>
        <w:gridCol w:w="2691"/>
      </w:tblGrid>
      <w:tr w:rsidR="00215884" w14:paraId="5D5D55FC" w14:textId="77777777">
        <w:trPr>
          <w:trHeight w:val="545"/>
          <w:tblHeader/>
          <w:jc w:val="center"/>
        </w:trPr>
        <w:tc>
          <w:tcPr>
            <w:tcW w:w="2543" w:type="dxa"/>
            <w:gridSpan w:val="2"/>
            <w:vAlign w:val="center"/>
          </w:tcPr>
          <w:p w14:paraId="5003014F" w14:textId="77777777" w:rsidR="00215884" w:rsidRDefault="0085653E">
            <w:pPr>
              <w:snapToGrid w:val="0"/>
              <w:spacing w:after="0" w:line="240" w:lineRule="auto"/>
              <w:jc w:val="center"/>
              <w:rPr>
                <w:b/>
              </w:rPr>
            </w:pPr>
            <w:r>
              <w:rPr>
                <w:rFonts w:ascii="黑体" w:eastAsia="黑体" w:hAnsi="黑体" w:cs="黑体" w:hint="eastAsia"/>
                <w:bCs/>
                <w:sz w:val="28"/>
                <w:szCs w:val="28"/>
              </w:rPr>
              <w:t>危险的分类</w:t>
            </w:r>
          </w:p>
        </w:tc>
        <w:tc>
          <w:tcPr>
            <w:tcW w:w="3286" w:type="dxa"/>
            <w:vAlign w:val="center"/>
          </w:tcPr>
          <w:p w14:paraId="1E561F86" w14:textId="77777777" w:rsidR="00215884" w:rsidRDefault="0085653E">
            <w:pPr>
              <w:snapToGrid w:val="0"/>
              <w:spacing w:after="0" w:line="240" w:lineRule="auto"/>
              <w:jc w:val="center"/>
              <w:rPr>
                <w:b/>
              </w:rPr>
            </w:pPr>
            <w:r>
              <w:rPr>
                <w:rFonts w:ascii="黑体" w:eastAsia="黑体" w:hAnsi="黑体" w:cs="黑体" w:hint="eastAsia"/>
                <w:bCs/>
                <w:sz w:val="28"/>
                <w:szCs w:val="28"/>
              </w:rPr>
              <w:t>危险情况</w:t>
            </w:r>
          </w:p>
        </w:tc>
        <w:tc>
          <w:tcPr>
            <w:tcW w:w="2691" w:type="dxa"/>
            <w:vAlign w:val="center"/>
          </w:tcPr>
          <w:p w14:paraId="690419C4" w14:textId="77777777" w:rsidR="00215884" w:rsidRDefault="0085653E">
            <w:pPr>
              <w:snapToGrid w:val="0"/>
              <w:spacing w:after="0" w:line="240" w:lineRule="auto"/>
              <w:jc w:val="center"/>
              <w:rPr>
                <w:b/>
              </w:rPr>
            </w:pPr>
            <w:r>
              <w:rPr>
                <w:rFonts w:ascii="黑体" w:eastAsia="黑体" w:hAnsi="黑体" w:cs="黑体" w:hint="eastAsia"/>
                <w:bCs/>
                <w:sz w:val="28"/>
                <w:szCs w:val="28"/>
              </w:rPr>
              <w:t>可能的伤害</w:t>
            </w:r>
          </w:p>
        </w:tc>
      </w:tr>
      <w:tr w:rsidR="00215884" w14:paraId="22DEFD46" w14:textId="77777777">
        <w:trPr>
          <w:jc w:val="center"/>
        </w:trPr>
        <w:tc>
          <w:tcPr>
            <w:tcW w:w="908" w:type="dxa"/>
            <w:vMerge w:val="restart"/>
            <w:vAlign w:val="center"/>
          </w:tcPr>
          <w:p w14:paraId="60B87FF5"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生物和化学危险</w:t>
            </w:r>
          </w:p>
        </w:tc>
        <w:tc>
          <w:tcPr>
            <w:tcW w:w="1635" w:type="dxa"/>
            <w:vAlign w:val="center"/>
          </w:tcPr>
          <w:p w14:paraId="2111CAEC"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生物不相容性</w:t>
            </w:r>
          </w:p>
        </w:tc>
        <w:tc>
          <w:tcPr>
            <w:tcW w:w="3286" w:type="dxa"/>
            <w:vAlign w:val="center"/>
          </w:tcPr>
          <w:p w14:paraId="42A28F4F"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产品材料（如塑料、粘接剂、吸附剂）中的小分子物质（可浸出物）残留量过大。</w:t>
            </w:r>
          </w:p>
        </w:tc>
        <w:tc>
          <w:tcPr>
            <w:tcW w:w="2691" w:type="dxa"/>
            <w:vAlign w:val="center"/>
          </w:tcPr>
          <w:p w14:paraId="71609FCA"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产生毒性、刺激，或导致患者或医护人员过敏（如气味过敏）。</w:t>
            </w:r>
          </w:p>
        </w:tc>
      </w:tr>
      <w:tr w:rsidR="00215884" w14:paraId="27C79900" w14:textId="77777777">
        <w:trPr>
          <w:jc w:val="center"/>
        </w:trPr>
        <w:tc>
          <w:tcPr>
            <w:tcW w:w="908" w:type="dxa"/>
            <w:vMerge/>
            <w:vAlign w:val="center"/>
          </w:tcPr>
          <w:p w14:paraId="5FA727B1"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2AAA9329"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不正确的配方（化学成分）</w:t>
            </w:r>
          </w:p>
        </w:tc>
        <w:tc>
          <w:tcPr>
            <w:tcW w:w="3286" w:type="dxa"/>
            <w:vAlign w:val="center"/>
          </w:tcPr>
          <w:p w14:paraId="6CDC47E9"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吸附剂（如活性炭）选型或处理不当；添加剂（如粘接剂、成型助剂）使用比例不正确。</w:t>
            </w:r>
          </w:p>
        </w:tc>
        <w:tc>
          <w:tcPr>
            <w:tcW w:w="2691" w:type="dxa"/>
            <w:vAlign w:val="center"/>
          </w:tcPr>
          <w:p w14:paraId="59BFA270"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导致吸附效率不达标，或小分子物质残留量过大，造成毒性危害。</w:t>
            </w:r>
          </w:p>
        </w:tc>
      </w:tr>
      <w:tr w:rsidR="00215884" w14:paraId="130AB270" w14:textId="77777777">
        <w:trPr>
          <w:jc w:val="center"/>
        </w:trPr>
        <w:tc>
          <w:tcPr>
            <w:tcW w:w="908" w:type="dxa"/>
            <w:vMerge/>
            <w:vAlign w:val="center"/>
          </w:tcPr>
          <w:p w14:paraId="2F456793"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14A32C53"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毒性</w:t>
            </w:r>
          </w:p>
        </w:tc>
        <w:tc>
          <w:tcPr>
            <w:tcW w:w="3286" w:type="dxa"/>
            <w:vAlign w:val="center"/>
          </w:tcPr>
          <w:p w14:paraId="52E82F4A"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加工或后处理工艺控制不严格，导致有害物质（如吸附剂粉尘、挥发性有机物）析出。</w:t>
            </w:r>
          </w:p>
        </w:tc>
        <w:tc>
          <w:tcPr>
            <w:tcW w:w="2691" w:type="dxa"/>
            <w:vAlign w:val="center"/>
          </w:tcPr>
          <w:p w14:paraId="306AFA22"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造成毒性危害；生物相容性不符合要求。</w:t>
            </w:r>
          </w:p>
        </w:tc>
      </w:tr>
      <w:tr w:rsidR="00215884" w14:paraId="2A0C816A" w14:textId="77777777">
        <w:trPr>
          <w:jc w:val="center"/>
        </w:trPr>
        <w:tc>
          <w:tcPr>
            <w:tcW w:w="908" w:type="dxa"/>
            <w:vMerge w:val="restart"/>
            <w:vAlign w:val="center"/>
          </w:tcPr>
          <w:p w14:paraId="1C6C1C20" w14:textId="77777777" w:rsidR="00215884" w:rsidRDefault="0085653E">
            <w:pPr>
              <w:snapToGrid w:val="0"/>
              <w:spacing w:after="0" w:line="240" w:lineRule="auto"/>
              <w:jc w:val="center"/>
              <w:rPr>
                <w:rFonts w:ascii="仿宋_GB2312" w:eastAsia="仿宋_GB2312" w:hAnsi="仿宋_GB2312" w:cs="仿宋_GB2312"/>
                <w:lang w:val="en"/>
              </w:rPr>
            </w:pPr>
            <w:r>
              <w:rPr>
                <w:rFonts w:ascii="仿宋_GB2312" w:eastAsia="仿宋_GB2312" w:hAnsi="仿宋_GB2312" w:cs="仿宋_GB2312" w:hint="eastAsia"/>
              </w:rPr>
              <w:t>环境危害</w:t>
            </w:r>
          </w:p>
        </w:tc>
        <w:tc>
          <w:tcPr>
            <w:tcW w:w="1635" w:type="dxa"/>
            <w:vAlign w:val="center"/>
          </w:tcPr>
          <w:p w14:paraId="7A7FBC42"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储存或运行偏离预定的环境条件</w:t>
            </w:r>
          </w:p>
        </w:tc>
        <w:tc>
          <w:tcPr>
            <w:tcW w:w="3286" w:type="dxa"/>
            <w:vAlign w:val="center"/>
          </w:tcPr>
          <w:p w14:paraId="11661881"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储运条件（如高温、高湿）不符合要求。</w:t>
            </w:r>
          </w:p>
        </w:tc>
        <w:tc>
          <w:tcPr>
            <w:tcW w:w="2691" w:type="dxa"/>
            <w:vAlign w:val="center"/>
          </w:tcPr>
          <w:p w14:paraId="14C6CF54"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吸附剂性能提前衰减，产品有效期缩短；材料老化。</w:t>
            </w:r>
          </w:p>
        </w:tc>
      </w:tr>
      <w:tr w:rsidR="00215884" w14:paraId="18EB9FA3" w14:textId="77777777">
        <w:trPr>
          <w:jc w:val="center"/>
        </w:trPr>
        <w:tc>
          <w:tcPr>
            <w:tcW w:w="908" w:type="dxa"/>
            <w:vMerge/>
            <w:vAlign w:val="center"/>
          </w:tcPr>
          <w:p w14:paraId="3CCD8651"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33A69DDB"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意外的机械破坏</w:t>
            </w:r>
          </w:p>
        </w:tc>
        <w:tc>
          <w:tcPr>
            <w:tcW w:w="3286" w:type="dxa"/>
            <w:vAlign w:val="center"/>
          </w:tcPr>
          <w:p w14:paraId="1A029887"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储运、使用过程中发生挤压、摔落。</w:t>
            </w:r>
          </w:p>
        </w:tc>
        <w:tc>
          <w:tcPr>
            <w:tcW w:w="2691" w:type="dxa"/>
            <w:vAlign w:val="center"/>
          </w:tcPr>
          <w:p w14:paraId="70A22ED5"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外壳破损，导致吸附剂泄露或结构失效，产品无法使用。</w:t>
            </w:r>
          </w:p>
        </w:tc>
      </w:tr>
      <w:tr w:rsidR="00215884" w14:paraId="4EAE03BF" w14:textId="77777777">
        <w:trPr>
          <w:jc w:val="center"/>
        </w:trPr>
        <w:tc>
          <w:tcPr>
            <w:tcW w:w="908" w:type="dxa"/>
            <w:vMerge/>
            <w:vAlign w:val="center"/>
          </w:tcPr>
          <w:p w14:paraId="2257E63E"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21288A94"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由于废物和</w:t>
            </w:r>
            <w:r>
              <w:rPr>
                <w:rFonts w:ascii="仿宋_GB2312" w:eastAsia="仿宋_GB2312" w:hAnsi="仿宋_GB2312" w:cs="仿宋_GB2312" w:hint="eastAsia"/>
              </w:rPr>
              <w:t>/</w:t>
            </w:r>
            <w:r>
              <w:rPr>
                <w:rFonts w:ascii="仿宋_GB2312" w:eastAsia="仿宋_GB2312" w:hAnsi="仿宋_GB2312" w:cs="仿宋_GB2312" w:hint="eastAsia"/>
              </w:rPr>
              <w:t>或医疗器械处置的污染</w:t>
            </w:r>
          </w:p>
        </w:tc>
        <w:tc>
          <w:tcPr>
            <w:tcW w:w="3286" w:type="dxa"/>
            <w:vAlign w:val="center"/>
          </w:tcPr>
          <w:p w14:paraId="2B591021"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使用后，内含饱和吸附剂的产品未按医疗废物规定集中处理。</w:t>
            </w:r>
          </w:p>
        </w:tc>
        <w:tc>
          <w:tcPr>
            <w:tcW w:w="2691" w:type="dxa"/>
            <w:vAlign w:val="center"/>
          </w:tcPr>
          <w:p w14:paraId="12CC9CF4"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造成环境污染或潜在的职业暴露与交叉感染风险。</w:t>
            </w:r>
          </w:p>
        </w:tc>
      </w:tr>
      <w:tr w:rsidR="00215884" w14:paraId="5BC5C257" w14:textId="77777777">
        <w:trPr>
          <w:jc w:val="center"/>
        </w:trPr>
        <w:tc>
          <w:tcPr>
            <w:tcW w:w="908" w:type="dxa"/>
            <w:vMerge w:val="restart"/>
            <w:vAlign w:val="center"/>
          </w:tcPr>
          <w:p w14:paraId="04D29EB1" w14:textId="77777777" w:rsidR="00215884" w:rsidRDefault="0085653E">
            <w:pPr>
              <w:snapToGrid w:val="0"/>
              <w:spacing w:after="0" w:line="240" w:lineRule="auto"/>
              <w:jc w:val="center"/>
              <w:rPr>
                <w:rFonts w:ascii="仿宋_GB2312" w:eastAsia="仿宋_GB2312" w:hAnsi="仿宋_GB2312" w:cs="仿宋_GB2312"/>
              </w:rPr>
            </w:pPr>
            <w:r>
              <w:rPr>
                <w:rFonts w:eastAsia="仿宋_GB2312" w:hint="eastAsia"/>
                <w:sz w:val="28"/>
                <w:szCs w:val="28"/>
              </w:rPr>
              <w:lastRenderedPageBreak/>
              <w:t>疗器械使用有关的危害</w:t>
            </w:r>
          </w:p>
        </w:tc>
        <w:tc>
          <w:tcPr>
            <w:tcW w:w="1635" w:type="dxa"/>
            <w:vAlign w:val="center"/>
          </w:tcPr>
          <w:p w14:paraId="1F1E99C9"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不适当的标记</w:t>
            </w:r>
          </w:p>
        </w:tc>
        <w:tc>
          <w:tcPr>
            <w:tcW w:w="3286" w:type="dxa"/>
            <w:vAlign w:val="center"/>
          </w:tcPr>
          <w:p w14:paraId="73FE714F"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标记不清晰、错误或缺失（如“一次性使用”、“非无菌”标识）。</w:t>
            </w:r>
          </w:p>
        </w:tc>
        <w:tc>
          <w:tcPr>
            <w:tcW w:w="2691" w:type="dxa"/>
            <w:vAlign w:val="center"/>
          </w:tcPr>
          <w:p w14:paraId="034DD3DF"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导致错误使用、储存错误、产品辨别错误或误认为无菌产品。</w:t>
            </w:r>
          </w:p>
        </w:tc>
      </w:tr>
      <w:tr w:rsidR="00215884" w14:paraId="1C2EC9E9" w14:textId="77777777">
        <w:trPr>
          <w:jc w:val="center"/>
        </w:trPr>
        <w:tc>
          <w:tcPr>
            <w:tcW w:w="908" w:type="dxa"/>
            <w:vMerge/>
            <w:vAlign w:val="center"/>
          </w:tcPr>
          <w:p w14:paraId="4CBD6384"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189F9C9E"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不适当的操作说明</w:t>
            </w:r>
          </w:p>
        </w:tc>
        <w:tc>
          <w:tcPr>
            <w:tcW w:w="3286" w:type="dxa"/>
            <w:vAlign w:val="center"/>
          </w:tcPr>
          <w:p w14:paraId="3E480ED3"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不适当的操作说明</w:t>
            </w:r>
            <w:r>
              <w:rPr>
                <w:rFonts w:ascii="仿宋_GB2312" w:eastAsia="仿宋_GB2312" w:hAnsi="仿宋_GB2312" w:cs="仿宋_GB2312" w:hint="eastAsia"/>
              </w:rPr>
              <w:br/>
            </w:r>
            <w:r>
              <w:rPr>
                <w:rFonts w:ascii="仿宋_GB2312" w:eastAsia="仿宋_GB2312" w:hAnsi="仿宋_GB2312" w:cs="仿宋_GB2312" w:hint="eastAsia"/>
              </w:rPr>
              <w:t>说明书对连接方法（进气</w:t>
            </w:r>
            <w:r>
              <w:rPr>
                <w:rFonts w:ascii="仿宋_GB2312" w:eastAsia="仿宋_GB2312" w:hAnsi="仿宋_GB2312" w:cs="仿宋_GB2312" w:hint="eastAsia"/>
              </w:rPr>
              <w:t>/</w:t>
            </w:r>
            <w:r>
              <w:rPr>
                <w:rFonts w:ascii="仿宋_GB2312" w:eastAsia="仿宋_GB2312" w:hAnsi="仿宋_GB2312" w:cs="仿宋_GB2312" w:hint="eastAsia"/>
              </w:rPr>
              <w:t>出气口）、更换指征、适配流量描述不准确、不清晰。</w:t>
            </w:r>
          </w:p>
        </w:tc>
        <w:tc>
          <w:tcPr>
            <w:tcW w:w="2691" w:type="dxa"/>
            <w:vAlign w:val="center"/>
          </w:tcPr>
          <w:p w14:paraId="6D6D7BAF"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导致安装错误、废气泄漏、吸附效率不足或气流阻力过大等操作失误。</w:t>
            </w:r>
          </w:p>
        </w:tc>
      </w:tr>
      <w:tr w:rsidR="00215884" w14:paraId="280AC327" w14:textId="77777777">
        <w:trPr>
          <w:jc w:val="center"/>
        </w:trPr>
        <w:tc>
          <w:tcPr>
            <w:tcW w:w="908" w:type="dxa"/>
            <w:vMerge/>
            <w:vAlign w:val="center"/>
          </w:tcPr>
          <w:p w14:paraId="4A04A152"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2EADB10A"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由不熟练</w:t>
            </w:r>
            <w:r>
              <w:rPr>
                <w:rFonts w:ascii="仿宋_GB2312" w:eastAsia="仿宋_GB2312" w:hAnsi="仿宋_GB2312" w:cs="仿宋_GB2312" w:hint="eastAsia"/>
              </w:rPr>
              <w:t>/</w:t>
            </w:r>
            <w:r>
              <w:rPr>
                <w:rFonts w:ascii="仿宋_GB2312" w:eastAsia="仿宋_GB2312" w:hAnsi="仿宋_GB2312" w:cs="仿宋_GB2312" w:hint="eastAsia"/>
              </w:rPr>
              <w:t>未经培训的人员使用</w:t>
            </w:r>
          </w:p>
        </w:tc>
        <w:tc>
          <w:tcPr>
            <w:tcW w:w="3286" w:type="dxa"/>
            <w:vAlign w:val="center"/>
          </w:tcPr>
          <w:p w14:paraId="586D95D6"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操作人员连接不牢固、方向接反，或未检查产品完整性。</w:t>
            </w:r>
          </w:p>
        </w:tc>
        <w:tc>
          <w:tcPr>
            <w:tcW w:w="2691" w:type="dxa"/>
            <w:vAlign w:val="center"/>
          </w:tcPr>
          <w:p w14:paraId="7F1A1E56"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导致废气收集失效，麻醉气体泄漏至环境中，增加职业暴露风险。</w:t>
            </w:r>
          </w:p>
        </w:tc>
      </w:tr>
      <w:tr w:rsidR="00215884" w14:paraId="7DD70EC5" w14:textId="77777777">
        <w:trPr>
          <w:jc w:val="center"/>
        </w:trPr>
        <w:tc>
          <w:tcPr>
            <w:tcW w:w="908" w:type="dxa"/>
            <w:vMerge/>
            <w:vAlign w:val="center"/>
          </w:tcPr>
          <w:p w14:paraId="3FED7706"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13FC0271"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对副作用的警告不充分</w:t>
            </w:r>
          </w:p>
        </w:tc>
        <w:tc>
          <w:tcPr>
            <w:tcW w:w="3286" w:type="dxa"/>
            <w:vAlign w:val="center"/>
          </w:tcPr>
          <w:p w14:paraId="45F653AF"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未充分警告在富氧环境或明火附近，吸附剂可能富集高浓度氧气或可燃麻醉气体带来的火灾风险。</w:t>
            </w:r>
          </w:p>
        </w:tc>
        <w:tc>
          <w:tcPr>
            <w:tcW w:w="2691" w:type="dxa"/>
            <w:vAlign w:val="center"/>
          </w:tcPr>
          <w:p w14:paraId="15F547FA"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存在潜在的火灾或爆炸隐患。</w:t>
            </w:r>
          </w:p>
        </w:tc>
      </w:tr>
      <w:tr w:rsidR="00215884" w14:paraId="6D9258F5" w14:textId="77777777">
        <w:trPr>
          <w:jc w:val="center"/>
        </w:trPr>
        <w:tc>
          <w:tcPr>
            <w:tcW w:w="908" w:type="dxa"/>
            <w:vMerge/>
            <w:vAlign w:val="center"/>
          </w:tcPr>
          <w:p w14:paraId="3E5E8A50"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4BECE485"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对一次性使用医疗器械很可能再次使用的危害警告不适当</w:t>
            </w:r>
          </w:p>
        </w:tc>
        <w:tc>
          <w:tcPr>
            <w:tcW w:w="3286" w:type="dxa"/>
            <w:vAlign w:val="center"/>
          </w:tcPr>
          <w:p w14:paraId="5A07AAC4"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未明确、醒目地警示“禁止重复使用”。</w:t>
            </w:r>
          </w:p>
        </w:tc>
        <w:tc>
          <w:tcPr>
            <w:tcW w:w="2691" w:type="dxa"/>
            <w:vAlign w:val="center"/>
          </w:tcPr>
          <w:p w14:paraId="732F02FB"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导致产品被重复使用，引发交叉感染、吸附性能完全失效及结构破损风险。</w:t>
            </w:r>
          </w:p>
        </w:tc>
      </w:tr>
      <w:tr w:rsidR="00215884" w14:paraId="41FD5CE5" w14:textId="77777777">
        <w:trPr>
          <w:jc w:val="center"/>
        </w:trPr>
        <w:tc>
          <w:tcPr>
            <w:tcW w:w="908" w:type="dxa"/>
            <w:vMerge/>
            <w:vAlign w:val="center"/>
          </w:tcPr>
          <w:p w14:paraId="226B9FEC"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15E2F063"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违反或缩减说明书、程序等</w:t>
            </w:r>
          </w:p>
        </w:tc>
        <w:tc>
          <w:tcPr>
            <w:tcW w:w="3286" w:type="dxa"/>
            <w:vAlign w:val="center"/>
          </w:tcPr>
          <w:p w14:paraId="3E2CBCAA"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因说明表述不清，用户未遵循正确的安装、更换或处置程序。</w:t>
            </w:r>
          </w:p>
        </w:tc>
        <w:tc>
          <w:tcPr>
            <w:tcW w:w="2691" w:type="dxa"/>
            <w:vAlign w:val="center"/>
          </w:tcPr>
          <w:p w14:paraId="554E9029"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不能实现预期的麻醉废气收集与防护功能。</w:t>
            </w:r>
          </w:p>
        </w:tc>
      </w:tr>
      <w:tr w:rsidR="00215884" w14:paraId="2DFA2E3E" w14:textId="77777777">
        <w:trPr>
          <w:jc w:val="center"/>
        </w:trPr>
        <w:tc>
          <w:tcPr>
            <w:tcW w:w="908" w:type="dxa"/>
            <w:vMerge w:val="restart"/>
            <w:vAlign w:val="center"/>
          </w:tcPr>
          <w:p w14:paraId="2FE19B87"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lastRenderedPageBreak/>
              <w:t>功能性失效</w:t>
            </w:r>
          </w:p>
        </w:tc>
        <w:tc>
          <w:tcPr>
            <w:tcW w:w="1635" w:type="dxa"/>
            <w:vAlign w:val="center"/>
          </w:tcPr>
          <w:p w14:paraId="7D1857D1"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对医疗器械寿命终止缺少适当的决定</w:t>
            </w:r>
          </w:p>
        </w:tc>
        <w:tc>
          <w:tcPr>
            <w:tcW w:w="3286" w:type="dxa"/>
            <w:vAlign w:val="center"/>
          </w:tcPr>
          <w:p w14:paraId="29EDDB99"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未标识产品有效期、寿命，或有效期、寿命验证不充分。</w:t>
            </w:r>
          </w:p>
        </w:tc>
        <w:tc>
          <w:tcPr>
            <w:tcW w:w="2691" w:type="dxa"/>
            <w:vAlign w:val="center"/>
          </w:tcPr>
          <w:p w14:paraId="250E3B00"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使用过期产品，吸附材料性能已衰退，无法有效吸附废气。</w:t>
            </w:r>
          </w:p>
        </w:tc>
      </w:tr>
      <w:tr w:rsidR="00215884" w14:paraId="4B6F540B" w14:textId="77777777">
        <w:trPr>
          <w:jc w:val="center"/>
        </w:trPr>
        <w:tc>
          <w:tcPr>
            <w:tcW w:w="908" w:type="dxa"/>
            <w:vMerge/>
            <w:vAlign w:val="center"/>
          </w:tcPr>
          <w:p w14:paraId="71CCBFAF"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56E2A17F"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不适当的包装（医疗器械的污染和</w:t>
            </w:r>
            <w:r>
              <w:rPr>
                <w:rFonts w:ascii="仿宋_GB2312" w:eastAsia="仿宋_GB2312" w:hAnsi="仿宋_GB2312" w:cs="仿宋_GB2312" w:hint="eastAsia"/>
              </w:rPr>
              <w:t>/</w:t>
            </w:r>
            <w:r>
              <w:rPr>
                <w:rFonts w:ascii="仿宋_GB2312" w:eastAsia="仿宋_GB2312" w:hAnsi="仿宋_GB2312" w:cs="仿宋_GB2312" w:hint="eastAsia"/>
              </w:rPr>
              <w:t>或失效）</w:t>
            </w:r>
          </w:p>
        </w:tc>
        <w:tc>
          <w:tcPr>
            <w:tcW w:w="3286" w:type="dxa"/>
            <w:vAlign w:val="center"/>
          </w:tcPr>
          <w:p w14:paraId="4F5A67F7"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包装密封性差，无法提供有效物理保护。</w:t>
            </w:r>
          </w:p>
        </w:tc>
        <w:tc>
          <w:tcPr>
            <w:tcW w:w="2691" w:type="dxa"/>
            <w:vAlign w:val="center"/>
          </w:tcPr>
          <w:p w14:paraId="5A535EF9"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产品在储运中被污染或受潮，导致吸附性能下降或失效。</w:t>
            </w:r>
          </w:p>
        </w:tc>
      </w:tr>
      <w:tr w:rsidR="00215884" w14:paraId="76022CAF" w14:textId="77777777">
        <w:trPr>
          <w:jc w:val="center"/>
        </w:trPr>
        <w:tc>
          <w:tcPr>
            <w:tcW w:w="908" w:type="dxa"/>
            <w:vMerge/>
            <w:vAlign w:val="center"/>
          </w:tcPr>
          <w:p w14:paraId="08F7FED2" w14:textId="77777777" w:rsidR="00215884" w:rsidRDefault="00215884">
            <w:pPr>
              <w:snapToGrid w:val="0"/>
              <w:spacing w:after="0" w:line="240" w:lineRule="auto"/>
              <w:jc w:val="center"/>
              <w:rPr>
                <w:rFonts w:ascii="仿宋_GB2312" w:eastAsia="仿宋_GB2312" w:hAnsi="仿宋_GB2312" w:cs="仿宋_GB2312"/>
              </w:rPr>
            </w:pPr>
          </w:p>
        </w:tc>
        <w:tc>
          <w:tcPr>
            <w:tcW w:w="1635" w:type="dxa"/>
            <w:vAlign w:val="center"/>
          </w:tcPr>
          <w:p w14:paraId="2CF76315" w14:textId="77777777" w:rsidR="00215884" w:rsidRDefault="0085653E">
            <w:pPr>
              <w:snapToGrid w:val="0"/>
              <w:spacing w:after="0" w:line="240" w:lineRule="auto"/>
              <w:jc w:val="center"/>
              <w:rPr>
                <w:rFonts w:ascii="仿宋_GB2312" w:eastAsia="仿宋_GB2312" w:hAnsi="仿宋_GB2312" w:cs="仿宋_GB2312"/>
              </w:rPr>
            </w:pPr>
            <w:r>
              <w:rPr>
                <w:rFonts w:ascii="仿宋_GB2312" w:eastAsia="仿宋_GB2312" w:hAnsi="仿宋_GB2312" w:cs="仿宋_GB2312" w:hint="eastAsia"/>
              </w:rPr>
              <w:t>再次使用和</w:t>
            </w:r>
            <w:r>
              <w:rPr>
                <w:rFonts w:ascii="仿宋_GB2312" w:eastAsia="仿宋_GB2312" w:hAnsi="仿宋_GB2312" w:cs="仿宋_GB2312" w:hint="eastAsia"/>
              </w:rPr>
              <w:t>/</w:t>
            </w:r>
            <w:r>
              <w:rPr>
                <w:rFonts w:ascii="仿宋_GB2312" w:eastAsia="仿宋_GB2312" w:hAnsi="仿宋_GB2312" w:cs="仿宋_GB2312" w:hint="eastAsia"/>
              </w:rPr>
              <w:t>或不适当的再次使用</w:t>
            </w:r>
          </w:p>
        </w:tc>
        <w:tc>
          <w:tcPr>
            <w:tcW w:w="3286" w:type="dxa"/>
            <w:vAlign w:val="center"/>
          </w:tcPr>
          <w:p w14:paraId="29A0D739"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产品标识未明确禁止重复使用，或结构设计可能被误认为可重复使用。</w:t>
            </w:r>
          </w:p>
        </w:tc>
        <w:tc>
          <w:tcPr>
            <w:tcW w:w="2691" w:type="dxa"/>
            <w:vAlign w:val="center"/>
          </w:tcPr>
          <w:p w14:paraId="1A6D8132" w14:textId="77777777" w:rsidR="00215884" w:rsidRDefault="0085653E">
            <w:pPr>
              <w:snapToGrid w:val="0"/>
              <w:spacing w:after="0" w:line="240" w:lineRule="auto"/>
              <w:jc w:val="left"/>
              <w:rPr>
                <w:rFonts w:ascii="仿宋_GB2312" w:eastAsia="仿宋_GB2312" w:hAnsi="仿宋_GB2312" w:cs="仿宋_GB2312"/>
              </w:rPr>
            </w:pPr>
            <w:r>
              <w:rPr>
                <w:rFonts w:ascii="仿宋_GB2312" w:eastAsia="仿宋_GB2312" w:hAnsi="仿宋_GB2312" w:cs="仿宋_GB2312" w:hint="eastAsia"/>
              </w:rPr>
              <w:t>导致交叉感染，且重复使用后吸附剂完全饱和，失去功能。</w:t>
            </w:r>
          </w:p>
        </w:tc>
      </w:tr>
    </w:tbl>
    <w:p w14:paraId="4C792764" w14:textId="77777777" w:rsidR="00215884" w:rsidRDefault="00215884">
      <w:pPr>
        <w:spacing w:line="520" w:lineRule="exact"/>
        <w:rPr>
          <w:rFonts w:eastAsia="仿宋_GB2312"/>
          <w:color w:val="000000"/>
          <w:szCs w:val="32"/>
        </w:rPr>
      </w:pPr>
    </w:p>
    <w:sectPr w:rsidR="00215884">
      <w:footerReference w:type="default" r:id="rId8"/>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FCEA8" w14:textId="77777777" w:rsidR="0085653E" w:rsidRDefault="0085653E">
      <w:pPr>
        <w:spacing w:line="240" w:lineRule="auto"/>
      </w:pPr>
      <w:r>
        <w:separator/>
      </w:r>
    </w:p>
  </w:endnote>
  <w:endnote w:type="continuationSeparator" w:id="0">
    <w:p w14:paraId="1DB9F3CF" w14:textId="77777777" w:rsidR="0085653E" w:rsidRDefault="008565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obe 仿宋 Std R">
    <w:altName w:val="Noto Sans SC Thin"/>
    <w:charset w:val="86"/>
    <w:family w:val="roman"/>
    <w:pitch w:val="default"/>
    <w:sig w:usb0="00000000" w:usb1="00000000" w:usb2="00000016" w:usb3="00000000" w:csb0="00060007" w:csb1="00000000"/>
  </w:font>
  <w:font w:name="黑体">
    <w:altName w:val="SimHei"/>
    <w:panose1 w:val="02010609060101010101"/>
    <w:charset w:val="86"/>
    <w:family w:val="modern"/>
    <w:pitch w:val="fixed"/>
    <w:sig w:usb0="800002BF" w:usb1="38CF7CFA" w:usb2="00000016" w:usb3="00000000" w:csb0="00040001" w:csb1="00000000"/>
  </w:font>
  <w:font w:name="Calibri">
    <w:altName w:val="DejaVu Sans"/>
    <w:panose1 w:val="020F0502020204030204"/>
    <w:charset w:val="00"/>
    <w:family w:val="swiss"/>
    <w:pitch w:val="variable"/>
    <w:sig w:usb0="E4002EFF" w:usb1="C000247B" w:usb2="00000009" w:usb3="00000000" w:csb0="000001FF" w:csb1="00000000"/>
  </w:font>
  <w:font w:name="楷体">
    <w:altName w:val="方正楷体_GBK"/>
    <w:panose1 w:val="02010609060101010101"/>
    <w:charset w:val="86"/>
    <w:family w:val="modern"/>
    <w:pitch w:val="fixed"/>
    <w:sig w:usb0="800002BF" w:usb1="38CF7CFA" w:usb2="00000016" w:usb3="00000000" w:csb0="00040001" w:csb1="00000000"/>
  </w:font>
  <w:font w:name="DejaVu Sans">
    <w:charset w:val="00"/>
    <w:family w:val="roman"/>
    <w:pitch w:val="default"/>
    <w:sig w:usb0="E7006EFF" w:usb1="D200FDFF" w:usb2="0A246029" w:usb3="0400200C" w:csb0="600001FF" w:csb1="DFFF0000"/>
  </w:font>
  <w:font w:name="Calibri Light">
    <w:altName w:val="DejaVu Sans"/>
    <w:panose1 w:val="020F0302020204030204"/>
    <w:charset w:val="00"/>
    <w:family w:val="swiss"/>
    <w:pitch w:val="variable"/>
    <w:sig w:usb0="E4002EFF" w:usb1="C000247B" w:usb2="00000009" w:usb3="00000000" w:csb0="000001FF" w:csb1="00000000"/>
  </w:font>
  <w:font w:name="楷体_GB2312">
    <w:altName w:val="方正楷体_GBK"/>
    <w:panose1 w:val="02010609030101010101"/>
    <w:charset w:val="86"/>
    <w:family w:val="modern"/>
    <w:pitch w:val="fixed"/>
    <w:sig w:usb0="00000001" w:usb1="080E0000" w:usb2="00000010" w:usb3="00000000" w:csb0="00040000" w:csb1="00000000"/>
  </w:font>
  <w:font w:name="Tahoma">
    <w:altName w:val="DejaVu Sans"/>
    <w:panose1 w:val="020B0604030504040204"/>
    <w:charset w:val="00"/>
    <w:family w:val="swiss"/>
    <w:pitch w:val="variable"/>
    <w:sig w:usb0="E1002EFF" w:usb1="C000605B" w:usb2="00000029" w:usb3="00000000" w:csb0="000101FF" w:csb1="00000000"/>
  </w:font>
  <w:font w:name="微软雅黑">
    <w:altName w:val="方正黑体_GBK"/>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48AEF" w14:textId="1F234414" w:rsidR="00215884" w:rsidRDefault="0085653E">
    <w:pPr>
      <w:pStyle w:val="a7"/>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280FB9" w:rsidRPr="00280FB9">
      <w:rPr>
        <w:noProof/>
        <w:sz w:val="28"/>
        <w:szCs w:val="28"/>
        <w:lang w:val="zh-CN"/>
      </w:rPr>
      <w:t>4</w:t>
    </w:r>
    <w:r>
      <w:rPr>
        <w:sz w:val="28"/>
        <w:szCs w:val="28"/>
      </w:rPr>
      <w:fldChar w:fldCharType="end"/>
    </w:r>
    <w:r>
      <w:rPr>
        <w:sz w:val="28"/>
        <w:szCs w:val="28"/>
      </w:rPr>
      <w:t xml:space="preserve"> —</w:t>
    </w:r>
  </w:p>
  <w:p w14:paraId="0342B8E3" w14:textId="77777777" w:rsidR="00215884" w:rsidRDefault="0085653E">
    <w:pPr>
      <w:pStyle w:val="a7"/>
    </w:pPr>
    <w:r>
      <w:rPr>
        <w:noProof/>
      </w:rP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57785" cy="254000"/>
              <wp:effectExtent l="0" t="0" r="3810" b="0"/>
              <wp:wrapNone/>
              <wp:docPr id="332137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54000"/>
                      </a:xfrm>
                      <a:prstGeom prst="rect">
                        <a:avLst/>
                      </a:prstGeom>
                      <a:noFill/>
                      <a:ln>
                        <a:noFill/>
                      </a:ln>
                    </wps:spPr>
                    <wps:txbx>
                      <w:txbxContent>
                        <w:p w14:paraId="320A2A5F" w14:textId="7D556B5F" w:rsidR="00215884" w:rsidRDefault="0085653E">
                          <w:pPr>
                            <w:snapToGrid w:val="0"/>
                            <w:rPr>
                              <w:sz w:val="18"/>
                            </w:rPr>
                          </w:pPr>
                          <w:r>
                            <w:rPr>
                              <w:sz w:val="18"/>
                            </w:rPr>
                            <w:fldChar w:fldCharType="begin"/>
                          </w:r>
                          <w:r>
                            <w:rPr>
                              <w:sz w:val="18"/>
                            </w:rPr>
                            <w:instrText xml:space="preserve"> PAGE  \* MERGEFORMAT </w:instrText>
                          </w:r>
                          <w:r>
                            <w:rPr>
                              <w:sz w:val="18"/>
                            </w:rPr>
                            <w:fldChar w:fldCharType="separate"/>
                          </w:r>
                          <w:r w:rsidR="00280FB9">
                            <w:rPr>
                              <w:noProof/>
                              <w:sz w:val="18"/>
                            </w:rPr>
                            <w:t>4</w:t>
                          </w:r>
                          <w:r>
                            <w:rPr>
                              <w:sz w:val="18"/>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5.95pt;margin-top:0;width:4.55pt;height:20pt;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" filled="f" stroked="f">
              <v:textbox style="mso-fit-shape-to-text:t" inset="0,0,0,0">
                <w:txbxContent>
                  <w:p w14:paraId="320A2A5F" w14:textId="7D556B5F" w:rsidR="00215884" w:rsidRDefault="0085653E">
                    <w:pPr>
                      <w:snapToGrid w:val="0"/>
                      <w:rPr>
                        <w:sz w:val="18"/>
                      </w:rPr>
                    </w:pPr>
                    <w:r>
                      <w:rPr>
                        <w:sz w:val="18"/>
                      </w:rPr>
                      <w:fldChar w:fldCharType="begin"/>
                    </w:r>
                    <w:r>
                      <w:rPr>
                        <w:sz w:val="18"/>
                      </w:rPr>
                      <w:instrText xml:space="preserve"> PAGE  \* MERGEFORMAT </w:instrText>
                    </w:r>
                    <w:r>
                      <w:rPr>
                        <w:sz w:val="18"/>
                      </w:rPr>
                      <w:fldChar w:fldCharType="separate"/>
                    </w:r>
                    <w:r w:rsidR="00280FB9">
                      <w:rPr>
                        <w:noProof/>
                        <w:sz w:val="18"/>
                      </w:rPr>
                      <w:t>4</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12718" w14:textId="77777777" w:rsidR="0085653E" w:rsidRDefault="0085653E">
      <w:pPr>
        <w:spacing w:line="240" w:lineRule="auto"/>
      </w:pPr>
      <w:r>
        <w:separator/>
      </w:r>
    </w:p>
  </w:footnote>
  <w:footnote w:type="continuationSeparator" w:id="0">
    <w:p w14:paraId="471B9866" w14:textId="77777777" w:rsidR="0085653E" w:rsidRDefault="0085653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B75E22E8"/>
    <w:rsid w:val="BF7711DF"/>
    <w:rsid w:val="BFDF6051"/>
    <w:rsid w:val="D6573B6C"/>
    <w:rsid w:val="DEF70035"/>
    <w:rsid w:val="DFFFE17D"/>
    <w:rsid w:val="EBCFA637"/>
    <w:rsid w:val="ED776AC6"/>
    <w:rsid w:val="EF9F915E"/>
    <w:rsid w:val="EFAF12E6"/>
    <w:rsid w:val="EFFD57F9"/>
    <w:rsid w:val="F6B969C4"/>
    <w:rsid w:val="F7E38006"/>
    <w:rsid w:val="FBB7C68F"/>
    <w:rsid w:val="FBD83FA9"/>
    <w:rsid w:val="FC2F920F"/>
    <w:rsid w:val="FDDEFD78"/>
    <w:rsid w:val="FDF752B8"/>
    <w:rsid w:val="FE6F29A6"/>
    <w:rsid w:val="FF5A9360"/>
    <w:rsid w:val="FF7F6C30"/>
    <w:rsid w:val="FF7F9E8F"/>
    <w:rsid w:val="FFD7ECED"/>
    <w:rsid w:val="00011B1F"/>
    <w:rsid w:val="0007686E"/>
    <w:rsid w:val="00084B6E"/>
    <w:rsid w:val="000B3464"/>
    <w:rsid w:val="000C6CA4"/>
    <w:rsid w:val="000E5335"/>
    <w:rsid w:val="000E56DE"/>
    <w:rsid w:val="00100CA7"/>
    <w:rsid w:val="00145167"/>
    <w:rsid w:val="0015622E"/>
    <w:rsid w:val="001C3A87"/>
    <w:rsid w:val="001E0961"/>
    <w:rsid w:val="001E57C9"/>
    <w:rsid w:val="00215884"/>
    <w:rsid w:val="00224940"/>
    <w:rsid w:val="00242375"/>
    <w:rsid w:val="00244DF7"/>
    <w:rsid w:val="00277473"/>
    <w:rsid w:val="00280FB9"/>
    <w:rsid w:val="00291759"/>
    <w:rsid w:val="00294D2B"/>
    <w:rsid w:val="002B24A0"/>
    <w:rsid w:val="002F2978"/>
    <w:rsid w:val="0030368E"/>
    <w:rsid w:val="003137C1"/>
    <w:rsid w:val="00332DE8"/>
    <w:rsid w:val="003450A4"/>
    <w:rsid w:val="00355421"/>
    <w:rsid w:val="00365AB2"/>
    <w:rsid w:val="003961B7"/>
    <w:rsid w:val="003C1481"/>
    <w:rsid w:val="003F333F"/>
    <w:rsid w:val="00410598"/>
    <w:rsid w:val="00420D76"/>
    <w:rsid w:val="00435AC6"/>
    <w:rsid w:val="00440708"/>
    <w:rsid w:val="004410B9"/>
    <w:rsid w:val="004C4DBC"/>
    <w:rsid w:val="004E39ED"/>
    <w:rsid w:val="005041BA"/>
    <w:rsid w:val="00534F4C"/>
    <w:rsid w:val="005A1410"/>
    <w:rsid w:val="005A204F"/>
    <w:rsid w:val="0061027C"/>
    <w:rsid w:val="00632DDA"/>
    <w:rsid w:val="00670197"/>
    <w:rsid w:val="006A1165"/>
    <w:rsid w:val="006C00CB"/>
    <w:rsid w:val="006E68A9"/>
    <w:rsid w:val="006E7148"/>
    <w:rsid w:val="00716619"/>
    <w:rsid w:val="00745098"/>
    <w:rsid w:val="0076010B"/>
    <w:rsid w:val="007646FC"/>
    <w:rsid w:val="00787F7E"/>
    <w:rsid w:val="007904F6"/>
    <w:rsid w:val="0079674D"/>
    <w:rsid w:val="007C5570"/>
    <w:rsid w:val="007D341A"/>
    <w:rsid w:val="007E040B"/>
    <w:rsid w:val="00815364"/>
    <w:rsid w:val="00821079"/>
    <w:rsid w:val="0083023D"/>
    <w:rsid w:val="00845C30"/>
    <w:rsid w:val="00847754"/>
    <w:rsid w:val="0085653E"/>
    <w:rsid w:val="009272E2"/>
    <w:rsid w:val="00930811"/>
    <w:rsid w:val="00933041"/>
    <w:rsid w:val="00937F0E"/>
    <w:rsid w:val="009409D3"/>
    <w:rsid w:val="009E2514"/>
    <w:rsid w:val="009F209D"/>
    <w:rsid w:val="00A23EC2"/>
    <w:rsid w:val="00A25C1A"/>
    <w:rsid w:val="00A555FB"/>
    <w:rsid w:val="00A73BFE"/>
    <w:rsid w:val="00AD0BCB"/>
    <w:rsid w:val="00B067DB"/>
    <w:rsid w:val="00B41578"/>
    <w:rsid w:val="00B6079C"/>
    <w:rsid w:val="00B66355"/>
    <w:rsid w:val="00B75D2F"/>
    <w:rsid w:val="00B9118A"/>
    <w:rsid w:val="00BA29CF"/>
    <w:rsid w:val="00BC2983"/>
    <w:rsid w:val="00BC7C84"/>
    <w:rsid w:val="00BD300F"/>
    <w:rsid w:val="00BE1DCD"/>
    <w:rsid w:val="00BE669C"/>
    <w:rsid w:val="00C0562D"/>
    <w:rsid w:val="00C25F69"/>
    <w:rsid w:val="00C40950"/>
    <w:rsid w:val="00C65521"/>
    <w:rsid w:val="00C74CE1"/>
    <w:rsid w:val="00CA7D4E"/>
    <w:rsid w:val="00CB4CCD"/>
    <w:rsid w:val="00CE6D84"/>
    <w:rsid w:val="00D20C49"/>
    <w:rsid w:val="00D32614"/>
    <w:rsid w:val="00D36F91"/>
    <w:rsid w:val="00D4450D"/>
    <w:rsid w:val="00D66CAE"/>
    <w:rsid w:val="00D86147"/>
    <w:rsid w:val="00DA1552"/>
    <w:rsid w:val="00DD740E"/>
    <w:rsid w:val="00E0332B"/>
    <w:rsid w:val="00E07E6A"/>
    <w:rsid w:val="00E11D78"/>
    <w:rsid w:val="00E72EF4"/>
    <w:rsid w:val="00E941E9"/>
    <w:rsid w:val="00EB1A04"/>
    <w:rsid w:val="00EC523A"/>
    <w:rsid w:val="00ED0226"/>
    <w:rsid w:val="00EE261B"/>
    <w:rsid w:val="00EE4EBB"/>
    <w:rsid w:val="00F14A7B"/>
    <w:rsid w:val="00F31CB3"/>
    <w:rsid w:val="00F406B1"/>
    <w:rsid w:val="00F56E2F"/>
    <w:rsid w:val="00F81D1A"/>
    <w:rsid w:val="00FB46B2"/>
    <w:rsid w:val="00FF0F38"/>
    <w:rsid w:val="02692289"/>
    <w:rsid w:val="03217B69"/>
    <w:rsid w:val="038B058F"/>
    <w:rsid w:val="04530873"/>
    <w:rsid w:val="04574BE6"/>
    <w:rsid w:val="085023FC"/>
    <w:rsid w:val="09831C78"/>
    <w:rsid w:val="0D2512F3"/>
    <w:rsid w:val="0D3475F8"/>
    <w:rsid w:val="0FC20009"/>
    <w:rsid w:val="119360D6"/>
    <w:rsid w:val="13A26830"/>
    <w:rsid w:val="14AA4A57"/>
    <w:rsid w:val="16B75312"/>
    <w:rsid w:val="16FB675A"/>
    <w:rsid w:val="1A0B44BB"/>
    <w:rsid w:val="1CB74BFC"/>
    <w:rsid w:val="1D300AFD"/>
    <w:rsid w:val="1E607E68"/>
    <w:rsid w:val="1F710EEF"/>
    <w:rsid w:val="20E94B71"/>
    <w:rsid w:val="23B34B45"/>
    <w:rsid w:val="23D6278E"/>
    <w:rsid w:val="24921C4A"/>
    <w:rsid w:val="24E45EE3"/>
    <w:rsid w:val="25B92378"/>
    <w:rsid w:val="29D238DE"/>
    <w:rsid w:val="2B0C0F7B"/>
    <w:rsid w:val="2BE45EAA"/>
    <w:rsid w:val="2CF0B389"/>
    <w:rsid w:val="2D7DED99"/>
    <w:rsid w:val="305B7FDF"/>
    <w:rsid w:val="33CE3018"/>
    <w:rsid w:val="352C778C"/>
    <w:rsid w:val="37F7905F"/>
    <w:rsid w:val="385A4404"/>
    <w:rsid w:val="3CF13165"/>
    <w:rsid w:val="3EE30952"/>
    <w:rsid w:val="3FF5352C"/>
    <w:rsid w:val="439471E0"/>
    <w:rsid w:val="43DF6B4D"/>
    <w:rsid w:val="44022AC4"/>
    <w:rsid w:val="44AB4E58"/>
    <w:rsid w:val="458B1698"/>
    <w:rsid w:val="47981173"/>
    <w:rsid w:val="4A7B1DAB"/>
    <w:rsid w:val="4FDA2E25"/>
    <w:rsid w:val="4FDF19AE"/>
    <w:rsid w:val="55C220B3"/>
    <w:rsid w:val="57BE4984"/>
    <w:rsid w:val="58DF12A5"/>
    <w:rsid w:val="5A190B8F"/>
    <w:rsid w:val="5B746366"/>
    <w:rsid w:val="5C2627DD"/>
    <w:rsid w:val="5DFF3B38"/>
    <w:rsid w:val="613964C0"/>
    <w:rsid w:val="623A1C4E"/>
    <w:rsid w:val="6ABBD71A"/>
    <w:rsid w:val="6B274387"/>
    <w:rsid w:val="6B737129"/>
    <w:rsid w:val="6C0C556A"/>
    <w:rsid w:val="6D25ED95"/>
    <w:rsid w:val="6FF96B5A"/>
    <w:rsid w:val="707C3028"/>
    <w:rsid w:val="72282218"/>
    <w:rsid w:val="730B97C6"/>
    <w:rsid w:val="74575C64"/>
    <w:rsid w:val="74CF1C9F"/>
    <w:rsid w:val="772B0025"/>
    <w:rsid w:val="77DEA755"/>
    <w:rsid w:val="77FFFDBC"/>
    <w:rsid w:val="7AEF1CDE"/>
    <w:rsid w:val="7BF7D5D1"/>
    <w:rsid w:val="7EFF92BA"/>
    <w:rsid w:val="7F7325A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0230B2-4C7A-4E8B-8BBF-D04D6E59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jc w:val="both"/>
    </w:pPr>
    <w:rPr>
      <w:rFonts w:eastAsia="Adobe 仿宋 Std R"/>
      <w:kern w:val="2"/>
      <w:sz w:val="32"/>
      <w:szCs w:val="24"/>
    </w:rPr>
  </w:style>
  <w:style w:type="paragraph" w:styleId="1">
    <w:name w:val="heading 1"/>
    <w:basedOn w:val="a"/>
    <w:next w:val="a"/>
    <w:qFormat/>
    <w:pPr>
      <w:keepNext/>
      <w:keepLines/>
      <w:spacing w:line="520" w:lineRule="exact"/>
      <w:ind w:leftChars="300" w:left="300"/>
      <w:jc w:val="left"/>
      <w:outlineLvl w:val="0"/>
    </w:pPr>
    <w:rPr>
      <w:rFonts w:eastAsia="黑体" w:cs="Calibri"/>
      <w:bCs/>
      <w:kern w:val="44"/>
      <w:szCs w:val="44"/>
    </w:rPr>
  </w:style>
  <w:style w:type="paragraph" w:styleId="3">
    <w:name w:val="heading 3"/>
    <w:basedOn w:val="a"/>
    <w:next w:val="a"/>
    <w:qFormat/>
    <w:pPr>
      <w:widowControl/>
      <w:spacing w:line="520" w:lineRule="exact"/>
      <w:ind w:firstLineChars="200" w:firstLine="880"/>
      <w:jc w:val="left"/>
      <w:outlineLvl w:val="2"/>
    </w:pPr>
    <w:rPr>
      <w:rFonts w:ascii="宋体" w:eastAsia="楷体" w:hAnsi="宋体" w:cs="宋体"/>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uiPriority w:val="99"/>
    <w:unhideWhenUsed/>
    <w:qFormat/>
    <w:pPr>
      <w:tabs>
        <w:tab w:val="center" w:pos="4153"/>
        <w:tab w:val="right" w:pos="8306"/>
      </w:tabs>
      <w:snapToGrid w:val="0"/>
      <w:jc w:val="left"/>
    </w:pPr>
    <w:rPr>
      <w:sz w:val="18"/>
    </w:rPr>
  </w:style>
  <w:style w:type="paragraph" w:styleId="a8">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9">
    <w:name w:val="Subtitle"/>
    <w:basedOn w:val="a"/>
    <w:next w:val="a"/>
    <w:qFormat/>
    <w:pPr>
      <w:spacing w:before="120"/>
      <w:jc w:val="left"/>
      <w:outlineLvl w:val="1"/>
    </w:pPr>
    <w:rPr>
      <w:rFonts w:ascii="Calibri Light" w:eastAsia="楷体_GB2312" w:hAnsi="Calibri Light"/>
      <w:bCs/>
      <w:kern w:val="28"/>
      <w:szCs w:val="32"/>
    </w:rPr>
  </w:style>
  <w:style w:type="paragraph" w:styleId="aa">
    <w:name w:val="annotation subject"/>
    <w:basedOn w:val="a3"/>
    <w:next w:val="a3"/>
    <w:link w:val="ab"/>
    <w:uiPriority w:val="99"/>
    <w:semiHidden/>
    <w:unhideWhenUsed/>
    <w:qFormat/>
    <w:rPr>
      <w:b/>
      <w:bCs/>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styleId="ae">
    <w:name w:val="annotation reference"/>
    <w:basedOn w:val="a0"/>
    <w:uiPriority w:val="99"/>
    <w:semiHidden/>
    <w:unhideWhenUsed/>
    <w:qFormat/>
    <w:rPr>
      <w:sz w:val="21"/>
      <w:szCs w:val="21"/>
    </w:rPr>
  </w:style>
  <w:style w:type="paragraph" w:styleId="af">
    <w:name w:val="No Spacing"/>
    <w:qFormat/>
    <w:pPr>
      <w:adjustRightInd w:val="0"/>
      <w:snapToGrid w:val="0"/>
      <w:spacing w:after="160" w:line="278" w:lineRule="auto"/>
    </w:pPr>
    <w:rPr>
      <w:rFonts w:ascii="Tahoma" w:eastAsia="微软雅黑" w:hAnsi="Tahoma"/>
      <w:sz w:val="22"/>
      <w:szCs w:val="22"/>
    </w:rPr>
  </w:style>
  <w:style w:type="paragraph" w:customStyle="1" w:styleId="10">
    <w:name w:val="列出段落1"/>
    <w:basedOn w:val="a"/>
    <w:link w:val="Char"/>
    <w:uiPriority w:val="34"/>
    <w:qFormat/>
    <w:pPr>
      <w:ind w:firstLineChars="200" w:firstLine="420"/>
    </w:pPr>
    <w:rPr>
      <w:rFonts w:eastAsia="仿宋_GB2312"/>
      <w:szCs w:val="32"/>
    </w:rPr>
  </w:style>
  <w:style w:type="character" w:customStyle="1" w:styleId="Char">
    <w:name w:val="列出段落 Char"/>
    <w:basedOn w:val="a0"/>
    <w:link w:val="10"/>
    <w:uiPriority w:val="34"/>
    <w:qFormat/>
    <w:rPr>
      <w:rFonts w:ascii="Times New Roman" w:eastAsia="仿宋_GB2312" w:hAnsi="Times New Roman" w:cs="Times New Roman"/>
      <w:sz w:val="32"/>
      <w:szCs w:val="32"/>
    </w:rPr>
  </w:style>
  <w:style w:type="character" w:customStyle="1" w:styleId="a6">
    <w:name w:val="批注框文本 字符"/>
    <w:basedOn w:val="a0"/>
    <w:link w:val="a5"/>
    <w:uiPriority w:val="99"/>
    <w:semiHidden/>
    <w:qFormat/>
    <w:rPr>
      <w:rFonts w:ascii="Times New Roman" w:eastAsia="Adobe 仿宋 Std R" w:hAnsi="Times New Roman" w:cs="Times New Roman"/>
      <w:kern w:val="2"/>
      <w:sz w:val="18"/>
      <w:szCs w:val="18"/>
    </w:rPr>
  </w:style>
  <w:style w:type="paragraph" w:styleId="af0">
    <w:name w:val="List Paragraph"/>
    <w:basedOn w:val="a"/>
    <w:uiPriority w:val="99"/>
    <w:unhideWhenUsed/>
    <w:qFormat/>
    <w:pPr>
      <w:ind w:firstLineChars="200" w:firstLine="420"/>
    </w:pPr>
  </w:style>
  <w:style w:type="character" w:customStyle="1" w:styleId="a4">
    <w:name w:val="批注文字 字符"/>
    <w:basedOn w:val="a0"/>
    <w:link w:val="a3"/>
    <w:uiPriority w:val="99"/>
    <w:semiHidden/>
    <w:qFormat/>
    <w:rPr>
      <w:rFonts w:ascii="Times New Roman" w:eastAsia="Adobe 仿宋 Std R" w:hAnsi="Times New Roman" w:cs="Times New Roman"/>
      <w:kern w:val="2"/>
      <w:sz w:val="32"/>
      <w:szCs w:val="24"/>
    </w:rPr>
  </w:style>
  <w:style w:type="character" w:customStyle="1" w:styleId="ab">
    <w:name w:val="批注主题 字符"/>
    <w:basedOn w:val="a4"/>
    <w:link w:val="aa"/>
    <w:uiPriority w:val="99"/>
    <w:semiHidden/>
    <w:qFormat/>
    <w:rPr>
      <w:rFonts w:ascii="Times New Roman" w:eastAsia="Adobe 仿宋 Std R" w:hAnsi="Times New Roman" w:cs="Times New Roman"/>
      <w:b/>
      <w:bCs/>
      <w:kern w:val="2"/>
      <w:sz w:val="32"/>
      <w:szCs w:val="24"/>
    </w:rPr>
  </w:style>
  <w:style w:type="paragraph" w:customStyle="1" w:styleId="11">
    <w:name w:val="正文1"/>
    <w:basedOn w:val="a"/>
    <w:qFormat/>
    <w:pPr>
      <w:spacing w:line="520" w:lineRule="exact"/>
      <w:ind w:firstLineChars="200" w:firstLine="200"/>
    </w:pPr>
    <w:rPr>
      <w:rFonts w:eastAsia="仿宋"/>
      <w:szCs w:val="28"/>
    </w:rPr>
  </w:style>
  <w:style w:type="paragraph" w:customStyle="1" w:styleId="New">
    <w:name w:val="正文 New"/>
    <w:qFormat/>
    <w:pPr>
      <w:widowControl w:val="0"/>
      <w:spacing w:after="160" w:line="278" w:lineRule="auto"/>
      <w:jc w:val="both"/>
    </w:pPr>
    <w:rPr>
      <w:rFonts w:ascii="Calibri" w:hAnsi="Calibri"/>
      <w:kern w:val="2"/>
      <w:sz w:val="21"/>
      <w:szCs w:val="24"/>
    </w:rPr>
  </w:style>
  <w:style w:type="paragraph" w:customStyle="1" w:styleId="NewNew">
    <w:name w:val="正文 New New"/>
    <w:qFormat/>
    <w:pPr>
      <w:widowControl w:val="0"/>
      <w:spacing w:after="160" w:line="278" w:lineRule="auto"/>
      <w:jc w:val="both"/>
    </w:pPr>
    <w:rPr>
      <w:kern w:val="2"/>
      <w:sz w:val="21"/>
      <w:szCs w:val="24"/>
    </w:rPr>
  </w:style>
  <w:style w:type="character" w:styleId="af1">
    <w:name w:val="line number"/>
    <w:basedOn w:val="a0"/>
    <w:uiPriority w:val="99"/>
    <w:semiHidden/>
    <w:unhideWhenUsed/>
    <w:rsid w:val="00280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nmpa.gov.cn/xxgk/ggtg/ylqxggtg/ylqxqtggtg/20250513095643145.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939</Words>
  <Characters>5356</Characters>
  <Application>Microsoft Office Word</Application>
  <DocSecurity>0</DocSecurity>
  <Lines>44</Lines>
  <Paragraphs>12</Paragraphs>
  <ScaleCrop>false</ScaleCrop>
  <Company>Microsoft</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GT</cp:lastModifiedBy>
  <cp:revision>25</cp:revision>
  <dcterms:created xsi:type="dcterms:W3CDTF">2026-05-24T08:07:00Z</dcterms:created>
  <dcterms:modified xsi:type="dcterms:W3CDTF">2026-08-12T00:55:00Z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A946306B261143EAB8F75712E7010A65</vt:lpwstr>
  </property>
  <property fmtid="{D5CDD505-2E9C-101B-9397-08002B2CF9AE}" pid="4" name="KSOTemplateDocerSaveRecord">
    <vt:lpwstr>eyJoZGlkIjoiODY3ZDU0YmJkZWVjM2MwZWNkZWYwMDE4YTFjODAxZDUiLCJ1c2VySWQiOiI3MzA1OTYzMDkifQ==</vt:lpwstr>
  </property>
</Properties>
</file>