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DAA" w:rsidRPr="00C8401F" w:rsidRDefault="00DE05DF">
      <w:pPr>
        <w:spacing w:line="520" w:lineRule="exact"/>
        <w:ind w:rightChars="-32" w:right="-102"/>
        <w:jc w:val="center"/>
        <w:rPr>
          <w:rFonts w:ascii="方正小标宋简体" w:eastAsia="方正小标宋简体" w:hint="eastAsia"/>
          <w:color w:val="000000"/>
          <w:sz w:val="44"/>
          <w:szCs w:val="44"/>
        </w:rPr>
      </w:pPr>
      <w:r w:rsidRPr="00C8401F">
        <w:rPr>
          <w:rFonts w:ascii="方正小标宋简体" w:eastAsia="方正小标宋简体" w:hint="eastAsia"/>
          <w:color w:val="000000"/>
          <w:sz w:val="44"/>
          <w:szCs w:val="44"/>
        </w:rPr>
        <w:t>脉搏血氧传感器注册审查指导原则</w:t>
      </w:r>
    </w:p>
    <w:p w:rsidR="00355DAA" w:rsidRPr="00C8401F" w:rsidRDefault="00DE05DF">
      <w:pPr>
        <w:spacing w:line="520" w:lineRule="exact"/>
        <w:ind w:rightChars="-32" w:right="-102"/>
        <w:jc w:val="center"/>
        <w:rPr>
          <w:rFonts w:ascii="方正小标宋简体" w:eastAsia="方正小标宋简体" w:hint="eastAsia"/>
          <w:color w:val="000000"/>
          <w:sz w:val="44"/>
          <w:szCs w:val="44"/>
        </w:rPr>
      </w:pPr>
      <w:r w:rsidRPr="00C8401F">
        <w:rPr>
          <w:rFonts w:ascii="方正小标宋简体" w:eastAsia="方正小标宋简体" w:hint="eastAsia"/>
          <w:color w:val="000000"/>
          <w:sz w:val="44"/>
          <w:szCs w:val="44"/>
        </w:rPr>
        <w:t>（</w:t>
      </w:r>
      <w:r w:rsidRPr="00C8401F">
        <w:rPr>
          <w:rFonts w:ascii="方正小标宋简体" w:eastAsia="方正小标宋简体" w:hint="eastAsia"/>
          <w:color w:val="000000"/>
          <w:sz w:val="44"/>
          <w:szCs w:val="44"/>
        </w:rPr>
        <w:t>征求意见稿</w:t>
      </w:r>
      <w:r w:rsidRPr="00C8401F">
        <w:rPr>
          <w:rFonts w:ascii="方正小标宋简体" w:eastAsia="方正小标宋简体" w:hint="eastAsia"/>
          <w:color w:val="000000"/>
          <w:sz w:val="44"/>
          <w:szCs w:val="44"/>
        </w:rPr>
        <w:t>）</w:t>
      </w:r>
    </w:p>
    <w:p w:rsidR="00355DAA" w:rsidRDefault="00355DAA">
      <w:pPr>
        <w:spacing w:line="520" w:lineRule="exact"/>
        <w:ind w:firstLineChars="200" w:firstLine="632"/>
        <w:rPr>
          <w:rFonts w:eastAsia="仿宋_GB2312"/>
          <w:spacing w:val="-2"/>
          <w:kern w:val="0"/>
          <w:szCs w:val="32"/>
        </w:rPr>
      </w:pPr>
    </w:p>
    <w:p w:rsidR="00355DAA" w:rsidRDefault="00DE05DF">
      <w:pPr>
        <w:spacing w:line="520" w:lineRule="exact"/>
        <w:ind w:firstLineChars="200" w:firstLine="640"/>
        <w:rPr>
          <w:rFonts w:eastAsia="仿宋_GB2312"/>
          <w:color w:val="000000"/>
          <w:szCs w:val="32"/>
        </w:rPr>
      </w:pPr>
      <w:r>
        <w:rPr>
          <w:rFonts w:eastAsia="仿宋_GB2312"/>
          <w:color w:val="000000"/>
          <w:szCs w:val="32"/>
        </w:rPr>
        <w:t>本指导原则旨在指导注册申请人对</w:t>
      </w:r>
      <w:r>
        <w:rPr>
          <w:rFonts w:eastAsia="仿宋_GB2312" w:hint="eastAsia"/>
          <w:color w:val="000000"/>
          <w:szCs w:val="32"/>
        </w:rPr>
        <w:t>脉搏</w:t>
      </w:r>
      <w:bookmarkStart w:id="0" w:name="_GoBack"/>
      <w:bookmarkEnd w:id="0"/>
      <w:r>
        <w:rPr>
          <w:rFonts w:eastAsia="仿宋_GB2312" w:hint="eastAsia"/>
          <w:color w:val="000000"/>
          <w:szCs w:val="32"/>
        </w:rPr>
        <w:t>血氧传感器</w:t>
      </w:r>
      <w:r>
        <w:rPr>
          <w:rFonts w:eastAsia="仿宋_GB2312"/>
          <w:color w:val="000000"/>
          <w:szCs w:val="32"/>
        </w:rPr>
        <w:t>注册申报资料的准备及撰写，同时也为技术审评部门注册申报资料的审评提供参考。</w:t>
      </w:r>
    </w:p>
    <w:p w:rsidR="00355DAA" w:rsidRDefault="00DE05DF">
      <w:pPr>
        <w:spacing w:line="520" w:lineRule="exact"/>
        <w:ind w:firstLineChars="200" w:firstLine="640"/>
        <w:rPr>
          <w:rFonts w:eastAsia="仿宋_GB2312"/>
          <w:color w:val="000000"/>
          <w:szCs w:val="32"/>
        </w:rPr>
      </w:pPr>
      <w:r>
        <w:rPr>
          <w:rFonts w:eastAsia="仿宋_GB2312"/>
          <w:color w:val="000000"/>
          <w:szCs w:val="32"/>
        </w:rPr>
        <w:t>本指导原则是对</w:t>
      </w:r>
      <w:r>
        <w:rPr>
          <w:rFonts w:eastAsia="仿宋_GB2312" w:hint="eastAsia"/>
          <w:spacing w:val="-2"/>
          <w:kern w:val="0"/>
          <w:szCs w:val="32"/>
        </w:rPr>
        <w:t>脉搏血氧传感器</w:t>
      </w:r>
      <w:r>
        <w:rPr>
          <w:rFonts w:eastAsia="仿宋_GB2312"/>
          <w:color w:val="000000"/>
          <w:szCs w:val="32"/>
        </w:rPr>
        <w:t>的一般要求，申请人</w:t>
      </w:r>
      <w:r>
        <w:rPr>
          <w:rFonts w:eastAsia="仿宋_GB2312" w:hint="eastAsia"/>
          <w:color w:val="000000"/>
          <w:szCs w:val="32"/>
        </w:rPr>
        <w:t>应</w:t>
      </w:r>
      <w:r>
        <w:rPr>
          <w:rFonts w:eastAsia="仿宋_GB2312"/>
          <w:color w:val="000000"/>
          <w:szCs w:val="32"/>
        </w:rPr>
        <w:t>依据产品的具体特性确定其中内容是否适用。若不适用，需具体阐述理由及相应的科学依据，并依据产品的具体特性对注册申报资料的内容进行充实和细化。</w:t>
      </w:r>
    </w:p>
    <w:p w:rsidR="00355DAA" w:rsidRDefault="00DE05DF">
      <w:pPr>
        <w:spacing w:line="520" w:lineRule="exact"/>
        <w:ind w:firstLineChars="200" w:firstLine="640"/>
        <w:rPr>
          <w:rFonts w:eastAsia="仿宋_GB2312"/>
          <w:color w:val="000000"/>
          <w:szCs w:val="32"/>
        </w:rPr>
      </w:pPr>
      <w:r>
        <w:rPr>
          <w:rFonts w:eastAsia="仿宋_GB2312"/>
          <w:color w:val="000000"/>
          <w:szCs w:val="32"/>
        </w:rPr>
        <w:t>本指导原则是</w:t>
      </w:r>
      <w:r>
        <w:rPr>
          <w:rFonts w:eastAsia="仿宋_GB2312" w:hint="eastAsia"/>
          <w:color w:val="000000"/>
          <w:szCs w:val="32"/>
        </w:rPr>
        <w:t>供</w:t>
      </w:r>
      <w:r>
        <w:rPr>
          <w:rFonts w:eastAsia="仿宋_GB2312"/>
          <w:color w:val="000000"/>
          <w:szCs w:val="32"/>
        </w:rPr>
        <w:t>注册申请人和技术审评人员</w:t>
      </w:r>
      <w:r>
        <w:rPr>
          <w:rFonts w:eastAsia="仿宋_GB2312" w:hint="eastAsia"/>
          <w:color w:val="000000"/>
          <w:szCs w:val="32"/>
        </w:rPr>
        <w:t>使用</w:t>
      </w:r>
      <w:r>
        <w:rPr>
          <w:rFonts w:eastAsia="仿宋_GB2312"/>
          <w:color w:val="000000"/>
          <w:szCs w:val="32"/>
        </w:rPr>
        <w:t>的指导性文件，但不包括注册审批所涉及的行政事项，亦不作为法规强制执行，</w:t>
      </w:r>
      <w:r>
        <w:rPr>
          <w:rFonts w:eastAsia="仿宋_GB2312" w:hint="eastAsia"/>
          <w:color w:val="000000"/>
          <w:szCs w:val="32"/>
        </w:rPr>
        <w:t>应</w:t>
      </w:r>
      <w:r>
        <w:rPr>
          <w:rFonts w:eastAsia="仿宋_GB2312"/>
          <w:color w:val="000000"/>
          <w:szCs w:val="32"/>
        </w:rPr>
        <w:t>在遵循相关法规的前提下使用本指导原则。如果有能够满足相关法规要求的其他方法，也可以采用，但是需要提供详细的研究资料和验证资料。</w:t>
      </w:r>
    </w:p>
    <w:p w:rsidR="00355DAA" w:rsidRDefault="00DE05DF">
      <w:pPr>
        <w:spacing w:line="520" w:lineRule="exact"/>
        <w:ind w:firstLineChars="200" w:firstLine="640"/>
        <w:rPr>
          <w:rFonts w:eastAsia="仿宋_GB2312"/>
          <w:color w:val="000000"/>
          <w:szCs w:val="32"/>
        </w:rPr>
      </w:pPr>
      <w:r>
        <w:rPr>
          <w:rFonts w:eastAsia="仿宋_GB2312"/>
          <w:color w:val="000000"/>
          <w:szCs w:val="32"/>
        </w:rPr>
        <w:t>本指导原则是在现行法规和标准体系以及当前认知水平下制定的，随着法规和标准的不断完善，以及科学技术的不断发展，</w:t>
      </w:r>
      <w:r>
        <w:rPr>
          <w:rFonts w:eastAsia="仿宋_GB2312" w:cs="仿宋_GB2312" w:hint="eastAsia"/>
          <w:snapToGrid w:val="0"/>
          <w:kern w:val="0"/>
          <w:szCs w:val="32"/>
        </w:rPr>
        <w:t>相关内容也将适时进行调整</w:t>
      </w:r>
      <w:r>
        <w:rPr>
          <w:rFonts w:eastAsia="仿宋_GB2312"/>
          <w:color w:val="000000"/>
          <w:szCs w:val="32"/>
        </w:rPr>
        <w:t>。</w:t>
      </w:r>
    </w:p>
    <w:p w:rsidR="00355DAA" w:rsidRDefault="00DE05DF">
      <w:pPr>
        <w:spacing w:line="520" w:lineRule="exact"/>
        <w:ind w:rightChars="-32" w:right="-102" w:firstLineChars="200" w:firstLine="640"/>
        <w:rPr>
          <w:rFonts w:eastAsia="黑体"/>
          <w:color w:val="000000"/>
          <w:szCs w:val="32"/>
        </w:rPr>
      </w:pPr>
      <w:r>
        <w:rPr>
          <w:rFonts w:eastAsia="黑体"/>
          <w:color w:val="000000"/>
          <w:szCs w:val="32"/>
        </w:rPr>
        <w:t>一、适用范围</w:t>
      </w:r>
    </w:p>
    <w:p w:rsidR="00355DAA" w:rsidRDefault="00DE05DF">
      <w:pPr>
        <w:spacing w:line="520" w:lineRule="exact"/>
        <w:ind w:rightChars="-32" w:right="-102" w:firstLineChars="200" w:firstLine="640"/>
        <w:rPr>
          <w:rFonts w:eastAsia="仿宋_GB2312"/>
          <w:color w:val="000000"/>
          <w:szCs w:val="32"/>
        </w:rPr>
      </w:pPr>
      <w:r>
        <w:rPr>
          <w:rFonts w:eastAsia="仿宋_GB2312" w:hint="eastAsia"/>
          <w:color w:val="000000"/>
          <w:szCs w:val="32"/>
        </w:rPr>
        <w:t>本指导原则适用于与监护仪、脉搏血氧设备等配套使用，用于无创测量脉搏血氧饱和度（</w:t>
      </w:r>
      <w:r>
        <w:rPr>
          <w:rFonts w:eastAsia="仿宋_GB2312" w:hint="eastAsia"/>
          <w:color w:val="000000"/>
          <w:szCs w:val="32"/>
        </w:rPr>
        <w:t>SpO</w:t>
      </w:r>
      <w:r>
        <w:rPr>
          <w:rFonts w:eastAsia="仿宋_GB2312" w:hint="eastAsia"/>
          <w:color w:val="000000"/>
          <w:szCs w:val="32"/>
          <w:vertAlign w:val="subscript"/>
        </w:rPr>
        <w:t>2</w:t>
      </w:r>
      <w:r>
        <w:rPr>
          <w:rFonts w:eastAsia="仿宋_GB2312" w:hint="eastAsia"/>
          <w:color w:val="000000"/>
          <w:szCs w:val="32"/>
        </w:rPr>
        <w:t>）、脉搏率</w:t>
      </w:r>
      <w:r>
        <w:rPr>
          <w:rFonts w:eastAsia="仿宋_GB2312" w:hint="eastAsia"/>
          <w:color w:val="000000"/>
          <w:szCs w:val="32"/>
        </w:rPr>
        <w:t>的传感器</w:t>
      </w:r>
      <w:r>
        <w:rPr>
          <w:rFonts w:eastAsia="仿宋_GB2312" w:hint="eastAsia"/>
          <w:color w:val="000000"/>
          <w:szCs w:val="32"/>
        </w:rPr>
        <w:t>。</w:t>
      </w:r>
    </w:p>
    <w:p w:rsidR="00355DAA" w:rsidRDefault="00DE05DF">
      <w:pPr>
        <w:spacing w:line="520" w:lineRule="exact"/>
        <w:ind w:rightChars="-32" w:right="-102" w:firstLineChars="200" w:firstLine="640"/>
      </w:pPr>
      <w:r>
        <w:rPr>
          <w:rFonts w:eastAsia="仿宋_GB2312" w:hint="eastAsia"/>
          <w:color w:val="000000"/>
          <w:szCs w:val="32"/>
        </w:rPr>
        <w:t>本指导原则不适用于</w:t>
      </w:r>
      <w:r>
        <w:rPr>
          <w:rFonts w:eastAsia="仿宋_GB2312" w:hint="eastAsia"/>
          <w:color w:val="000000"/>
          <w:szCs w:val="32"/>
        </w:rPr>
        <w:t>配套</w:t>
      </w:r>
      <w:r>
        <w:rPr>
          <w:rFonts w:eastAsia="仿宋_GB2312" w:hint="eastAsia"/>
          <w:color w:val="000000"/>
          <w:szCs w:val="32"/>
        </w:rPr>
        <w:t>实验室研究的脉搏血氧设备、放置于患者环境之外显示</w:t>
      </w:r>
      <w:r>
        <w:rPr>
          <w:rFonts w:eastAsia="仿宋_GB2312" w:hint="eastAsia"/>
          <w:color w:val="000000"/>
          <w:szCs w:val="32"/>
        </w:rPr>
        <w:t>SpO</w:t>
      </w:r>
      <w:r>
        <w:rPr>
          <w:rFonts w:eastAsia="仿宋_GB2312" w:hint="eastAsia"/>
          <w:color w:val="000000"/>
          <w:szCs w:val="32"/>
          <w:vertAlign w:val="subscript"/>
        </w:rPr>
        <w:t>2</w:t>
      </w:r>
      <w:r>
        <w:rPr>
          <w:rFonts w:eastAsia="仿宋_GB2312" w:hint="eastAsia"/>
          <w:color w:val="000000"/>
          <w:szCs w:val="32"/>
        </w:rPr>
        <w:t>数值的远程或从（次级）设备</w:t>
      </w:r>
      <w:r>
        <w:rPr>
          <w:rFonts w:eastAsia="仿宋_GB2312" w:hint="eastAsia"/>
          <w:color w:val="000000"/>
          <w:szCs w:val="32"/>
        </w:rPr>
        <w:t>及需采集患者血样的血氧仪</w:t>
      </w:r>
      <w:r>
        <w:rPr>
          <w:rFonts w:eastAsia="仿宋_GB2312" w:hint="eastAsia"/>
          <w:color w:val="000000"/>
          <w:szCs w:val="32"/>
        </w:rPr>
        <w:t>使用</w:t>
      </w:r>
      <w:r>
        <w:rPr>
          <w:rFonts w:eastAsia="仿宋_GB2312" w:hint="eastAsia"/>
          <w:color w:val="000000"/>
          <w:szCs w:val="32"/>
        </w:rPr>
        <w:t>的传感器。</w:t>
      </w:r>
    </w:p>
    <w:p w:rsidR="00355DAA" w:rsidRDefault="00355DAA">
      <w:pPr>
        <w:spacing w:line="520" w:lineRule="exact"/>
        <w:ind w:rightChars="-32" w:right="-102" w:firstLineChars="200" w:firstLine="640"/>
        <w:rPr>
          <w:rFonts w:eastAsia="仿宋_GB2312"/>
          <w:color w:val="000000"/>
          <w:szCs w:val="32"/>
        </w:rPr>
      </w:pPr>
    </w:p>
    <w:p w:rsidR="00355DAA" w:rsidRDefault="00DE05DF">
      <w:pPr>
        <w:spacing w:line="520" w:lineRule="exact"/>
        <w:ind w:firstLineChars="200" w:firstLine="640"/>
        <w:outlineLvl w:val="0"/>
        <w:rPr>
          <w:rFonts w:eastAsia="仿宋_GB2312"/>
          <w:color w:val="000000"/>
          <w:szCs w:val="32"/>
        </w:rPr>
      </w:pPr>
      <w:r>
        <w:rPr>
          <w:rFonts w:eastAsia="仿宋_GB2312" w:hint="eastAsia"/>
          <w:color w:val="000000"/>
          <w:szCs w:val="32"/>
        </w:rPr>
        <w:t>注：脉搏血氧饱和度（</w:t>
      </w:r>
      <w:r>
        <w:rPr>
          <w:rFonts w:eastAsia="仿宋_GB2312" w:hint="eastAsia"/>
          <w:color w:val="000000"/>
          <w:szCs w:val="32"/>
        </w:rPr>
        <w:t>SpO</w:t>
      </w:r>
      <w:r>
        <w:rPr>
          <w:rFonts w:eastAsia="仿宋_GB2312" w:hint="eastAsia"/>
          <w:color w:val="000000"/>
          <w:szCs w:val="32"/>
          <w:vertAlign w:val="subscript"/>
        </w:rPr>
        <w:t>2</w:t>
      </w:r>
      <w:r>
        <w:rPr>
          <w:rFonts w:eastAsia="仿宋_GB2312" w:hint="eastAsia"/>
          <w:color w:val="000000"/>
          <w:szCs w:val="32"/>
        </w:rPr>
        <w:t>）测量是动脉血氧饱和度（</w:t>
      </w:r>
      <w:r>
        <w:rPr>
          <w:rFonts w:eastAsia="仿宋_GB2312" w:hint="eastAsia"/>
          <w:color w:val="000000"/>
          <w:szCs w:val="32"/>
        </w:rPr>
        <w:t>SaO</w:t>
      </w:r>
      <w:r>
        <w:rPr>
          <w:rFonts w:eastAsia="仿宋_GB2312" w:hint="eastAsia"/>
          <w:color w:val="000000"/>
          <w:szCs w:val="32"/>
          <w:vertAlign w:val="subscript"/>
        </w:rPr>
        <w:t>2</w:t>
      </w:r>
      <w:r>
        <w:rPr>
          <w:rFonts w:eastAsia="仿宋_GB2312" w:hint="eastAsia"/>
          <w:color w:val="000000"/>
          <w:szCs w:val="32"/>
        </w:rPr>
        <w:t>）测量的一种无创替代指标。</w:t>
      </w:r>
    </w:p>
    <w:p w:rsidR="00355DAA" w:rsidRDefault="00DE05DF">
      <w:pPr>
        <w:spacing w:line="520" w:lineRule="exact"/>
        <w:ind w:firstLineChars="200" w:firstLine="640"/>
        <w:outlineLvl w:val="0"/>
        <w:rPr>
          <w:rFonts w:eastAsia="黑体"/>
          <w:bCs/>
          <w:szCs w:val="28"/>
        </w:rPr>
      </w:pPr>
      <w:r>
        <w:rPr>
          <w:rFonts w:eastAsia="黑体"/>
          <w:bCs/>
          <w:szCs w:val="28"/>
        </w:rPr>
        <w:t>二、</w:t>
      </w:r>
      <w:r>
        <w:rPr>
          <w:rFonts w:eastAsia="黑体" w:hint="eastAsia"/>
          <w:bCs/>
          <w:szCs w:val="28"/>
        </w:rPr>
        <w:t>注册</w:t>
      </w:r>
      <w:r>
        <w:rPr>
          <w:rFonts w:eastAsia="黑体"/>
          <w:bCs/>
          <w:szCs w:val="28"/>
        </w:rPr>
        <w:t>审查要点</w:t>
      </w:r>
    </w:p>
    <w:p w:rsidR="00355DAA" w:rsidRDefault="00DE05DF">
      <w:pPr>
        <w:spacing w:line="520" w:lineRule="exact"/>
        <w:ind w:rightChars="-32" w:right="-102" w:firstLineChars="200" w:firstLine="640"/>
        <w:rPr>
          <w:rFonts w:eastAsia="楷体_GB2312"/>
          <w:szCs w:val="32"/>
        </w:rPr>
      </w:pPr>
      <w:r>
        <w:rPr>
          <w:rFonts w:eastAsia="楷体_GB2312" w:hint="eastAsia"/>
          <w:bCs/>
          <w:szCs w:val="28"/>
        </w:rPr>
        <w:t>（一）</w:t>
      </w:r>
      <w:r>
        <w:rPr>
          <w:rFonts w:eastAsia="楷体_GB2312" w:hint="eastAsia"/>
          <w:szCs w:val="32"/>
        </w:rPr>
        <w:t>监管信息</w:t>
      </w:r>
    </w:p>
    <w:p w:rsidR="00355DAA" w:rsidRDefault="00DE05DF">
      <w:pPr>
        <w:overflowPunct w:val="0"/>
        <w:autoSpaceDE w:val="0"/>
        <w:autoSpaceDN w:val="0"/>
        <w:spacing w:line="520" w:lineRule="exact"/>
        <w:ind w:firstLineChars="200" w:firstLine="640"/>
        <w:rPr>
          <w:rFonts w:eastAsia="仿宋_GB2312"/>
          <w:szCs w:val="28"/>
        </w:rPr>
      </w:pPr>
      <w:r>
        <w:rPr>
          <w:rFonts w:eastAsia="楷体_GB2312" w:hint="eastAsia"/>
          <w:bCs/>
          <w:szCs w:val="28"/>
        </w:rPr>
        <w:t>1.</w:t>
      </w:r>
      <w:r>
        <w:rPr>
          <w:rFonts w:eastAsia="仿宋_GB2312" w:hint="eastAsia"/>
          <w:szCs w:val="28"/>
        </w:rPr>
        <w:t>产品名称</w:t>
      </w:r>
    </w:p>
    <w:p w:rsidR="00355DAA" w:rsidRDefault="00DE05DF">
      <w:pPr>
        <w:spacing w:line="520" w:lineRule="exact"/>
        <w:ind w:firstLineChars="200" w:firstLine="640"/>
        <w:rPr>
          <w:rFonts w:eastAsia="仿宋_GB2312"/>
          <w:szCs w:val="28"/>
        </w:rPr>
      </w:pPr>
      <w:r>
        <w:rPr>
          <w:rFonts w:eastAsia="仿宋_GB2312"/>
          <w:szCs w:val="28"/>
        </w:rPr>
        <w:t>产品名称</w:t>
      </w:r>
      <w:r>
        <w:rPr>
          <w:rFonts w:eastAsia="仿宋_GB2312" w:hint="eastAsia"/>
          <w:szCs w:val="28"/>
        </w:rPr>
        <w:t>需采用相关国家标准、行业标准及</w:t>
      </w:r>
      <w:r>
        <w:rPr>
          <w:rFonts w:eastAsia="仿宋_GB2312"/>
          <w:szCs w:val="28"/>
        </w:rPr>
        <w:t>《医疗器械分类目录》</w:t>
      </w:r>
      <w:r>
        <w:rPr>
          <w:rFonts w:eastAsia="仿宋_GB2312" w:hint="eastAsia"/>
          <w:szCs w:val="28"/>
        </w:rPr>
        <w:t>中的通用名称，或以产品结构和预期目的为依据命名</w:t>
      </w:r>
      <w:r>
        <w:rPr>
          <w:rFonts w:eastAsia="仿宋_GB2312"/>
          <w:szCs w:val="28"/>
        </w:rPr>
        <w:t>，</w:t>
      </w:r>
      <w:r>
        <w:rPr>
          <w:rFonts w:eastAsia="仿宋_GB2312" w:hint="eastAsia"/>
          <w:szCs w:val="28"/>
        </w:rPr>
        <w:t>需</w:t>
      </w:r>
      <w:r>
        <w:rPr>
          <w:rFonts w:eastAsia="仿宋_GB2312"/>
          <w:szCs w:val="28"/>
        </w:rPr>
        <w:t>符合</w:t>
      </w:r>
      <w:r>
        <w:rPr>
          <w:rFonts w:eastAsia="仿宋_GB2312" w:hint="eastAsia"/>
          <w:szCs w:val="28"/>
        </w:rPr>
        <w:t>《医疗器械通用名称命名规则》《医疗器械通用名称命名指导原则》</w:t>
      </w:r>
      <w:r>
        <w:rPr>
          <w:rFonts w:eastAsia="仿宋_GB2312" w:cs="仿宋_GB2312" w:hint="eastAsia"/>
          <w:szCs w:val="28"/>
        </w:rPr>
        <w:t>《医用诊察和监护器械通用名称命名指导原则》</w:t>
      </w:r>
      <w:r>
        <w:rPr>
          <w:rFonts w:eastAsia="仿宋_GB2312"/>
          <w:szCs w:val="28"/>
        </w:rPr>
        <w:t>等相关</w:t>
      </w:r>
      <w:r>
        <w:rPr>
          <w:rFonts w:eastAsia="仿宋_GB2312" w:hint="eastAsia"/>
          <w:szCs w:val="28"/>
        </w:rPr>
        <w:t>规范性文件的</w:t>
      </w:r>
      <w:r>
        <w:rPr>
          <w:rFonts w:eastAsia="仿宋_GB2312"/>
          <w:szCs w:val="28"/>
        </w:rPr>
        <w:t>要求。</w:t>
      </w:r>
    </w:p>
    <w:p w:rsidR="00355DAA" w:rsidRDefault="00DE05DF">
      <w:pPr>
        <w:spacing w:line="520" w:lineRule="exact"/>
        <w:ind w:firstLineChars="200" w:firstLine="640"/>
        <w:rPr>
          <w:rFonts w:eastAsia="仿宋_GB2312"/>
          <w:szCs w:val="28"/>
        </w:rPr>
      </w:pPr>
      <w:r>
        <w:rPr>
          <w:rFonts w:eastAsia="仿宋_GB2312" w:hint="eastAsia"/>
          <w:szCs w:val="28"/>
        </w:rPr>
        <w:t>产品常用的名称举例：脉搏血氧传感器、脉搏血氧饱和度传感器、脉搏血氧探头等。对于不可重复使用的，</w:t>
      </w:r>
      <w:r>
        <w:rPr>
          <w:rFonts w:eastAsia="仿宋_GB2312" w:hint="eastAsia"/>
          <w:szCs w:val="28"/>
        </w:rPr>
        <w:t>产品名称</w:t>
      </w:r>
      <w:r>
        <w:rPr>
          <w:rFonts w:eastAsia="仿宋_GB2312" w:hint="eastAsia"/>
          <w:szCs w:val="28"/>
        </w:rPr>
        <w:t>可</w:t>
      </w:r>
      <w:r>
        <w:rPr>
          <w:rFonts w:eastAsia="仿宋_GB2312" w:hint="eastAsia"/>
          <w:szCs w:val="28"/>
        </w:rPr>
        <w:t>为一次性使用脉搏血氧传感器。</w:t>
      </w:r>
    </w:p>
    <w:p w:rsidR="00355DAA" w:rsidRDefault="00DE05DF">
      <w:pPr>
        <w:spacing w:line="520" w:lineRule="exact"/>
        <w:ind w:firstLineChars="200" w:firstLine="640"/>
        <w:rPr>
          <w:rFonts w:eastAsia="仿宋_GB2312"/>
          <w:szCs w:val="28"/>
        </w:rPr>
      </w:pPr>
      <w:r>
        <w:rPr>
          <w:rFonts w:eastAsia="仿宋_GB2312" w:hint="eastAsia"/>
          <w:szCs w:val="28"/>
        </w:rPr>
        <w:t>2.</w:t>
      </w:r>
      <w:r>
        <w:rPr>
          <w:rFonts w:eastAsia="仿宋_GB2312" w:hint="eastAsia"/>
          <w:szCs w:val="28"/>
        </w:rPr>
        <w:t>分类编码</w:t>
      </w:r>
    </w:p>
    <w:p w:rsidR="00355DAA" w:rsidRDefault="00DE05DF">
      <w:pPr>
        <w:spacing w:line="520" w:lineRule="exact"/>
        <w:ind w:firstLineChars="200" w:firstLine="640"/>
      </w:pPr>
      <w:r>
        <w:rPr>
          <w:rFonts w:eastAsia="仿宋_GB2312" w:hint="eastAsia"/>
          <w:szCs w:val="28"/>
        </w:rPr>
        <w:t>根据《医疗器械分类目录》，本产品分类编码为</w:t>
      </w:r>
      <w:r>
        <w:rPr>
          <w:rFonts w:eastAsia="仿宋_GB2312" w:hint="eastAsia"/>
          <w:szCs w:val="28"/>
        </w:rPr>
        <w:t>07</w:t>
      </w:r>
      <w:r>
        <w:rPr>
          <w:rFonts w:eastAsia="仿宋_GB2312" w:hint="eastAsia"/>
          <w:szCs w:val="28"/>
        </w:rPr>
        <w:t>（医用诊察和监护器械）</w:t>
      </w:r>
      <w:r>
        <w:rPr>
          <w:rFonts w:eastAsia="仿宋_GB2312" w:hint="eastAsia"/>
          <w:szCs w:val="28"/>
        </w:rPr>
        <w:t>-10</w:t>
      </w:r>
      <w:r>
        <w:rPr>
          <w:rFonts w:eastAsia="仿宋_GB2312" w:hint="eastAsia"/>
          <w:szCs w:val="28"/>
        </w:rPr>
        <w:t>（附件、耗材）</w:t>
      </w:r>
      <w:r>
        <w:rPr>
          <w:rFonts w:eastAsia="仿宋_GB2312" w:hint="eastAsia"/>
          <w:szCs w:val="28"/>
        </w:rPr>
        <w:t>-04</w:t>
      </w:r>
      <w:r>
        <w:rPr>
          <w:rFonts w:eastAsia="仿宋_GB2312" w:hint="eastAsia"/>
          <w:szCs w:val="28"/>
        </w:rPr>
        <w:t>（脉搏血氧传感器），管理类别为</w:t>
      </w:r>
      <w:r>
        <w:rPr>
          <w:rFonts w:eastAsia="仿宋_GB2312" w:hint="eastAsia"/>
          <w:szCs w:val="28"/>
        </w:rPr>
        <w:t>II</w:t>
      </w:r>
      <w:r>
        <w:rPr>
          <w:rFonts w:eastAsia="仿宋_GB2312" w:hint="eastAsia"/>
          <w:szCs w:val="28"/>
        </w:rPr>
        <w:t>类。</w:t>
      </w:r>
    </w:p>
    <w:p w:rsidR="00355DAA" w:rsidRDefault="00DE05DF">
      <w:pPr>
        <w:spacing w:line="520" w:lineRule="exact"/>
        <w:ind w:firstLineChars="200" w:firstLine="640"/>
        <w:rPr>
          <w:rFonts w:eastAsia="仿宋_GB2312"/>
          <w:szCs w:val="28"/>
        </w:rPr>
      </w:pPr>
      <w:r>
        <w:rPr>
          <w:rFonts w:eastAsia="仿宋_GB2312" w:hint="eastAsia"/>
          <w:szCs w:val="28"/>
        </w:rPr>
        <w:t>3.</w:t>
      </w:r>
      <w:r>
        <w:rPr>
          <w:rFonts w:eastAsia="仿宋_GB2312" w:hint="eastAsia"/>
          <w:szCs w:val="28"/>
        </w:rPr>
        <w:t>注册单元划分的原则和实例</w:t>
      </w:r>
    </w:p>
    <w:p w:rsidR="00355DAA" w:rsidRDefault="00DE05DF">
      <w:pPr>
        <w:spacing w:line="520" w:lineRule="exact"/>
        <w:ind w:firstLineChars="200" w:firstLine="640"/>
        <w:rPr>
          <w:rFonts w:eastAsia="仿宋_GB2312"/>
          <w:szCs w:val="28"/>
        </w:rPr>
      </w:pPr>
      <w:r>
        <w:rPr>
          <w:rFonts w:eastAsia="仿宋_GB2312" w:hint="eastAsia"/>
          <w:szCs w:val="28"/>
        </w:rPr>
        <w:t>产品注册单元划分可参照《医疗器械注册单元划分指导原则》的要求，注册单元划分着重考虑产品的技术原理、结构及组成、性能指标及适用范围等因素。</w:t>
      </w:r>
      <w:r>
        <w:rPr>
          <w:rFonts w:eastAsia="仿宋_GB2312" w:hint="eastAsia"/>
          <w:szCs w:val="28"/>
        </w:rPr>
        <w:t>应用部分测量工作原理不同，如，透射法、反射法，应划分为不同注册单元；</w:t>
      </w:r>
      <w:r>
        <w:rPr>
          <w:rFonts w:eastAsia="仿宋_GB2312" w:hint="eastAsia"/>
          <w:szCs w:val="28"/>
        </w:rPr>
        <w:t>产品的结构及组成的不同对安全性和有效性有影响的</w:t>
      </w:r>
      <w:r>
        <w:rPr>
          <w:rFonts w:eastAsia="仿宋_GB2312" w:hint="eastAsia"/>
          <w:szCs w:val="28"/>
        </w:rPr>
        <w:t>，</w:t>
      </w:r>
      <w:r>
        <w:rPr>
          <w:rFonts w:eastAsia="仿宋_GB2312" w:hint="eastAsia"/>
          <w:szCs w:val="28"/>
        </w:rPr>
        <w:t>应划分为不同注</w:t>
      </w:r>
      <w:r>
        <w:rPr>
          <w:rFonts w:eastAsia="仿宋_GB2312" w:hint="eastAsia"/>
          <w:szCs w:val="28"/>
        </w:rPr>
        <w:lastRenderedPageBreak/>
        <w:t>册单元</w:t>
      </w:r>
      <w:r>
        <w:rPr>
          <w:rFonts w:eastAsia="仿宋_GB2312" w:hint="eastAsia"/>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产品列表</w:t>
      </w:r>
    </w:p>
    <w:p w:rsidR="00355DAA" w:rsidRDefault="00DE05DF">
      <w:pPr>
        <w:pStyle w:val="a0"/>
        <w:spacing w:line="520" w:lineRule="exact"/>
        <w:ind w:firstLineChars="200" w:firstLine="640"/>
        <w:rPr>
          <w:rFonts w:ascii="Times New Roman" w:eastAsia="仿宋_GB2312" w:hAnsi="Times New Roman"/>
          <w:kern w:val="2"/>
          <w:sz w:val="32"/>
          <w:szCs w:val="28"/>
          <w:highlight w:val="yellow"/>
        </w:rPr>
      </w:pPr>
      <w:r>
        <w:rPr>
          <w:rFonts w:ascii="Times New Roman" w:eastAsia="仿宋_GB2312" w:hAnsi="Times New Roman" w:hint="eastAsia"/>
          <w:kern w:val="2"/>
          <w:sz w:val="32"/>
          <w:szCs w:val="28"/>
        </w:rPr>
        <w:t>以表格形式列出拟申报产品的型号、规格、结构及组成、附件，以及每个型号规格的标识（如型号或部件的编号，器械唯一标识等）和描述说明（如尺寸、材质等）。</w:t>
      </w:r>
    </w:p>
    <w:p w:rsidR="00355DAA" w:rsidRDefault="00DE05DF">
      <w:pPr>
        <w:spacing w:line="520" w:lineRule="exact"/>
        <w:ind w:rightChars="-32" w:right="-102" w:firstLineChars="200" w:firstLine="640"/>
        <w:rPr>
          <w:rFonts w:eastAsia="楷体_GB2312"/>
          <w:bCs/>
          <w:szCs w:val="28"/>
        </w:rPr>
      </w:pPr>
      <w:r>
        <w:rPr>
          <w:rFonts w:eastAsia="楷体_GB2312" w:hint="eastAsia"/>
          <w:bCs/>
          <w:szCs w:val="28"/>
        </w:rPr>
        <w:t>（二）综述资料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产品描述</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1.1</w:t>
      </w:r>
      <w:r>
        <w:rPr>
          <w:rFonts w:ascii="Times New Roman" w:eastAsia="仿宋_GB2312" w:hAnsi="Times New Roman" w:hint="eastAsia"/>
          <w:kern w:val="2"/>
          <w:sz w:val="32"/>
          <w:szCs w:val="28"/>
        </w:rPr>
        <w:t>工作原理</w:t>
      </w:r>
    </w:p>
    <w:p w:rsidR="00355DAA" w:rsidRDefault="00DE05DF">
      <w:pPr>
        <w:pStyle w:val="a0"/>
        <w:spacing w:line="520" w:lineRule="exact"/>
        <w:ind w:firstLineChars="200" w:firstLine="640"/>
        <w:rPr>
          <w:rFonts w:ascii="Times New Roman" w:eastAsia="仿宋_GB2312" w:hAnsi="Times New Roman"/>
          <w:kern w:val="2"/>
          <w:sz w:val="32"/>
          <w:szCs w:val="28"/>
          <w:highlight w:val="yellow"/>
        </w:rPr>
      </w:pPr>
      <w:r>
        <w:rPr>
          <w:rFonts w:ascii="Times New Roman" w:eastAsia="仿宋_GB2312" w:hAnsi="Times New Roman" w:hint="eastAsia"/>
          <w:kern w:val="2"/>
          <w:sz w:val="32"/>
          <w:szCs w:val="28"/>
        </w:rPr>
        <w:t>脉搏血氧传感器产品通过光信号与组织的相互作用，根据朗伯</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比尔定律分离人体组织的交流信号和直流信号，利用心动周期中脉动血流引发的动脉血容积周期性变化，进而产生的光衰减量随时间的周期性变化，输出未经处理的原始光电容积脉搏波</w:t>
      </w:r>
      <w:r>
        <w:rPr>
          <w:rFonts w:ascii="Times New Roman" w:eastAsia="仿宋_GB2312" w:hAnsi="Times New Roman" w:hint="eastAsia"/>
          <w:kern w:val="2"/>
          <w:sz w:val="32"/>
          <w:szCs w:val="28"/>
        </w:rPr>
        <w:t>PPG</w:t>
      </w:r>
      <w:r>
        <w:rPr>
          <w:rFonts w:ascii="Times New Roman" w:eastAsia="仿宋_GB2312" w:hAnsi="Times New Roman" w:hint="eastAsia"/>
          <w:kern w:val="2"/>
          <w:sz w:val="32"/>
          <w:szCs w:val="28"/>
        </w:rPr>
        <w:t>信号，原始信号经配套使用的脉搏血氧主机接收，并完成放大、滤波、降噪、计算、校准等流程，进而无创</w:t>
      </w:r>
      <w:r>
        <w:rPr>
          <w:rFonts w:ascii="Times New Roman" w:eastAsia="仿宋_GB2312" w:hAnsi="Times New Roman" w:hint="eastAsia"/>
          <w:kern w:val="2"/>
          <w:sz w:val="32"/>
          <w:szCs w:val="28"/>
        </w:rPr>
        <w:t>的估算动脉血的功能血氧饱和度（</w:t>
      </w:r>
      <w:r>
        <w:rPr>
          <w:rFonts w:ascii="Times New Roman" w:eastAsia="仿宋_GB2312" w:hAnsi="Times New Roman" w:hint="eastAsia"/>
          <w:kern w:val="2"/>
          <w:sz w:val="32"/>
          <w:szCs w:val="28"/>
        </w:rPr>
        <w:t>SpO</w:t>
      </w:r>
      <w:r>
        <w:rPr>
          <w:rFonts w:ascii="Times New Roman" w:eastAsia="仿宋_GB2312" w:hAnsi="Times New Roman" w:hint="eastAsia"/>
          <w:kern w:val="2"/>
          <w:sz w:val="32"/>
          <w:szCs w:val="28"/>
          <w:vertAlign w:val="subscript"/>
        </w:rPr>
        <w:t>2</w:t>
      </w:r>
      <w:r>
        <w:rPr>
          <w:rFonts w:ascii="Times New Roman" w:eastAsia="仿宋_GB2312" w:hAnsi="Times New Roman" w:hint="eastAsia"/>
          <w:kern w:val="2"/>
          <w:sz w:val="32"/>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脉搏血氧传感器按光信号接收方式一般可分为透射式和反射式。传感器内的发光二极管（</w:t>
      </w:r>
      <w:r>
        <w:rPr>
          <w:rFonts w:ascii="Times New Roman" w:eastAsia="仿宋_GB2312" w:hAnsi="Times New Roman" w:hint="eastAsia"/>
          <w:kern w:val="2"/>
          <w:sz w:val="32"/>
          <w:szCs w:val="28"/>
        </w:rPr>
        <w:t>LED</w:t>
      </w:r>
      <w:r>
        <w:rPr>
          <w:rFonts w:ascii="Times New Roman" w:eastAsia="仿宋_GB2312" w:hAnsi="Times New Roman" w:hint="eastAsia"/>
          <w:kern w:val="2"/>
          <w:sz w:val="32"/>
          <w:szCs w:val="28"/>
        </w:rPr>
        <w:t>）使用红光（通常为</w:t>
      </w:r>
      <w:r>
        <w:rPr>
          <w:rFonts w:ascii="Times New Roman" w:eastAsia="仿宋_GB2312" w:hAnsi="Times New Roman" w:hint="eastAsia"/>
          <w:kern w:val="2"/>
          <w:sz w:val="32"/>
          <w:szCs w:val="28"/>
        </w:rPr>
        <w:t>660nm</w:t>
      </w:r>
      <w:r>
        <w:rPr>
          <w:rFonts w:ascii="Times New Roman" w:eastAsia="仿宋_GB2312" w:hAnsi="Times New Roman" w:hint="eastAsia"/>
          <w:kern w:val="2"/>
          <w:sz w:val="32"/>
          <w:szCs w:val="28"/>
        </w:rPr>
        <w:t>波长）与红外光（通常为</w:t>
      </w:r>
      <w:r>
        <w:rPr>
          <w:rFonts w:ascii="Times New Roman" w:eastAsia="仿宋_GB2312" w:hAnsi="Times New Roman" w:hint="eastAsia"/>
          <w:kern w:val="2"/>
          <w:sz w:val="32"/>
          <w:szCs w:val="28"/>
        </w:rPr>
        <w:t>940nm</w:t>
      </w:r>
      <w:r>
        <w:rPr>
          <w:rFonts w:ascii="Times New Roman" w:eastAsia="仿宋_GB2312" w:hAnsi="Times New Roman" w:hint="eastAsia"/>
          <w:kern w:val="2"/>
          <w:sz w:val="32"/>
          <w:szCs w:val="28"/>
        </w:rPr>
        <w:t>波长）交替发射，氧合血红蛋白（</w:t>
      </w:r>
      <w:r>
        <w:rPr>
          <w:rFonts w:ascii="Times New Roman" w:eastAsia="仿宋_GB2312" w:hAnsi="Times New Roman" w:hint="eastAsia"/>
          <w:kern w:val="2"/>
          <w:sz w:val="32"/>
          <w:szCs w:val="28"/>
        </w:rPr>
        <w:t>HbO</w:t>
      </w:r>
      <w:r>
        <w:rPr>
          <w:rFonts w:ascii="Times New Roman" w:eastAsia="仿宋_GB2312" w:hAnsi="Times New Roman" w:hint="eastAsia"/>
          <w:kern w:val="2"/>
          <w:sz w:val="32"/>
          <w:szCs w:val="28"/>
          <w:vertAlign w:val="subscript"/>
        </w:rPr>
        <w:t>2</w:t>
      </w:r>
      <w:r>
        <w:rPr>
          <w:rFonts w:ascii="Times New Roman" w:eastAsia="仿宋_GB2312" w:hAnsi="Times New Roman" w:hint="eastAsia"/>
          <w:kern w:val="2"/>
          <w:sz w:val="32"/>
          <w:szCs w:val="28"/>
        </w:rPr>
        <w:t>）与脱氧血红蛋白（</w:t>
      </w:r>
      <w:r>
        <w:rPr>
          <w:rFonts w:ascii="Times New Roman" w:eastAsia="仿宋_GB2312" w:hAnsi="Times New Roman" w:hint="eastAsia"/>
          <w:kern w:val="2"/>
          <w:sz w:val="32"/>
          <w:szCs w:val="28"/>
        </w:rPr>
        <w:t>Hb</w:t>
      </w:r>
      <w:r>
        <w:rPr>
          <w:rFonts w:ascii="Times New Roman" w:eastAsia="仿宋_GB2312" w:hAnsi="Times New Roman" w:hint="eastAsia"/>
          <w:kern w:val="2"/>
          <w:sz w:val="32"/>
          <w:szCs w:val="28"/>
        </w:rPr>
        <w:t>）对特定波长的光存在特异性吸收差异，</w:t>
      </w:r>
      <w:r>
        <w:rPr>
          <w:rFonts w:ascii="Times New Roman" w:eastAsia="仿宋_GB2312" w:hAnsi="Times New Roman" w:hint="eastAsia"/>
          <w:kern w:val="2"/>
          <w:sz w:val="32"/>
          <w:szCs w:val="28"/>
        </w:rPr>
        <w:t>HbO</w:t>
      </w:r>
      <w:r>
        <w:rPr>
          <w:rFonts w:ascii="Times New Roman" w:eastAsia="仿宋_GB2312" w:hAnsi="Times New Roman" w:hint="eastAsia"/>
          <w:kern w:val="2"/>
          <w:sz w:val="32"/>
          <w:szCs w:val="28"/>
          <w:vertAlign w:val="subscript"/>
        </w:rPr>
        <w:t>2</w:t>
      </w:r>
      <w:r>
        <w:rPr>
          <w:rFonts w:ascii="Times New Roman" w:eastAsia="仿宋_GB2312" w:hAnsi="Times New Roman" w:hint="eastAsia"/>
          <w:kern w:val="2"/>
          <w:sz w:val="32"/>
          <w:szCs w:val="28"/>
        </w:rPr>
        <w:t>主要吸收</w:t>
      </w:r>
      <w:r>
        <w:rPr>
          <w:rFonts w:ascii="Times New Roman" w:eastAsia="仿宋_GB2312" w:hAnsi="Times New Roman" w:hint="eastAsia"/>
          <w:kern w:val="2"/>
          <w:sz w:val="32"/>
          <w:szCs w:val="28"/>
        </w:rPr>
        <w:t>940nm</w:t>
      </w:r>
      <w:r>
        <w:rPr>
          <w:rFonts w:ascii="Times New Roman" w:eastAsia="仿宋_GB2312" w:hAnsi="Times New Roman" w:hint="eastAsia"/>
          <w:kern w:val="2"/>
          <w:sz w:val="32"/>
          <w:szCs w:val="28"/>
        </w:rPr>
        <w:t>波长的光，</w:t>
      </w:r>
      <w:r>
        <w:rPr>
          <w:rFonts w:ascii="Times New Roman" w:eastAsia="仿宋_GB2312" w:hAnsi="Times New Roman" w:hint="eastAsia"/>
          <w:kern w:val="2"/>
          <w:sz w:val="32"/>
          <w:szCs w:val="28"/>
        </w:rPr>
        <w:t>Hb</w:t>
      </w:r>
      <w:r>
        <w:rPr>
          <w:rFonts w:ascii="Times New Roman" w:eastAsia="仿宋_GB2312" w:hAnsi="Times New Roman" w:hint="eastAsia"/>
          <w:kern w:val="2"/>
          <w:sz w:val="32"/>
          <w:szCs w:val="28"/>
        </w:rPr>
        <w:t>主要吸收</w:t>
      </w:r>
      <w:r>
        <w:rPr>
          <w:rFonts w:ascii="Times New Roman" w:eastAsia="仿宋_GB2312" w:hAnsi="Times New Roman" w:hint="eastAsia"/>
          <w:kern w:val="2"/>
          <w:sz w:val="32"/>
          <w:szCs w:val="28"/>
        </w:rPr>
        <w:t>660nm</w:t>
      </w:r>
      <w:r>
        <w:rPr>
          <w:rFonts w:ascii="Times New Roman" w:eastAsia="仿宋_GB2312" w:hAnsi="Times New Roman" w:hint="eastAsia"/>
          <w:kern w:val="2"/>
          <w:sz w:val="32"/>
          <w:szCs w:val="28"/>
        </w:rPr>
        <w:t>波长的光，接收端的光电二级管（</w:t>
      </w:r>
      <w:r>
        <w:rPr>
          <w:rFonts w:ascii="Times New Roman" w:eastAsia="仿宋_GB2312" w:hAnsi="Times New Roman" w:hint="eastAsia"/>
          <w:kern w:val="2"/>
          <w:sz w:val="32"/>
          <w:szCs w:val="28"/>
        </w:rPr>
        <w:t>PD</w:t>
      </w:r>
      <w:r>
        <w:rPr>
          <w:rFonts w:ascii="Times New Roman" w:eastAsia="仿宋_GB2312" w:hAnsi="Times New Roman" w:hint="eastAsia"/>
          <w:kern w:val="2"/>
          <w:sz w:val="32"/>
          <w:szCs w:val="28"/>
        </w:rPr>
        <w:t>）接收穿过组织的透射光（透射式）或组织反射的反射光（反射式），并将光强信号线性转换为对应的微弱模拟电信号，即原始光电容积脉搏波</w:t>
      </w:r>
      <w:r>
        <w:rPr>
          <w:rFonts w:ascii="Times New Roman" w:eastAsia="仿宋_GB2312" w:hAnsi="Times New Roman" w:hint="eastAsia"/>
          <w:kern w:val="2"/>
          <w:sz w:val="32"/>
          <w:szCs w:val="28"/>
        </w:rPr>
        <w:t>PPG</w:t>
      </w:r>
      <w:r>
        <w:rPr>
          <w:rFonts w:ascii="Times New Roman" w:eastAsia="仿宋_GB2312" w:hAnsi="Times New Roman" w:hint="eastAsia"/>
          <w:kern w:val="2"/>
          <w:sz w:val="32"/>
          <w:szCs w:val="28"/>
        </w:rPr>
        <w:t>信号。</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透射式脉搏血氧传感器一般用于人体手指、耳朵、脚趾、鼻部等透光性较好的、含动脉血管的末梢部位进行测量。虽然从这些部位的检测能反映全身的动脉血氧饱和度变化，却不能反映由于局部组织（如脑组织）发生循环障碍或局部组织（如肌肉组织）大量耗氧等情况下组织血氧状态的变化。</w:t>
      </w:r>
    </w:p>
    <w:p w:rsidR="00355DAA" w:rsidRDefault="00DE05DF">
      <w:pPr>
        <w:pStyle w:val="a0"/>
        <w:spacing w:line="520" w:lineRule="exact"/>
        <w:jc w:val="center"/>
        <w:rPr>
          <w:rFonts w:ascii="Times New Roman" w:eastAsia="仿宋_GB2312" w:hAnsi="Times New Roman"/>
          <w:kern w:val="2"/>
          <w:sz w:val="32"/>
          <w:szCs w:val="28"/>
        </w:rPr>
      </w:pPr>
      <w:r>
        <w:rPr>
          <w:rFonts w:ascii="Times New Roman" w:eastAsia="仿宋_GB2312" w:hAnsi="Times New Roman" w:hint="eastAsia"/>
          <w:noProof/>
          <w:kern w:val="2"/>
          <w:sz w:val="32"/>
          <w:szCs w:val="28"/>
        </w:rPr>
        <w:drawing>
          <wp:anchor distT="0" distB="0" distL="114300" distR="114300" simplePos="0" relativeHeight="251659264" behindDoc="0" locked="0" layoutInCell="1" allowOverlap="1" wp14:anchorId="6616FF24" wp14:editId="1B46FEC4">
            <wp:simplePos x="0" y="0"/>
            <wp:positionH relativeFrom="column">
              <wp:posOffset>1397635</wp:posOffset>
            </wp:positionH>
            <wp:positionV relativeFrom="paragraph">
              <wp:posOffset>21590</wp:posOffset>
            </wp:positionV>
            <wp:extent cx="2748915" cy="1833245"/>
            <wp:effectExtent l="0" t="0" r="13335" b="14605"/>
            <wp:wrapTopAndBottom/>
            <wp:docPr id="7" name="图片 7" descr="微信图片_20260331162503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331162503_110"/>
                    <pic:cNvPicPr>
                      <a:picLocks noChangeAspect="1"/>
                    </pic:cNvPicPr>
                  </pic:nvPicPr>
                  <pic:blipFill>
                    <a:blip r:embed="rId7"/>
                    <a:stretch>
                      <a:fillRect/>
                    </a:stretch>
                  </pic:blipFill>
                  <pic:spPr>
                    <a:xfrm>
                      <a:off x="0" y="0"/>
                      <a:ext cx="2748915" cy="1833245"/>
                    </a:xfrm>
                    <a:prstGeom prst="rect">
                      <a:avLst/>
                    </a:prstGeom>
                  </pic:spPr>
                </pic:pic>
              </a:graphicData>
            </a:graphic>
          </wp:anchor>
        </w:drawing>
      </w:r>
      <w:r>
        <w:rPr>
          <w:rFonts w:ascii="黑体" w:eastAsia="黑体" w:hAnsi="黑体" w:cs="黑体" w:hint="eastAsia"/>
          <w:kern w:val="2"/>
          <w:sz w:val="28"/>
          <w:szCs w:val="28"/>
        </w:rPr>
        <w:t>图</w:t>
      </w:r>
      <w:r>
        <w:rPr>
          <w:rFonts w:ascii="黑体" w:eastAsia="黑体" w:hAnsi="黑体" w:cs="黑体" w:hint="eastAsia"/>
          <w:kern w:val="2"/>
          <w:sz w:val="28"/>
          <w:szCs w:val="28"/>
        </w:rPr>
        <w:t xml:space="preserve">1 </w:t>
      </w:r>
      <w:r>
        <w:rPr>
          <w:rFonts w:ascii="黑体" w:eastAsia="黑体" w:hAnsi="黑体" w:cs="黑体" w:hint="eastAsia"/>
          <w:kern w:val="2"/>
          <w:sz w:val="28"/>
          <w:szCs w:val="28"/>
        </w:rPr>
        <w:t>透射式传感器示</w:t>
      </w:r>
      <w:r>
        <w:rPr>
          <w:rFonts w:ascii="黑体" w:eastAsia="黑体" w:hAnsi="黑体" w:cs="黑体" w:hint="eastAsia"/>
          <w:kern w:val="2"/>
          <w:sz w:val="28"/>
          <w:szCs w:val="28"/>
        </w:rPr>
        <w:t>意图</w:t>
      </w:r>
    </w:p>
    <w:p w:rsidR="00355DAA" w:rsidRDefault="00DE05DF">
      <w:pPr>
        <w:pStyle w:val="a0"/>
        <w:numPr>
          <w:ilvl w:val="0"/>
          <w:numId w:val="1"/>
        </w:numPr>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反射式脉搏血氧传感器可避免透射式传感器透射深度有限的缺点</w:t>
      </w:r>
      <w:r>
        <w:rPr>
          <w:rFonts w:ascii="Times New Roman" w:eastAsia="仿宋_GB2312" w:hAnsi="Times New Roman" w:hint="eastAsia"/>
          <w:kern w:val="2"/>
          <w:sz w:val="32"/>
          <w:szCs w:val="28"/>
        </w:rPr>
        <w:t>。</w:t>
      </w:r>
      <w:r>
        <w:rPr>
          <w:rFonts w:eastAsia="仿宋_GB2312" w:hint="eastAsia"/>
          <w:sz w:val="32"/>
          <w:szCs w:val="32"/>
        </w:rPr>
        <w:t>反射式传感器也是由两种波长的发光二极管和光敏元件组成，但光敏元件接收到的是组织的反射光。</w:t>
      </w:r>
      <w:r>
        <w:rPr>
          <w:rFonts w:ascii="Times New Roman" w:eastAsia="仿宋_GB2312" w:hAnsi="Times New Roman" w:hint="eastAsia"/>
          <w:kern w:val="2"/>
          <w:sz w:val="32"/>
          <w:szCs w:val="28"/>
        </w:rPr>
        <w:t>由于光线在组织中的运动呈现随机性，反射式传感器所接收到的光线很难确定其确切的检测区域，从概率意义上说，光线从光源发射经组织传播到光敏元件接收，走过的是一条香蕉状路线，所以，光源与光敏元件的距离是一个重要的参数，一般设置为</w:t>
      </w: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50mm</w:t>
      </w:r>
      <w:r>
        <w:rPr>
          <w:rFonts w:ascii="Times New Roman" w:eastAsia="仿宋_GB2312" w:hAnsi="Times New Roman" w:hint="eastAsia"/>
          <w:kern w:val="2"/>
          <w:sz w:val="32"/>
          <w:szCs w:val="28"/>
        </w:rPr>
        <w:t>。</w:t>
      </w:r>
    </w:p>
    <w:p w:rsidR="00355DAA" w:rsidRDefault="00DE05DF">
      <w:pPr>
        <w:pStyle w:val="a0"/>
        <w:spacing w:line="520" w:lineRule="exact"/>
        <w:jc w:val="center"/>
        <w:rPr>
          <w:rFonts w:ascii="Times New Roman" w:eastAsia="仿宋_GB2312" w:hAnsi="Times New Roman"/>
          <w:kern w:val="2"/>
          <w:sz w:val="32"/>
          <w:szCs w:val="28"/>
        </w:rPr>
      </w:pPr>
      <w:r>
        <w:rPr>
          <w:rFonts w:ascii="黑体" w:eastAsia="黑体" w:hAnsi="黑体" w:cs="黑体" w:hint="eastAsia"/>
          <w:noProof/>
          <w:kern w:val="2"/>
          <w:sz w:val="28"/>
          <w:szCs w:val="28"/>
        </w:rPr>
        <w:lastRenderedPageBreak/>
        <w:drawing>
          <wp:anchor distT="0" distB="0" distL="114300" distR="114300" simplePos="0" relativeHeight="251661312" behindDoc="0" locked="0" layoutInCell="1" allowOverlap="1" wp14:anchorId="0DA87442" wp14:editId="1280AD4B">
            <wp:simplePos x="0" y="0"/>
            <wp:positionH relativeFrom="column">
              <wp:posOffset>1434465</wp:posOffset>
            </wp:positionH>
            <wp:positionV relativeFrom="page">
              <wp:posOffset>1471930</wp:posOffset>
            </wp:positionV>
            <wp:extent cx="2813050" cy="1690370"/>
            <wp:effectExtent l="0" t="0" r="6350" b="5080"/>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2813050" cy="1690370"/>
                    </a:xfrm>
                    <a:prstGeom prst="rect">
                      <a:avLst/>
                    </a:prstGeom>
                    <a:noFill/>
                    <a:ln>
                      <a:noFill/>
                    </a:ln>
                  </pic:spPr>
                </pic:pic>
              </a:graphicData>
            </a:graphic>
          </wp:anchor>
        </w:drawing>
      </w:r>
      <w:r>
        <w:rPr>
          <w:rFonts w:ascii="黑体" w:eastAsia="黑体" w:hAnsi="黑体" w:cs="黑体" w:hint="eastAsia"/>
          <w:kern w:val="2"/>
          <w:sz w:val="28"/>
          <w:szCs w:val="28"/>
        </w:rPr>
        <w:t>图</w:t>
      </w:r>
      <w:r>
        <w:rPr>
          <w:rFonts w:ascii="黑体" w:eastAsia="黑体" w:hAnsi="黑体" w:cs="黑体" w:hint="eastAsia"/>
          <w:kern w:val="2"/>
          <w:sz w:val="28"/>
          <w:szCs w:val="28"/>
        </w:rPr>
        <w:t xml:space="preserve">2 </w:t>
      </w:r>
      <w:r>
        <w:rPr>
          <w:rFonts w:ascii="黑体" w:eastAsia="黑体" w:hAnsi="黑体" w:cs="黑体" w:hint="eastAsia"/>
          <w:kern w:val="2"/>
          <w:sz w:val="28"/>
          <w:szCs w:val="28"/>
        </w:rPr>
        <w:t>反射式传感器示意图</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1.2</w:t>
      </w:r>
      <w:r>
        <w:rPr>
          <w:rFonts w:ascii="Times New Roman" w:eastAsia="仿宋_GB2312" w:hAnsi="Times New Roman" w:hint="eastAsia"/>
          <w:kern w:val="2"/>
          <w:sz w:val="32"/>
          <w:szCs w:val="28"/>
        </w:rPr>
        <w:t>作用机理</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因该产品为非治疗类医疗器械，不参与人体生理代谢过程，不包含作用机理的内容。</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结构及组成</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明确申报产品的结构及组成。脉搏血氧传感器通常由传感器、连接器（插头）和电缆线组成。部分产品还配有包覆固定材料（如无纺布、海绵或透气胶贴材质等）。</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传感器的结构通常包括基板、发光二极管（</w:t>
      </w:r>
      <w:r>
        <w:rPr>
          <w:rFonts w:ascii="Times New Roman" w:eastAsia="仿宋_GB2312" w:hAnsi="Times New Roman" w:hint="eastAsia"/>
          <w:kern w:val="2"/>
          <w:sz w:val="32"/>
          <w:szCs w:val="28"/>
        </w:rPr>
        <w:t>LED</w:t>
      </w:r>
      <w:r>
        <w:rPr>
          <w:rFonts w:ascii="Times New Roman" w:eastAsia="仿宋_GB2312" w:hAnsi="Times New Roman" w:hint="eastAsia"/>
          <w:kern w:val="2"/>
          <w:sz w:val="32"/>
          <w:szCs w:val="28"/>
        </w:rPr>
        <w:t>）和光电二极管（</w:t>
      </w:r>
      <w:r>
        <w:rPr>
          <w:rFonts w:ascii="Times New Roman" w:eastAsia="仿宋_GB2312" w:hAnsi="Times New Roman" w:hint="eastAsia"/>
          <w:kern w:val="2"/>
          <w:sz w:val="32"/>
          <w:szCs w:val="28"/>
        </w:rPr>
        <w:t>PD</w:t>
      </w:r>
      <w:r>
        <w:rPr>
          <w:rFonts w:ascii="Times New Roman" w:eastAsia="仿宋_GB2312" w:hAnsi="Times New Roman" w:hint="eastAsia"/>
          <w:kern w:val="2"/>
          <w:sz w:val="32"/>
          <w:szCs w:val="28"/>
        </w:rPr>
        <w:t>），部分产品还配有滤光片、热敏电阻等。</w:t>
      </w:r>
    </w:p>
    <w:p w:rsidR="00355DAA" w:rsidRDefault="00DE05DF">
      <w:pPr>
        <w:adjustRightInd w:val="0"/>
        <w:snapToGrid w:val="0"/>
        <w:spacing w:line="520" w:lineRule="exact"/>
        <w:ind w:firstLineChars="200" w:firstLine="560"/>
        <w:rPr>
          <w:rFonts w:eastAsia="仿宋_GB2312"/>
          <w:szCs w:val="28"/>
        </w:rPr>
      </w:pPr>
      <w:r>
        <w:rPr>
          <w:rFonts w:ascii="黑体" w:eastAsia="黑体" w:hAnsi="黑体" w:cs="黑体" w:hint="eastAsia"/>
          <w:noProof/>
          <w:sz w:val="28"/>
          <w:szCs w:val="28"/>
        </w:rPr>
        <w:drawing>
          <wp:anchor distT="0" distB="0" distL="114300" distR="114300" simplePos="0" relativeHeight="251662336" behindDoc="0" locked="0" layoutInCell="1" allowOverlap="1" wp14:anchorId="6D84DB41" wp14:editId="1CDC319E">
            <wp:simplePos x="0" y="0"/>
            <wp:positionH relativeFrom="column">
              <wp:posOffset>2760980</wp:posOffset>
            </wp:positionH>
            <wp:positionV relativeFrom="page">
              <wp:posOffset>7171055</wp:posOffset>
            </wp:positionV>
            <wp:extent cx="2063115" cy="2143760"/>
            <wp:effectExtent l="0" t="0" r="13335" b="8890"/>
            <wp:wrapSquare wrapText="bothSides"/>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9"/>
                    <a:stretch>
                      <a:fillRect/>
                    </a:stretch>
                  </pic:blipFill>
                  <pic:spPr>
                    <a:xfrm>
                      <a:off x="0" y="0"/>
                      <a:ext cx="2063115" cy="2143760"/>
                    </a:xfrm>
                    <a:prstGeom prst="rect">
                      <a:avLst/>
                    </a:prstGeom>
                    <a:noFill/>
                    <a:ln w="9525">
                      <a:noFill/>
                    </a:ln>
                  </pic:spPr>
                </pic:pic>
              </a:graphicData>
            </a:graphic>
          </wp:anchor>
        </w:drawing>
      </w:r>
      <w:r>
        <w:rPr>
          <w:rFonts w:eastAsia="仿宋_GB2312" w:hint="eastAsia"/>
          <w:noProof/>
          <w:szCs w:val="28"/>
        </w:rPr>
        <w:drawing>
          <wp:anchor distT="0" distB="0" distL="114300" distR="114300" simplePos="0" relativeHeight="251663360" behindDoc="0" locked="0" layoutInCell="1" allowOverlap="1" wp14:anchorId="46684E8B" wp14:editId="2A9A03AA">
            <wp:simplePos x="0" y="0"/>
            <wp:positionH relativeFrom="column">
              <wp:posOffset>366395</wp:posOffset>
            </wp:positionH>
            <wp:positionV relativeFrom="paragraph">
              <wp:posOffset>720725</wp:posOffset>
            </wp:positionV>
            <wp:extent cx="2228215" cy="2129790"/>
            <wp:effectExtent l="0" t="0" r="635" b="3810"/>
            <wp:wrapTopAndBottom/>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10"/>
                    <a:stretch>
                      <a:fillRect/>
                    </a:stretch>
                  </pic:blipFill>
                  <pic:spPr>
                    <a:xfrm flipH="1">
                      <a:off x="0" y="0"/>
                      <a:ext cx="2228215" cy="2129790"/>
                    </a:xfrm>
                    <a:prstGeom prst="rect">
                      <a:avLst/>
                    </a:prstGeom>
                    <a:noFill/>
                    <a:ln w="9525">
                      <a:noFill/>
                    </a:ln>
                  </pic:spPr>
                </pic:pic>
              </a:graphicData>
            </a:graphic>
          </wp:anchor>
        </w:drawing>
      </w:r>
      <w:r>
        <w:rPr>
          <w:rFonts w:eastAsia="仿宋_GB2312" w:hint="eastAsia"/>
          <w:szCs w:val="28"/>
        </w:rPr>
        <w:t>具体产品结构及组成应根据实际产品确定。若含有多个组成部分，应说明其连接或组装关系。</w:t>
      </w:r>
    </w:p>
    <w:p w:rsidR="00355DAA" w:rsidRDefault="00DE05DF">
      <w:pPr>
        <w:pStyle w:val="a0"/>
        <w:spacing w:line="520" w:lineRule="exact"/>
        <w:jc w:val="center"/>
        <w:rPr>
          <w:rFonts w:ascii="黑体" w:eastAsia="黑体" w:hAnsi="黑体" w:cs="黑体"/>
          <w:kern w:val="2"/>
          <w:sz w:val="28"/>
          <w:szCs w:val="28"/>
        </w:rPr>
      </w:pPr>
      <w:r>
        <w:rPr>
          <w:rFonts w:ascii="黑体" w:eastAsia="黑体" w:hAnsi="黑体" w:cs="黑体" w:hint="eastAsia"/>
          <w:noProof/>
          <w:kern w:val="2"/>
          <w:sz w:val="28"/>
          <w:szCs w:val="28"/>
        </w:rPr>
        <w:drawing>
          <wp:anchor distT="0" distB="0" distL="114300" distR="114300" simplePos="0" relativeHeight="251664384" behindDoc="0" locked="0" layoutInCell="1" allowOverlap="1" wp14:anchorId="718B4A13" wp14:editId="07A5B963">
            <wp:simplePos x="0" y="0"/>
            <wp:positionH relativeFrom="column">
              <wp:posOffset>1782445</wp:posOffset>
            </wp:positionH>
            <wp:positionV relativeFrom="paragraph">
              <wp:posOffset>70485</wp:posOffset>
            </wp:positionV>
            <wp:extent cx="2077720" cy="1812925"/>
            <wp:effectExtent l="0" t="0" r="17780" b="15875"/>
            <wp:wrapTopAndBottom/>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
                    <a:stretch>
                      <a:fillRect/>
                    </a:stretch>
                  </pic:blipFill>
                  <pic:spPr>
                    <a:xfrm>
                      <a:off x="0" y="0"/>
                      <a:ext cx="2077720" cy="1812925"/>
                    </a:xfrm>
                    <a:prstGeom prst="rect">
                      <a:avLst/>
                    </a:prstGeom>
                    <a:noFill/>
                    <a:ln>
                      <a:noFill/>
                    </a:ln>
                  </pic:spPr>
                </pic:pic>
              </a:graphicData>
            </a:graphic>
          </wp:anchor>
        </w:drawing>
      </w:r>
      <w:r>
        <w:rPr>
          <w:rFonts w:ascii="黑体" w:eastAsia="黑体" w:hAnsi="黑体" w:cs="黑体" w:hint="eastAsia"/>
          <w:kern w:val="2"/>
          <w:sz w:val="28"/>
          <w:szCs w:val="28"/>
        </w:rPr>
        <w:t>图</w:t>
      </w:r>
      <w:r>
        <w:rPr>
          <w:rFonts w:ascii="黑体" w:eastAsia="黑体" w:hAnsi="黑体" w:cs="黑体" w:hint="eastAsia"/>
          <w:kern w:val="2"/>
          <w:sz w:val="28"/>
          <w:szCs w:val="28"/>
        </w:rPr>
        <w:t xml:space="preserve">3 </w:t>
      </w:r>
      <w:r>
        <w:rPr>
          <w:rFonts w:ascii="黑体" w:eastAsia="黑体" w:hAnsi="黑体" w:cs="黑体" w:hint="eastAsia"/>
          <w:kern w:val="2"/>
          <w:sz w:val="28"/>
          <w:szCs w:val="28"/>
        </w:rPr>
        <w:t>脉</w:t>
      </w:r>
      <w:r>
        <w:rPr>
          <w:rFonts w:ascii="黑体" w:eastAsia="黑体" w:hAnsi="黑体" w:cs="黑体" w:hint="eastAsia"/>
          <w:kern w:val="2"/>
          <w:sz w:val="28"/>
          <w:szCs w:val="28"/>
        </w:rPr>
        <w:lastRenderedPageBreak/>
        <w:t>搏血氧传感器示意图</w:t>
      </w:r>
    </w:p>
    <w:p w:rsidR="00355DAA" w:rsidRDefault="00DE05DF">
      <w:pPr>
        <w:pStyle w:val="a0"/>
        <w:spacing w:line="520" w:lineRule="exact"/>
        <w:jc w:val="center"/>
        <w:rPr>
          <w:rFonts w:ascii="Times New Roman" w:eastAsia="仿宋_GB2312" w:hAnsi="Times New Roman"/>
          <w:kern w:val="2"/>
          <w:sz w:val="32"/>
          <w:szCs w:val="28"/>
        </w:rPr>
      </w:pPr>
      <w:r>
        <w:rPr>
          <w:rFonts w:ascii="黑体" w:eastAsia="黑体" w:hAnsi="黑体" w:cs="黑体" w:hint="eastAsia"/>
          <w:kern w:val="2"/>
          <w:sz w:val="28"/>
          <w:szCs w:val="28"/>
        </w:rPr>
        <w:t>图</w:t>
      </w:r>
      <w:r>
        <w:rPr>
          <w:rFonts w:ascii="黑体" w:eastAsia="黑体" w:hAnsi="黑体" w:cs="黑体" w:hint="eastAsia"/>
          <w:kern w:val="2"/>
          <w:sz w:val="28"/>
          <w:szCs w:val="28"/>
        </w:rPr>
        <w:t>4</w:t>
      </w:r>
      <w:r>
        <w:rPr>
          <w:rFonts w:ascii="黑体" w:eastAsia="黑体" w:hAnsi="黑体" w:cs="黑体" w:hint="eastAsia"/>
          <w:kern w:val="2"/>
          <w:sz w:val="28"/>
          <w:szCs w:val="28"/>
        </w:rPr>
        <w:t xml:space="preserve"> </w:t>
      </w:r>
      <w:r>
        <w:rPr>
          <w:rFonts w:ascii="黑体" w:eastAsia="黑体" w:hAnsi="黑体" w:cs="黑体" w:hint="eastAsia"/>
          <w:kern w:val="2"/>
          <w:sz w:val="28"/>
          <w:szCs w:val="28"/>
        </w:rPr>
        <w:t>传感器内部结构示意图</w:t>
      </w:r>
      <w:r>
        <w:rPr>
          <w:rFonts w:ascii="Times New Roman" w:eastAsia="仿宋_GB2312" w:hAnsi="Times New Roman" w:hint="eastAsia"/>
          <w:noProof/>
          <w:kern w:val="2"/>
          <w:sz w:val="32"/>
          <w:szCs w:val="28"/>
        </w:rPr>
        <w:drawing>
          <wp:anchor distT="0" distB="0" distL="114300" distR="114300" simplePos="0" relativeHeight="251660288" behindDoc="0" locked="0" layoutInCell="1" allowOverlap="1" wp14:anchorId="400D1122" wp14:editId="50572290">
            <wp:simplePos x="0" y="0"/>
            <wp:positionH relativeFrom="column">
              <wp:posOffset>1104900</wp:posOffset>
            </wp:positionH>
            <wp:positionV relativeFrom="paragraph">
              <wp:posOffset>141605</wp:posOffset>
            </wp:positionV>
            <wp:extent cx="3241040" cy="157162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rcRect t="3559" b="10084"/>
                    <a:stretch>
                      <a:fillRect/>
                    </a:stretch>
                  </pic:blipFill>
                  <pic:spPr>
                    <a:xfrm>
                      <a:off x="0" y="0"/>
                      <a:ext cx="3241040" cy="1571625"/>
                    </a:xfrm>
                    <a:prstGeom prst="rect">
                      <a:avLst/>
                    </a:prstGeom>
                    <a:noFill/>
                    <a:ln>
                      <a:noFill/>
                    </a:ln>
                  </pic:spPr>
                </pic:pic>
              </a:graphicData>
            </a:graphic>
          </wp:anchor>
        </w:drawing>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1.4</w:t>
      </w:r>
      <w:r>
        <w:rPr>
          <w:rFonts w:ascii="Times New Roman" w:eastAsia="仿宋_GB2312" w:hAnsi="Times New Roman"/>
          <w:kern w:val="2"/>
          <w:sz w:val="32"/>
          <w:szCs w:val="28"/>
        </w:rPr>
        <w:t>型号规格</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提供产品各型号</w:t>
      </w:r>
      <w:r>
        <w:rPr>
          <w:rFonts w:ascii="Times New Roman" w:eastAsia="仿宋_GB2312" w:hAnsi="Times New Roman" w:hint="eastAsia"/>
          <w:kern w:val="2"/>
          <w:sz w:val="32"/>
          <w:szCs w:val="28"/>
        </w:rPr>
        <w:t>、</w:t>
      </w:r>
      <w:r>
        <w:rPr>
          <w:rFonts w:ascii="Times New Roman" w:eastAsia="仿宋_GB2312" w:hAnsi="Times New Roman"/>
          <w:kern w:val="2"/>
          <w:sz w:val="32"/>
          <w:szCs w:val="28"/>
        </w:rPr>
        <w:t>规格的划分原则。对于存在多种型号</w:t>
      </w:r>
      <w:r>
        <w:rPr>
          <w:rFonts w:ascii="Times New Roman" w:eastAsia="仿宋_GB2312" w:hAnsi="Times New Roman" w:hint="eastAsia"/>
          <w:kern w:val="2"/>
          <w:sz w:val="32"/>
          <w:szCs w:val="28"/>
        </w:rPr>
        <w:t>、</w:t>
      </w:r>
      <w:r>
        <w:rPr>
          <w:rFonts w:ascii="Times New Roman" w:eastAsia="仿宋_GB2312" w:hAnsi="Times New Roman"/>
          <w:kern w:val="2"/>
          <w:sz w:val="32"/>
          <w:szCs w:val="28"/>
        </w:rPr>
        <w:t>规格的产品，</w:t>
      </w:r>
      <w:r>
        <w:rPr>
          <w:rFonts w:ascii="Times New Roman" w:eastAsia="仿宋_GB2312" w:hAnsi="Times New Roman" w:hint="eastAsia"/>
          <w:kern w:val="2"/>
          <w:sz w:val="32"/>
          <w:szCs w:val="28"/>
        </w:rPr>
        <w:t>应</w:t>
      </w:r>
      <w:r>
        <w:rPr>
          <w:rFonts w:ascii="Times New Roman" w:eastAsia="仿宋_GB2312" w:hAnsi="Times New Roman"/>
          <w:kern w:val="2"/>
          <w:sz w:val="32"/>
          <w:szCs w:val="28"/>
        </w:rPr>
        <w:t>明确各型号</w:t>
      </w:r>
      <w:r>
        <w:rPr>
          <w:rFonts w:ascii="Times New Roman" w:eastAsia="仿宋_GB2312" w:hAnsi="Times New Roman" w:hint="eastAsia"/>
          <w:kern w:val="2"/>
          <w:sz w:val="32"/>
          <w:szCs w:val="28"/>
        </w:rPr>
        <w:t>、</w:t>
      </w:r>
      <w:r>
        <w:rPr>
          <w:rFonts w:ascii="Times New Roman" w:eastAsia="仿宋_GB2312" w:hAnsi="Times New Roman"/>
          <w:kern w:val="2"/>
          <w:sz w:val="32"/>
          <w:szCs w:val="28"/>
        </w:rPr>
        <w:t>规格的区别。</w:t>
      </w:r>
      <w:r>
        <w:rPr>
          <w:rFonts w:ascii="Times New Roman" w:eastAsia="仿宋_GB2312" w:hAnsi="Times New Roman" w:hint="eastAsia"/>
          <w:kern w:val="2"/>
          <w:sz w:val="32"/>
          <w:szCs w:val="28"/>
        </w:rPr>
        <w:t>应当</w:t>
      </w:r>
      <w:r>
        <w:rPr>
          <w:rFonts w:ascii="Times New Roman" w:eastAsia="仿宋_GB2312" w:hAnsi="Times New Roman"/>
          <w:kern w:val="2"/>
          <w:sz w:val="32"/>
          <w:szCs w:val="28"/>
        </w:rPr>
        <w:t>采用对比表</w:t>
      </w:r>
      <w:r>
        <w:rPr>
          <w:rFonts w:ascii="Times New Roman" w:eastAsia="仿宋_GB2312" w:hAnsi="Times New Roman" w:hint="eastAsia"/>
          <w:kern w:val="2"/>
          <w:sz w:val="32"/>
          <w:szCs w:val="28"/>
        </w:rPr>
        <w:t>或</w:t>
      </w:r>
      <w:r>
        <w:rPr>
          <w:rFonts w:ascii="Times New Roman" w:eastAsia="仿宋_GB2312" w:hAnsi="Times New Roman"/>
          <w:kern w:val="2"/>
          <w:sz w:val="32"/>
          <w:szCs w:val="28"/>
        </w:rPr>
        <w:t>带有说明性文字的图片、图表，</w:t>
      </w:r>
      <w:r>
        <w:rPr>
          <w:rFonts w:ascii="Times New Roman" w:eastAsia="仿宋_GB2312" w:hAnsi="Times New Roman" w:hint="eastAsia"/>
          <w:kern w:val="2"/>
          <w:sz w:val="32"/>
          <w:szCs w:val="28"/>
        </w:rPr>
        <w:t>描述</w:t>
      </w:r>
      <w:r>
        <w:rPr>
          <w:rFonts w:ascii="Times New Roman" w:eastAsia="仿宋_GB2312" w:hAnsi="Times New Roman"/>
          <w:kern w:val="2"/>
          <w:sz w:val="32"/>
          <w:szCs w:val="28"/>
        </w:rPr>
        <w:t>各种型号</w:t>
      </w:r>
      <w:r>
        <w:rPr>
          <w:rFonts w:ascii="Times New Roman" w:eastAsia="仿宋_GB2312" w:hAnsi="Times New Roman" w:hint="eastAsia"/>
          <w:kern w:val="2"/>
          <w:sz w:val="32"/>
          <w:szCs w:val="28"/>
        </w:rPr>
        <w:t>、</w:t>
      </w:r>
      <w:r>
        <w:rPr>
          <w:rFonts w:ascii="Times New Roman" w:eastAsia="仿宋_GB2312" w:hAnsi="Times New Roman"/>
          <w:kern w:val="2"/>
          <w:sz w:val="32"/>
          <w:szCs w:val="28"/>
        </w:rPr>
        <w:t>规格的结构组成、</w:t>
      </w:r>
      <w:r>
        <w:rPr>
          <w:rFonts w:ascii="Times New Roman" w:eastAsia="仿宋_GB2312" w:hAnsi="Times New Roman" w:hint="eastAsia"/>
          <w:kern w:val="2"/>
          <w:sz w:val="32"/>
          <w:szCs w:val="28"/>
        </w:rPr>
        <w:t>材料、</w:t>
      </w:r>
      <w:r>
        <w:rPr>
          <w:rFonts w:ascii="Times New Roman" w:eastAsia="仿宋_GB2312" w:hAnsi="Times New Roman"/>
          <w:kern w:val="2"/>
          <w:sz w:val="32"/>
          <w:szCs w:val="28"/>
        </w:rPr>
        <w:t>功能、产品特征和技术参数等</w:t>
      </w:r>
      <w:r>
        <w:rPr>
          <w:rFonts w:ascii="Times New Roman" w:eastAsia="仿宋_GB2312" w:hAnsi="Times New Roman" w:hint="eastAsia"/>
          <w:kern w:val="2"/>
          <w:sz w:val="32"/>
          <w:szCs w:val="28"/>
        </w:rPr>
        <w:t>内容</w:t>
      </w:r>
      <w:r>
        <w:rPr>
          <w:rFonts w:ascii="Times New Roman" w:eastAsia="仿宋_GB2312" w:hAnsi="Times New Roman"/>
          <w:kern w:val="2"/>
          <w:sz w:val="32"/>
          <w:szCs w:val="28"/>
        </w:rPr>
        <w:t>。</w:t>
      </w:r>
    </w:p>
    <w:p w:rsidR="00355DAA" w:rsidRDefault="00DE05DF">
      <w:pPr>
        <w:pStyle w:val="a0"/>
        <w:spacing w:line="520" w:lineRule="exact"/>
        <w:ind w:firstLineChars="200" w:firstLine="640"/>
        <w:rPr>
          <w:rFonts w:ascii="Times New Roman" w:eastAsia="仿宋_GB2312" w:hAnsi="Times New Roman"/>
          <w:color w:val="0000FF"/>
          <w:kern w:val="2"/>
          <w:sz w:val="32"/>
          <w:szCs w:val="28"/>
        </w:rPr>
      </w:pPr>
      <w:r>
        <w:rPr>
          <w:rFonts w:ascii="Times New Roman" w:eastAsia="仿宋_GB2312" w:hAnsi="Times New Roman"/>
          <w:kern w:val="2"/>
          <w:sz w:val="32"/>
          <w:szCs w:val="28"/>
        </w:rPr>
        <w:t>1.5</w:t>
      </w:r>
      <w:r>
        <w:rPr>
          <w:rFonts w:ascii="Times New Roman" w:eastAsia="仿宋_GB2312" w:hAnsi="Times New Roman"/>
          <w:kern w:val="2"/>
          <w:sz w:val="32"/>
          <w:szCs w:val="28"/>
        </w:rPr>
        <w:t>包装说明</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应说明所有产品组成的包装信息。包装的设计应考虑产品的存储和运输条件，保证产品使用时的安全性和有效性。应说明如何确保最终使用者可清晰地辨识包装的完整性。</w:t>
      </w:r>
    </w:p>
    <w:p w:rsidR="00355DAA" w:rsidRDefault="00DE05DF">
      <w:pPr>
        <w:pStyle w:val="a0"/>
        <w:spacing w:line="520" w:lineRule="exact"/>
        <w:ind w:firstLineChars="200" w:firstLine="640"/>
        <w:rPr>
          <w:rFonts w:ascii="Times New Roman" w:hAnsi="Times New Roman"/>
          <w:kern w:val="2"/>
          <w:sz w:val="32"/>
          <w:szCs w:val="28"/>
        </w:rPr>
      </w:pPr>
      <w:r>
        <w:rPr>
          <w:rFonts w:ascii="Times New Roman" w:eastAsia="仿宋_GB2312" w:hAnsi="Times New Roman" w:hint="eastAsia"/>
          <w:kern w:val="2"/>
          <w:sz w:val="32"/>
          <w:szCs w:val="28"/>
        </w:rPr>
        <w:t>脉搏血氧传感器</w:t>
      </w:r>
      <w:r>
        <w:rPr>
          <w:rFonts w:ascii="Times New Roman" w:eastAsia="仿宋_GB2312" w:hAnsi="Times New Roman"/>
          <w:kern w:val="2"/>
          <w:sz w:val="32"/>
          <w:szCs w:val="28"/>
        </w:rPr>
        <w:t>若无菌提供，应</w:t>
      </w:r>
      <w:r>
        <w:rPr>
          <w:rFonts w:ascii="Times New Roman" w:eastAsia="仿宋_GB2312" w:hAnsi="Times New Roman" w:hint="eastAsia"/>
          <w:kern w:val="2"/>
          <w:sz w:val="32"/>
          <w:szCs w:val="28"/>
        </w:rPr>
        <w:t>当</w:t>
      </w:r>
      <w:r>
        <w:rPr>
          <w:rFonts w:ascii="Times New Roman" w:eastAsia="仿宋_GB2312" w:hAnsi="Times New Roman"/>
          <w:kern w:val="2"/>
          <w:sz w:val="32"/>
          <w:szCs w:val="28"/>
        </w:rPr>
        <w:t>说明其无菌屏障系统的信息；若有微生物限度要求，应</w:t>
      </w:r>
      <w:r>
        <w:rPr>
          <w:rFonts w:ascii="Times New Roman" w:eastAsia="仿宋_GB2312" w:hAnsi="Times New Roman" w:hint="eastAsia"/>
          <w:kern w:val="2"/>
          <w:sz w:val="32"/>
          <w:szCs w:val="28"/>
        </w:rPr>
        <w:t>当</w:t>
      </w:r>
      <w:r>
        <w:rPr>
          <w:rFonts w:ascii="Times New Roman" w:eastAsia="仿宋_GB2312" w:hAnsi="Times New Roman"/>
          <w:kern w:val="2"/>
          <w:sz w:val="32"/>
          <w:szCs w:val="28"/>
        </w:rPr>
        <w:t>说明保持其微生物限度的包装信息。</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1.6</w:t>
      </w:r>
      <w:r>
        <w:rPr>
          <w:rFonts w:ascii="Times New Roman" w:eastAsia="仿宋_GB2312" w:hAnsi="Times New Roman"/>
          <w:kern w:val="2"/>
          <w:sz w:val="32"/>
          <w:szCs w:val="28"/>
        </w:rPr>
        <w:t>研发历程</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阐述申请注册产品的研发背景和目的。如有参考的同类产品或前代产品，</w:t>
      </w:r>
      <w:r>
        <w:rPr>
          <w:rFonts w:ascii="Times New Roman" w:eastAsia="仿宋_GB2312" w:hAnsi="Times New Roman" w:hint="eastAsia"/>
          <w:kern w:val="2"/>
          <w:sz w:val="32"/>
          <w:szCs w:val="28"/>
        </w:rPr>
        <w:t>应</w:t>
      </w:r>
      <w:r>
        <w:rPr>
          <w:rFonts w:ascii="Times New Roman" w:eastAsia="仿宋_GB2312" w:hAnsi="Times New Roman"/>
          <w:kern w:val="2"/>
          <w:sz w:val="32"/>
          <w:szCs w:val="28"/>
        </w:rPr>
        <w:t>提供同类产品或前代产品</w:t>
      </w:r>
      <w:r>
        <w:rPr>
          <w:rFonts w:ascii="Times New Roman" w:eastAsia="仿宋_GB2312" w:hAnsi="Times New Roman"/>
          <w:kern w:val="2"/>
          <w:sz w:val="32"/>
          <w:szCs w:val="28"/>
        </w:rPr>
        <w:t>的信息，并说明选择其作为研发参考的原因。</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1.7</w:t>
      </w:r>
      <w:r>
        <w:rPr>
          <w:rFonts w:ascii="Times New Roman" w:eastAsia="仿宋_GB2312" w:hAnsi="Times New Roman"/>
          <w:kern w:val="2"/>
          <w:sz w:val="32"/>
          <w:szCs w:val="28"/>
        </w:rPr>
        <w:t>与同类和</w:t>
      </w:r>
      <w:r>
        <w:rPr>
          <w:rFonts w:ascii="Times New Roman" w:eastAsia="仿宋_GB2312" w:hAnsi="Times New Roman"/>
          <w:kern w:val="2"/>
          <w:sz w:val="32"/>
          <w:szCs w:val="28"/>
        </w:rPr>
        <w:t>/</w:t>
      </w:r>
      <w:r>
        <w:rPr>
          <w:rFonts w:ascii="Times New Roman" w:eastAsia="仿宋_GB2312" w:hAnsi="Times New Roman"/>
          <w:kern w:val="2"/>
          <w:sz w:val="32"/>
          <w:szCs w:val="28"/>
        </w:rPr>
        <w:t>或前代产品的参考和比较</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lastRenderedPageBreak/>
        <w:t>列表比较说明申报产品与同类产品和</w:t>
      </w:r>
      <w:r>
        <w:rPr>
          <w:rFonts w:ascii="Times New Roman" w:eastAsia="仿宋_GB2312" w:hAnsi="Times New Roman"/>
          <w:kern w:val="2"/>
          <w:sz w:val="32"/>
          <w:szCs w:val="28"/>
        </w:rPr>
        <w:t>/</w:t>
      </w:r>
      <w:r>
        <w:rPr>
          <w:rFonts w:ascii="Times New Roman" w:eastAsia="仿宋_GB2312" w:hAnsi="Times New Roman"/>
          <w:kern w:val="2"/>
          <w:sz w:val="32"/>
          <w:szCs w:val="28"/>
        </w:rPr>
        <w:t>或前代产品在工作原理、结构组成、制造材料、性能指标、</w:t>
      </w:r>
      <w:r>
        <w:rPr>
          <w:rFonts w:ascii="Times New Roman" w:eastAsia="仿宋_GB2312" w:hAnsi="Times New Roman" w:hint="eastAsia"/>
          <w:kern w:val="2"/>
          <w:sz w:val="32"/>
          <w:szCs w:val="28"/>
        </w:rPr>
        <w:t>作用方式，</w:t>
      </w:r>
      <w:r>
        <w:rPr>
          <w:rFonts w:ascii="Times New Roman" w:eastAsia="仿宋_GB2312" w:hAnsi="Times New Roman"/>
          <w:kern w:val="2"/>
          <w:sz w:val="32"/>
          <w:szCs w:val="28"/>
        </w:rPr>
        <w:t>以及适用范围等方面的异同。</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2.</w:t>
      </w:r>
      <w:r>
        <w:rPr>
          <w:rFonts w:ascii="Times New Roman" w:eastAsia="仿宋_GB2312" w:hAnsi="Times New Roman"/>
          <w:kern w:val="2"/>
          <w:sz w:val="32"/>
          <w:szCs w:val="28"/>
        </w:rPr>
        <w:t>适用范围和禁忌证</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2.1</w:t>
      </w:r>
      <w:r>
        <w:rPr>
          <w:rFonts w:ascii="Times New Roman" w:eastAsia="仿宋_GB2312" w:hAnsi="Times New Roman"/>
          <w:kern w:val="2"/>
          <w:sz w:val="32"/>
          <w:szCs w:val="28"/>
        </w:rPr>
        <w:t>适用范围</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描述申报产品的预期用途和适用的医疗阶段（如</w:t>
      </w:r>
      <w:r>
        <w:rPr>
          <w:rFonts w:ascii="Times New Roman" w:eastAsia="仿宋_GB2312" w:hAnsi="Times New Roman" w:hint="eastAsia"/>
          <w:kern w:val="2"/>
          <w:sz w:val="32"/>
          <w:szCs w:val="28"/>
        </w:rPr>
        <w:t>救护车转运、门急诊测量、</w:t>
      </w:r>
      <w:r>
        <w:rPr>
          <w:rFonts w:ascii="Times New Roman" w:eastAsia="仿宋_GB2312" w:hAnsi="Times New Roman"/>
          <w:kern w:val="2"/>
          <w:sz w:val="32"/>
          <w:szCs w:val="28"/>
        </w:rPr>
        <w:t>治疗后的监测、康复等）</w:t>
      </w:r>
      <w:r>
        <w:rPr>
          <w:rFonts w:ascii="Times New Roman" w:eastAsia="仿宋_GB2312" w:hAnsi="Times New Roman" w:hint="eastAsia"/>
          <w:kern w:val="2"/>
          <w:sz w:val="32"/>
          <w:szCs w:val="28"/>
        </w:rPr>
        <w:t>，明确监测的参数和其他与适用范围相关的考虑。明确目标用户及其操作或使用该产品应当具备的技能</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知识</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培训。说明产品一次性使用还是重复使用。说明与其组合使用实现预期用途的其他产品。</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适</w:t>
      </w:r>
      <w:r>
        <w:rPr>
          <w:rFonts w:ascii="Times New Roman" w:eastAsia="仿宋_GB2312" w:hAnsi="Times New Roman" w:hint="eastAsia"/>
          <w:kern w:val="2"/>
          <w:sz w:val="32"/>
          <w:szCs w:val="28"/>
        </w:rPr>
        <w:t>用范围示例：</w:t>
      </w:r>
      <w:r>
        <w:rPr>
          <w:rFonts w:ascii="Times New Roman" w:eastAsia="仿宋_GB2312" w:hAnsi="Times New Roman" w:hint="eastAsia"/>
          <w:kern w:val="2"/>
          <w:sz w:val="32"/>
          <w:szCs w:val="28"/>
        </w:rPr>
        <w:t>在医疗机构、家庭（如适用）、转运（如适用）</w:t>
      </w:r>
      <w:r>
        <w:rPr>
          <w:rFonts w:ascii="Times New Roman" w:eastAsia="仿宋_GB2312" w:hAnsi="Times New Roman" w:hint="eastAsia"/>
          <w:kern w:val="2"/>
          <w:sz w:val="32"/>
          <w:szCs w:val="28"/>
        </w:rPr>
        <w:t>与兼容的血氧测量设备配套使用，用于对患者的血氧饱和度和脉率进行无创测量。</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2.2</w:t>
      </w:r>
      <w:r>
        <w:rPr>
          <w:rFonts w:ascii="Times New Roman" w:eastAsia="仿宋_GB2312" w:hAnsi="Times New Roman" w:hint="eastAsia"/>
          <w:kern w:val="2"/>
          <w:sz w:val="32"/>
          <w:szCs w:val="28"/>
        </w:rPr>
        <w:t>预期使用环境</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明确该产品预期使用的地点，如家庭护理环境、医疗机构、紧急医疗服务环境等。明确可能影响该产品安全性和有效性的环境条件。明确对设备使用地点和使用环境的要求。若注册申请人有其它特殊环境声称或限制，应提供相应声明或证明。</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2.3</w:t>
      </w:r>
      <w:r>
        <w:rPr>
          <w:rFonts w:ascii="Times New Roman" w:eastAsia="仿宋_GB2312" w:hAnsi="Times New Roman" w:hint="eastAsia"/>
          <w:kern w:val="2"/>
          <w:sz w:val="32"/>
          <w:szCs w:val="28"/>
        </w:rPr>
        <w:t>适用人群</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明确产品适用的患者人群，如：适用于成人、儿童、新生儿、孕妇等人群。</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2.4</w:t>
      </w:r>
      <w:r>
        <w:rPr>
          <w:rFonts w:ascii="Times New Roman" w:eastAsia="仿宋_GB2312" w:hAnsi="Times New Roman" w:hint="eastAsia"/>
          <w:kern w:val="2"/>
          <w:sz w:val="32"/>
          <w:szCs w:val="28"/>
        </w:rPr>
        <w:t>禁忌证</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应当明确说明该产品禁忌应用的特定人群、疾病种类等，视产品实际情况说明。</w:t>
      </w:r>
      <w:r>
        <w:rPr>
          <w:rFonts w:ascii="Times New Roman" w:eastAsia="仿宋_GB2312" w:hAnsi="Times New Roman" w:hint="eastAsia"/>
          <w:kern w:val="2"/>
          <w:sz w:val="32"/>
          <w:szCs w:val="28"/>
        </w:rPr>
        <w:t>包括但不限于</w:t>
      </w:r>
      <w:r>
        <w:rPr>
          <w:rFonts w:ascii="Times New Roman" w:eastAsia="仿宋_GB2312" w:hAnsi="Times New Roman" w:hint="eastAsia"/>
          <w:kern w:val="2"/>
          <w:sz w:val="32"/>
          <w:szCs w:val="28"/>
        </w:rPr>
        <w:t>：</w:t>
      </w:r>
    </w:p>
    <w:p w:rsidR="00355DAA" w:rsidRDefault="00DE05DF">
      <w:pPr>
        <w:pStyle w:val="a0"/>
        <w:numPr>
          <w:ilvl w:val="0"/>
          <w:numId w:val="2"/>
        </w:numPr>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存在异常血红蛋白血症</w:t>
      </w:r>
      <w:r>
        <w:rPr>
          <w:rFonts w:ascii="Times New Roman" w:eastAsia="仿宋_GB2312" w:hAnsi="Times New Roman" w:hint="eastAsia"/>
          <w:kern w:val="2"/>
          <w:sz w:val="32"/>
          <w:szCs w:val="28"/>
        </w:rPr>
        <w:t>的患者慎用；</w:t>
      </w:r>
    </w:p>
    <w:p w:rsidR="00355DAA" w:rsidRDefault="00DE05DF">
      <w:pPr>
        <w:pStyle w:val="a0"/>
        <w:numPr>
          <w:ilvl w:val="0"/>
          <w:numId w:val="2"/>
        </w:numPr>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存在严重外周循环障碍的患者</w:t>
      </w:r>
      <w:r>
        <w:rPr>
          <w:rFonts w:ascii="Times New Roman" w:eastAsia="仿宋_GB2312" w:hAnsi="Times New Roman" w:hint="eastAsia"/>
          <w:kern w:val="2"/>
          <w:sz w:val="32"/>
          <w:szCs w:val="28"/>
        </w:rPr>
        <w:t>慎</w:t>
      </w:r>
      <w:r>
        <w:rPr>
          <w:rFonts w:ascii="Times New Roman" w:eastAsia="仿宋_GB2312" w:hAnsi="Times New Roman" w:hint="eastAsia"/>
          <w:kern w:val="2"/>
          <w:sz w:val="32"/>
          <w:szCs w:val="28"/>
        </w:rPr>
        <w:t>用</w:t>
      </w:r>
      <w:r>
        <w:rPr>
          <w:rFonts w:hint="eastAsia"/>
        </w:rPr>
        <w:t>。</w:t>
      </w:r>
    </w:p>
    <w:p w:rsidR="00355DAA" w:rsidRDefault="00DE05DF">
      <w:pPr>
        <w:pStyle w:val="a0"/>
        <w:numPr>
          <w:ilvl w:val="0"/>
          <w:numId w:val="2"/>
        </w:numPr>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对传感器材质过敏的患者禁用</w:t>
      </w:r>
      <w:r>
        <w:rPr>
          <w:rFonts w:ascii="Times New Roman" w:eastAsia="仿宋_GB2312" w:hAnsi="Times New Roman" w:hint="eastAsia"/>
          <w:kern w:val="2"/>
          <w:sz w:val="32"/>
          <w:szCs w:val="28"/>
        </w:rPr>
        <w:t>；</w:t>
      </w:r>
    </w:p>
    <w:p w:rsidR="00355DAA" w:rsidRDefault="00DE05DF">
      <w:pPr>
        <w:pStyle w:val="a0"/>
        <w:numPr>
          <w:ilvl w:val="0"/>
          <w:numId w:val="2"/>
        </w:numPr>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严重皮肤破损、感染、烧伤的测量部位禁用</w:t>
      </w:r>
      <w:r>
        <w:rPr>
          <w:rFonts w:ascii="Times New Roman" w:eastAsia="仿宋_GB2312" w:hAnsi="Times New Roman" w:hint="eastAsia"/>
          <w:kern w:val="2"/>
          <w:sz w:val="32"/>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申报产品上市历史</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如适用，应当提交申报产品的上市情况、不良事件和召回、销售不良事件及召回率。</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其他需说明的内容</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脉搏血氧传感器预期与监护仪、脉搏血氧设备等其他产品联合使用，应明确其详细信息。</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对于已获得批准的部件或配合使用的附件，申请人应提供注册证编号和国家药监局官方网站公布的注册证信息。</w:t>
      </w:r>
    </w:p>
    <w:p w:rsidR="00355DAA" w:rsidRDefault="00DE05DF">
      <w:pPr>
        <w:pStyle w:val="a0"/>
        <w:spacing w:line="520" w:lineRule="exact"/>
        <w:ind w:firstLineChars="200" w:firstLine="640"/>
        <w:rPr>
          <w:rFonts w:ascii="楷体_GB2312" w:eastAsia="楷体_GB2312" w:hAnsi="楷体_GB2312" w:cs="楷体_GB2312"/>
          <w:kern w:val="2"/>
          <w:sz w:val="32"/>
          <w:szCs w:val="28"/>
        </w:rPr>
      </w:pPr>
      <w:r>
        <w:rPr>
          <w:rFonts w:ascii="楷体_GB2312" w:eastAsia="楷体_GB2312" w:hAnsi="楷体_GB2312" w:cs="楷体_GB2312" w:hint="eastAsia"/>
          <w:kern w:val="2"/>
          <w:sz w:val="32"/>
          <w:szCs w:val="28"/>
        </w:rPr>
        <w:t>（三）非临床资料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产品风险管理资料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申请人应对产品全生命周期实施风险管理。参考</w:t>
      </w:r>
      <w:r>
        <w:rPr>
          <w:rFonts w:ascii="Times New Roman" w:eastAsia="仿宋_GB2312" w:hAnsi="Times New Roman" w:hint="eastAsia"/>
          <w:kern w:val="2"/>
          <w:sz w:val="32"/>
          <w:szCs w:val="28"/>
        </w:rPr>
        <w:t>GB/T 42062</w:t>
      </w:r>
      <w:r>
        <w:rPr>
          <w:rFonts w:ascii="Times New Roman" w:eastAsia="仿宋_GB2312" w:hAnsi="Times New Roman" w:hint="eastAsia"/>
          <w:kern w:val="2"/>
          <w:sz w:val="32"/>
          <w:szCs w:val="28"/>
        </w:rPr>
        <w:t>《医疗器械</w:t>
      </w:r>
      <w:r>
        <w:rPr>
          <w:rFonts w:ascii="Times New Roman" w:eastAsia="仿宋_GB2312" w:hAnsi="Times New Roman" w:hint="eastAsia"/>
          <w:kern w:val="2"/>
          <w:sz w:val="32"/>
          <w:szCs w:val="28"/>
        </w:rPr>
        <w:t xml:space="preserve"> </w:t>
      </w:r>
      <w:r>
        <w:rPr>
          <w:rFonts w:ascii="Times New Roman" w:eastAsia="仿宋_GB2312" w:hAnsi="Times New Roman" w:hint="eastAsia"/>
          <w:kern w:val="2"/>
          <w:sz w:val="32"/>
          <w:szCs w:val="28"/>
        </w:rPr>
        <w:t>风险管理对医疗器械的应用》、适用的安全标准（如</w:t>
      </w:r>
      <w:r>
        <w:rPr>
          <w:rFonts w:ascii="Times New Roman" w:eastAsia="仿宋_GB2312" w:hAnsi="Times New Roman" w:hint="eastAsia"/>
          <w:kern w:val="2"/>
          <w:sz w:val="32"/>
          <w:szCs w:val="28"/>
        </w:rPr>
        <w:t>GB 9706.1</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YY 9706.261</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 xml:space="preserve">YY </w:t>
      </w:r>
      <w:r>
        <w:rPr>
          <w:rFonts w:ascii="Times New Roman" w:eastAsia="仿宋_GB2312" w:hAnsi="Times New Roman" w:hint="eastAsia"/>
          <w:kern w:val="2"/>
          <w:sz w:val="32"/>
          <w:szCs w:val="28"/>
        </w:rPr>
        <w:t>9706.102</w:t>
      </w:r>
      <w:r>
        <w:rPr>
          <w:rFonts w:ascii="Times New Roman" w:eastAsia="仿宋_GB2312" w:hAnsi="Times New Roman" w:hint="eastAsia"/>
          <w:kern w:val="2"/>
          <w:sz w:val="32"/>
          <w:szCs w:val="28"/>
        </w:rPr>
        <w:t>等）及规范性文件，并结合产品特点、临床用途及使用场景，充分识别与安全有关的特征，进行风险分析、评价及控制。应确保各风险的可追溯性，提供各风险及综合剩余风险的可接受准则，确认各风险及综合剩余风险可接受。</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附件</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依据</w:t>
      </w:r>
      <w:r>
        <w:rPr>
          <w:rFonts w:ascii="Times New Roman" w:eastAsia="仿宋_GB2312" w:hAnsi="Times New Roman" w:hint="eastAsia"/>
          <w:kern w:val="2"/>
          <w:sz w:val="32"/>
          <w:szCs w:val="28"/>
        </w:rPr>
        <w:t>GB/T 42062</w:t>
      </w:r>
      <w:r>
        <w:rPr>
          <w:rFonts w:ascii="Times New Roman" w:eastAsia="仿宋_GB2312" w:hAnsi="Times New Roman" w:hint="eastAsia"/>
          <w:kern w:val="2"/>
          <w:sz w:val="32"/>
          <w:szCs w:val="28"/>
        </w:rPr>
        <w:t>列举了脉搏血氧传感器有关的可能危害示例的不完全清单，以帮助判定与脉搏血氧传感器有关的危害。申请人还应根据自身产品特点确定其他可能危害。针对</w:t>
      </w:r>
      <w:r>
        <w:rPr>
          <w:rFonts w:ascii="Times New Roman" w:eastAsia="仿宋_GB2312" w:hAnsi="Times New Roman" w:hint="eastAsia"/>
          <w:kern w:val="2"/>
          <w:sz w:val="32"/>
          <w:szCs w:val="28"/>
        </w:rPr>
        <w:lastRenderedPageBreak/>
        <w:t>产品的各项风险，申请人应采取控制措施，确保风险降到可接受的程度。</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医疗器械安全和性能基本原则清单</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说明申报产品符合《医疗器</w:t>
      </w:r>
      <w:r>
        <w:rPr>
          <w:rFonts w:ascii="Times New Roman" w:eastAsia="仿宋_GB2312" w:hAnsi="Times New Roman" w:hint="eastAsia"/>
          <w:kern w:val="2"/>
          <w:sz w:val="32"/>
          <w:szCs w:val="28"/>
        </w:rPr>
        <w:t>械安全和性能基本原则清单》各项适用要求所采用的方法，以及证明其符合性的文件。对于《医疗器械安全和性能基本原则清单》中不适用的各项要求，应当说明理由。</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对于包含在产品注册申报资料中的文件，应当说明其在申报资料中的具体位置；对于未包含在产品注册申报资料中的文件，应当注明该证据文件名称及其在质量管理体系文件中的编号备查。</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产品技术要求及检验报告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3.1</w:t>
      </w:r>
      <w:r>
        <w:rPr>
          <w:rFonts w:ascii="Times New Roman" w:eastAsia="仿宋_GB2312" w:hAnsi="Times New Roman" w:hint="eastAsia"/>
          <w:kern w:val="2"/>
          <w:sz w:val="32"/>
          <w:szCs w:val="28"/>
        </w:rPr>
        <w:t>申报产品适用标准情况</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申报产品应当符合适用的强制性标准。对于强制性</w:t>
      </w:r>
      <w:r>
        <w:rPr>
          <w:rFonts w:ascii="Times New Roman" w:eastAsia="仿宋_GB2312" w:hAnsi="Times New Roman" w:hint="eastAsia"/>
          <w:kern w:val="2"/>
          <w:sz w:val="32"/>
          <w:szCs w:val="28"/>
        </w:rPr>
        <w:t>国家标准、</w:t>
      </w:r>
      <w:r>
        <w:rPr>
          <w:rFonts w:ascii="Times New Roman" w:eastAsia="仿宋_GB2312" w:hAnsi="Times New Roman"/>
          <w:kern w:val="2"/>
          <w:sz w:val="32"/>
          <w:szCs w:val="28"/>
        </w:rPr>
        <w:t>行业标准，若申报产品结构特征、预期用途、使用方式等与强制性标准的适用范围不一致，申请</w:t>
      </w:r>
      <w:r>
        <w:rPr>
          <w:rFonts w:ascii="Times New Roman" w:eastAsia="仿宋_GB2312" w:hAnsi="Times New Roman"/>
          <w:kern w:val="2"/>
          <w:sz w:val="32"/>
          <w:szCs w:val="28"/>
        </w:rPr>
        <w:t>人应当提出不适用强制性标准的说明，并提供经验证的证明性资料。产品宜参考的现行有效标准见附件</w:t>
      </w:r>
      <w:r>
        <w:rPr>
          <w:rFonts w:ascii="Times New Roman" w:eastAsia="仿宋_GB2312" w:hAnsi="Times New Roman"/>
          <w:kern w:val="2"/>
          <w:sz w:val="32"/>
          <w:szCs w:val="28"/>
        </w:rPr>
        <w:t>2</w:t>
      </w:r>
      <w:r>
        <w:rPr>
          <w:rFonts w:ascii="Times New Roman" w:eastAsia="仿宋_GB2312" w:hAnsi="Times New Roman"/>
          <w:kern w:val="2"/>
          <w:sz w:val="32"/>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产品技术要求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依据《医疗器械产品技术要求编写指导原则》的要求编写产品技术要求。产品主要技术性能、电气安全性能、电磁兼容应当执行强制性国家和行业标准，性能指标应当能满足产品的安全有效性要求。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产品主要性能指标：</w:t>
      </w:r>
    </w:p>
    <w:p w:rsidR="00355DAA" w:rsidRDefault="00DE05DF">
      <w:pPr>
        <w:spacing w:line="520" w:lineRule="exact"/>
        <w:ind w:firstLineChars="200" w:firstLine="640"/>
        <w:rPr>
          <w:rFonts w:eastAsia="仿宋_GB2312"/>
          <w:kern w:val="0"/>
          <w:szCs w:val="28"/>
        </w:rPr>
      </w:pPr>
      <w:r>
        <w:rPr>
          <w:rFonts w:eastAsia="仿宋_GB2312" w:hint="eastAsia"/>
          <w:szCs w:val="28"/>
        </w:rPr>
        <w:lastRenderedPageBreak/>
        <w:t>3.2.1</w:t>
      </w:r>
      <w:r>
        <w:rPr>
          <w:rFonts w:eastAsia="仿宋_GB2312"/>
          <w:kern w:val="0"/>
          <w:szCs w:val="28"/>
        </w:rPr>
        <w:t>功能指标</w:t>
      </w:r>
      <w:r>
        <w:rPr>
          <w:rFonts w:eastAsia="仿宋_GB2312" w:hint="eastAsia"/>
          <w:kern w:val="0"/>
          <w:szCs w:val="28"/>
        </w:rPr>
        <w:t>（</w:t>
      </w:r>
      <w:r>
        <w:rPr>
          <w:rFonts w:eastAsia="仿宋_GB2312" w:hint="eastAsia"/>
          <w:kern w:val="0"/>
          <w:szCs w:val="28"/>
        </w:rPr>
        <w:t>配套兼容设备</w:t>
      </w:r>
      <w:r>
        <w:rPr>
          <w:rFonts w:eastAsia="仿宋_GB2312" w:hint="eastAsia"/>
          <w:kern w:val="0"/>
          <w:szCs w:val="28"/>
        </w:rPr>
        <w:t>）</w:t>
      </w:r>
    </w:p>
    <w:p w:rsidR="00355DAA" w:rsidRDefault="00DE05DF">
      <w:pPr>
        <w:overflowPunct w:val="0"/>
        <w:adjustRightInd w:val="0"/>
        <w:snapToGrid w:val="0"/>
        <w:spacing w:line="560" w:lineRule="exact"/>
        <w:ind w:firstLineChars="200" w:firstLine="640"/>
        <w:rPr>
          <w:rFonts w:eastAsia="仿宋_GB2312"/>
          <w:kern w:val="0"/>
          <w:szCs w:val="28"/>
        </w:rPr>
      </w:pPr>
      <w:r>
        <w:rPr>
          <w:rFonts w:eastAsia="仿宋_GB2312" w:hint="eastAsia"/>
          <w:szCs w:val="32"/>
        </w:rPr>
        <w:t>3.2.</w:t>
      </w:r>
      <w:r>
        <w:rPr>
          <w:rFonts w:eastAsia="仿宋_GB2312" w:hint="eastAsia"/>
          <w:szCs w:val="32"/>
        </w:rPr>
        <w:t>1</w:t>
      </w:r>
      <w:r>
        <w:rPr>
          <w:rFonts w:eastAsia="仿宋_GB2312"/>
          <w:kern w:val="0"/>
          <w:szCs w:val="28"/>
        </w:rPr>
        <w:t>.1</w:t>
      </w:r>
      <w:r>
        <w:rPr>
          <w:rFonts w:eastAsia="仿宋_GB2312"/>
          <w:kern w:val="0"/>
          <w:szCs w:val="28"/>
        </w:rPr>
        <w:t>血氧饱和度测量部分</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w:t>
      </w:r>
      <w:r>
        <w:rPr>
          <w:rFonts w:eastAsia="仿宋_GB2312"/>
          <w:szCs w:val="28"/>
        </w:rPr>
        <w:t>1</w:t>
      </w:r>
      <w:r>
        <w:rPr>
          <w:rFonts w:eastAsia="仿宋_GB2312"/>
          <w:szCs w:val="28"/>
        </w:rPr>
        <w:t>）</w:t>
      </w:r>
      <w:r>
        <w:rPr>
          <w:rFonts w:eastAsia="仿宋_GB2312" w:hint="eastAsia"/>
          <w:szCs w:val="28"/>
        </w:rPr>
        <w:t>测量范围</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应不小于</w:t>
      </w:r>
      <w:r>
        <w:rPr>
          <w:rFonts w:eastAsia="仿宋_GB2312"/>
          <w:szCs w:val="28"/>
        </w:rPr>
        <w:t>70%</w:t>
      </w:r>
      <w:r>
        <w:rPr>
          <w:rFonts w:eastAsia="仿宋_GB2312"/>
          <w:szCs w:val="28"/>
        </w:rPr>
        <w:t>至</w:t>
      </w:r>
      <w:r>
        <w:rPr>
          <w:rFonts w:eastAsia="仿宋_GB2312"/>
          <w:szCs w:val="28"/>
        </w:rPr>
        <w:t>100%</w:t>
      </w:r>
      <w:r>
        <w:rPr>
          <w:rFonts w:eastAsia="仿宋_GB2312"/>
          <w:szCs w:val="28"/>
        </w:rPr>
        <w:t>的范围</w:t>
      </w:r>
      <w:r>
        <w:rPr>
          <w:rFonts w:eastAsia="仿宋_GB2312" w:hint="eastAsia"/>
          <w:szCs w:val="28"/>
        </w:rPr>
        <w:t>，如适用于不同人群（成人、儿童和新生儿）且测量范围不同，应考虑将测量范围分开宣称</w:t>
      </w:r>
      <w:r>
        <w:rPr>
          <w:rFonts w:eastAsia="仿宋_GB2312"/>
          <w:szCs w:val="28"/>
        </w:rPr>
        <w:t>。</w:t>
      </w:r>
    </w:p>
    <w:p w:rsidR="00355DAA" w:rsidRDefault="00DE05DF">
      <w:pPr>
        <w:numPr>
          <w:ilvl w:val="0"/>
          <w:numId w:val="3"/>
        </w:numPr>
        <w:overflowPunct w:val="0"/>
        <w:adjustRightInd w:val="0"/>
        <w:snapToGrid w:val="0"/>
        <w:spacing w:line="560" w:lineRule="exact"/>
        <w:ind w:firstLineChars="200" w:firstLine="640"/>
        <w:rPr>
          <w:rFonts w:eastAsia="仿宋_GB2312"/>
          <w:szCs w:val="28"/>
        </w:rPr>
      </w:pPr>
      <w:r>
        <w:rPr>
          <w:rFonts w:eastAsia="仿宋_GB2312"/>
          <w:szCs w:val="28"/>
        </w:rPr>
        <w:t>准确度</w:t>
      </w:r>
    </w:p>
    <w:p w:rsidR="00355DAA" w:rsidRDefault="00DE05DF">
      <w:pPr>
        <w:pStyle w:val="a0"/>
        <w:spacing w:line="560" w:lineRule="exact"/>
        <w:ind w:firstLineChars="200" w:firstLine="640"/>
        <w:rPr>
          <w:rFonts w:eastAsia="仿宋_GB2312"/>
          <w:sz w:val="32"/>
          <w:szCs w:val="28"/>
        </w:rPr>
      </w:pPr>
      <w:r>
        <w:rPr>
          <w:rFonts w:eastAsia="仿宋_GB2312" w:hint="eastAsia"/>
          <w:sz w:val="32"/>
          <w:szCs w:val="28"/>
        </w:rPr>
        <w:t>如适用于不同人群（成人、儿童和新生儿）且</w:t>
      </w:r>
      <w:r>
        <w:rPr>
          <w:rFonts w:ascii="Times New Roman" w:eastAsia="仿宋_GB2312" w:hAnsi="Times New Roman" w:hint="eastAsia"/>
          <w:sz w:val="32"/>
          <w:szCs w:val="28"/>
        </w:rPr>
        <w:t>准确度不同</w:t>
      </w:r>
      <w:r>
        <w:rPr>
          <w:rFonts w:eastAsia="仿宋_GB2312" w:hint="eastAsia"/>
          <w:sz w:val="32"/>
          <w:szCs w:val="28"/>
        </w:rPr>
        <w:t>，应考虑</w:t>
      </w:r>
      <w:r>
        <w:rPr>
          <w:rFonts w:ascii="Times New Roman" w:eastAsia="仿宋_GB2312" w:hAnsi="Times New Roman" w:hint="eastAsia"/>
          <w:sz w:val="32"/>
          <w:szCs w:val="28"/>
        </w:rPr>
        <w:t>将准确度分开宣称</w:t>
      </w:r>
      <w:r>
        <w:rPr>
          <w:rFonts w:eastAsia="仿宋_GB2312"/>
          <w:sz w:val="32"/>
          <w:szCs w:val="28"/>
        </w:rPr>
        <w:t>。</w:t>
      </w:r>
    </w:p>
    <w:p w:rsidR="00355DAA" w:rsidRDefault="00DE05DF">
      <w:pPr>
        <w:pStyle w:val="a0"/>
        <w:spacing w:line="560" w:lineRule="exact"/>
        <w:ind w:firstLineChars="200" w:firstLine="640"/>
        <w:rPr>
          <w:rFonts w:eastAsia="仿宋_GB2312"/>
          <w:sz w:val="32"/>
          <w:szCs w:val="28"/>
        </w:rPr>
      </w:pPr>
      <w:r>
        <w:rPr>
          <w:rFonts w:eastAsia="仿宋_GB2312" w:hint="eastAsia"/>
          <w:sz w:val="32"/>
          <w:szCs w:val="28"/>
        </w:rPr>
        <w:t>如适用于运动状态和非运动状态，应考虑</w:t>
      </w:r>
      <w:r>
        <w:rPr>
          <w:rFonts w:ascii="Times New Roman" w:eastAsia="仿宋_GB2312" w:hAnsi="Times New Roman" w:hint="eastAsia"/>
          <w:sz w:val="32"/>
          <w:szCs w:val="28"/>
        </w:rPr>
        <w:t>将准确度分开宣称</w:t>
      </w:r>
      <w:r>
        <w:rPr>
          <w:rFonts w:eastAsia="仿宋_GB2312"/>
          <w:sz w:val="32"/>
          <w:szCs w:val="28"/>
        </w:rPr>
        <w:t>。</w:t>
      </w:r>
    </w:p>
    <w:p w:rsidR="00355DAA" w:rsidRDefault="00DE05DF">
      <w:pPr>
        <w:overflowPunct w:val="0"/>
        <w:adjustRightInd w:val="0"/>
        <w:snapToGrid w:val="0"/>
        <w:spacing w:line="560" w:lineRule="exact"/>
        <w:ind w:firstLineChars="200" w:firstLine="640"/>
        <w:rPr>
          <w:rFonts w:eastAsia="仿宋_GB2312"/>
          <w:kern w:val="0"/>
          <w:szCs w:val="28"/>
        </w:rPr>
      </w:pPr>
      <w:r>
        <w:rPr>
          <w:rFonts w:eastAsia="仿宋_GB2312" w:hint="eastAsia"/>
          <w:szCs w:val="32"/>
        </w:rPr>
        <w:t>3.2.</w:t>
      </w:r>
      <w:r>
        <w:rPr>
          <w:rFonts w:eastAsia="仿宋_GB2312" w:hint="eastAsia"/>
          <w:szCs w:val="32"/>
        </w:rPr>
        <w:t>1</w:t>
      </w:r>
      <w:r>
        <w:rPr>
          <w:rFonts w:eastAsia="仿宋_GB2312"/>
          <w:kern w:val="0"/>
          <w:szCs w:val="28"/>
        </w:rPr>
        <w:t>.2</w:t>
      </w:r>
      <w:r>
        <w:rPr>
          <w:rFonts w:eastAsia="仿宋_GB2312"/>
          <w:kern w:val="0"/>
          <w:szCs w:val="28"/>
        </w:rPr>
        <w:t>脉率测量部分</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w:t>
      </w:r>
      <w:r>
        <w:rPr>
          <w:rFonts w:eastAsia="仿宋_GB2312"/>
          <w:szCs w:val="28"/>
        </w:rPr>
        <w:t>1</w:t>
      </w:r>
      <w:r>
        <w:rPr>
          <w:rFonts w:eastAsia="仿宋_GB2312"/>
          <w:szCs w:val="28"/>
        </w:rPr>
        <w:t>）</w:t>
      </w:r>
      <w:r>
        <w:rPr>
          <w:rFonts w:eastAsia="仿宋_GB2312" w:hint="eastAsia"/>
          <w:szCs w:val="28"/>
        </w:rPr>
        <w:t>测量范围</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一般可定为</w:t>
      </w:r>
      <w:r>
        <w:rPr>
          <w:rFonts w:eastAsia="仿宋_GB2312"/>
          <w:szCs w:val="28"/>
        </w:rPr>
        <w:t>25</w:t>
      </w:r>
      <w:r>
        <w:rPr>
          <w:rFonts w:eastAsia="仿宋_GB2312"/>
          <w:szCs w:val="28"/>
        </w:rPr>
        <w:t>次</w:t>
      </w:r>
      <w:r>
        <w:rPr>
          <w:rFonts w:eastAsia="仿宋_GB2312"/>
          <w:szCs w:val="28"/>
        </w:rPr>
        <w:t>/</w:t>
      </w:r>
      <w:r>
        <w:rPr>
          <w:rFonts w:eastAsia="仿宋_GB2312"/>
          <w:szCs w:val="28"/>
        </w:rPr>
        <w:t>分</w:t>
      </w:r>
      <w:r>
        <w:rPr>
          <w:rFonts w:eastAsia="仿宋_GB2312" w:hint="eastAsia"/>
          <w:szCs w:val="28"/>
        </w:rPr>
        <w:t>（</w:t>
      </w:r>
      <w:r>
        <w:rPr>
          <w:rFonts w:eastAsia="仿宋_GB2312" w:hint="eastAsia"/>
          <w:szCs w:val="28"/>
        </w:rPr>
        <w:t>bpm</w:t>
      </w:r>
      <w:r>
        <w:rPr>
          <w:rFonts w:eastAsia="仿宋_GB2312" w:hint="eastAsia"/>
          <w:szCs w:val="28"/>
        </w:rPr>
        <w:t>）</w:t>
      </w:r>
      <w:r>
        <w:rPr>
          <w:rFonts w:eastAsia="仿宋_GB2312"/>
          <w:szCs w:val="28"/>
        </w:rPr>
        <w:t>至</w:t>
      </w:r>
      <w:r>
        <w:rPr>
          <w:rFonts w:eastAsia="仿宋_GB2312"/>
          <w:szCs w:val="28"/>
        </w:rPr>
        <w:t>250</w:t>
      </w:r>
      <w:r>
        <w:rPr>
          <w:rFonts w:eastAsia="仿宋_GB2312"/>
          <w:szCs w:val="28"/>
        </w:rPr>
        <w:t>次</w:t>
      </w:r>
      <w:r>
        <w:rPr>
          <w:rFonts w:eastAsia="仿宋_GB2312"/>
          <w:szCs w:val="28"/>
        </w:rPr>
        <w:t>/</w:t>
      </w:r>
      <w:r>
        <w:rPr>
          <w:rFonts w:eastAsia="仿宋_GB2312"/>
          <w:szCs w:val="28"/>
        </w:rPr>
        <w:t>分</w:t>
      </w:r>
      <w:r>
        <w:rPr>
          <w:rFonts w:eastAsia="仿宋_GB2312" w:hint="eastAsia"/>
          <w:szCs w:val="28"/>
        </w:rPr>
        <w:t>（</w:t>
      </w:r>
      <w:r>
        <w:rPr>
          <w:rFonts w:eastAsia="仿宋_GB2312" w:hint="eastAsia"/>
          <w:szCs w:val="28"/>
        </w:rPr>
        <w:t>bpm</w:t>
      </w:r>
      <w:r>
        <w:rPr>
          <w:rFonts w:eastAsia="仿宋_GB2312" w:hint="eastAsia"/>
          <w:szCs w:val="28"/>
        </w:rPr>
        <w:t>）</w:t>
      </w:r>
      <w:r>
        <w:rPr>
          <w:rFonts w:eastAsia="仿宋_GB2312"/>
          <w:szCs w:val="28"/>
        </w:rPr>
        <w:t>。</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w:t>
      </w:r>
      <w:r>
        <w:rPr>
          <w:rFonts w:eastAsia="仿宋_GB2312"/>
          <w:szCs w:val="28"/>
        </w:rPr>
        <w:t>2</w:t>
      </w:r>
      <w:r>
        <w:rPr>
          <w:rFonts w:eastAsia="仿宋_GB2312"/>
          <w:szCs w:val="28"/>
        </w:rPr>
        <w:t>）准确度</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szCs w:val="28"/>
        </w:rPr>
        <w:t>一般可定为</w:t>
      </w:r>
      <w:r>
        <w:rPr>
          <w:rFonts w:eastAsia="仿宋_GB2312"/>
          <w:szCs w:val="28"/>
        </w:rPr>
        <w:t>±3</w:t>
      </w:r>
      <w:r>
        <w:rPr>
          <w:rFonts w:eastAsia="仿宋_GB2312"/>
          <w:szCs w:val="28"/>
        </w:rPr>
        <w:t>次</w:t>
      </w:r>
      <w:r>
        <w:rPr>
          <w:rFonts w:eastAsia="仿宋_GB2312"/>
          <w:szCs w:val="28"/>
        </w:rPr>
        <w:t>/</w:t>
      </w:r>
      <w:r>
        <w:rPr>
          <w:rFonts w:eastAsia="仿宋_GB2312"/>
          <w:szCs w:val="28"/>
        </w:rPr>
        <w:t>分。</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3.2.2</w:t>
      </w:r>
      <w:r>
        <w:rPr>
          <w:rFonts w:ascii="Times New Roman" w:eastAsia="仿宋_GB2312" w:hAnsi="Times New Roman" w:hint="eastAsia"/>
          <w:kern w:val="2"/>
          <w:sz w:val="32"/>
          <w:szCs w:val="28"/>
        </w:rPr>
        <w:t>外观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产品的传感器外壳应光滑平整、清洁，无气泡；光发射、接收窗口应洁净透明、无划痕、无裂纹；紧固件无松动。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线缆及连接器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应能承受临床场景中合理的机械应力：如轴向拉力、弯折、震动等，无脱落、断线、接触不良的情况发生。</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由生产企业根据实际产品具体编写。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3.2.</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明确产品与相关兼容设备所使用连接器的规格信息，如</w:t>
      </w:r>
      <w:r>
        <w:rPr>
          <w:rFonts w:ascii="Times New Roman" w:eastAsia="仿宋_GB2312" w:hAnsi="Times New Roman" w:hint="eastAsia"/>
          <w:kern w:val="2"/>
          <w:sz w:val="32"/>
          <w:szCs w:val="28"/>
        </w:rPr>
        <w:t>USB</w:t>
      </w:r>
      <w:r>
        <w:rPr>
          <w:rFonts w:ascii="Times New Roman" w:eastAsia="仿宋_GB2312" w:hAnsi="Times New Roman" w:hint="eastAsia"/>
          <w:kern w:val="2"/>
          <w:sz w:val="32"/>
          <w:szCs w:val="28"/>
        </w:rPr>
        <w:t>插头、</w:t>
      </w:r>
      <w:r>
        <w:rPr>
          <w:rFonts w:ascii="Times New Roman" w:eastAsia="仿宋_GB2312" w:hAnsi="Times New Roman" w:hint="eastAsia"/>
          <w:kern w:val="2"/>
          <w:sz w:val="32"/>
          <w:szCs w:val="28"/>
        </w:rPr>
        <w:t>DB9</w:t>
      </w:r>
      <w:r>
        <w:rPr>
          <w:rFonts w:ascii="Times New Roman" w:eastAsia="仿宋_GB2312" w:hAnsi="Times New Roman" w:hint="eastAsia"/>
          <w:kern w:val="2"/>
          <w:sz w:val="32"/>
          <w:szCs w:val="28"/>
        </w:rPr>
        <w:t>插头等。如为加密型插头，还需明确加密类型。</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固定包覆材料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与患者皮肤接触的海绵、无纺布、绑带、胶贴等部件，应柔软，无划痕、开裂、毛刺；一次性胶贴无溢胶、脱胶。</w:t>
      </w:r>
    </w:p>
    <w:p w:rsidR="00355DAA" w:rsidRDefault="00DE05DF">
      <w:pPr>
        <w:pStyle w:val="a0"/>
        <w:spacing w:line="520" w:lineRule="exact"/>
        <w:ind w:firstLineChars="200" w:firstLine="640"/>
        <w:rPr>
          <w:rFonts w:ascii="Times New Roman" w:eastAsia="仿宋_GB2312" w:hAnsi="Times New Roman"/>
          <w:kern w:val="2"/>
          <w:sz w:val="32"/>
          <w:szCs w:val="28"/>
          <w:highlight w:val="yellow"/>
        </w:rPr>
      </w:pPr>
      <w:r>
        <w:rPr>
          <w:rFonts w:ascii="Times New Roman" w:eastAsia="仿宋_GB2312" w:hAnsi="Times New Roman" w:hint="eastAsia"/>
          <w:kern w:val="2"/>
          <w:sz w:val="32"/>
          <w:szCs w:val="28"/>
        </w:rPr>
        <w:t>指夹式、绑带式及贴片式等各类固定包覆类型，应规定相适应的性能指标，如夹持力、粘贴强度、持粘性等。</w:t>
      </w:r>
    </w:p>
    <w:p w:rsidR="00355DAA" w:rsidRDefault="00DE05DF">
      <w:pPr>
        <w:pStyle w:val="a0"/>
        <w:spacing w:line="520" w:lineRule="exact"/>
        <w:ind w:firstLineChars="200" w:firstLine="640"/>
        <w:rPr>
          <w:rFonts w:ascii="Times New Roman" w:eastAsia="仿宋_GB2312" w:hAnsi="Times New Roman"/>
          <w:kern w:val="2"/>
          <w:sz w:val="32"/>
          <w:szCs w:val="28"/>
          <w:highlight w:val="yellow"/>
        </w:rPr>
      </w:pPr>
      <w:r>
        <w:rPr>
          <w:rFonts w:ascii="Times New Roman" w:eastAsia="仿宋_GB2312" w:hAnsi="Times New Roman" w:hint="eastAsia"/>
          <w:kern w:val="2"/>
          <w:sz w:val="32"/>
          <w:szCs w:val="28"/>
        </w:rPr>
        <w:t>由生产企业根据实际产品具体编写。</w:t>
      </w:r>
    </w:p>
    <w:p w:rsidR="00355DAA" w:rsidRDefault="00DE05DF">
      <w:pPr>
        <w:pStyle w:val="a0"/>
        <w:spacing w:line="520" w:lineRule="exact"/>
        <w:ind w:firstLineChars="200" w:firstLine="440"/>
        <w:rPr>
          <w:rFonts w:ascii="Times New Roman" w:eastAsia="仿宋_GB2312" w:hAnsi="Times New Roman"/>
          <w:kern w:val="2"/>
          <w:sz w:val="32"/>
          <w:szCs w:val="28"/>
        </w:rPr>
      </w:pPr>
      <w:r>
        <w:rPr>
          <w:rFonts w:hint="eastAsia"/>
        </w:rPr>
        <w:t xml:space="preserve">  </w:t>
      </w: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5</w:t>
      </w:r>
      <w:r>
        <w:rPr>
          <w:rFonts w:ascii="Times New Roman" w:eastAsia="仿宋_GB2312" w:hAnsi="Times New Roman" w:hint="eastAsia"/>
          <w:kern w:val="2"/>
          <w:sz w:val="32"/>
          <w:szCs w:val="28"/>
        </w:rPr>
        <w:t>探头工作温度限值</w:t>
      </w:r>
      <w:r>
        <w:rPr>
          <w:rFonts w:ascii="Times New Roman" w:eastAsia="仿宋_GB2312" w:hAnsi="Times New Roman" w:hint="eastAsia"/>
          <w:kern w:val="2"/>
          <w:sz w:val="32"/>
          <w:szCs w:val="28"/>
        </w:rPr>
        <w:t xml:space="preserve"> </w:t>
      </w:r>
    </w:p>
    <w:p w:rsidR="00355DAA" w:rsidRDefault="00DE05DF">
      <w:pPr>
        <w:pStyle w:val="a0"/>
        <w:spacing w:line="520" w:lineRule="exact"/>
        <w:ind w:firstLineChars="200" w:firstLine="640"/>
        <w:rPr>
          <w:rFonts w:ascii="Times New Roman" w:eastAsia="仿宋_GB2312" w:hAnsi="Times New Roman"/>
          <w:kern w:val="2"/>
          <w:sz w:val="32"/>
          <w:szCs w:val="28"/>
          <w:highlight w:val="yellow"/>
        </w:rPr>
      </w:pPr>
      <w:r>
        <w:rPr>
          <w:rFonts w:ascii="Times New Roman" w:eastAsia="仿宋_GB2312" w:hAnsi="Times New Roman" w:hint="eastAsia"/>
          <w:kern w:val="2"/>
          <w:sz w:val="32"/>
          <w:szCs w:val="28"/>
        </w:rPr>
        <w:t>应符合</w:t>
      </w:r>
      <w:r>
        <w:rPr>
          <w:rFonts w:ascii="Times New Roman" w:eastAsia="仿宋_GB2312" w:hAnsi="Times New Roman" w:hint="eastAsia"/>
          <w:kern w:val="2"/>
          <w:sz w:val="32"/>
          <w:szCs w:val="28"/>
        </w:rPr>
        <w:t>9706.261</w:t>
      </w:r>
      <w:r>
        <w:rPr>
          <w:rFonts w:ascii="Times New Roman" w:eastAsia="仿宋_GB2312" w:hAnsi="Times New Roman" w:hint="eastAsia"/>
          <w:kern w:val="2"/>
          <w:sz w:val="32"/>
          <w:szCs w:val="28"/>
        </w:rPr>
        <w:t>标准中附录</w:t>
      </w:r>
      <w:r>
        <w:rPr>
          <w:rFonts w:ascii="Times New Roman" w:eastAsia="仿宋_GB2312" w:hAnsi="Times New Roman" w:hint="eastAsia"/>
          <w:kern w:val="2"/>
          <w:sz w:val="32"/>
          <w:szCs w:val="28"/>
        </w:rPr>
        <w:t>BB</w:t>
      </w:r>
      <w:r>
        <w:rPr>
          <w:rFonts w:ascii="Times New Roman" w:eastAsia="仿宋_GB2312" w:hAnsi="Times New Roman" w:hint="eastAsia"/>
          <w:kern w:val="2"/>
          <w:sz w:val="32"/>
          <w:szCs w:val="28"/>
        </w:rPr>
        <w:t>对于探头温度限值的要求。</w:t>
      </w:r>
      <w:r>
        <w:rPr>
          <w:rFonts w:ascii="Times New Roman" w:eastAsia="仿宋_GB2312" w:hAnsi="Times New Roman" w:hint="eastAsia"/>
          <w:kern w:val="2"/>
          <w:sz w:val="32"/>
          <w:szCs w:val="28"/>
          <w:highlight w:val="yellow"/>
        </w:rPr>
        <w:t xml:space="preserve"> </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化学性能要求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重金属</w:t>
      </w:r>
    </w:p>
    <w:p w:rsidR="00355DAA" w:rsidRDefault="00DE05DF">
      <w:pPr>
        <w:pStyle w:val="a0"/>
        <w:spacing w:line="520" w:lineRule="exact"/>
        <w:ind w:firstLineChars="200" w:firstLine="640"/>
        <w:rPr>
          <w:rFonts w:ascii="Times New Roman" w:eastAsia="仿宋_GB2312" w:hAnsi="Times New Roman"/>
          <w:kern w:val="2"/>
          <w:sz w:val="32"/>
          <w:szCs w:val="28"/>
        </w:rPr>
      </w:pPr>
      <w:bookmarkStart w:id="1" w:name="OLE_LINK13"/>
      <w:bookmarkStart w:id="2" w:name="OLE_LINK14"/>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酸碱度</w:t>
      </w:r>
    </w:p>
    <w:bookmarkEnd w:id="1"/>
    <w:bookmarkEnd w:id="2"/>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蒸发残渣</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环氧乙烷残留量（如适用）</w:t>
      </w:r>
    </w:p>
    <w:p w:rsidR="00355DAA" w:rsidRDefault="00DE05DF">
      <w:pPr>
        <w:pStyle w:val="a0"/>
        <w:spacing w:line="520" w:lineRule="exact"/>
        <w:ind w:firstLineChars="200" w:firstLine="640"/>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7</w:t>
      </w:r>
      <w:r>
        <w:rPr>
          <w:rFonts w:ascii="Times New Roman" w:eastAsia="仿宋_GB2312" w:hAnsi="Times New Roman" w:hint="eastAsia"/>
          <w:kern w:val="2"/>
          <w:sz w:val="32"/>
          <w:szCs w:val="28"/>
        </w:rPr>
        <w:t>无菌（如适用）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8</w:t>
      </w:r>
      <w:r>
        <w:rPr>
          <w:rFonts w:ascii="Times New Roman" w:eastAsia="仿宋_GB2312" w:hAnsi="Times New Roman" w:hint="eastAsia"/>
          <w:kern w:val="2"/>
          <w:sz w:val="32"/>
          <w:szCs w:val="28"/>
        </w:rPr>
        <w:t>微生物限度要求（如适用）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3.2.9</w:t>
      </w:r>
      <w:r>
        <w:rPr>
          <w:rFonts w:ascii="Times New Roman" w:eastAsia="仿宋_GB2312" w:hAnsi="Times New Roman" w:hint="eastAsia"/>
          <w:kern w:val="2"/>
          <w:sz w:val="32"/>
          <w:szCs w:val="28"/>
        </w:rPr>
        <w:t>光源要求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9</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含有光源的产品，应参照《医疗器械光辐射安全注册审查指导原则》明确所有光源的波长和最大输出要求（能量</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功率等）。</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w:t>
      </w:r>
      <w:r>
        <w:rPr>
          <w:rFonts w:ascii="Times New Roman" w:eastAsia="仿宋_GB2312" w:hAnsi="Times New Roman" w:hint="eastAsia"/>
          <w:kern w:val="2"/>
          <w:sz w:val="32"/>
          <w:szCs w:val="28"/>
        </w:rPr>
        <w:t>10</w:t>
      </w:r>
      <w:r>
        <w:rPr>
          <w:rFonts w:ascii="Times New Roman" w:eastAsia="仿宋_GB2312" w:hAnsi="Times New Roman" w:hint="eastAsia"/>
          <w:kern w:val="2"/>
          <w:sz w:val="32"/>
          <w:szCs w:val="28"/>
        </w:rPr>
        <w:t>其他</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如有附加功能应补充相应性能指标，并符合相关标准要求。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3.2.</w:t>
      </w:r>
      <w:r>
        <w:rPr>
          <w:rFonts w:ascii="Times New Roman" w:eastAsia="仿宋_GB2312" w:hAnsi="Times New Roman" w:hint="eastAsia"/>
          <w:kern w:val="2"/>
          <w:sz w:val="32"/>
          <w:szCs w:val="28"/>
        </w:rPr>
        <w:t>11</w:t>
      </w:r>
      <w:r>
        <w:rPr>
          <w:rFonts w:ascii="Times New Roman" w:eastAsia="仿宋_GB2312" w:hAnsi="Times New Roman" w:hint="eastAsia"/>
          <w:kern w:val="2"/>
          <w:sz w:val="32"/>
          <w:szCs w:val="28"/>
        </w:rPr>
        <w:t>安全要求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应符合</w:t>
      </w:r>
      <w:r>
        <w:rPr>
          <w:rFonts w:ascii="Times New Roman" w:eastAsia="仿宋_GB2312" w:hAnsi="Times New Roman" w:hint="eastAsia"/>
          <w:kern w:val="2"/>
          <w:sz w:val="32"/>
          <w:szCs w:val="28"/>
        </w:rPr>
        <w:t>GB 9706.1</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YY 9706.261</w:t>
      </w:r>
      <w:r>
        <w:rPr>
          <w:rFonts w:ascii="Times New Roman" w:eastAsia="仿宋_GB2312" w:hAnsi="Times New Roman" w:hint="eastAsia"/>
          <w:kern w:val="2"/>
          <w:sz w:val="32"/>
          <w:szCs w:val="28"/>
        </w:rPr>
        <w:t>中规定的要求。如适用于家庭护理环境，需符合</w:t>
      </w:r>
      <w:r>
        <w:rPr>
          <w:rFonts w:ascii="Times New Roman" w:eastAsia="仿宋_GB2312" w:hAnsi="Times New Roman" w:hint="eastAsia"/>
          <w:kern w:val="2"/>
          <w:sz w:val="32"/>
          <w:szCs w:val="28"/>
        </w:rPr>
        <w:t>YY 9706.111</w:t>
      </w:r>
      <w:r>
        <w:rPr>
          <w:rFonts w:ascii="Times New Roman" w:eastAsia="仿宋_GB2312" w:hAnsi="Times New Roman" w:hint="eastAsia"/>
          <w:kern w:val="2"/>
          <w:sz w:val="32"/>
          <w:szCs w:val="28"/>
        </w:rPr>
        <w:t>中规定的要求。如适用于紧急医疗服务环境，还需符合</w:t>
      </w:r>
      <w:r>
        <w:rPr>
          <w:rFonts w:ascii="Times New Roman" w:eastAsia="仿宋_GB2312" w:hAnsi="Times New Roman" w:hint="eastAsia"/>
          <w:kern w:val="2"/>
          <w:sz w:val="32"/>
          <w:szCs w:val="28"/>
        </w:rPr>
        <w:t>YY 9706.112</w:t>
      </w:r>
      <w:r>
        <w:rPr>
          <w:rFonts w:ascii="Times New Roman" w:eastAsia="仿宋_GB2312" w:hAnsi="Times New Roman" w:hint="eastAsia"/>
          <w:kern w:val="2"/>
          <w:sz w:val="32"/>
          <w:szCs w:val="28"/>
        </w:rPr>
        <w:t>中规定的要求。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3.2.1</w:t>
      </w: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电磁兼容</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应符合</w:t>
      </w:r>
      <w:r>
        <w:rPr>
          <w:rFonts w:ascii="Times New Roman" w:eastAsia="仿宋_GB2312" w:hAnsi="Times New Roman" w:hint="eastAsia"/>
          <w:kern w:val="2"/>
          <w:sz w:val="32"/>
          <w:szCs w:val="28"/>
        </w:rPr>
        <w:t>YY 9706.102</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YY 9706.261</w:t>
      </w:r>
      <w:r>
        <w:rPr>
          <w:rFonts w:ascii="Times New Roman" w:eastAsia="仿宋_GB2312" w:hAnsi="Times New Roman" w:hint="eastAsia"/>
          <w:kern w:val="2"/>
          <w:sz w:val="32"/>
          <w:szCs w:val="28"/>
        </w:rPr>
        <w:t>中电磁兼容的要求。如适用于家庭护理环境，需满足</w:t>
      </w:r>
      <w:r>
        <w:rPr>
          <w:rFonts w:ascii="Times New Roman" w:eastAsia="仿宋_GB2312" w:hAnsi="Times New Roman" w:hint="eastAsia"/>
          <w:kern w:val="2"/>
          <w:sz w:val="32"/>
          <w:szCs w:val="28"/>
        </w:rPr>
        <w:t>YY 9706.111</w:t>
      </w:r>
      <w:r>
        <w:rPr>
          <w:rFonts w:ascii="Times New Roman" w:eastAsia="仿宋_GB2312" w:hAnsi="Times New Roman" w:hint="eastAsia"/>
          <w:kern w:val="2"/>
          <w:sz w:val="32"/>
          <w:szCs w:val="28"/>
        </w:rPr>
        <w:t>中电磁兼容的要求。如适用于紧急医疗服务环境，还需满足</w:t>
      </w:r>
      <w:r>
        <w:rPr>
          <w:rFonts w:ascii="Times New Roman" w:eastAsia="仿宋_GB2312" w:hAnsi="Times New Roman" w:hint="eastAsia"/>
          <w:kern w:val="2"/>
          <w:sz w:val="32"/>
          <w:szCs w:val="28"/>
        </w:rPr>
        <w:t>YY9706.112</w:t>
      </w:r>
      <w:r>
        <w:rPr>
          <w:rFonts w:ascii="Times New Roman" w:eastAsia="仿宋_GB2312" w:hAnsi="Times New Roman" w:hint="eastAsia"/>
          <w:kern w:val="2"/>
          <w:sz w:val="32"/>
          <w:szCs w:val="28"/>
        </w:rPr>
        <w:t>中电磁兼容的要求。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对于</w:t>
      </w:r>
      <w:r>
        <w:rPr>
          <w:rFonts w:ascii="Times New Roman" w:eastAsia="仿宋_GB2312" w:hAnsi="Times New Roman" w:hint="eastAsia"/>
          <w:kern w:val="2"/>
          <w:sz w:val="32"/>
          <w:szCs w:val="28"/>
        </w:rPr>
        <w:t>试验方法，产品性能指标的试验方法如依照国标</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行标制定，应与国标</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行标一致，如申请人自定或者采用国标</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行标方法但不完全一致，应在研究资料中的性能研究部分说明自定义指标和方法的科学、合理性依据。</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3.3</w:t>
      </w:r>
      <w:r>
        <w:rPr>
          <w:rFonts w:ascii="Times New Roman" w:eastAsia="仿宋_GB2312" w:hAnsi="Times New Roman" w:hint="eastAsia"/>
          <w:kern w:val="2"/>
          <w:sz w:val="32"/>
          <w:szCs w:val="28"/>
        </w:rPr>
        <w:t>产品检验报告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申请人可提交以下任一形式的检验报告：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w:t>
      </w:r>
      <w:r>
        <w:rPr>
          <w:rFonts w:ascii="Times New Roman" w:eastAsia="仿宋_GB2312" w:hAnsi="Times New Roman"/>
          <w:kern w:val="2"/>
          <w:sz w:val="32"/>
          <w:szCs w:val="28"/>
        </w:rPr>
        <w:t>申请人出具的自检报告。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w:t>
      </w:r>
      <w:r>
        <w:rPr>
          <w:rFonts w:ascii="Times New Roman" w:eastAsia="仿宋_GB2312" w:hAnsi="Times New Roman"/>
          <w:kern w:val="2"/>
          <w:sz w:val="32"/>
          <w:szCs w:val="28"/>
        </w:rPr>
        <w:t>委托有资质的医疗器械检验机构出具的检验报告。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kern w:val="2"/>
          <w:sz w:val="32"/>
          <w:szCs w:val="28"/>
        </w:rPr>
        <w:t>如选择同一注册单元中的典型产品型号规格进行检验，应说明检验用型号规格的典型性。典型产品型号规格应是同一注册单元内能够代表本单元内其他型号规格产品安全性和有效性的产品。应考虑功能最齐</w:t>
      </w:r>
      <w:r>
        <w:rPr>
          <w:rFonts w:ascii="Times New Roman" w:eastAsia="仿宋_GB2312" w:hAnsi="Times New Roman"/>
          <w:kern w:val="2"/>
          <w:sz w:val="32"/>
          <w:szCs w:val="28"/>
        </w:rPr>
        <w:t>全、结构最复杂、风险最高的</w:t>
      </w:r>
      <w:r>
        <w:rPr>
          <w:rFonts w:ascii="Times New Roman" w:eastAsia="仿宋_GB2312" w:hAnsi="Times New Roman" w:hint="eastAsia"/>
          <w:kern w:val="2"/>
          <w:sz w:val="32"/>
          <w:szCs w:val="28"/>
        </w:rPr>
        <w:t>产品</w:t>
      </w:r>
      <w:r>
        <w:rPr>
          <w:rFonts w:ascii="Times New Roman" w:eastAsia="仿宋_GB2312" w:hAnsi="Times New Roman"/>
          <w:kern w:val="2"/>
          <w:sz w:val="32"/>
          <w:szCs w:val="28"/>
        </w:rPr>
        <w:t>。</w:t>
      </w:r>
      <w:r>
        <w:rPr>
          <w:rFonts w:ascii="Times New Roman" w:eastAsia="仿宋_GB2312" w:hAnsi="Times New Roman" w:hint="eastAsia"/>
          <w:kern w:val="2"/>
          <w:sz w:val="32"/>
          <w:szCs w:val="28"/>
        </w:rPr>
        <w:t>固定包覆材料及形式不同时，需对相关性能指标进行差异化检验。</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研究资料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根据申报产品适用范围和技术特征，提供非临床研究综述，逐项描述所开展的研究，概述研究方法和研究结论。根据非临床研究综述，提供相应的研究资料，各项研究可通过文献研究、实验室研究等方式开展，一般应当包含研究方案、研究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4.1</w:t>
      </w:r>
      <w:r>
        <w:rPr>
          <w:rFonts w:ascii="Times New Roman" w:eastAsia="仿宋_GB2312" w:hAnsi="Times New Roman" w:hint="eastAsia"/>
          <w:kern w:val="2"/>
          <w:sz w:val="32"/>
          <w:szCs w:val="28"/>
        </w:rPr>
        <w:t>产品性能研究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应当提供产品化学</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材料表征、物理和</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或机械性能指标的确定依据、设计输入来源以及临床意义，所采用的标准或方法、采用的原因及理论基础。</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4.2</w:t>
      </w:r>
      <w:r>
        <w:rPr>
          <w:rFonts w:ascii="Times New Roman" w:eastAsia="仿宋_GB2312" w:hAnsi="Times New Roman" w:hint="eastAsia"/>
          <w:kern w:val="2"/>
          <w:sz w:val="32"/>
          <w:szCs w:val="28"/>
        </w:rPr>
        <w:t>联合使用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申报产品预期与其他产</w:t>
      </w:r>
      <w:r>
        <w:rPr>
          <w:rFonts w:ascii="Times New Roman" w:eastAsia="仿宋_GB2312" w:hAnsi="Times New Roman" w:hint="eastAsia"/>
          <w:kern w:val="2"/>
          <w:sz w:val="32"/>
          <w:szCs w:val="28"/>
        </w:rPr>
        <w:t>品联合使用实现同一预期用途，应当提供证明联合使用安全有效的研究资料，包括互联基本信息（连接类型、接口、协议、最低性能）、联合使用风险及控制措施、联合使用上的限制，兼容性研究等。</w:t>
      </w:r>
    </w:p>
    <w:p w:rsidR="00355DAA" w:rsidRDefault="00DE05DF">
      <w:pPr>
        <w:overflowPunct w:val="0"/>
        <w:adjustRightInd w:val="0"/>
        <w:snapToGrid w:val="0"/>
        <w:spacing w:line="560" w:lineRule="exact"/>
        <w:ind w:firstLineChars="200" w:firstLine="640"/>
        <w:rPr>
          <w:rFonts w:eastAsia="仿宋_GB2312"/>
          <w:szCs w:val="28"/>
        </w:rPr>
      </w:pPr>
      <w:r>
        <w:rPr>
          <w:rFonts w:eastAsia="仿宋_GB2312" w:hint="eastAsia"/>
          <w:szCs w:val="28"/>
        </w:rPr>
        <w:t>如：申报产品与监护仪、脉搏血氧设备等配套使用，可参照《脉搏血氧仪设备临床评价技术指导原则》《脉搏血氧仪注册技术审查指导原则》相关要求，提供配套设备联合使用研究资料。</w:t>
      </w:r>
    </w:p>
    <w:p w:rsidR="00355DAA" w:rsidRDefault="00DE05DF">
      <w:pPr>
        <w:overflowPunct w:val="0"/>
        <w:adjustRightInd w:val="0"/>
        <w:snapToGrid w:val="0"/>
        <w:spacing w:line="560" w:lineRule="exact"/>
        <w:ind w:firstLineChars="200" w:firstLine="640"/>
        <w:rPr>
          <w:rFonts w:eastAsia="仿宋_GB2312"/>
          <w:kern w:val="0"/>
          <w:szCs w:val="28"/>
          <w:highlight w:val="yellow"/>
        </w:rPr>
      </w:pPr>
      <w:r>
        <w:rPr>
          <w:rFonts w:eastAsia="仿宋_GB2312" w:hint="eastAsia"/>
          <w:szCs w:val="32"/>
        </w:rPr>
        <w:t>如产品配套兼容设备适用</w:t>
      </w:r>
      <w:r>
        <w:rPr>
          <w:rFonts w:eastAsia="仿宋_GB2312" w:hint="eastAsia"/>
          <w:kern w:val="0"/>
          <w:szCs w:val="28"/>
        </w:rPr>
        <w:t>灌注指数（</w:t>
      </w:r>
      <w:r>
        <w:rPr>
          <w:rFonts w:eastAsia="仿宋_GB2312"/>
          <w:kern w:val="0"/>
          <w:szCs w:val="28"/>
        </w:rPr>
        <w:t>PI</w:t>
      </w:r>
      <w:r>
        <w:rPr>
          <w:rFonts w:eastAsia="仿宋_GB2312" w:hint="eastAsia"/>
          <w:kern w:val="0"/>
          <w:szCs w:val="28"/>
        </w:rPr>
        <w:t>）</w:t>
      </w:r>
      <w:r>
        <w:rPr>
          <w:rFonts w:eastAsia="仿宋_GB2312"/>
          <w:kern w:val="0"/>
          <w:szCs w:val="28"/>
        </w:rPr>
        <w:t>测量</w:t>
      </w:r>
      <w:r>
        <w:rPr>
          <w:rFonts w:eastAsia="仿宋_GB2312" w:hint="eastAsia"/>
          <w:kern w:val="0"/>
          <w:szCs w:val="28"/>
        </w:rPr>
        <w:t>，</w:t>
      </w:r>
      <w:r>
        <w:rPr>
          <w:rFonts w:eastAsia="仿宋_GB2312" w:hint="eastAsia"/>
          <w:kern w:val="0"/>
          <w:szCs w:val="28"/>
        </w:rPr>
        <w:t>需至少提供其测量范围的研究资料，对于分辨率及准确度的研究资料视产品的实际情况提供。</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4.3</w:t>
      </w:r>
      <w:r>
        <w:rPr>
          <w:rFonts w:ascii="Times New Roman" w:eastAsia="仿宋_GB2312" w:hAnsi="Times New Roman" w:hint="eastAsia"/>
          <w:kern w:val="2"/>
          <w:sz w:val="32"/>
          <w:szCs w:val="28"/>
        </w:rPr>
        <w:t>电气系统安全性研究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应当提供电气安全性、机械和环境保护以及电磁兼容性的研究资料，说明适用的标准以及开展的研究。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4.4</w:t>
      </w:r>
      <w:r>
        <w:rPr>
          <w:rFonts w:ascii="Times New Roman" w:eastAsia="仿宋_GB2312" w:hAnsi="Times New Roman" w:hint="eastAsia"/>
          <w:kern w:val="2"/>
          <w:sz w:val="32"/>
          <w:szCs w:val="28"/>
        </w:rPr>
        <w:t>光</w:t>
      </w:r>
      <w:r>
        <w:rPr>
          <w:rFonts w:ascii="Times New Roman" w:eastAsia="仿宋_GB2312" w:hAnsi="Times New Roman" w:hint="eastAsia"/>
          <w:kern w:val="2"/>
          <w:sz w:val="32"/>
          <w:szCs w:val="28"/>
        </w:rPr>
        <w:t>辐射安全研究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注册申请人应在风险管理过程中识别相应的光辐射危害，并在设计和生产过程中采取相应的风险控制措施。</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按照《医疗器械光辐射安全注册审查指导原则》相关规定提交</w:t>
      </w:r>
      <w:bookmarkStart w:id="3" w:name="OLE_LINK1"/>
      <w:r>
        <w:rPr>
          <w:rFonts w:ascii="Times New Roman" w:eastAsia="仿宋_GB2312" w:hAnsi="Times New Roman" w:hint="eastAsia"/>
          <w:kern w:val="2"/>
          <w:sz w:val="32"/>
          <w:szCs w:val="28"/>
        </w:rPr>
        <w:t>光辐射安全研究资料</w:t>
      </w:r>
      <w:bookmarkEnd w:id="3"/>
      <w:r>
        <w:rPr>
          <w:rFonts w:ascii="Times New Roman" w:eastAsia="仿宋_GB2312" w:hAnsi="Times New Roman" w:hint="eastAsia"/>
          <w:kern w:val="2"/>
          <w:sz w:val="32"/>
          <w:szCs w:val="28"/>
        </w:rPr>
        <w:t>。需要在研究资料中提交符合</w:t>
      </w:r>
      <w:r>
        <w:rPr>
          <w:rFonts w:ascii="Times New Roman" w:eastAsia="仿宋_GB2312" w:hAnsi="Times New Roman" w:hint="eastAsia"/>
          <w:kern w:val="2"/>
          <w:sz w:val="32"/>
          <w:szCs w:val="28"/>
        </w:rPr>
        <w:t>GB/T 41265</w:t>
      </w:r>
      <w:r>
        <w:rPr>
          <w:rFonts w:ascii="Times New Roman" w:eastAsia="仿宋_GB2312" w:hAnsi="Times New Roman" w:hint="eastAsia"/>
          <w:kern w:val="2"/>
          <w:sz w:val="32"/>
          <w:szCs w:val="28"/>
        </w:rPr>
        <w:t>《可穿戴设备的光辐射安全要求》标</w:t>
      </w:r>
      <w:r>
        <w:rPr>
          <w:rFonts w:ascii="Times New Roman" w:eastAsia="仿宋_GB2312" w:hAnsi="Times New Roman" w:hint="eastAsia"/>
          <w:kern w:val="2"/>
          <w:sz w:val="32"/>
          <w:szCs w:val="28"/>
        </w:rPr>
        <w:t>准要求的证明资料。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5</w:t>
      </w:r>
      <w:r>
        <w:rPr>
          <w:rFonts w:ascii="Times New Roman" w:eastAsia="仿宋_GB2312" w:hAnsi="Times New Roman" w:hint="eastAsia"/>
          <w:kern w:val="2"/>
          <w:sz w:val="32"/>
          <w:szCs w:val="28"/>
        </w:rPr>
        <w:t>可用性研究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脉搏血氧传感器产品属于中、低使用风险医疗器械。申请人应参考《医疗器械可用性工程注册审查指导原则》提交使用错误评估报告。若前期已开展可用性工程工作，亦可提交可用性工程研究报告，用于替代使用错误评估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生物学特性研究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根据</w:t>
      </w:r>
      <w:r>
        <w:rPr>
          <w:rFonts w:ascii="Times New Roman" w:eastAsia="仿宋_GB2312" w:hAnsi="Times New Roman" w:hint="eastAsia"/>
          <w:kern w:val="2"/>
          <w:sz w:val="32"/>
          <w:szCs w:val="28"/>
        </w:rPr>
        <w:t>GB/T 16886.1</w:t>
      </w:r>
      <w:r>
        <w:rPr>
          <w:rFonts w:ascii="Times New Roman" w:eastAsia="仿宋_GB2312" w:hAnsi="Times New Roman" w:hint="eastAsia"/>
          <w:kern w:val="2"/>
          <w:sz w:val="32"/>
          <w:szCs w:val="28"/>
        </w:rPr>
        <w:t>标准对产品结构组成中与患者接触部分进行生物学特性评价。生物学特性评价研究应说明产品所用材料及其与人体接触的性质和接触时间（接触完好皮肤，接触时间可能大于</w:t>
      </w:r>
      <w:r>
        <w:rPr>
          <w:rFonts w:ascii="Times New Roman" w:eastAsia="仿宋_GB2312" w:hAnsi="Times New Roman" w:hint="eastAsia"/>
          <w:kern w:val="2"/>
          <w:sz w:val="32"/>
          <w:szCs w:val="28"/>
        </w:rPr>
        <w:t>24</w:t>
      </w:r>
      <w:r>
        <w:rPr>
          <w:rFonts w:ascii="Times New Roman" w:eastAsia="仿宋_GB2312" w:hAnsi="Times New Roman" w:hint="eastAsia"/>
          <w:kern w:val="2"/>
          <w:sz w:val="32"/>
          <w:szCs w:val="28"/>
        </w:rPr>
        <w:t>小时），给出实施或豁免生物学试验的理由和论证，并对现有数据或试验结果进行评价。参考</w:t>
      </w:r>
      <w:r>
        <w:rPr>
          <w:rFonts w:ascii="Times New Roman" w:eastAsia="仿宋_GB2312" w:hAnsi="Times New Roman" w:hint="eastAsia"/>
          <w:kern w:val="2"/>
          <w:sz w:val="32"/>
          <w:szCs w:val="28"/>
        </w:rPr>
        <w:t>GB/T 16886.</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标准，脉搏血氧传感器生物学评价终点包括细胞毒性、致敏反应、</w:t>
      </w:r>
      <w:r>
        <w:rPr>
          <w:rFonts w:ascii="Times New Roman" w:eastAsia="仿宋_GB2312" w:hAnsi="Times New Roman" w:hint="eastAsia"/>
          <w:kern w:val="2"/>
          <w:sz w:val="32"/>
          <w:szCs w:val="28"/>
        </w:rPr>
        <w:t>皮肤刺激</w:t>
      </w:r>
      <w:r>
        <w:rPr>
          <w:rFonts w:ascii="Times New Roman" w:eastAsia="仿宋_GB2312" w:hAnsi="Times New Roman" w:hint="eastAsia"/>
          <w:kern w:val="2"/>
          <w:sz w:val="32"/>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7</w:t>
      </w:r>
      <w:r>
        <w:rPr>
          <w:rFonts w:ascii="Times New Roman" w:eastAsia="仿宋_GB2312" w:hAnsi="Times New Roman" w:hint="eastAsia"/>
          <w:kern w:val="2"/>
          <w:sz w:val="32"/>
          <w:szCs w:val="28"/>
        </w:rPr>
        <w:t>清洁、消毒、灭菌研究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）脉搏血氧传感器产品为一次性使用。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如为无菌提供，应明确灭菌工艺（方法和参数）和无菌保证水平（</w:t>
      </w:r>
      <w:r>
        <w:rPr>
          <w:rFonts w:ascii="Times New Roman" w:eastAsia="仿宋_GB2312" w:hAnsi="Times New Roman" w:hint="eastAsia"/>
          <w:kern w:val="2"/>
          <w:sz w:val="32"/>
          <w:szCs w:val="28"/>
        </w:rPr>
        <w:t>SAL</w:t>
      </w:r>
      <w:r>
        <w:rPr>
          <w:rFonts w:ascii="Times New Roman" w:eastAsia="仿宋_GB2312" w:hAnsi="Times New Roman" w:hint="eastAsia"/>
          <w:kern w:val="2"/>
          <w:sz w:val="32"/>
          <w:szCs w:val="28"/>
        </w:rPr>
        <w:t>）。灭菌确认应考虑产品与灭菌过程的适应性、</w:t>
      </w:r>
      <w:r>
        <w:rPr>
          <w:rFonts w:ascii="Times New Roman" w:eastAsia="仿宋_GB2312" w:hAnsi="Times New Roman" w:hint="eastAsia"/>
          <w:kern w:val="2"/>
          <w:sz w:val="32"/>
          <w:szCs w:val="28"/>
        </w:rPr>
        <w:lastRenderedPageBreak/>
        <w:t>包装和标签与灭菌过程的适应性等内容。参考</w:t>
      </w:r>
      <w:r>
        <w:rPr>
          <w:rFonts w:ascii="Times New Roman" w:eastAsia="仿宋_GB2312" w:hAnsi="Times New Roman" w:hint="eastAsia"/>
          <w:kern w:val="2"/>
          <w:sz w:val="32"/>
          <w:szCs w:val="28"/>
        </w:rPr>
        <w:t>GB 18279</w:t>
      </w:r>
      <w:r>
        <w:rPr>
          <w:rFonts w:ascii="Times New Roman" w:eastAsia="仿宋_GB2312" w:hAnsi="Times New Roman" w:hint="eastAsia"/>
          <w:kern w:val="2"/>
          <w:sz w:val="32"/>
          <w:szCs w:val="28"/>
        </w:rPr>
        <w:t>系列标准、</w:t>
      </w:r>
      <w:r>
        <w:rPr>
          <w:rFonts w:ascii="Times New Roman" w:eastAsia="仿宋_GB2312" w:hAnsi="Times New Roman" w:hint="eastAsia"/>
          <w:kern w:val="2"/>
          <w:sz w:val="32"/>
          <w:szCs w:val="28"/>
        </w:rPr>
        <w:t>GB 18280</w:t>
      </w:r>
      <w:r>
        <w:rPr>
          <w:rFonts w:ascii="Times New Roman" w:eastAsia="仿宋_GB2312" w:hAnsi="Times New Roman" w:hint="eastAsia"/>
          <w:kern w:val="2"/>
          <w:sz w:val="32"/>
          <w:szCs w:val="28"/>
        </w:rPr>
        <w:t>系列标准、</w:t>
      </w:r>
      <w:r>
        <w:rPr>
          <w:rFonts w:ascii="Times New Roman" w:eastAsia="仿宋_GB2312" w:hAnsi="Times New Roman" w:hint="eastAsia"/>
          <w:kern w:val="2"/>
          <w:sz w:val="32"/>
          <w:szCs w:val="28"/>
        </w:rPr>
        <w:t>GB 18278.1</w:t>
      </w:r>
      <w:r>
        <w:rPr>
          <w:rFonts w:ascii="Times New Roman" w:eastAsia="仿宋_GB2312" w:hAnsi="Times New Roman" w:hint="eastAsia"/>
          <w:kern w:val="2"/>
          <w:sz w:val="32"/>
          <w:szCs w:val="28"/>
        </w:rPr>
        <w:t>提供灭菌确认报告。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）脉搏血氧传感器产品为可重复使用。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如需使用者灭菌：应当明确推荐的灭菌工艺（方法和参数）、所推荐灭菌工艺的确定依据以及验证的相关研究资料；对可耐受两次或多次灭菌的产品，应当提供产品所推荐灭菌工艺耐受性的研究资料。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以非无菌状态交付，且使用前需灭菌的医疗器械，应当提供证明包装能减少产品受到微生物污染的风险，且适用于生产企业规定灭菌方法的研究资料。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使用者清洁和消毒：应当明确推荐的清洗、消毒工艺（方法和参数）、工艺的确定依据以及验证的相关研究资料。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残留毒性：若产品经灭菌或消毒后可能产生残留物质，应当对灭菌或消毒后的产品进行残留毒性的研究，</w:t>
      </w:r>
      <w:r>
        <w:rPr>
          <w:rFonts w:ascii="Times New Roman" w:eastAsia="仿宋_GB2312" w:hAnsi="Times New Roman" w:hint="eastAsia"/>
          <w:kern w:val="2"/>
          <w:sz w:val="32"/>
          <w:szCs w:val="28"/>
        </w:rPr>
        <w:t>明确残留物信息及采取的处理方法，并提供相关研究资料。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5.</w:t>
      </w:r>
      <w:r>
        <w:rPr>
          <w:rFonts w:ascii="Times New Roman" w:eastAsia="仿宋_GB2312" w:hAnsi="Times New Roman" w:hint="eastAsia"/>
          <w:kern w:val="2"/>
          <w:sz w:val="32"/>
          <w:szCs w:val="28"/>
        </w:rPr>
        <w:t>稳定性研究</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5.1</w:t>
      </w:r>
      <w:r>
        <w:rPr>
          <w:rFonts w:ascii="Times New Roman" w:eastAsia="仿宋_GB2312" w:hAnsi="Times New Roman" w:hint="eastAsia"/>
          <w:kern w:val="2"/>
          <w:sz w:val="32"/>
          <w:szCs w:val="28"/>
        </w:rPr>
        <w:t>货架有效期</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如适用，对于一次性使用脉搏血氧传感器产品，应当提供货架有效期和包装（包括最小销售单元的包装）研究资料，证明在货架有效期内，在生产企业规定的运输贮存条件下，产品的性能及功能满足使用要求，具有微生物限度要求的产品还应当符合微生物限度要求，以无菌状态交付的产品还应保持无菌状态。</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5.2</w:t>
      </w:r>
      <w:r>
        <w:rPr>
          <w:rFonts w:ascii="Times New Roman" w:eastAsia="仿宋_GB2312" w:hAnsi="Times New Roman" w:hint="eastAsia"/>
          <w:kern w:val="2"/>
          <w:sz w:val="32"/>
          <w:szCs w:val="28"/>
        </w:rPr>
        <w:t>使用稳定性</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如适用，申请人应明确申报产品的预期使用寿命，参考《有源医疗器械使用期限注册技术审查指导原则》，提供预期使用寿命的分析验证报告。</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5.</w:t>
      </w: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运输稳定性</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应当提供运输稳定性和包装（包括最小销售单元的包装）研究资料，证明在生产企业规定的运输条件下，运输过程中的环境条件（例如：震动、振动、温度和湿度的波动）不会对产品的特性和性能，包括完整性和清洁度造成不利影响。注册申请人应结合声称的储运条件开展包装和环境试验研究</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参考</w:t>
      </w:r>
      <w:r>
        <w:rPr>
          <w:rFonts w:ascii="Times New Roman" w:eastAsia="仿宋_GB2312" w:hAnsi="Times New Roman" w:hint="eastAsia"/>
          <w:kern w:val="2"/>
          <w:sz w:val="32"/>
          <w:szCs w:val="28"/>
        </w:rPr>
        <w:t>GB/T 14710</w:t>
      </w:r>
      <w:r>
        <w:rPr>
          <w:rFonts w:ascii="Times New Roman" w:eastAsia="仿宋_GB2312" w:hAnsi="Times New Roman" w:hint="eastAsia"/>
          <w:kern w:val="2"/>
          <w:sz w:val="32"/>
          <w:szCs w:val="28"/>
        </w:rPr>
        <w:t>的要求</w:t>
      </w:r>
      <w:r>
        <w:rPr>
          <w:rFonts w:ascii="Times New Roman" w:eastAsia="仿宋_GB2312" w:hAnsi="Times New Roman" w:hint="eastAsia"/>
          <w:kern w:val="2"/>
          <w:sz w:val="32"/>
          <w:szCs w:val="28"/>
        </w:rPr>
        <w:t>提供相应环境条件下的环境试验报告</w:t>
      </w:r>
      <w:r>
        <w:rPr>
          <w:rFonts w:ascii="Times New Roman" w:eastAsia="仿宋_GB2312" w:hAnsi="Times New Roman" w:hint="eastAsia"/>
          <w:kern w:val="2"/>
          <w:sz w:val="32"/>
          <w:szCs w:val="28"/>
        </w:rPr>
        <w:t>。</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6.</w:t>
      </w:r>
      <w:r>
        <w:rPr>
          <w:rFonts w:ascii="Times New Roman" w:eastAsia="仿宋_GB2312" w:hAnsi="Times New Roman" w:hint="eastAsia"/>
          <w:kern w:val="2"/>
          <w:sz w:val="32"/>
          <w:szCs w:val="28"/>
        </w:rPr>
        <w:t>其他资料</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脉搏血氧传感器</w:t>
      </w:r>
      <w:r>
        <w:rPr>
          <w:rFonts w:ascii="Times New Roman" w:eastAsia="仿宋_GB2312" w:hAnsi="Times New Roman"/>
          <w:kern w:val="2"/>
          <w:sz w:val="32"/>
          <w:szCs w:val="28"/>
        </w:rPr>
        <w:t>属于《免于</w:t>
      </w:r>
      <w:r>
        <w:rPr>
          <w:rFonts w:ascii="Times New Roman" w:eastAsia="仿宋_GB2312" w:hAnsi="Times New Roman" w:hint="eastAsia"/>
          <w:kern w:val="2"/>
          <w:sz w:val="32"/>
          <w:szCs w:val="28"/>
        </w:rPr>
        <w:t>进行</w:t>
      </w:r>
      <w:r>
        <w:rPr>
          <w:rFonts w:ascii="Times New Roman" w:eastAsia="仿宋_GB2312" w:hAnsi="Times New Roman"/>
          <w:kern w:val="2"/>
          <w:sz w:val="32"/>
          <w:szCs w:val="28"/>
        </w:rPr>
        <w:t>临床评价医疗器械目录</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2025</w:t>
      </w:r>
      <w:r>
        <w:rPr>
          <w:rFonts w:ascii="Times New Roman" w:eastAsia="仿宋_GB2312" w:hAnsi="Times New Roman" w:hint="eastAsia"/>
          <w:kern w:val="2"/>
          <w:sz w:val="32"/>
          <w:szCs w:val="28"/>
        </w:rPr>
        <w:t>年）</w:t>
      </w:r>
      <w:r>
        <w:rPr>
          <w:rFonts w:ascii="Times New Roman" w:eastAsia="仿宋_GB2312" w:hAnsi="Times New Roman"/>
          <w:kern w:val="2"/>
          <w:sz w:val="32"/>
          <w:szCs w:val="28"/>
        </w:rPr>
        <w:t>》（以下简称目录）</w:t>
      </w:r>
      <w:r>
        <w:rPr>
          <w:rFonts w:ascii="Times New Roman" w:eastAsia="仿宋_GB2312" w:hAnsi="Times New Roman" w:hint="eastAsia"/>
          <w:kern w:val="2"/>
          <w:sz w:val="32"/>
          <w:szCs w:val="28"/>
        </w:rPr>
        <w:t>内</w:t>
      </w:r>
      <w:r>
        <w:rPr>
          <w:rFonts w:ascii="Times New Roman" w:eastAsia="仿宋_GB2312" w:hAnsi="Times New Roman"/>
          <w:kern w:val="2"/>
          <w:sz w:val="32"/>
          <w:szCs w:val="28"/>
        </w:rPr>
        <w:t>的产品</w:t>
      </w:r>
      <w:r>
        <w:rPr>
          <w:rFonts w:ascii="Times New Roman" w:eastAsia="仿宋_GB2312" w:hAnsi="Times New Roman" w:hint="eastAsia"/>
          <w:kern w:val="2"/>
          <w:sz w:val="32"/>
          <w:szCs w:val="28"/>
        </w:rPr>
        <w:t>，应</w:t>
      </w:r>
      <w:r>
        <w:rPr>
          <w:rFonts w:ascii="Times New Roman" w:eastAsia="仿宋_GB2312" w:hAnsi="Times New Roman"/>
          <w:kern w:val="2"/>
          <w:sz w:val="32"/>
          <w:szCs w:val="28"/>
        </w:rPr>
        <w:t>按照《列入免于临床评价医疗器械目录产品对比说明技术指导原则》的要求</w:t>
      </w:r>
      <w:r>
        <w:rPr>
          <w:rFonts w:ascii="Times New Roman" w:eastAsia="仿宋_GB2312" w:hAnsi="Times New Roman"/>
          <w:kern w:val="2"/>
          <w:sz w:val="32"/>
          <w:szCs w:val="28"/>
        </w:rPr>
        <w:t>提交相关资料，包括申报产品相关信息与《目录》所述内容的对比资料以及申报产品与《目录》中已获准境内注册医疗器械的对比说明。若经对比存在差异，应提交差异部分对安全有效性影响的分析研究资料。该资料应能证明申报产品与《目录》所述产品的基本等同性，若无法证明，应开展临床评价。</w:t>
      </w:r>
    </w:p>
    <w:p w:rsidR="00355DAA" w:rsidRDefault="00DE05DF">
      <w:pPr>
        <w:pStyle w:val="a0"/>
        <w:spacing w:line="520" w:lineRule="exact"/>
        <w:ind w:firstLineChars="200" w:firstLine="640"/>
      </w:pPr>
      <w:r>
        <w:rPr>
          <w:rFonts w:ascii="Times New Roman" w:eastAsia="仿宋_GB2312" w:hAnsi="Times New Roman"/>
          <w:kern w:val="2"/>
          <w:sz w:val="32"/>
          <w:szCs w:val="28"/>
        </w:rPr>
        <w:t>申请人应基于产品的</w:t>
      </w:r>
      <w:r>
        <w:rPr>
          <w:rFonts w:ascii="Times New Roman" w:eastAsia="仿宋_GB2312" w:hAnsi="Times New Roman"/>
          <w:kern w:val="2"/>
          <w:sz w:val="32"/>
          <w:szCs w:val="28"/>
        </w:rPr>
        <w:fldChar w:fldCharType="begin"/>
      </w:r>
      <w:r>
        <w:rPr>
          <w:rFonts w:ascii="Times New Roman" w:eastAsia="仿宋_GB2312" w:hAnsi="Times New Roman"/>
          <w:kern w:val="2"/>
          <w:sz w:val="32"/>
          <w:szCs w:val="28"/>
        </w:rPr>
        <w:instrText xml:space="preserve"> REF _Ref111494533 \h  \* MERGEFORMAT </w:instrText>
      </w:r>
      <w:r>
        <w:rPr>
          <w:rFonts w:ascii="Times New Roman" w:eastAsia="仿宋_GB2312" w:hAnsi="Times New Roman"/>
          <w:kern w:val="2"/>
          <w:sz w:val="32"/>
          <w:szCs w:val="28"/>
        </w:rPr>
      </w:r>
      <w:r>
        <w:rPr>
          <w:rFonts w:ascii="Times New Roman" w:eastAsia="仿宋_GB2312" w:hAnsi="Times New Roman"/>
          <w:kern w:val="2"/>
          <w:sz w:val="32"/>
          <w:szCs w:val="28"/>
        </w:rPr>
        <w:fldChar w:fldCharType="separate"/>
      </w:r>
      <w:r>
        <w:rPr>
          <w:rFonts w:ascii="Times New Roman" w:eastAsia="仿宋_GB2312" w:hAnsi="Times New Roman"/>
          <w:kern w:val="2"/>
          <w:sz w:val="32"/>
          <w:szCs w:val="28"/>
        </w:rPr>
        <w:t>适用范围和禁忌证</w:t>
      </w:r>
      <w:r>
        <w:rPr>
          <w:rFonts w:ascii="Times New Roman" w:eastAsia="仿宋_GB2312" w:hAnsi="Times New Roman"/>
          <w:kern w:val="2"/>
          <w:sz w:val="32"/>
          <w:szCs w:val="28"/>
        </w:rPr>
        <w:fldChar w:fldCharType="end"/>
      </w:r>
      <w:r>
        <w:rPr>
          <w:rFonts w:ascii="Times New Roman" w:eastAsia="仿宋_GB2312" w:hAnsi="Times New Roman"/>
          <w:kern w:val="2"/>
          <w:sz w:val="32"/>
          <w:szCs w:val="28"/>
        </w:rPr>
        <w:t>，</w:t>
      </w:r>
      <w:r>
        <w:rPr>
          <w:rFonts w:ascii="Times New Roman" w:eastAsia="仿宋_GB2312" w:hAnsi="Times New Roman" w:hint="eastAsia"/>
          <w:kern w:val="2"/>
          <w:sz w:val="32"/>
          <w:szCs w:val="28"/>
        </w:rPr>
        <w:t>按照《脉搏血氧仪设备临床评价技术指导原则》及</w:t>
      </w:r>
      <w:r>
        <w:rPr>
          <w:rFonts w:ascii="Times New Roman" w:eastAsia="仿宋_GB2312" w:hAnsi="Times New Roman" w:hint="eastAsia"/>
          <w:kern w:val="2"/>
          <w:sz w:val="32"/>
          <w:szCs w:val="28"/>
        </w:rPr>
        <w:t>YY 9706.261</w:t>
      </w:r>
      <w:r>
        <w:rPr>
          <w:rFonts w:ascii="Times New Roman" w:eastAsia="仿宋_GB2312" w:hAnsi="Times New Roman" w:hint="eastAsia"/>
          <w:kern w:val="2"/>
          <w:sz w:val="32"/>
          <w:szCs w:val="28"/>
        </w:rPr>
        <w:t>标准的要求提供</w:t>
      </w:r>
      <w:r>
        <w:rPr>
          <w:rFonts w:ascii="Times New Roman" w:eastAsia="仿宋_GB2312" w:hAnsi="Times New Roman"/>
          <w:kern w:val="2"/>
          <w:sz w:val="32"/>
          <w:szCs w:val="28"/>
        </w:rPr>
        <w:t>产品在</w:t>
      </w:r>
      <w:r>
        <w:rPr>
          <w:rFonts w:ascii="Times New Roman" w:eastAsia="仿宋_GB2312" w:hAnsi="Times New Roman"/>
          <w:kern w:val="2"/>
          <w:sz w:val="32"/>
          <w:szCs w:val="28"/>
        </w:rPr>
        <w:fldChar w:fldCharType="begin"/>
      </w:r>
      <w:r>
        <w:rPr>
          <w:rFonts w:ascii="Times New Roman" w:eastAsia="仿宋_GB2312" w:hAnsi="Times New Roman"/>
          <w:kern w:val="2"/>
          <w:sz w:val="32"/>
          <w:szCs w:val="28"/>
        </w:rPr>
        <w:instrText xml:space="preserve"> REF _Ref112669049 \h  \* MERGEFORMAT </w:instrText>
      </w:r>
      <w:r>
        <w:rPr>
          <w:rFonts w:ascii="Times New Roman" w:eastAsia="仿宋_GB2312" w:hAnsi="Times New Roman"/>
          <w:kern w:val="2"/>
          <w:sz w:val="32"/>
          <w:szCs w:val="28"/>
        </w:rPr>
      </w:r>
      <w:r>
        <w:rPr>
          <w:rFonts w:ascii="Times New Roman" w:eastAsia="仿宋_GB2312" w:hAnsi="Times New Roman"/>
          <w:kern w:val="2"/>
          <w:sz w:val="32"/>
          <w:szCs w:val="28"/>
        </w:rPr>
        <w:fldChar w:fldCharType="separate"/>
      </w:r>
      <w:r>
        <w:rPr>
          <w:rFonts w:ascii="Times New Roman" w:eastAsia="仿宋_GB2312" w:hAnsi="Times New Roman"/>
          <w:kern w:val="2"/>
          <w:sz w:val="32"/>
          <w:szCs w:val="28"/>
        </w:rPr>
        <w:t>预期使用环境</w:t>
      </w:r>
      <w:r>
        <w:rPr>
          <w:rFonts w:ascii="Times New Roman" w:eastAsia="仿宋_GB2312" w:hAnsi="Times New Roman"/>
          <w:kern w:val="2"/>
          <w:sz w:val="32"/>
          <w:szCs w:val="28"/>
        </w:rPr>
        <w:fldChar w:fldCharType="end"/>
      </w:r>
      <w:r>
        <w:rPr>
          <w:rFonts w:ascii="Times New Roman" w:eastAsia="仿宋_GB2312" w:hAnsi="Times New Roman"/>
          <w:kern w:val="2"/>
          <w:sz w:val="32"/>
          <w:szCs w:val="28"/>
        </w:rPr>
        <w:t>中</w:t>
      </w:r>
      <w:r>
        <w:rPr>
          <w:rFonts w:ascii="Times New Roman" w:eastAsia="仿宋_GB2312" w:hAnsi="Times New Roman"/>
          <w:kern w:val="2"/>
          <w:sz w:val="32"/>
          <w:szCs w:val="28"/>
        </w:rPr>
        <w:fldChar w:fldCharType="begin"/>
      </w:r>
      <w:r>
        <w:rPr>
          <w:rFonts w:ascii="Times New Roman" w:eastAsia="仿宋_GB2312" w:hAnsi="Times New Roman"/>
          <w:kern w:val="2"/>
          <w:sz w:val="32"/>
          <w:szCs w:val="28"/>
        </w:rPr>
        <w:instrText xml:space="preserve"> REF _Ref112669111 \h  \* MERGEFORMAT </w:instrText>
      </w:r>
      <w:r>
        <w:rPr>
          <w:rFonts w:ascii="Times New Roman" w:eastAsia="仿宋_GB2312" w:hAnsi="Times New Roman"/>
          <w:kern w:val="2"/>
          <w:sz w:val="32"/>
          <w:szCs w:val="28"/>
        </w:rPr>
      </w:r>
      <w:r>
        <w:rPr>
          <w:rFonts w:ascii="Times New Roman" w:eastAsia="仿宋_GB2312" w:hAnsi="Times New Roman"/>
          <w:kern w:val="2"/>
          <w:sz w:val="32"/>
          <w:szCs w:val="28"/>
        </w:rPr>
        <w:fldChar w:fldCharType="separate"/>
      </w:r>
      <w:r>
        <w:rPr>
          <w:rFonts w:ascii="Times New Roman" w:eastAsia="仿宋_GB2312" w:hAnsi="Times New Roman"/>
          <w:kern w:val="2"/>
          <w:sz w:val="32"/>
          <w:szCs w:val="28"/>
        </w:rPr>
        <w:t>适用人群</w:t>
      </w:r>
      <w:r>
        <w:rPr>
          <w:rFonts w:ascii="Times New Roman" w:eastAsia="仿宋_GB2312" w:hAnsi="Times New Roman"/>
          <w:kern w:val="2"/>
          <w:sz w:val="32"/>
          <w:szCs w:val="28"/>
        </w:rPr>
        <w:fldChar w:fldCharType="end"/>
      </w:r>
      <w:r>
        <w:rPr>
          <w:rFonts w:ascii="Times New Roman" w:eastAsia="仿宋_GB2312" w:hAnsi="Times New Roman"/>
          <w:kern w:val="2"/>
          <w:sz w:val="32"/>
          <w:szCs w:val="28"/>
        </w:rPr>
        <w:t>的</w:t>
      </w:r>
      <w:r>
        <w:rPr>
          <w:rFonts w:ascii="Times New Roman" w:eastAsia="仿宋_GB2312" w:hAnsi="Times New Roman" w:hint="eastAsia"/>
          <w:kern w:val="2"/>
          <w:sz w:val="32"/>
          <w:szCs w:val="28"/>
        </w:rPr>
        <w:t>脉搏血氧饱和度</w:t>
      </w:r>
      <w:r>
        <w:rPr>
          <w:rFonts w:ascii="Times New Roman" w:eastAsia="仿宋_GB2312" w:hAnsi="Times New Roman"/>
          <w:kern w:val="2"/>
          <w:sz w:val="32"/>
          <w:szCs w:val="28"/>
        </w:rPr>
        <w:t>准确</w:t>
      </w:r>
      <w:r>
        <w:rPr>
          <w:rFonts w:ascii="Times New Roman" w:eastAsia="仿宋_GB2312" w:hAnsi="Times New Roman" w:hint="eastAsia"/>
          <w:kern w:val="2"/>
          <w:sz w:val="32"/>
          <w:szCs w:val="28"/>
        </w:rPr>
        <w:t>度评估报告</w:t>
      </w:r>
      <w:r>
        <w:rPr>
          <w:rFonts w:ascii="Times New Roman" w:eastAsia="仿宋_GB2312" w:hAnsi="Times New Roman"/>
          <w:kern w:val="2"/>
          <w:sz w:val="32"/>
          <w:szCs w:val="28"/>
        </w:rPr>
        <w:t>。</w:t>
      </w:r>
    </w:p>
    <w:p w:rsidR="00355DAA" w:rsidRDefault="00DE05DF">
      <w:pPr>
        <w:pStyle w:val="a0"/>
        <w:spacing w:line="520" w:lineRule="exact"/>
        <w:ind w:firstLineChars="200" w:firstLine="640"/>
      </w:pPr>
      <w:r>
        <w:rPr>
          <w:rFonts w:ascii="Times New Roman" w:eastAsia="仿宋_GB2312" w:hAnsi="Times New Roman" w:hint="eastAsia"/>
          <w:kern w:val="2"/>
          <w:sz w:val="32"/>
          <w:szCs w:val="28"/>
        </w:rPr>
        <w:lastRenderedPageBreak/>
        <w:t>如产品为一次性使用，还应当提供证明其无法重复使用的支持性资料。</w:t>
      </w:r>
    </w:p>
    <w:p w:rsidR="00355DAA" w:rsidRDefault="00DE05DF">
      <w:pPr>
        <w:spacing w:line="520" w:lineRule="exact"/>
        <w:ind w:firstLine="660"/>
        <w:rPr>
          <w:rFonts w:ascii="楷体_GB2312" w:eastAsia="楷体_GB2312" w:hAnsi="楷体_GB2312" w:cs="楷体_GB2312"/>
          <w:szCs w:val="28"/>
        </w:rPr>
      </w:pPr>
      <w:r>
        <w:rPr>
          <w:rFonts w:ascii="楷体_GB2312" w:eastAsia="楷体_GB2312" w:hAnsi="楷体_GB2312" w:cs="楷体_GB2312" w:hint="eastAsia"/>
          <w:szCs w:val="28"/>
        </w:rPr>
        <w:t>（四）临床评价</w:t>
      </w:r>
    </w:p>
    <w:p w:rsidR="00355DAA" w:rsidRDefault="00DE05DF">
      <w:pPr>
        <w:spacing w:line="520" w:lineRule="exact"/>
        <w:ind w:firstLine="660"/>
        <w:rPr>
          <w:rFonts w:ascii="楷体_GB2312" w:eastAsia="楷体_GB2312" w:hAnsi="楷体_GB2312" w:cs="楷体_GB2312"/>
          <w:szCs w:val="28"/>
        </w:rPr>
      </w:pPr>
      <w:r>
        <w:rPr>
          <w:rFonts w:eastAsia="仿宋_GB2312" w:hint="eastAsia"/>
          <w:color w:val="000000"/>
          <w:szCs w:val="32"/>
        </w:rPr>
        <w:t>若</w:t>
      </w:r>
      <w:r>
        <w:rPr>
          <w:rFonts w:eastAsia="仿宋_GB2312" w:hint="eastAsia"/>
          <w:color w:val="000000"/>
          <w:szCs w:val="32"/>
        </w:rPr>
        <w:t>该产品不在《免于进行临床评价医疗器械目录》的产品描述范围之内，或不能证明与已获准境内注册的产品具有基本等同性，应按相关指导原则进行临床评价。</w:t>
      </w:r>
    </w:p>
    <w:p w:rsidR="00355DAA" w:rsidRDefault="00DE05DF">
      <w:pPr>
        <w:pStyle w:val="a0"/>
        <w:spacing w:line="520" w:lineRule="exact"/>
        <w:ind w:firstLineChars="200" w:firstLine="640"/>
        <w:rPr>
          <w:rFonts w:ascii="楷体_GB2312" w:eastAsia="楷体_GB2312" w:hAnsi="楷体_GB2312" w:cs="楷体_GB2312"/>
          <w:kern w:val="2"/>
          <w:sz w:val="32"/>
          <w:szCs w:val="28"/>
        </w:rPr>
      </w:pPr>
      <w:r>
        <w:rPr>
          <w:rFonts w:ascii="楷体_GB2312" w:eastAsia="楷体_GB2312" w:hAnsi="楷体_GB2312" w:cs="楷体_GB2312" w:hint="eastAsia"/>
          <w:kern w:val="2"/>
          <w:sz w:val="32"/>
          <w:szCs w:val="28"/>
        </w:rPr>
        <w:t>（五）产品说明书和标签样稿</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产品说明书、标签应符合《医疗器械说明书和标签管理规定》和相关法规、规范性文件、强制性标准的要求，同时应注意以下内容：</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明确产品的适用患者人群。产品适用的测量部位，宜图示说明。</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2.</w:t>
      </w:r>
      <w:r>
        <w:rPr>
          <w:rFonts w:ascii="Times New Roman" w:eastAsia="仿宋_GB2312" w:hAnsi="Times New Roman" w:hint="eastAsia"/>
          <w:kern w:val="2"/>
          <w:sz w:val="32"/>
          <w:szCs w:val="28"/>
        </w:rPr>
        <w:t>明确产品的预期使用环境，且在使用过程中避免强光</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如手术灯、蓝光灯、荧光、红外线加热灯和直射太阳光</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照射在脉搏血氧传感器上或有强烈的电子干扰</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如除颤</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时均会干扰传感器性能。</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3.</w:t>
      </w:r>
      <w:r>
        <w:rPr>
          <w:rFonts w:ascii="Times New Roman" w:eastAsia="仿宋_GB2312" w:hAnsi="Times New Roman" w:hint="eastAsia"/>
          <w:kern w:val="2"/>
          <w:sz w:val="32"/>
          <w:szCs w:val="28"/>
        </w:rPr>
        <w:t>注明产品与患者接触部分的主要原材料，应有对材料过敏者禁止使用的提示。</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4.</w:t>
      </w:r>
      <w:r>
        <w:rPr>
          <w:rFonts w:ascii="Times New Roman" w:eastAsia="仿宋_GB2312" w:hAnsi="Times New Roman" w:hint="eastAsia"/>
          <w:kern w:val="2"/>
          <w:sz w:val="32"/>
          <w:szCs w:val="28"/>
        </w:rPr>
        <w:t>无菌形式提供的产品应当注明灭菌方式、“无菌”等字样或符号，明确灭菌包装损坏后的处理方法。使用前需要消毒或者灭菌的应当说明消毒或者灭菌的方法。</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5.</w:t>
      </w:r>
      <w:r>
        <w:rPr>
          <w:rFonts w:ascii="Times New Roman" w:eastAsia="仿宋_GB2312" w:hAnsi="Times New Roman" w:hint="eastAsia"/>
          <w:kern w:val="2"/>
          <w:sz w:val="32"/>
          <w:szCs w:val="28"/>
        </w:rPr>
        <w:t>预期一次性使用的产品应注明“一次性使用”字样或符号，并明确禁止重复使用。（注：同一患者身上重新放置脉搏血氧传感器</w:t>
      </w:r>
      <w:r>
        <w:rPr>
          <w:rFonts w:ascii="Times New Roman" w:eastAsia="仿宋_GB2312" w:hAnsi="Times New Roman" w:hint="eastAsia"/>
          <w:kern w:val="2"/>
          <w:sz w:val="32"/>
          <w:szCs w:val="28"/>
        </w:rPr>
        <w:t>认为是一次性使用。）</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lastRenderedPageBreak/>
        <w:t>6.</w:t>
      </w:r>
      <w:r>
        <w:rPr>
          <w:rFonts w:ascii="Times New Roman" w:eastAsia="仿宋_GB2312" w:hAnsi="Times New Roman" w:hint="eastAsia"/>
          <w:kern w:val="2"/>
          <w:sz w:val="32"/>
          <w:szCs w:val="28"/>
        </w:rPr>
        <w:t>可重复使用产品应注明重复使用次数及推荐的清洗、消毒和灭菌的方法、时机及频次。</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7.</w:t>
      </w:r>
      <w:r>
        <w:rPr>
          <w:rFonts w:ascii="Times New Roman" w:eastAsia="仿宋_GB2312" w:hAnsi="Times New Roman" w:hint="eastAsia"/>
          <w:kern w:val="2"/>
          <w:sz w:val="32"/>
          <w:szCs w:val="28"/>
        </w:rPr>
        <w:t>产品在正确使用过程中出现意外时，对操作者</w:t>
      </w:r>
      <w:r>
        <w:rPr>
          <w:rFonts w:ascii="Times New Roman" w:eastAsia="仿宋_GB2312" w:hAnsi="Times New Roman" w:hint="eastAsia"/>
          <w:kern w:val="2"/>
          <w:sz w:val="32"/>
          <w:szCs w:val="28"/>
        </w:rPr>
        <w:t>、</w:t>
      </w:r>
      <w:r>
        <w:rPr>
          <w:rFonts w:ascii="Times New Roman" w:eastAsia="仿宋_GB2312" w:hAnsi="Times New Roman" w:hint="eastAsia"/>
          <w:kern w:val="2"/>
          <w:sz w:val="32"/>
          <w:szCs w:val="28"/>
        </w:rPr>
        <w:t>使用者的保护措施以及应当采取的应急和纠正措施。</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8.</w:t>
      </w:r>
      <w:r>
        <w:rPr>
          <w:rFonts w:ascii="Times New Roman" w:eastAsia="仿宋_GB2312" w:hAnsi="Times New Roman" w:hint="eastAsia"/>
          <w:kern w:val="2"/>
          <w:sz w:val="32"/>
          <w:szCs w:val="28"/>
        </w:rPr>
        <w:t>应列出产品与声称的兼容脉搏血氧设备及监护仪的组合。并列明：</w:t>
      </w:r>
      <w:r>
        <w:rPr>
          <w:rFonts w:ascii="Times New Roman" w:eastAsia="仿宋_GB2312" w:hAnsi="Times New Roman" w:hint="eastAsia"/>
          <w:kern w:val="2"/>
          <w:sz w:val="32"/>
          <w:szCs w:val="28"/>
        </w:rPr>
        <w:t>a</w:t>
      </w:r>
      <w:r>
        <w:rPr>
          <w:rFonts w:ascii="Times New Roman" w:eastAsia="仿宋_GB2312" w:hAnsi="Times New Roman" w:hint="eastAsia"/>
          <w:kern w:val="2"/>
          <w:sz w:val="32"/>
          <w:szCs w:val="28"/>
        </w:rPr>
        <w:t>）产品是为用于特定的脉搏血氧设备及监护仪等设备而设计的；</w:t>
      </w:r>
      <w:r>
        <w:rPr>
          <w:rFonts w:ascii="Times New Roman" w:eastAsia="仿宋_GB2312" w:hAnsi="Times New Roman" w:hint="eastAsia"/>
          <w:kern w:val="2"/>
          <w:sz w:val="32"/>
          <w:szCs w:val="28"/>
        </w:rPr>
        <w:t>b</w:t>
      </w:r>
      <w:r>
        <w:rPr>
          <w:rFonts w:ascii="Times New Roman" w:eastAsia="仿宋_GB2312" w:hAnsi="Times New Roman" w:hint="eastAsia"/>
          <w:kern w:val="2"/>
          <w:sz w:val="32"/>
          <w:szCs w:val="28"/>
        </w:rPr>
        <w:t>）操作者有责任在使用前检查脉搏血氧设备、监护仪、探头及电缆的兼容性；</w:t>
      </w:r>
      <w:r>
        <w:rPr>
          <w:rFonts w:ascii="Times New Roman" w:eastAsia="仿宋_GB2312" w:hAnsi="Times New Roman" w:hint="eastAsia"/>
          <w:kern w:val="2"/>
          <w:sz w:val="32"/>
          <w:szCs w:val="28"/>
        </w:rPr>
        <w:t>c</w:t>
      </w:r>
      <w:r>
        <w:rPr>
          <w:rFonts w:ascii="Times New Roman" w:eastAsia="仿宋_GB2312" w:hAnsi="Times New Roman" w:hint="eastAsia"/>
          <w:kern w:val="2"/>
          <w:sz w:val="32"/>
          <w:szCs w:val="28"/>
        </w:rPr>
        <w:t>）不兼容的配件会导致仪器的性能下降。</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10.</w:t>
      </w:r>
      <w:r>
        <w:rPr>
          <w:rFonts w:ascii="Times New Roman" w:eastAsia="仿宋_GB2312" w:hAnsi="Times New Roman" w:hint="eastAsia"/>
          <w:kern w:val="2"/>
          <w:sz w:val="32"/>
          <w:szCs w:val="28"/>
        </w:rPr>
        <w:t>应符合《医疗器械光辐射安全注册审查指导原则》中对于说明书和标签部分的要求。</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1.</w:t>
      </w:r>
      <w:r>
        <w:rPr>
          <w:rFonts w:ascii="Times New Roman" w:eastAsia="仿宋_GB2312" w:hAnsi="Times New Roman" w:hint="eastAsia"/>
          <w:kern w:val="2"/>
          <w:sz w:val="32"/>
          <w:szCs w:val="28"/>
        </w:rPr>
        <w:t>根据产品特性，应当提示操作者、使用者注意的其他事项。</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12.</w:t>
      </w:r>
      <w:r>
        <w:rPr>
          <w:rFonts w:ascii="Times New Roman" w:eastAsia="仿宋_GB2312" w:hAnsi="Times New Roman" w:hint="eastAsia"/>
          <w:kern w:val="2"/>
          <w:sz w:val="32"/>
          <w:szCs w:val="28"/>
        </w:rPr>
        <w:t>明确产品在使用、贮存、运输过程的环境条件，如环境温度、湿度和大气压力等。</w:t>
      </w:r>
    </w:p>
    <w:p w:rsidR="00355DAA" w:rsidRDefault="00DE05DF">
      <w:pPr>
        <w:pStyle w:val="a0"/>
        <w:spacing w:line="520" w:lineRule="exact"/>
        <w:ind w:firstLineChars="200" w:firstLine="640"/>
        <w:rPr>
          <w:rFonts w:ascii="Times New Roman" w:eastAsia="仿宋_GB2312" w:hAnsi="Times New Roman"/>
          <w:kern w:val="2"/>
          <w:sz w:val="32"/>
          <w:szCs w:val="28"/>
        </w:rPr>
      </w:pPr>
      <w:r>
        <w:rPr>
          <w:rFonts w:ascii="Times New Roman" w:eastAsia="仿宋_GB2312" w:hAnsi="Times New Roman" w:hint="eastAsia"/>
          <w:kern w:val="2"/>
          <w:sz w:val="32"/>
          <w:szCs w:val="28"/>
        </w:rPr>
        <w:t>13.</w:t>
      </w:r>
      <w:r>
        <w:rPr>
          <w:rFonts w:ascii="Times New Roman" w:eastAsia="仿宋_GB2312" w:hAnsi="Times New Roman" w:hint="eastAsia"/>
          <w:kern w:val="2"/>
          <w:sz w:val="32"/>
          <w:szCs w:val="28"/>
        </w:rPr>
        <w:t>明确产品及包装废弃处理的建议及需注意的事项。</w:t>
      </w:r>
    </w:p>
    <w:p w:rsidR="00355DAA" w:rsidRDefault="00DE05DF">
      <w:pPr>
        <w:pStyle w:val="a0"/>
        <w:spacing w:line="520" w:lineRule="exact"/>
        <w:ind w:firstLineChars="200" w:firstLine="640"/>
        <w:rPr>
          <w:rFonts w:ascii="楷体_GB2312" w:eastAsia="楷体_GB2312" w:hAnsi="楷体_GB2312" w:cs="楷体_GB2312"/>
          <w:kern w:val="2"/>
          <w:sz w:val="32"/>
          <w:szCs w:val="28"/>
        </w:rPr>
      </w:pPr>
      <w:r>
        <w:rPr>
          <w:rFonts w:ascii="楷体_GB2312" w:eastAsia="楷体_GB2312" w:hAnsi="楷体_GB2312" w:cs="楷体_GB2312"/>
          <w:kern w:val="2"/>
          <w:sz w:val="32"/>
          <w:szCs w:val="28"/>
        </w:rPr>
        <w:t>（六）</w:t>
      </w:r>
      <w:r>
        <w:rPr>
          <w:rFonts w:ascii="楷体_GB2312" w:eastAsia="楷体_GB2312" w:hAnsi="楷体_GB2312" w:cs="楷体_GB2312" w:hint="eastAsia"/>
          <w:kern w:val="2"/>
          <w:sz w:val="32"/>
          <w:szCs w:val="28"/>
        </w:rPr>
        <w:t>质量管理体系文件</w:t>
      </w:r>
    </w:p>
    <w:p w:rsidR="00355DAA" w:rsidRDefault="00DE05DF">
      <w:pPr>
        <w:pStyle w:val="a0"/>
        <w:spacing w:line="520" w:lineRule="exact"/>
        <w:ind w:firstLineChars="200" w:firstLine="640"/>
        <w:rPr>
          <w:rFonts w:eastAsia="仿宋_GB2312"/>
          <w:sz w:val="32"/>
          <w:szCs w:val="32"/>
        </w:rPr>
      </w:pPr>
      <w:r>
        <w:rPr>
          <w:rFonts w:eastAsia="仿宋_GB2312"/>
          <w:sz w:val="32"/>
          <w:szCs w:val="32"/>
        </w:rPr>
        <w:t>质量管理体系文件主要包括综述、生产制造信息、质量管理体系程序、管理职责程序、资源管理程序、产品实现程序、质量管理体系的测量、分析和改进程序、其他质量体系程序信息、质量管理体系核查信息等内容，应符合《医疗器械注册与备案管理办法》和《关于公布医疗器械注册申报资料要求和批准证明文件格式的公告》的相关要求</w:t>
      </w:r>
      <w:r>
        <w:rPr>
          <w:rFonts w:eastAsia="仿宋_GB2312"/>
          <w:sz w:val="32"/>
          <w:szCs w:val="32"/>
        </w:rPr>
        <w:t>。</w:t>
      </w:r>
    </w:p>
    <w:p w:rsidR="00355DAA" w:rsidRDefault="00DE05DF">
      <w:pPr>
        <w:pStyle w:val="a0"/>
        <w:spacing w:line="520" w:lineRule="exact"/>
        <w:ind w:firstLineChars="200" w:firstLine="640"/>
        <w:rPr>
          <w:rFonts w:ascii="黑体" w:eastAsia="黑体" w:hAnsi="黑体" w:cs="黑体"/>
          <w:kern w:val="2"/>
          <w:sz w:val="32"/>
          <w:szCs w:val="28"/>
        </w:rPr>
      </w:pPr>
      <w:r>
        <w:rPr>
          <w:rFonts w:ascii="黑体" w:eastAsia="黑体" w:hAnsi="黑体" w:cs="黑体" w:hint="eastAsia"/>
          <w:kern w:val="2"/>
          <w:sz w:val="32"/>
          <w:szCs w:val="28"/>
        </w:rPr>
        <w:t>三、参考文献</w:t>
      </w:r>
    </w:p>
    <w:p w:rsidR="00355DAA" w:rsidRDefault="00DE05DF">
      <w:pPr>
        <w:numPr>
          <w:ilvl w:val="255"/>
          <w:numId w:val="0"/>
        </w:numPr>
        <w:kinsoku w:val="0"/>
        <w:spacing w:line="520" w:lineRule="exact"/>
        <w:ind w:firstLineChars="200" w:firstLine="640"/>
        <w:rPr>
          <w:rFonts w:eastAsia="仿宋_GB2312"/>
          <w:szCs w:val="32"/>
        </w:rPr>
      </w:pPr>
      <w:r>
        <w:rPr>
          <w:rFonts w:eastAsia="仿宋_GB2312" w:hint="eastAsia"/>
          <w:szCs w:val="32"/>
        </w:rPr>
        <w:lastRenderedPageBreak/>
        <w:t>[1]</w:t>
      </w:r>
      <w:r>
        <w:rPr>
          <w:rFonts w:eastAsia="仿宋_GB2312"/>
          <w:szCs w:val="32"/>
        </w:rPr>
        <w:t>中华人民共和国国务院</w:t>
      </w:r>
      <w:r>
        <w:rPr>
          <w:rFonts w:eastAsia="仿宋_GB2312"/>
          <w:szCs w:val="32"/>
        </w:rPr>
        <w:t>.</w:t>
      </w:r>
      <w:r>
        <w:rPr>
          <w:rFonts w:eastAsia="仿宋_GB2312"/>
          <w:szCs w:val="32"/>
        </w:rPr>
        <w:t>医疗器械监督管理条例</w:t>
      </w:r>
      <w:r>
        <w:rPr>
          <w:rFonts w:eastAsia="仿宋_GB2312" w:hint="eastAsia"/>
          <w:szCs w:val="32"/>
        </w:rPr>
        <w:t>:</w:t>
      </w:r>
      <w:r>
        <w:rPr>
          <w:rFonts w:eastAsia="仿宋_GB2312"/>
          <w:szCs w:val="32"/>
        </w:rPr>
        <w:t>中华人民共和国国务院令第</w:t>
      </w:r>
      <w:r>
        <w:rPr>
          <w:rFonts w:eastAsia="仿宋_GB2312"/>
          <w:szCs w:val="32"/>
        </w:rPr>
        <w:t>739</w:t>
      </w:r>
      <w:r>
        <w:rPr>
          <w:rFonts w:eastAsia="仿宋_GB2312"/>
          <w:szCs w:val="32"/>
        </w:rPr>
        <w:t>号</w:t>
      </w:r>
      <w:r>
        <w:rPr>
          <w:rFonts w:eastAsia="仿宋_GB2312"/>
          <w:szCs w:val="32"/>
        </w:rPr>
        <w:t>[Z].</w:t>
      </w:r>
    </w:p>
    <w:p w:rsidR="00355DAA" w:rsidRDefault="00DE05DF">
      <w:pPr>
        <w:numPr>
          <w:ilvl w:val="255"/>
          <w:numId w:val="0"/>
        </w:numPr>
        <w:kinsoku w:val="0"/>
        <w:spacing w:line="520" w:lineRule="exact"/>
        <w:ind w:leftChars="200" w:left="640"/>
        <w:rPr>
          <w:rFonts w:eastAsia="仿宋_GB2312"/>
          <w:szCs w:val="32"/>
        </w:rPr>
      </w:pPr>
      <w:r>
        <w:rPr>
          <w:rFonts w:eastAsia="仿宋_GB2312" w:hint="eastAsia"/>
          <w:szCs w:val="32"/>
        </w:rPr>
        <w:t>[2]</w:t>
      </w:r>
      <w:r>
        <w:rPr>
          <w:rFonts w:eastAsia="仿宋_GB2312"/>
          <w:szCs w:val="32"/>
        </w:rPr>
        <w:t>国家市场</w:t>
      </w:r>
      <w:r>
        <w:rPr>
          <w:rFonts w:eastAsia="仿宋_GB2312" w:hint="eastAsia"/>
          <w:szCs w:val="32"/>
        </w:rPr>
        <w:t>监督管理</w:t>
      </w:r>
      <w:r>
        <w:rPr>
          <w:rFonts w:eastAsia="仿宋_GB2312"/>
          <w:szCs w:val="32"/>
        </w:rPr>
        <w:t>总局</w:t>
      </w:r>
      <w:r>
        <w:rPr>
          <w:rFonts w:eastAsia="仿宋_GB2312"/>
          <w:szCs w:val="32"/>
        </w:rPr>
        <w:t>.</w:t>
      </w:r>
      <w:r>
        <w:rPr>
          <w:rFonts w:eastAsia="仿宋_GB2312"/>
          <w:szCs w:val="32"/>
        </w:rPr>
        <w:t>医疗器械注册与备案管理办法</w:t>
      </w:r>
      <w:r>
        <w:rPr>
          <w:rFonts w:eastAsia="仿宋_GB2312" w:hint="eastAsia"/>
          <w:szCs w:val="32"/>
        </w:rPr>
        <w:t>:</w:t>
      </w:r>
    </w:p>
    <w:p w:rsidR="00355DAA" w:rsidRDefault="00DE05DF">
      <w:pPr>
        <w:numPr>
          <w:ilvl w:val="255"/>
          <w:numId w:val="0"/>
        </w:numPr>
        <w:kinsoku w:val="0"/>
        <w:spacing w:line="520" w:lineRule="exact"/>
        <w:rPr>
          <w:rFonts w:eastAsia="仿宋_GB2312"/>
          <w:szCs w:val="32"/>
        </w:rPr>
      </w:pPr>
      <w:r>
        <w:rPr>
          <w:rFonts w:eastAsia="仿宋_GB2312"/>
          <w:szCs w:val="32"/>
        </w:rPr>
        <w:t>国家市场监管总局令第</w:t>
      </w:r>
      <w:r>
        <w:rPr>
          <w:rFonts w:eastAsia="仿宋_GB2312"/>
          <w:szCs w:val="32"/>
        </w:rPr>
        <w:t>47</w:t>
      </w:r>
      <w:r>
        <w:rPr>
          <w:rFonts w:eastAsia="仿宋_GB2312"/>
          <w:szCs w:val="32"/>
        </w:rPr>
        <w:t>号</w:t>
      </w:r>
      <w:r>
        <w:rPr>
          <w:rFonts w:eastAsia="仿宋_GB2312"/>
          <w:szCs w:val="32"/>
        </w:rPr>
        <w:t>[Z].</w:t>
      </w:r>
    </w:p>
    <w:p w:rsidR="00355DAA" w:rsidRDefault="00DE05DF">
      <w:pPr>
        <w:numPr>
          <w:ilvl w:val="255"/>
          <w:numId w:val="0"/>
        </w:numPr>
        <w:kinsoku w:val="0"/>
        <w:spacing w:line="520" w:lineRule="exact"/>
        <w:ind w:leftChars="200" w:left="640"/>
        <w:rPr>
          <w:rFonts w:eastAsia="仿宋_GB2312"/>
          <w:szCs w:val="32"/>
        </w:rPr>
      </w:pPr>
      <w:r>
        <w:rPr>
          <w:rFonts w:eastAsia="仿宋_GB2312" w:hint="eastAsia"/>
          <w:szCs w:val="32"/>
        </w:rPr>
        <w:t>[3]</w:t>
      </w:r>
      <w:r>
        <w:rPr>
          <w:rFonts w:eastAsia="仿宋_GB2312"/>
          <w:szCs w:val="32"/>
        </w:rPr>
        <w:t>国家食品药品监督管理总局</w:t>
      </w:r>
      <w:r>
        <w:rPr>
          <w:rFonts w:eastAsia="仿宋_GB2312"/>
          <w:szCs w:val="32"/>
        </w:rPr>
        <w:t>.</w:t>
      </w:r>
      <w:r>
        <w:rPr>
          <w:rFonts w:eastAsia="仿宋_GB2312"/>
          <w:szCs w:val="32"/>
        </w:rPr>
        <w:t>医疗器械说明书和标签管</w:t>
      </w:r>
    </w:p>
    <w:p w:rsidR="00355DAA" w:rsidRDefault="00DE05DF">
      <w:pPr>
        <w:numPr>
          <w:ilvl w:val="255"/>
          <w:numId w:val="0"/>
        </w:numPr>
        <w:kinsoku w:val="0"/>
        <w:spacing w:line="520" w:lineRule="exact"/>
        <w:rPr>
          <w:rFonts w:eastAsia="仿宋_GB2312"/>
          <w:szCs w:val="32"/>
        </w:rPr>
      </w:pPr>
      <w:r>
        <w:rPr>
          <w:rFonts w:eastAsia="仿宋_GB2312"/>
          <w:szCs w:val="32"/>
        </w:rPr>
        <w:t>理规定</w:t>
      </w:r>
      <w:r>
        <w:rPr>
          <w:rFonts w:eastAsia="仿宋_GB2312" w:hint="eastAsia"/>
          <w:szCs w:val="32"/>
        </w:rPr>
        <w:t>:</w:t>
      </w:r>
      <w:r>
        <w:rPr>
          <w:rFonts w:eastAsia="仿宋_GB2312"/>
          <w:szCs w:val="32"/>
        </w:rPr>
        <w:t>国家食品药品监督管理总局令第</w:t>
      </w:r>
      <w:r>
        <w:rPr>
          <w:rFonts w:eastAsia="仿宋_GB2312"/>
          <w:szCs w:val="32"/>
        </w:rPr>
        <w:t>6</w:t>
      </w:r>
      <w:r>
        <w:rPr>
          <w:rFonts w:eastAsia="仿宋_GB2312"/>
          <w:szCs w:val="32"/>
        </w:rPr>
        <w:t>号</w:t>
      </w:r>
      <w:r>
        <w:rPr>
          <w:rFonts w:eastAsia="仿宋_GB2312"/>
          <w:szCs w:val="32"/>
        </w:rPr>
        <w:t>[Z].</w:t>
      </w:r>
    </w:p>
    <w:p w:rsidR="00355DAA" w:rsidRDefault="00DE05DF">
      <w:pPr>
        <w:numPr>
          <w:ilvl w:val="255"/>
          <w:numId w:val="0"/>
        </w:numPr>
        <w:kinsoku w:val="0"/>
        <w:spacing w:line="520" w:lineRule="exact"/>
        <w:ind w:firstLineChars="200" w:firstLine="640"/>
        <w:rPr>
          <w:rFonts w:eastAsia="仿宋_GB2312"/>
          <w:szCs w:val="32"/>
        </w:rPr>
      </w:pPr>
      <w:r>
        <w:rPr>
          <w:rFonts w:eastAsia="仿宋_GB2312" w:hint="eastAsia"/>
          <w:szCs w:val="32"/>
        </w:rPr>
        <w:t>[4]</w:t>
      </w:r>
      <w:r>
        <w:rPr>
          <w:rFonts w:eastAsia="仿宋_GB2312" w:hint="eastAsia"/>
          <w:szCs w:val="32"/>
        </w:rPr>
        <w:t>国家食品药品监督管理局</w:t>
      </w:r>
      <w:r>
        <w:rPr>
          <w:rFonts w:eastAsia="仿宋_GB2312" w:hint="eastAsia"/>
          <w:szCs w:val="32"/>
        </w:rPr>
        <w:t>.</w:t>
      </w:r>
      <w:r>
        <w:rPr>
          <w:rFonts w:eastAsia="仿宋_GB2312" w:hint="eastAsia"/>
          <w:szCs w:val="32"/>
        </w:rPr>
        <w:t>医疗器械通用名称命名规则</w:t>
      </w:r>
      <w:r>
        <w:rPr>
          <w:rFonts w:eastAsia="仿宋_GB2312" w:hint="eastAsia"/>
          <w:szCs w:val="32"/>
        </w:rPr>
        <w:t>:</w:t>
      </w:r>
      <w:r>
        <w:rPr>
          <w:rFonts w:eastAsia="仿宋_GB2312" w:hint="eastAsia"/>
          <w:szCs w:val="32"/>
        </w:rPr>
        <w:t>国家食品药品监督管理总局令第</w:t>
      </w:r>
      <w:r>
        <w:rPr>
          <w:rFonts w:eastAsia="仿宋_GB2312" w:hint="eastAsia"/>
          <w:szCs w:val="32"/>
        </w:rPr>
        <w:t>19</w:t>
      </w:r>
      <w:r>
        <w:rPr>
          <w:rFonts w:eastAsia="仿宋_GB2312" w:hint="eastAsia"/>
          <w:szCs w:val="32"/>
        </w:rPr>
        <w:t>号</w:t>
      </w:r>
      <w:r>
        <w:rPr>
          <w:rFonts w:eastAsia="仿宋_GB2312" w:hint="eastAsia"/>
          <w:szCs w:val="32"/>
        </w:rPr>
        <w:t>[Z].</w:t>
      </w:r>
    </w:p>
    <w:p w:rsidR="00355DAA" w:rsidRDefault="00DE05DF">
      <w:pPr>
        <w:numPr>
          <w:ilvl w:val="255"/>
          <w:numId w:val="0"/>
        </w:numPr>
        <w:kinsoku w:val="0"/>
        <w:spacing w:line="520" w:lineRule="exact"/>
        <w:ind w:firstLineChars="200" w:firstLine="640"/>
        <w:rPr>
          <w:rFonts w:eastAsia="仿宋_GB2312"/>
          <w:szCs w:val="32"/>
        </w:rPr>
      </w:pPr>
      <w:r>
        <w:rPr>
          <w:rFonts w:eastAsia="仿宋_GB2312" w:hint="eastAsia"/>
          <w:szCs w:val="32"/>
        </w:rPr>
        <w:t>[5]</w:t>
      </w:r>
      <w:r>
        <w:rPr>
          <w:rFonts w:eastAsia="仿宋_GB2312" w:hint="eastAsia"/>
          <w:szCs w:val="32"/>
        </w:rPr>
        <w:t>国家药品监督管理局</w:t>
      </w:r>
      <w:r>
        <w:rPr>
          <w:rFonts w:eastAsia="仿宋_GB2312" w:hint="eastAsia"/>
          <w:szCs w:val="32"/>
        </w:rPr>
        <w:t>.</w:t>
      </w:r>
      <w:r>
        <w:rPr>
          <w:rFonts w:eastAsia="仿宋_GB2312" w:hint="eastAsia"/>
          <w:szCs w:val="32"/>
        </w:rPr>
        <w:t>医用诊察和监护器械通用名称命名指导原则</w:t>
      </w:r>
      <w:r>
        <w:rPr>
          <w:rFonts w:eastAsia="仿宋_GB2312" w:hint="eastAsia"/>
          <w:szCs w:val="32"/>
        </w:rPr>
        <w:t>:</w:t>
      </w:r>
      <w:r>
        <w:rPr>
          <w:rFonts w:eastAsia="仿宋_GB2312" w:hint="eastAsia"/>
          <w:szCs w:val="32"/>
        </w:rPr>
        <w:t>国家药监局通告</w:t>
      </w:r>
      <w:r>
        <w:rPr>
          <w:rFonts w:eastAsia="仿宋_GB2312" w:hint="eastAsia"/>
          <w:szCs w:val="32"/>
        </w:rPr>
        <w:t>2021</w:t>
      </w:r>
      <w:r>
        <w:rPr>
          <w:rFonts w:eastAsia="仿宋_GB2312" w:hint="eastAsia"/>
          <w:szCs w:val="32"/>
        </w:rPr>
        <w:t>年第</w:t>
      </w:r>
      <w:r>
        <w:rPr>
          <w:rFonts w:eastAsia="仿宋_GB2312" w:hint="eastAsia"/>
          <w:szCs w:val="32"/>
        </w:rPr>
        <w:t>62</w:t>
      </w:r>
      <w:r>
        <w:rPr>
          <w:rFonts w:eastAsia="仿宋_GB2312" w:hint="eastAsia"/>
          <w:szCs w:val="32"/>
        </w:rPr>
        <w:t>号</w:t>
      </w:r>
      <w:r>
        <w:rPr>
          <w:rFonts w:eastAsia="仿宋_GB2312" w:hint="eastAsia"/>
          <w:szCs w:val="32"/>
        </w:rPr>
        <w:t>[Z].</w:t>
      </w:r>
    </w:p>
    <w:p w:rsidR="00355DAA" w:rsidRDefault="00DE05DF">
      <w:pPr>
        <w:kinsoku w:val="0"/>
        <w:spacing w:line="520" w:lineRule="exact"/>
        <w:ind w:firstLineChars="200" w:firstLine="640"/>
        <w:rPr>
          <w:rFonts w:eastAsia="仿宋_GB2312"/>
          <w:szCs w:val="32"/>
        </w:rPr>
      </w:pPr>
      <w:r>
        <w:rPr>
          <w:rFonts w:eastAsia="仿宋_GB2312" w:hint="eastAsia"/>
          <w:szCs w:val="32"/>
        </w:rPr>
        <w:t>[6]</w:t>
      </w:r>
      <w:r>
        <w:rPr>
          <w:rFonts w:eastAsia="仿宋_GB2312" w:hint="eastAsia"/>
          <w:szCs w:val="32"/>
        </w:rPr>
        <w:t>国家药品监督管理局</w:t>
      </w:r>
      <w:r>
        <w:rPr>
          <w:rFonts w:eastAsia="仿宋_GB2312" w:hint="eastAsia"/>
          <w:szCs w:val="32"/>
        </w:rPr>
        <w:t>.</w:t>
      </w:r>
      <w:r>
        <w:rPr>
          <w:rFonts w:eastAsia="仿宋_GB2312" w:hint="eastAsia"/>
          <w:szCs w:val="32"/>
        </w:rPr>
        <w:t>医疗器械产品技术要求编写指导原则</w:t>
      </w:r>
      <w:r>
        <w:rPr>
          <w:rFonts w:eastAsia="仿宋_GB2312" w:hint="eastAsia"/>
          <w:szCs w:val="32"/>
        </w:rPr>
        <w:t>:</w:t>
      </w:r>
      <w:r>
        <w:rPr>
          <w:rFonts w:eastAsia="仿宋_GB2312" w:hint="eastAsia"/>
          <w:szCs w:val="32"/>
        </w:rPr>
        <w:t>国家药监局通告</w:t>
      </w:r>
      <w:r>
        <w:rPr>
          <w:rFonts w:eastAsia="仿宋_GB2312" w:hint="eastAsia"/>
          <w:szCs w:val="32"/>
        </w:rPr>
        <w:t>2022</w:t>
      </w:r>
      <w:r>
        <w:rPr>
          <w:rFonts w:eastAsia="仿宋_GB2312" w:hint="eastAsia"/>
          <w:szCs w:val="32"/>
        </w:rPr>
        <w:t>年第</w:t>
      </w:r>
      <w:r>
        <w:rPr>
          <w:rFonts w:eastAsia="仿宋_GB2312" w:hint="eastAsia"/>
          <w:szCs w:val="32"/>
        </w:rPr>
        <w:t>8</w:t>
      </w:r>
      <w:r>
        <w:rPr>
          <w:rFonts w:eastAsia="仿宋_GB2312" w:hint="eastAsia"/>
          <w:szCs w:val="32"/>
        </w:rPr>
        <w:t>号</w:t>
      </w:r>
      <w:r>
        <w:rPr>
          <w:rFonts w:eastAsia="仿宋_GB2312" w:hint="eastAsia"/>
          <w:szCs w:val="32"/>
        </w:rPr>
        <w:t>[Z].</w:t>
      </w:r>
    </w:p>
    <w:p w:rsidR="00355DAA" w:rsidRDefault="00DE05DF">
      <w:pPr>
        <w:kinsoku w:val="0"/>
        <w:spacing w:line="520" w:lineRule="exact"/>
        <w:ind w:firstLineChars="200" w:firstLine="640"/>
        <w:rPr>
          <w:rFonts w:eastAsia="仿宋_GB2312"/>
          <w:szCs w:val="20"/>
        </w:rPr>
      </w:pPr>
      <w:r>
        <w:rPr>
          <w:rFonts w:eastAsia="仿宋_GB2312" w:hint="eastAsia"/>
          <w:szCs w:val="32"/>
        </w:rPr>
        <w:t>[7]</w:t>
      </w:r>
      <w:r>
        <w:rPr>
          <w:rFonts w:eastAsia="仿宋_GB2312"/>
          <w:szCs w:val="32"/>
        </w:rPr>
        <w:t>国家药品监督管理局</w:t>
      </w:r>
      <w:r>
        <w:rPr>
          <w:rFonts w:eastAsia="仿宋_GB2312"/>
          <w:szCs w:val="32"/>
        </w:rPr>
        <w:t>.</w:t>
      </w:r>
      <w:r>
        <w:rPr>
          <w:rFonts w:eastAsia="仿宋_GB2312"/>
          <w:szCs w:val="32"/>
        </w:rPr>
        <w:t>关于公布医疗器械注册申报资料要求和批准证明文件格式的公告</w:t>
      </w:r>
      <w:r>
        <w:rPr>
          <w:rFonts w:eastAsia="仿宋_GB2312" w:hint="eastAsia"/>
          <w:szCs w:val="32"/>
        </w:rPr>
        <w:t>:</w:t>
      </w:r>
      <w:r>
        <w:rPr>
          <w:rFonts w:eastAsia="仿宋_GB2312"/>
          <w:szCs w:val="32"/>
        </w:rPr>
        <w:t>国家药品监督管理局公告</w:t>
      </w:r>
      <w:r>
        <w:rPr>
          <w:rFonts w:eastAsia="仿宋_GB2312"/>
          <w:szCs w:val="32"/>
        </w:rPr>
        <w:t>2021</w:t>
      </w:r>
      <w:r>
        <w:rPr>
          <w:rFonts w:eastAsia="仿宋_GB2312"/>
          <w:szCs w:val="32"/>
        </w:rPr>
        <w:t>年第</w:t>
      </w:r>
      <w:r>
        <w:rPr>
          <w:rFonts w:eastAsia="仿宋_GB2312"/>
          <w:szCs w:val="32"/>
        </w:rPr>
        <w:t>121</w:t>
      </w:r>
      <w:r>
        <w:rPr>
          <w:rFonts w:eastAsia="仿宋_GB2312"/>
          <w:szCs w:val="32"/>
        </w:rPr>
        <w:t>号</w:t>
      </w:r>
      <w:r>
        <w:rPr>
          <w:rFonts w:eastAsia="仿宋_GB2312"/>
          <w:szCs w:val="32"/>
        </w:rPr>
        <w:t>[Z]</w:t>
      </w:r>
      <w:r>
        <w:rPr>
          <w:rFonts w:eastAsia="仿宋_GB2312"/>
          <w:kern w:val="0"/>
          <w:szCs w:val="32"/>
        </w:rPr>
        <w:t>.</w:t>
      </w:r>
    </w:p>
    <w:p w:rsidR="00355DAA" w:rsidRDefault="00DE05DF">
      <w:pPr>
        <w:kinsoku w:val="0"/>
        <w:spacing w:line="520" w:lineRule="exact"/>
        <w:ind w:firstLineChars="200" w:firstLine="640"/>
        <w:rPr>
          <w:rFonts w:eastAsia="微软雅黑"/>
          <w:szCs w:val="20"/>
        </w:rPr>
      </w:pPr>
      <w:r>
        <w:rPr>
          <w:rFonts w:eastAsia="仿宋_GB2312" w:hint="eastAsia"/>
          <w:kern w:val="0"/>
          <w:szCs w:val="32"/>
        </w:rPr>
        <w:t>[8]</w:t>
      </w:r>
      <w:r>
        <w:rPr>
          <w:rFonts w:eastAsia="仿宋_GB2312" w:hint="eastAsia"/>
          <w:kern w:val="0"/>
          <w:szCs w:val="32"/>
        </w:rPr>
        <w:t>国家食品药品监督管理局</w:t>
      </w:r>
      <w:r>
        <w:rPr>
          <w:rFonts w:eastAsia="仿宋_GB2312" w:hint="eastAsia"/>
          <w:kern w:val="0"/>
          <w:szCs w:val="32"/>
        </w:rPr>
        <w:t>.</w:t>
      </w:r>
      <w:r>
        <w:rPr>
          <w:rFonts w:eastAsia="仿宋_GB2312" w:hint="eastAsia"/>
          <w:kern w:val="0"/>
          <w:szCs w:val="32"/>
        </w:rPr>
        <w:t>医疗器械注册单元划分指导原则</w:t>
      </w:r>
      <w:r>
        <w:rPr>
          <w:rFonts w:eastAsia="仿宋_GB2312" w:hint="eastAsia"/>
          <w:kern w:val="0"/>
          <w:szCs w:val="32"/>
        </w:rPr>
        <w:t>:</w:t>
      </w:r>
      <w:r>
        <w:rPr>
          <w:rFonts w:eastAsia="仿宋_GB2312" w:hint="eastAsia"/>
          <w:kern w:val="0"/>
          <w:szCs w:val="32"/>
        </w:rPr>
        <w:t>总局通告</w:t>
      </w:r>
      <w:r>
        <w:rPr>
          <w:rFonts w:eastAsia="仿宋_GB2312" w:hint="eastAsia"/>
          <w:kern w:val="0"/>
          <w:szCs w:val="32"/>
        </w:rPr>
        <w:t>2017</w:t>
      </w:r>
      <w:r>
        <w:rPr>
          <w:rFonts w:eastAsia="仿宋_GB2312" w:hint="eastAsia"/>
          <w:kern w:val="0"/>
          <w:szCs w:val="32"/>
        </w:rPr>
        <w:t>年第</w:t>
      </w:r>
      <w:r>
        <w:rPr>
          <w:rFonts w:eastAsia="仿宋_GB2312" w:hint="eastAsia"/>
          <w:kern w:val="0"/>
          <w:szCs w:val="32"/>
        </w:rPr>
        <w:t>187</w:t>
      </w:r>
      <w:r>
        <w:rPr>
          <w:rFonts w:eastAsia="仿宋_GB2312" w:hint="eastAsia"/>
          <w:kern w:val="0"/>
          <w:szCs w:val="32"/>
        </w:rPr>
        <w:t>号</w:t>
      </w:r>
      <w:r>
        <w:rPr>
          <w:rFonts w:eastAsia="仿宋_GB2312" w:hint="eastAsia"/>
          <w:kern w:val="0"/>
          <w:szCs w:val="32"/>
        </w:rPr>
        <w:t>[Z].</w:t>
      </w:r>
    </w:p>
    <w:p w:rsidR="00355DAA" w:rsidRDefault="00DE05DF">
      <w:pPr>
        <w:numPr>
          <w:ilvl w:val="255"/>
          <w:numId w:val="0"/>
        </w:numPr>
        <w:kinsoku w:val="0"/>
        <w:spacing w:line="520" w:lineRule="exact"/>
        <w:ind w:firstLineChars="200" w:firstLine="640"/>
        <w:rPr>
          <w:rFonts w:eastAsia="仿宋_GB2312"/>
          <w:kern w:val="0"/>
          <w:szCs w:val="32"/>
        </w:rPr>
      </w:pPr>
      <w:r>
        <w:rPr>
          <w:rFonts w:eastAsia="仿宋_GB2312" w:hint="eastAsia"/>
          <w:kern w:val="0"/>
          <w:szCs w:val="32"/>
        </w:rPr>
        <w:t>[9]</w:t>
      </w:r>
      <w:r>
        <w:rPr>
          <w:rFonts w:eastAsia="仿宋_GB2312" w:hint="eastAsia"/>
          <w:kern w:val="0"/>
          <w:szCs w:val="32"/>
        </w:rPr>
        <w:t>国家药品监督管理局</w:t>
      </w:r>
      <w:r>
        <w:rPr>
          <w:rFonts w:eastAsia="仿宋_GB2312" w:hint="eastAsia"/>
          <w:kern w:val="0"/>
          <w:szCs w:val="32"/>
        </w:rPr>
        <w:t>.</w:t>
      </w:r>
      <w:r>
        <w:rPr>
          <w:rFonts w:eastAsia="仿宋_GB2312" w:hint="eastAsia"/>
          <w:kern w:val="0"/>
          <w:szCs w:val="32"/>
        </w:rPr>
        <w:t>有源医疗器械使用期限注册技术审查指导原则</w:t>
      </w:r>
      <w:r>
        <w:rPr>
          <w:rFonts w:eastAsia="仿宋_GB2312" w:hint="eastAsia"/>
          <w:kern w:val="0"/>
          <w:szCs w:val="32"/>
        </w:rPr>
        <w:t>:</w:t>
      </w:r>
      <w:r>
        <w:rPr>
          <w:rFonts w:eastAsia="仿宋_GB2312" w:hint="eastAsia"/>
          <w:kern w:val="0"/>
          <w:szCs w:val="32"/>
        </w:rPr>
        <w:t>国</w:t>
      </w:r>
      <w:r>
        <w:rPr>
          <w:rFonts w:eastAsia="仿宋_GB2312" w:hint="eastAsia"/>
          <w:kern w:val="0"/>
          <w:szCs w:val="32"/>
        </w:rPr>
        <w:t>家药品监督管理局通告</w:t>
      </w:r>
      <w:r>
        <w:rPr>
          <w:rFonts w:eastAsia="仿宋_GB2312" w:hint="eastAsia"/>
          <w:kern w:val="0"/>
          <w:szCs w:val="32"/>
        </w:rPr>
        <w:t>2019</w:t>
      </w:r>
      <w:r>
        <w:rPr>
          <w:rFonts w:eastAsia="仿宋_GB2312" w:hint="eastAsia"/>
          <w:kern w:val="0"/>
          <w:szCs w:val="32"/>
        </w:rPr>
        <w:t>年第</w:t>
      </w:r>
      <w:r>
        <w:rPr>
          <w:rFonts w:eastAsia="仿宋_GB2312" w:hint="eastAsia"/>
          <w:kern w:val="0"/>
          <w:szCs w:val="32"/>
        </w:rPr>
        <w:t>23</w:t>
      </w:r>
      <w:r>
        <w:rPr>
          <w:rFonts w:eastAsia="仿宋_GB2312" w:hint="eastAsia"/>
          <w:kern w:val="0"/>
          <w:szCs w:val="32"/>
        </w:rPr>
        <w:t>号</w:t>
      </w:r>
      <w:r>
        <w:rPr>
          <w:rFonts w:eastAsia="仿宋_GB2312" w:hint="eastAsia"/>
          <w:kern w:val="0"/>
          <w:szCs w:val="32"/>
        </w:rPr>
        <w:t>[Z].</w:t>
      </w:r>
    </w:p>
    <w:p w:rsidR="00355DAA" w:rsidRDefault="00DE05DF">
      <w:pPr>
        <w:numPr>
          <w:ilvl w:val="255"/>
          <w:numId w:val="0"/>
        </w:numPr>
        <w:kinsoku w:val="0"/>
        <w:spacing w:line="520" w:lineRule="exact"/>
        <w:ind w:firstLineChars="200" w:firstLine="640"/>
        <w:rPr>
          <w:rFonts w:eastAsia="仿宋_GB2312"/>
          <w:kern w:val="0"/>
          <w:szCs w:val="32"/>
        </w:rPr>
      </w:pPr>
      <w:r>
        <w:rPr>
          <w:rFonts w:eastAsia="仿宋_GB2312" w:hint="eastAsia"/>
          <w:kern w:val="0"/>
          <w:szCs w:val="32"/>
        </w:rPr>
        <w:t>[10]</w:t>
      </w:r>
      <w:r>
        <w:rPr>
          <w:rFonts w:eastAsia="仿宋_GB2312" w:hint="eastAsia"/>
          <w:kern w:val="0"/>
          <w:szCs w:val="32"/>
        </w:rPr>
        <w:t>国家药品监督管理局</w:t>
      </w:r>
      <w:r>
        <w:rPr>
          <w:rFonts w:eastAsia="仿宋_GB2312" w:hint="eastAsia"/>
          <w:kern w:val="0"/>
          <w:szCs w:val="32"/>
        </w:rPr>
        <w:t>.</w:t>
      </w:r>
      <w:r>
        <w:rPr>
          <w:rFonts w:eastAsia="仿宋_GB2312" w:hint="eastAsia"/>
          <w:kern w:val="0"/>
          <w:szCs w:val="32"/>
        </w:rPr>
        <w:t>列入免于临床评价医疗器械目录产品对比说明技术指导原则</w:t>
      </w:r>
      <w:r>
        <w:rPr>
          <w:rFonts w:eastAsia="仿宋_GB2312" w:hint="eastAsia"/>
          <w:kern w:val="0"/>
          <w:szCs w:val="32"/>
        </w:rPr>
        <w:t>:</w:t>
      </w:r>
      <w:r>
        <w:rPr>
          <w:rFonts w:eastAsia="仿宋_GB2312" w:hint="eastAsia"/>
          <w:kern w:val="0"/>
          <w:szCs w:val="32"/>
        </w:rPr>
        <w:t>国家药监局通告</w:t>
      </w:r>
      <w:r>
        <w:rPr>
          <w:rFonts w:eastAsia="仿宋_GB2312" w:hint="eastAsia"/>
          <w:kern w:val="0"/>
          <w:szCs w:val="32"/>
        </w:rPr>
        <w:t>2021</w:t>
      </w:r>
      <w:r>
        <w:rPr>
          <w:rFonts w:eastAsia="仿宋_GB2312" w:hint="eastAsia"/>
          <w:kern w:val="0"/>
          <w:szCs w:val="32"/>
        </w:rPr>
        <w:t>年第</w:t>
      </w:r>
      <w:r>
        <w:rPr>
          <w:rFonts w:eastAsia="仿宋_GB2312" w:hint="eastAsia"/>
          <w:kern w:val="0"/>
          <w:szCs w:val="32"/>
        </w:rPr>
        <w:t>73</w:t>
      </w:r>
      <w:r>
        <w:rPr>
          <w:rFonts w:eastAsia="仿宋_GB2312" w:hint="eastAsia"/>
          <w:kern w:val="0"/>
          <w:szCs w:val="32"/>
        </w:rPr>
        <w:t>号</w:t>
      </w:r>
      <w:r>
        <w:rPr>
          <w:rFonts w:eastAsia="仿宋_GB2312" w:hint="eastAsia"/>
          <w:kern w:val="0"/>
          <w:szCs w:val="32"/>
        </w:rPr>
        <w:t>[Z].</w:t>
      </w:r>
    </w:p>
    <w:p w:rsidR="00355DAA" w:rsidRDefault="00DE05DF">
      <w:pPr>
        <w:numPr>
          <w:ilvl w:val="255"/>
          <w:numId w:val="0"/>
        </w:numPr>
        <w:kinsoku w:val="0"/>
        <w:spacing w:line="520" w:lineRule="exact"/>
        <w:ind w:firstLineChars="200" w:firstLine="640"/>
        <w:rPr>
          <w:rFonts w:eastAsia="仿宋_GB2312"/>
          <w:kern w:val="0"/>
          <w:szCs w:val="32"/>
        </w:rPr>
      </w:pPr>
      <w:r>
        <w:rPr>
          <w:rFonts w:eastAsia="仿宋_GB2312" w:hint="eastAsia"/>
          <w:kern w:val="0"/>
          <w:szCs w:val="32"/>
        </w:rPr>
        <w:t>[11]</w:t>
      </w:r>
      <w:r>
        <w:rPr>
          <w:rFonts w:eastAsia="仿宋_GB2312" w:hint="eastAsia"/>
          <w:kern w:val="0"/>
          <w:szCs w:val="32"/>
        </w:rPr>
        <w:t>国家药品监督管理局</w:t>
      </w:r>
      <w:r>
        <w:rPr>
          <w:rFonts w:eastAsia="仿宋_GB2312" w:hint="eastAsia"/>
          <w:kern w:val="0"/>
          <w:szCs w:val="32"/>
        </w:rPr>
        <w:t>.</w:t>
      </w:r>
      <w:r>
        <w:rPr>
          <w:rFonts w:eastAsia="仿宋_GB2312" w:hint="eastAsia"/>
          <w:kern w:val="0"/>
          <w:szCs w:val="32"/>
        </w:rPr>
        <w:t>免于进行临床评价医疗器械目录</w:t>
      </w:r>
      <w:r>
        <w:rPr>
          <w:rFonts w:eastAsia="仿宋_GB2312" w:hint="eastAsia"/>
          <w:kern w:val="0"/>
          <w:szCs w:val="32"/>
        </w:rPr>
        <w:t>:</w:t>
      </w:r>
      <w:r>
        <w:rPr>
          <w:rFonts w:eastAsia="仿宋_GB2312" w:hint="eastAsia"/>
          <w:kern w:val="0"/>
          <w:szCs w:val="32"/>
        </w:rPr>
        <w:t>国家药监局通告</w:t>
      </w:r>
      <w:r>
        <w:rPr>
          <w:rFonts w:eastAsia="仿宋_GB2312" w:hint="eastAsia"/>
          <w:kern w:val="0"/>
          <w:szCs w:val="32"/>
        </w:rPr>
        <w:t>2025</w:t>
      </w:r>
      <w:r>
        <w:rPr>
          <w:rFonts w:eastAsia="仿宋_GB2312" w:hint="eastAsia"/>
          <w:kern w:val="0"/>
          <w:szCs w:val="32"/>
        </w:rPr>
        <w:t>年第</w:t>
      </w:r>
      <w:r>
        <w:rPr>
          <w:rFonts w:eastAsia="仿宋_GB2312" w:hint="eastAsia"/>
          <w:kern w:val="0"/>
          <w:szCs w:val="32"/>
        </w:rPr>
        <w:t>19</w:t>
      </w:r>
      <w:r>
        <w:rPr>
          <w:rFonts w:eastAsia="仿宋_GB2312" w:hint="eastAsia"/>
          <w:kern w:val="0"/>
          <w:szCs w:val="32"/>
        </w:rPr>
        <w:t>号</w:t>
      </w:r>
      <w:r>
        <w:rPr>
          <w:rFonts w:eastAsia="仿宋_GB2312" w:hint="eastAsia"/>
          <w:kern w:val="0"/>
          <w:szCs w:val="32"/>
        </w:rPr>
        <w:t>[Z].</w:t>
      </w:r>
    </w:p>
    <w:p w:rsidR="00355DAA" w:rsidRDefault="00DE05DF">
      <w:pPr>
        <w:numPr>
          <w:ilvl w:val="255"/>
          <w:numId w:val="0"/>
        </w:numPr>
        <w:kinsoku w:val="0"/>
        <w:spacing w:line="520" w:lineRule="exact"/>
        <w:ind w:firstLineChars="200" w:firstLine="640"/>
        <w:rPr>
          <w:rFonts w:eastAsia="仿宋_GB2312"/>
          <w:kern w:val="0"/>
          <w:szCs w:val="32"/>
        </w:rPr>
      </w:pPr>
      <w:r>
        <w:rPr>
          <w:rFonts w:eastAsia="仿宋_GB2312" w:hint="eastAsia"/>
          <w:kern w:val="0"/>
          <w:szCs w:val="32"/>
        </w:rPr>
        <w:lastRenderedPageBreak/>
        <w:t>[12]</w:t>
      </w:r>
      <w:r>
        <w:rPr>
          <w:rFonts w:eastAsia="仿宋_GB2312" w:hint="eastAsia"/>
          <w:kern w:val="0"/>
          <w:szCs w:val="32"/>
        </w:rPr>
        <w:t>国家药品监督管理局</w:t>
      </w:r>
      <w:r>
        <w:rPr>
          <w:rFonts w:eastAsia="仿宋_GB2312" w:hint="eastAsia"/>
          <w:kern w:val="0"/>
          <w:szCs w:val="32"/>
        </w:rPr>
        <w:t>.</w:t>
      </w:r>
      <w:r>
        <w:rPr>
          <w:rFonts w:eastAsia="仿宋_GB2312" w:hint="eastAsia"/>
          <w:kern w:val="0"/>
          <w:szCs w:val="32"/>
        </w:rPr>
        <w:t>医疗器械临床评价技术指导原则</w:t>
      </w:r>
      <w:r>
        <w:rPr>
          <w:rFonts w:eastAsia="仿宋_GB2312" w:hint="eastAsia"/>
          <w:kern w:val="0"/>
          <w:szCs w:val="32"/>
        </w:rPr>
        <w:t>:</w:t>
      </w:r>
      <w:r>
        <w:rPr>
          <w:rFonts w:eastAsia="仿宋_GB2312" w:hint="eastAsia"/>
          <w:kern w:val="0"/>
          <w:szCs w:val="32"/>
        </w:rPr>
        <w:t>国家药监局通告</w:t>
      </w:r>
      <w:r>
        <w:rPr>
          <w:rFonts w:eastAsia="仿宋_GB2312" w:hint="eastAsia"/>
          <w:kern w:val="0"/>
          <w:szCs w:val="32"/>
        </w:rPr>
        <w:t>2021</w:t>
      </w:r>
      <w:r>
        <w:rPr>
          <w:rFonts w:eastAsia="仿宋_GB2312" w:hint="eastAsia"/>
          <w:kern w:val="0"/>
          <w:szCs w:val="32"/>
        </w:rPr>
        <w:t>年第</w:t>
      </w:r>
      <w:r>
        <w:rPr>
          <w:rFonts w:eastAsia="仿宋_GB2312" w:hint="eastAsia"/>
          <w:kern w:val="0"/>
          <w:szCs w:val="32"/>
        </w:rPr>
        <w:t>73</w:t>
      </w:r>
      <w:r>
        <w:rPr>
          <w:rFonts w:eastAsia="仿宋_GB2312" w:hint="eastAsia"/>
          <w:kern w:val="0"/>
          <w:szCs w:val="32"/>
        </w:rPr>
        <w:t>号</w:t>
      </w:r>
      <w:r>
        <w:rPr>
          <w:rFonts w:eastAsia="仿宋_GB2312" w:hint="eastAsia"/>
          <w:kern w:val="0"/>
          <w:szCs w:val="32"/>
        </w:rPr>
        <w:t>[Z].</w:t>
      </w:r>
    </w:p>
    <w:p w:rsidR="00355DAA" w:rsidRDefault="00355DAA">
      <w:pPr>
        <w:numPr>
          <w:ilvl w:val="255"/>
          <w:numId w:val="0"/>
        </w:numPr>
        <w:kinsoku w:val="0"/>
        <w:spacing w:line="520" w:lineRule="exact"/>
        <w:ind w:firstLineChars="200" w:firstLine="640"/>
        <w:rPr>
          <w:rFonts w:eastAsia="仿宋_GB2312"/>
          <w:kern w:val="0"/>
          <w:szCs w:val="32"/>
        </w:rPr>
      </w:pPr>
    </w:p>
    <w:p w:rsidR="00355DAA" w:rsidRDefault="00DE05DF">
      <w:pPr>
        <w:kinsoku w:val="0"/>
        <w:overflowPunct w:val="0"/>
        <w:spacing w:before="120" w:line="520" w:lineRule="exact"/>
        <w:ind w:firstLineChars="200" w:firstLine="640"/>
        <w:outlineLvl w:val="0"/>
        <w:rPr>
          <w:rFonts w:eastAsia="仿宋_GB2312"/>
          <w:snapToGrid w:val="0"/>
          <w:kern w:val="0"/>
          <w:szCs w:val="32"/>
        </w:rPr>
      </w:pPr>
      <w:r>
        <w:rPr>
          <w:rFonts w:eastAsia="仿宋_GB2312"/>
          <w:snapToGrid w:val="0"/>
          <w:kern w:val="0"/>
          <w:szCs w:val="32"/>
        </w:rPr>
        <w:t>附</w:t>
      </w:r>
      <w:r>
        <w:rPr>
          <w:rFonts w:eastAsia="仿宋_GB2312" w:hint="eastAsia"/>
          <w:snapToGrid w:val="0"/>
          <w:kern w:val="0"/>
          <w:szCs w:val="32"/>
        </w:rPr>
        <w:t>件：</w:t>
      </w:r>
      <w:r>
        <w:rPr>
          <w:rFonts w:eastAsia="仿宋_GB2312" w:hint="eastAsia"/>
          <w:snapToGrid w:val="0"/>
          <w:kern w:val="0"/>
          <w:szCs w:val="32"/>
        </w:rPr>
        <w:t>1.</w:t>
      </w:r>
      <w:r>
        <w:rPr>
          <w:rFonts w:eastAsia="仿宋_GB2312"/>
          <w:snapToGrid w:val="0"/>
          <w:kern w:val="0"/>
          <w:szCs w:val="32"/>
        </w:rPr>
        <w:t>风险管理文档</w:t>
      </w:r>
    </w:p>
    <w:p w:rsidR="00355DAA" w:rsidRDefault="00DE05DF">
      <w:pPr>
        <w:numPr>
          <w:ilvl w:val="255"/>
          <w:numId w:val="0"/>
        </w:numPr>
        <w:kinsoku w:val="0"/>
        <w:spacing w:line="520" w:lineRule="exact"/>
        <w:ind w:firstLineChars="500" w:firstLine="1600"/>
        <w:rPr>
          <w:rFonts w:eastAsia="仿宋_GB2312"/>
          <w:kern w:val="0"/>
          <w:szCs w:val="32"/>
        </w:rPr>
      </w:pPr>
      <w:r>
        <w:rPr>
          <w:rFonts w:eastAsia="仿宋_GB2312" w:hint="eastAsia"/>
          <w:snapToGrid w:val="0"/>
          <w:kern w:val="0"/>
          <w:szCs w:val="32"/>
        </w:rPr>
        <w:t>2.</w:t>
      </w:r>
      <w:r>
        <w:rPr>
          <w:rFonts w:eastAsia="仿宋_GB2312" w:hint="eastAsia"/>
          <w:snapToGrid w:val="0"/>
          <w:kern w:val="0"/>
          <w:szCs w:val="32"/>
        </w:rPr>
        <w:t>产品宜参考的现行有效标准</w:t>
      </w:r>
    </w:p>
    <w:p w:rsidR="00355DAA" w:rsidRDefault="00DE05DF">
      <w:pPr>
        <w:rPr>
          <w:rFonts w:ascii="黑体" w:eastAsia="黑体" w:hAnsi="黑体" w:cs="黑体"/>
          <w:szCs w:val="28"/>
        </w:rPr>
      </w:pPr>
      <w:r>
        <w:rPr>
          <w:rFonts w:ascii="黑体" w:eastAsia="黑体" w:hAnsi="黑体" w:cs="黑体" w:hint="eastAsia"/>
          <w:szCs w:val="28"/>
        </w:rPr>
        <w:br w:type="page"/>
      </w:r>
    </w:p>
    <w:p w:rsidR="00355DAA" w:rsidRDefault="00DE05DF">
      <w:pPr>
        <w:adjustRightInd w:val="0"/>
        <w:snapToGrid w:val="0"/>
        <w:spacing w:line="520" w:lineRule="exact"/>
        <w:rPr>
          <w:rFonts w:ascii="黑体" w:eastAsia="黑体" w:hAnsi="黑体" w:cs="黑体"/>
          <w:szCs w:val="28"/>
        </w:rPr>
      </w:pPr>
      <w:r>
        <w:rPr>
          <w:rFonts w:ascii="黑体" w:eastAsia="黑体" w:hAnsi="黑体" w:cs="黑体" w:hint="eastAsia"/>
          <w:szCs w:val="28"/>
        </w:rPr>
        <w:lastRenderedPageBreak/>
        <w:t>附件</w:t>
      </w:r>
      <w:r>
        <w:rPr>
          <w:rFonts w:ascii="黑体" w:eastAsia="黑体" w:hAnsi="黑体" w:cs="黑体" w:hint="eastAsia"/>
          <w:szCs w:val="28"/>
        </w:rPr>
        <w:t>1</w:t>
      </w:r>
    </w:p>
    <w:p w:rsidR="00355DAA" w:rsidRDefault="00DE05DF">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bCs/>
          <w:snapToGrid w:val="0"/>
          <w:sz w:val="44"/>
          <w:szCs w:val="44"/>
          <w:lang w:val="zh-CN"/>
        </w:rPr>
        <w:t>风险管理文档</w:t>
      </w:r>
    </w:p>
    <w:p w:rsidR="00355DAA" w:rsidRDefault="00355DAA">
      <w:pPr>
        <w:spacing w:line="520" w:lineRule="exact"/>
        <w:ind w:firstLineChars="200" w:firstLine="640"/>
        <w:jc w:val="center"/>
        <w:rPr>
          <w:rFonts w:ascii="仿宋_GB2312" w:eastAsia="仿宋_GB2312" w:hAnsi="仿宋_GB2312" w:cs="仿宋_GB2312"/>
          <w:szCs w:val="32"/>
        </w:rPr>
      </w:pPr>
    </w:p>
    <w:p w:rsidR="00355DAA" w:rsidRDefault="00DE05DF">
      <w:pPr>
        <w:spacing w:line="520" w:lineRule="exact"/>
        <w:ind w:firstLineChars="200" w:firstLine="560"/>
        <w:jc w:val="center"/>
        <w:rPr>
          <w:rFonts w:eastAsia="黑体"/>
          <w:sz w:val="28"/>
          <w:szCs w:val="28"/>
        </w:rPr>
      </w:pPr>
      <w:r>
        <w:rPr>
          <w:rFonts w:eastAsia="黑体" w:hint="eastAsia"/>
          <w:sz w:val="28"/>
          <w:szCs w:val="28"/>
        </w:rPr>
        <w:t>表</w:t>
      </w:r>
      <w:r>
        <w:rPr>
          <w:rFonts w:eastAsia="黑体" w:hint="eastAsia"/>
          <w:sz w:val="28"/>
          <w:szCs w:val="28"/>
        </w:rPr>
        <w:t xml:space="preserve">1 </w:t>
      </w:r>
      <w:r>
        <w:rPr>
          <w:rFonts w:ascii="方正小标宋简体" w:eastAsia="方正小标宋简体" w:hint="eastAsia"/>
          <w:sz w:val="30"/>
          <w:szCs w:val="30"/>
        </w:rPr>
        <w:t>脉搏血氧传感器</w:t>
      </w:r>
      <w:r>
        <w:rPr>
          <w:rFonts w:ascii="方正小标宋简体" w:eastAsia="方正小标宋简体" w:hint="eastAsia"/>
          <w:sz w:val="30"/>
          <w:szCs w:val="30"/>
        </w:rPr>
        <w:t>常见危险示例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182"/>
        <w:gridCol w:w="3800"/>
        <w:gridCol w:w="2630"/>
      </w:tblGrid>
      <w:tr w:rsidR="00355DAA">
        <w:trPr>
          <w:jc w:val="center"/>
        </w:trPr>
        <w:tc>
          <w:tcPr>
            <w:tcW w:w="2092" w:type="dxa"/>
            <w:gridSpan w:val="2"/>
            <w:vAlign w:val="center"/>
          </w:tcPr>
          <w:p w:rsidR="00355DAA" w:rsidRDefault="00DE05DF">
            <w:pPr>
              <w:spacing w:line="520" w:lineRule="exact"/>
              <w:jc w:val="center"/>
              <w:rPr>
                <w:rFonts w:eastAsia="黑体"/>
                <w:snapToGrid w:val="0"/>
                <w:kern w:val="0"/>
                <w:sz w:val="28"/>
                <w:szCs w:val="28"/>
              </w:rPr>
            </w:pPr>
            <w:r>
              <w:rPr>
                <w:rFonts w:eastAsia="黑体" w:hint="eastAsia"/>
                <w:snapToGrid w:val="0"/>
                <w:kern w:val="0"/>
                <w:sz w:val="28"/>
                <w:szCs w:val="28"/>
              </w:rPr>
              <w:t>危险分类</w:t>
            </w:r>
          </w:p>
        </w:tc>
        <w:tc>
          <w:tcPr>
            <w:tcW w:w="3800" w:type="dxa"/>
            <w:vAlign w:val="center"/>
          </w:tcPr>
          <w:p w:rsidR="00355DAA" w:rsidRDefault="00DE05DF">
            <w:pPr>
              <w:spacing w:line="520" w:lineRule="exact"/>
              <w:jc w:val="center"/>
              <w:rPr>
                <w:rFonts w:eastAsia="黑体"/>
                <w:snapToGrid w:val="0"/>
                <w:kern w:val="0"/>
                <w:sz w:val="28"/>
                <w:szCs w:val="28"/>
              </w:rPr>
            </w:pPr>
            <w:r>
              <w:rPr>
                <w:rFonts w:eastAsia="黑体" w:hint="eastAsia"/>
                <w:snapToGrid w:val="0"/>
                <w:kern w:val="0"/>
                <w:sz w:val="28"/>
                <w:szCs w:val="28"/>
              </w:rPr>
              <w:t>可预见事件序列</w:t>
            </w:r>
          </w:p>
        </w:tc>
        <w:tc>
          <w:tcPr>
            <w:tcW w:w="2630" w:type="dxa"/>
            <w:vAlign w:val="center"/>
          </w:tcPr>
          <w:p w:rsidR="00355DAA" w:rsidRDefault="00DE05DF">
            <w:pPr>
              <w:spacing w:line="520" w:lineRule="exact"/>
              <w:jc w:val="center"/>
              <w:rPr>
                <w:rFonts w:eastAsia="黑体"/>
                <w:snapToGrid w:val="0"/>
                <w:kern w:val="0"/>
                <w:sz w:val="28"/>
                <w:szCs w:val="28"/>
              </w:rPr>
            </w:pPr>
            <w:r>
              <w:rPr>
                <w:rFonts w:eastAsia="黑体" w:hint="eastAsia"/>
                <w:snapToGrid w:val="0"/>
                <w:kern w:val="0"/>
                <w:sz w:val="28"/>
                <w:szCs w:val="28"/>
              </w:rPr>
              <w:t>可能的伤害</w:t>
            </w:r>
          </w:p>
        </w:tc>
      </w:tr>
      <w:tr w:rsidR="00355DAA">
        <w:trPr>
          <w:jc w:val="center"/>
        </w:trPr>
        <w:tc>
          <w:tcPr>
            <w:tcW w:w="910"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能量</w:t>
            </w:r>
          </w:p>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危险</w:t>
            </w:r>
          </w:p>
        </w:tc>
        <w:tc>
          <w:tcPr>
            <w:tcW w:w="1182"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电磁能</w:t>
            </w:r>
          </w:p>
        </w:tc>
        <w:tc>
          <w:tcPr>
            <w:tcW w:w="380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可触及外壳、应用部分等与带电部分隔离</w:t>
            </w:r>
            <w:r>
              <w:rPr>
                <w:rFonts w:eastAsia="仿宋_GB2312"/>
                <w:sz w:val="28"/>
                <w:szCs w:val="28"/>
              </w:rPr>
              <w:t>/</w:t>
            </w:r>
            <w:r>
              <w:rPr>
                <w:rFonts w:eastAsia="仿宋_GB2312"/>
                <w:sz w:val="28"/>
                <w:szCs w:val="28"/>
              </w:rPr>
              <w:t>保护不够，电介质强度不够</w:t>
            </w:r>
            <w:r>
              <w:rPr>
                <w:rFonts w:eastAsia="仿宋_GB2312" w:hint="eastAsia"/>
                <w:sz w:val="28"/>
                <w:szCs w:val="28"/>
              </w:rPr>
              <w:t>。</w:t>
            </w:r>
          </w:p>
        </w:tc>
        <w:tc>
          <w:tcPr>
            <w:tcW w:w="263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可能对使用者或患者造成电击危害等</w:t>
            </w:r>
            <w:r>
              <w:rPr>
                <w:rFonts w:eastAsia="仿宋_GB2312" w:hint="eastAsia"/>
                <w:sz w:val="28"/>
                <w:szCs w:val="28"/>
              </w:rPr>
              <w:t>。</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Merge/>
            <w:vAlign w:val="center"/>
          </w:tcPr>
          <w:p w:rsidR="00355DAA" w:rsidRDefault="00355DAA">
            <w:pPr>
              <w:spacing w:line="520" w:lineRule="exact"/>
              <w:rPr>
                <w:rFonts w:eastAsia="仿宋_GB2312"/>
                <w:snapToGrid w:val="0"/>
                <w:kern w:val="0"/>
                <w:sz w:val="28"/>
                <w:szCs w:val="28"/>
              </w:rPr>
            </w:pP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产品外壳、应用部分绝缘</w:t>
            </w:r>
            <w:r>
              <w:rPr>
                <w:rFonts w:eastAsia="仿宋_GB2312" w:hint="eastAsia"/>
                <w:snapToGrid w:val="0"/>
                <w:kern w:val="0"/>
                <w:sz w:val="28"/>
                <w:szCs w:val="28"/>
              </w:rPr>
              <w:t>/</w:t>
            </w:r>
            <w:r>
              <w:rPr>
                <w:rFonts w:eastAsia="仿宋_GB2312" w:hint="eastAsia"/>
                <w:snapToGrid w:val="0"/>
                <w:kern w:val="0"/>
                <w:sz w:val="28"/>
                <w:szCs w:val="28"/>
              </w:rPr>
              <w:t>隔离不够。</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可能引起过量漏电流伤害使用者或患者等。</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Merge/>
            <w:vAlign w:val="center"/>
          </w:tcPr>
          <w:p w:rsidR="00355DAA" w:rsidRDefault="00355DAA">
            <w:pPr>
              <w:spacing w:line="520" w:lineRule="exact"/>
              <w:rPr>
                <w:rFonts w:eastAsia="仿宋_GB2312"/>
                <w:snapToGrid w:val="0"/>
                <w:kern w:val="0"/>
                <w:sz w:val="28"/>
                <w:szCs w:val="28"/>
              </w:rPr>
            </w:pP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抗电磁干扰能力差。</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可能引起特定环境下工作不正常。</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热能</w:t>
            </w: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传感器</w:t>
            </w:r>
            <w:r>
              <w:rPr>
                <w:rFonts w:eastAsia="仿宋_GB2312" w:hint="eastAsia"/>
                <w:snapToGrid w:val="0"/>
                <w:kern w:val="0"/>
                <w:sz w:val="28"/>
                <w:szCs w:val="28"/>
              </w:rPr>
              <w:t>LED</w:t>
            </w:r>
            <w:r>
              <w:rPr>
                <w:rFonts w:eastAsia="仿宋_GB2312" w:hint="eastAsia"/>
                <w:snapToGrid w:val="0"/>
                <w:kern w:val="0"/>
                <w:sz w:val="28"/>
                <w:szCs w:val="28"/>
              </w:rPr>
              <w:t>光输出功率超标，应用部分温度过高。</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可能导致患者皮肤灼伤。</w:t>
            </w:r>
          </w:p>
        </w:tc>
      </w:tr>
      <w:tr w:rsidR="00355DAA">
        <w:trPr>
          <w:trHeight w:val="90"/>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机械能</w:t>
            </w: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传感器外壳、夹持结构、连接器等存在锐边</w:t>
            </w:r>
            <w:r>
              <w:rPr>
                <w:rFonts w:eastAsia="仿宋_GB2312" w:hint="eastAsia"/>
                <w:snapToGrid w:val="0"/>
                <w:kern w:val="0"/>
                <w:sz w:val="28"/>
                <w:szCs w:val="28"/>
              </w:rPr>
              <w:t>/</w:t>
            </w:r>
            <w:r>
              <w:rPr>
                <w:rFonts w:eastAsia="仿宋_GB2312" w:hint="eastAsia"/>
                <w:snapToGrid w:val="0"/>
                <w:kern w:val="0"/>
                <w:sz w:val="28"/>
                <w:szCs w:val="28"/>
              </w:rPr>
              <w:t>毛刺</w:t>
            </w:r>
            <w:r>
              <w:rPr>
                <w:rFonts w:eastAsia="仿宋_GB2312" w:hint="eastAsia"/>
                <w:snapToGrid w:val="0"/>
                <w:kern w:val="0"/>
                <w:sz w:val="28"/>
                <w:szCs w:val="28"/>
              </w:rPr>
              <w:t>/</w:t>
            </w:r>
            <w:r>
              <w:rPr>
                <w:rFonts w:eastAsia="仿宋_GB2312" w:hint="eastAsia"/>
                <w:snapToGrid w:val="0"/>
                <w:kern w:val="0"/>
                <w:sz w:val="28"/>
                <w:szCs w:val="28"/>
              </w:rPr>
              <w:t>锋棱。</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可能导致患者皮肤划伤、出血。</w:t>
            </w:r>
          </w:p>
        </w:tc>
      </w:tr>
      <w:tr w:rsidR="00355DAA">
        <w:trPr>
          <w:trHeight w:val="287"/>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Merge/>
            <w:vAlign w:val="center"/>
          </w:tcPr>
          <w:p w:rsidR="00355DAA" w:rsidRDefault="00355DAA">
            <w:pPr>
              <w:spacing w:line="520" w:lineRule="exact"/>
              <w:rPr>
                <w:rFonts w:eastAsia="仿宋_GB2312"/>
                <w:snapToGrid w:val="0"/>
                <w:kern w:val="0"/>
                <w:sz w:val="28"/>
                <w:szCs w:val="28"/>
              </w:rPr>
            </w:pP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线缆抗拉强度不达标、夹持结构松垮。</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可能导致兼容的主机监测信号中断，病情变化未及时识别。</w:t>
            </w:r>
          </w:p>
        </w:tc>
      </w:tr>
      <w:tr w:rsidR="00355DAA">
        <w:trPr>
          <w:jc w:val="center"/>
        </w:trPr>
        <w:tc>
          <w:tcPr>
            <w:tcW w:w="910"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操作</w:t>
            </w:r>
          </w:p>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危险</w:t>
            </w:r>
          </w:p>
        </w:tc>
        <w:tc>
          <w:tcPr>
            <w:tcW w:w="1182"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使用错误</w:t>
            </w:r>
          </w:p>
        </w:tc>
        <w:tc>
          <w:tcPr>
            <w:tcW w:w="380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不遵守规则，缺乏知识，违反常规等，使得日常使用、维护未按规定进行</w:t>
            </w:r>
            <w:r>
              <w:rPr>
                <w:rFonts w:eastAsia="仿宋_GB2312" w:hint="eastAsia"/>
                <w:sz w:val="28"/>
                <w:szCs w:val="28"/>
              </w:rPr>
              <w:t>。</w:t>
            </w:r>
          </w:p>
        </w:tc>
        <w:tc>
          <w:tcPr>
            <w:tcW w:w="263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可能导致产品偏离正常使用状态</w:t>
            </w:r>
            <w:r>
              <w:rPr>
                <w:rFonts w:eastAsia="仿宋_GB2312" w:hint="eastAsia"/>
                <w:sz w:val="28"/>
                <w:szCs w:val="28"/>
              </w:rPr>
              <w:t>。</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shd w:val="clear" w:color="auto" w:fill="auto"/>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设备兼</w:t>
            </w:r>
            <w:r>
              <w:rPr>
                <w:rFonts w:eastAsia="仿宋_GB2312" w:hint="eastAsia"/>
                <w:snapToGrid w:val="0"/>
                <w:kern w:val="0"/>
                <w:sz w:val="28"/>
                <w:szCs w:val="28"/>
              </w:rPr>
              <w:lastRenderedPageBreak/>
              <w:t>容性失效危险</w:t>
            </w:r>
          </w:p>
        </w:tc>
        <w:tc>
          <w:tcPr>
            <w:tcW w:w="3800" w:type="dxa"/>
            <w:shd w:val="clear" w:color="auto" w:fill="auto"/>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lastRenderedPageBreak/>
              <w:t>传感器与非兼容配套的脉搏</w:t>
            </w:r>
            <w:r>
              <w:rPr>
                <w:rFonts w:eastAsia="仿宋_GB2312" w:hint="eastAsia"/>
                <w:snapToGrid w:val="0"/>
                <w:kern w:val="0"/>
                <w:sz w:val="28"/>
                <w:szCs w:val="28"/>
              </w:rPr>
              <w:lastRenderedPageBreak/>
              <w:t>血氧设备联合使用。</w:t>
            </w:r>
          </w:p>
        </w:tc>
        <w:tc>
          <w:tcPr>
            <w:tcW w:w="2630" w:type="dxa"/>
            <w:shd w:val="clear" w:color="auto" w:fill="auto"/>
            <w:vAlign w:val="center"/>
          </w:tcPr>
          <w:p w:rsidR="00355DAA" w:rsidRDefault="00DE05DF">
            <w:pPr>
              <w:spacing w:line="520" w:lineRule="exact"/>
              <w:rPr>
                <w:rFonts w:eastAsia="仿宋_GB2312"/>
                <w:sz w:val="28"/>
                <w:szCs w:val="28"/>
              </w:rPr>
            </w:pPr>
            <w:r>
              <w:rPr>
                <w:rFonts w:eastAsia="仿宋_GB2312" w:hint="eastAsia"/>
                <w:sz w:val="28"/>
                <w:szCs w:val="28"/>
              </w:rPr>
              <w:lastRenderedPageBreak/>
              <w:t>测量结果出现系统</w:t>
            </w:r>
            <w:r>
              <w:rPr>
                <w:rFonts w:eastAsia="仿宋_GB2312" w:hint="eastAsia"/>
                <w:sz w:val="28"/>
                <w:szCs w:val="28"/>
              </w:rPr>
              <w:lastRenderedPageBreak/>
              <w:t>性偏差</w:t>
            </w:r>
          </w:p>
        </w:tc>
      </w:tr>
      <w:tr w:rsidR="00355DAA">
        <w:trPr>
          <w:jc w:val="center"/>
        </w:trPr>
        <w:tc>
          <w:tcPr>
            <w:tcW w:w="910"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lastRenderedPageBreak/>
              <w:t>生物学和化学危害</w:t>
            </w:r>
          </w:p>
        </w:tc>
        <w:tc>
          <w:tcPr>
            <w:tcW w:w="1182"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生物学</w:t>
            </w: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产品清洁、消毒或灭菌不完全</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可能会使患者再次或交叉感染等。</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生物相容性</w:t>
            </w:r>
          </w:p>
        </w:tc>
        <w:tc>
          <w:tcPr>
            <w:tcW w:w="380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与患者接触材料的化学成分的毒性。</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可能会引起细胞毒性、迟发致敏反应、皮肤刺激反应等。</w:t>
            </w:r>
          </w:p>
        </w:tc>
      </w:tr>
      <w:tr w:rsidR="00355DAA">
        <w:trPr>
          <w:trHeight w:val="928"/>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化学</w:t>
            </w:r>
          </w:p>
        </w:tc>
        <w:tc>
          <w:tcPr>
            <w:tcW w:w="380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在外来物质中，如使用清洗剂或消毒剂的残留物、污染物等</w:t>
            </w:r>
          </w:p>
        </w:tc>
        <w:tc>
          <w:tcPr>
            <w:tcW w:w="2630" w:type="dxa"/>
            <w:shd w:val="clear" w:color="auto" w:fill="auto"/>
            <w:vAlign w:val="center"/>
          </w:tcPr>
          <w:p w:rsidR="00355DAA" w:rsidRDefault="00DE05DF">
            <w:pPr>
              <w:spacing w:line="520" w:lineRule="exact"/>
              <w:rPr>
                <w:rFonts w:eastAsia="仿宋_GB2312"/>
                <w:sz w:val="28"/>
                <w:szCs w:val="28"/>
              </w:rPr>
            </w:pPr>
            <w:r>
              <w:rPr>
                <w:rFonts w:eastAsia="仿宋_GB2312" w:hint="eastAsia"/>
                <w:sz w:val="28"/>
                <w:szCs w:val="28"/>
              </w:rPr>
              <w:t>可能会造成患者化学危害。</w:t>
            </w:r>
          </w:p>
        </w:tc>
      </w:tr>
      <w:tr w:rsidR="00355DAA">
        <w:trPr>
          <w:jc w:val="center"/>
        </w:trPr>
        <w:tc>
          <w:tcPr>
            <w:tcW w:w="910" w:type="dxa"/>
            <w:vMerge w:val="restart"/>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信息</w:t>
            </w:r>
          </w:p>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危害</w:t>
            </w:r>
          </w:p>
        </w:tc>
        <w:tc>
          <w:tcPr>
            <w:tcW w:w="1182" w:type="dxa"/>
            <w:shd w:val="clear" w:color="auto" w:fill="auto"/>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标记</w:t>
            </w:r>
          </w:p>
        </w:tc>
        <w:tc>
          <w:tcPr>
            <w:tcW w:w="3800" w:type="dxa"/>
            <w:shd w:val="clear" w:color="auto" w:fill="auto"/>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不完整的说明书。</w:t>
            </w:r>
          </w:p>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不适当的预期使用规范。</w:t>
            </w:r>
          </w:p>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标记符号未按照相关规范标准进行描述。</w:t>
            </w:r>
          </w:p>
        </w:tc>
        <w:tc>
          <w:tcPr>
            <w:tcW w:w="2630" w:type="dxa"/>
            <w:vAlign w:val="center"/>
          </w:tcPr>
          <w:p w:rsidR="00355DAA" w:rsidRDefault="00DE05DF">
            <w:pPr>
              <w:spacing w:line="520" w:lineRule="exact"/>
              <w:rPr>
                <w:rFonts w:eastAsia="仿宋_GB2312"/>
                <w:snapToGrid w:val="0"/>
                <w:kern w:val="0"/>
                <w:sz w:val="28"/>
                <w:szCs w:val="28"/>
              </w:rPr>
            </w:pPr>
            <w:r>
              <w:rPr>
                <w:rFonts w:eastAsia="仿宋_GB2312" w:hint="eastAsia"/>
                <w:snapToGrid w:val="0"/>
                <w:kern w:val="0"/>
                <w:sz w:val="28"/>
                <w:szCs w:val="28"/>
              </w:rPr>
              <w:t>用户不能正确的使用产品。</w:t>
            </w:r>
          </w:p>
        </w:tc>
      </w:tr>
      <w:tr w:rsidR="00355DAA">
        <w:trPr>
          <w:jc w:val="center"/>
        </w:trPr>
        <w:tc>
          <w:tcPr>
            <w:tcW w:w="910" w:type="dxa"/>
            <w:vMerge/>
            <w:vAlign w:val="center"/>
          </w:tcPr>
          <w:p w:rsidR="00355DAA" w:rsidRDefault="00355DAA">
            <w:pPr>
              <w:spacing w:line="520" w:lineRule="exact"/>
              <w:rPr>
                <w:rFonts w:eastAsia="仿宋_GB2312"/>
                <w:snapToGrid w:val="0"/>
                <w:kern w:val="0"/>
                <w:sz w:val="28"/>
                <w:szCs w:val="28"/>
              </w:rPr>
            </w:pPr>
          </w:p>
        </w:tc>
        <w:tc>
          <w:tcPr>
            <w:tcW w:w="1182"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警告</w:t>
            </w:r>
          </w:p>
        </w:tc>
        <w:tc>
          <w:tcPr>
            <w:tcW w:w="3800" w:type="dxa"/>
            <w:shd w:val="clear" w:color="auto" w:fill="auto"/>
            <w:vAlign w:val="center"/>
          </w:tcPr>
          <w:p w:rsidR="00355DAA" w:rsidRDefault="00DE05DF">
            <w:pPr>
              <w:spacing w:line="520" w:lineRule="exact"/>
              <w:rPr>
                <w:rFonts w:eastAsia="仿宋_GB2312"/>
                <w:sz w:val="28"/>
                <w:szCs w:val="28"/>
              </w:rPr>
            </w:pPr>
            <w:r>
              <w:rPr>
                <w:rFonts w:eastAsia="仿宋_GB2312"/>
                <w:sz w:val="28"/>
                <w:szCs w:val="28"/>
              </w:rPr>
              <w:t>对</w:t>
            </w:r>
            <w:r>
              <w:rPr>
                <w:rFonts w:eastAsia="仿宋_GB2312" w:hint="eastAsia"/>
                <w:sz w:val="28"/>
                <w:szCs w:val="28"/>
              </w:rPr>
              <w:t>禁忌证</w:t>
            </w:r>
            <w:r>
              <w:rPr>
                <w:rFonts w:eastAsia="仿宋_GB2312"/>
                <w:sz w:val="28"/>
                <w:szCs w:val="28"/>
              </w:rPr>
              <w:t>的警告不充分</w:t>
            </w:r>
            <w:r>
              <w:rPr>
                <w:rFonts w:eastAsia="仿宋_GB2312" w:hint="eastAsia"/>
                <w:sz w:val="28"/>
                <w:szCs w:val="28"/>
              </w:rPr>
              <w:t>。</w:t>
            </w:r>
          </w:p>
          <w:p w:rsidR="00355DAA" w:rsidRDefault="00DE05DF">
            <w:pPr>
              <w:spacing w:line="520" w:lineRule="exact"/>
              <w:rPr>
                <w:rFonts w:eastAsia="仿宋_GB2312"/>
                <w:sz w:val="28"/>
                <w:szCs w:val="28"/>
              </w:rPr>
            </w:pPr>
            <w:r>
              <w:rPr>
                <w:rFonts w:eastAsia="仿宋_GB2312"/>
                <w:sz w:val="28"/>
                <w:szCs w:val="28"/>
              </w:rPr>
              <w:t>一次性使用</w:t>
            </w:r>
            <w:r>
              <w:rPr>
                <w:rFonts w:eastAsia="仿宋_GB2312" w:hint="eastAsia"/>
                <w:sz w:val="28"/>
                <w:szCs w:val="28"/>
              </w:rPr>
              <w:t>产品</w:t>
            </w:r>
            <w:r>
              <w:rPr>
                <w:rFonts w:eastAsia="仿宋_GB2312"/>
                <w:sz w:val="28"/>
                <w:szCs w:val="28"/>
              </w:rPr>
              <w:t>可能再次</w:t>
            </w:r>
            <w:r>
              <w:rPr>
                <w:rFonts w:eastAsia="仿宋_GB2312" w:hint="eastAsia"/>
                <w:sz w:val="28"/>
                <w:szCs w:val="28"/>
              </w:rPr>
              <w:t>被</w:t>
            </w:r>
            <w:r>
              <w:rPr>
                <w:rFonts w:eastAsia="仿宋_GB2312"/>
                <w:sz w:val="28"/>
                <w:szCs w:val="28"/>
              </w:rPr>
              <w:t>使用的危害的警告（如有）</w:t>
            </w:r>
            <w:r>
              <w:rPr>
                <w:rFonts w:eastAsia="仿宋_GB2312" w:hint="eastAsia"/>
                <w:sz w:val="28"/>
                <w:szCs w:val="28"/>
              </w:rPr>
              <w:t>。</w:t>
            </w:r>
          </w:p>
          <w:p w:rsidR="00355DAA" w:rsidRDefault="00DE05DF">
            <w:pPr>
              <w:spacing w:line="520" w:lineRule="exact"/>
              <w:rPr>
                <w:rFonts w:eastAsia="仿宋_GB2312"/>
                <w:sz w:val="28"/>
                <w:szCs w:val="28"/>
              </w:rPr>
            </w:pPr>
            <w:r>
              <w:rPr>
                <w:rFonts w:eastAsia="仿宋_GB2312" w:hint="eastAsia"/>
                <w:sz w:val="28"/>
                <w:szCs w:val="28"/>
              </w:rPr>
              <w:t>无菌包装存在损坏，不可正常使用的警告（如有）。</w:t>
            </w:r>
          </w:p>
        </w:tc>
        <w:tc>
          <w:tcPr>
            <w:tcW w:w="2630" w:type="dxa"/>
            <w:shd w:val="clear" w:color="auto" w:fill="auto"/>
            <w:vAlign w:val="center"/>
          </w:tcPr>
          <w:p w:rsidR="00355DAA" w:rsidRDefault="00DE05DF">
            <w:pPr>
              <w:spacing w:line="520" w:lineRule="exact"/>
              <w:rPr>
                <w:rFonts w:eastAsia="仿宋_GB2312"/>
                <w:sz w:val="28"/>
                <w:szCs w:val="28"/>
              </w:rPr>
            </w:pPr>
            <w:r>
              <w:rPr>
                <w:rFonts w:eastAsia="仿宋_GB2312" w:hint="eastAsia"/>
                <w:sz w:val="28"/>
                <w:szCs w:val="28"/>
              </w:rPr>
              <w:t>造成患者受到危害。</w:t>
            </w:r>
          </w:p>
        </w:tc>
      </w:tr>
    </w:tbl>
    <w:p w:rsidR="00355DAA" w:rsidRDefault="00355DAA">
      <w:pPr>
        <w:adjustRightInd w:val="0"/>
        <w:snapToGrid w:val="0"/>
        <w:spacing w:line="520" w:lineRule="exact"/>
        <w:rPr>
          <w:rFonts w:ascii="黑体" w:eastAsia="黑体" w:hAnsi="黑体" w:cs="黑体"/>
          <w:szCs w:val="28"/>
        </w:rPr>
      </w:pPr>
    </w:p>
    <w:p w:rsidR="00355DAA" w:rsidRDefault="00355DAA">
      <w:pPr>
        <w:spacing w:line="520" w:lineRule="exact"/>
        <w:jc w:val="center"/>
        <w:outlineLvl w:val="0"/>
        <w:rPr>
          <w:rFonts w:ascii="Arial Unicode MS" w:eastAsia="Arial Unicode MS" w:hAnsi="黑体"/>
          <w:sz w:val="44"/>
          <w:szCs w:val="44"/>
        </w:rPr>
      </w:pPr>
    </w:p>
    <w:p w:rsidR="00355DAA" w:rsidRDefault="00355DAA">
      <w:pPr>
        <w:spacing w:line="520" w:lineRule="exact"/>
        <w:jc w:val="center"/>
        <w:outlineLvl w:val="0"/>
        <w:rPr>
          <w:rFonts w:ascii="Arial Unicode MS" w:eastAsia="Arial Unicode MS" w:hAnsi="黑体"/>
          <w:sz w:val="44"/>
          <w:szCs w:val="44"/>
        </w:rPr>
      </w:pPr>
    </w:p>
    <w:p w:rsidR="00355DAA" w:rsidRDefault="00355DAA">
      <w:pPr>
        <w:spacing w:line="520" w:lineRule="exact"/>
        <w:outlineLvl w:val="0"/>
        <w:rPr>
          <w:rFonts w:ascii="Arial Unicode MS" w:eastAsia="Arial Unicode MS" w:hAnsi="黑体"/>
          <w:sz w:val="44"/>
          <w:szCs w:val="44"/>
        </w:rPr>
      </w:pPr>
    </w:p>
    <w:p w:rsidR="00355DAA" w:rsidRDefault="00355DAA">
      <w:pPr>
        <w:pStyle w:val="a0"/>
      </w:pPr>
    </w:p>
    <w:p w:rsidR="00355DAA" w:rsidRDefault="00355DAA">
      <w:pPr>
        <w:spacing w:line="520" w:lineRule="exact"/>
        <w:jc w:val="center"/>
        <w:outlineLvl w:val="0"/>
        <w:rPr>
          <w:rFonts w:ascii="Arial Unicode MS" w:eastAsia="Arial Unicode MS" w:hAnsi="黑体"/>
          <w:sz w:val="44"/>
          <w:szCs w:val="44"/>
        </w:rPr>
      </w:pPr>
    </w:p>
    <w:p w:rsidR="00355DAA" w:rsidRDefault="00DE05DF">
      <w:pPr>
        <w:pStyle w:val="a0"/>
        <w:spacing w:line="520" w:lineRule="exact"/>
        <w:rPr>
          <w:rFonts w:ascii="黑体" w:eastAsia="黑体" w:hAnsi="黑体" w:cs="黑体"/>
          <w:kern w:val="2"/>
          <w:sz w:val="32"/>
          <w:szCs w:val="28"/>
        </w:rPr>
      </w:pPr>
      <w:r>
        <w:rPr>
          <w:rFonts w:ascii="黑体" w:eastAsia="黑体" w:hAnsi="黑体" w:cs="黑体" w:hint="eastAsia"/>
          <w:kern w:val="2"/>
          <w:sz w:val="32"/>
          <w:szCs w:val="28"/>
        </w:rPr>
        <w:lastRenderedPageBreak/>
        <w:t>附件</w:t>
      </w:r>
      <w:r>
        <w:rPr>
          <w:rFonts w:ascii="黑体" w:eastAsia="黑体" w:hAnsi="黑体" w:cs="黑体" w:hint="eastAsia"/>
          <w:kern w:val="2"/>
          <w:sz w:val="32"/>
          <w:szCs w:val="28"/>
        </w:rPr>
        <w:t>2</w:t>
      </w:r>
    </w:p>
    <w:p w:rsidR="00355DAA" w:rsidRDefault="00DE05DF">
      <w:pPr>
        <w:spacing w:line="520" w:lineRule="exact"/>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产品宜参考的现行有效标准</w:t>
      </w:r>
    </w:p>
    <w:p w:rsidR="00355DAA" w:rsidRDefault="00355DAA">
      <w:pPr>
        <w:pStyle w:val="a0"/>
        <w:spacing w:line="520" w:lineRule="exact"/>
        <w:rPr>
          <w:rFonts w:ascii="仿宋_GB2312" w:eastAsia="仿宋_GB2312" w:hAnsi="仿宋_GB2312" w:cs="仿宋_GB2312"/>
          <w:sz w:val="32"/>
          <w:szCs w:val="32"/>
        </w:rPr>
      </w:pPr>
    </w:p>
    <w:p w:rsidR="00355DAA" w:rsidRDefault="00DE05DF">
      <w:pPr>
        <w:pStyle w:val="a0"/>
        <w:spacing w:line="520" w:lineRule="exact"/>
        <w:jc w:val="center"/>
        <w:rPr>
          <w:rFonts w:ascii="Times New Roman" w:eastAsia="黑体" w:hAnsi="Times New Roman"/>
          <w:kern w:val="2"/>
          <w:sz w:val="28"/>
          <w:szCs w:val="28"/>
        </w:rPr>
      </w:pPr>
      <w:r>
        <w:rPr>
          <w:rFonts w:ascii="Times New Roman" w:eastAsia="黑体" w:hAnsi="Times New Roman" w:hint="eastAsia"/>
          <w:kern w:val="2"/>
          <w:sz w:val="28"/>
          <w:szCs w:val="28"/>
        </w:rPr>
        <w:t>表</w:t>
      </w:r>
      <w:r>
        <w:rPr>
          <w:rFonts w:ascii="Times New Roman" w:eastAsia="黑体" w:hAnsi="Times New Roman" w:hint="eastAsia"/>
          <w:kern w:val="2"/>
          <w:sz w:val="28"/>
          <w:szCs w:val="28"/>
        </w:rPr>
        <w:t xml:space="preserve">2 </w:t>
      </w:r>
      <w:r>
        <w:rPr>
          <w:rFonts w:ascii="Times New Roman" w:eastAsia="黑体" w:hAnsi="Times New Roman" w:hint="eastAsia"/>
          <w:kern w:val="2"/>
          <w:sz w:val="28"/>
          <w:szCs w:val="28"/>
        </w:rPr>
        <w:t>产品宜参考的标准</w:t>
      </w:r>
    </w:p>
    <w:tbl>
      <w:tblPr>
        <w:tblStyle w:val="af"/>
        <w:tblW w:w="9354" w:type="dxa"/>
        <w:jc w:val="center"/>
        <w:tblLayout w:type="fixed"/>
        <w:tblLook w:val="04A0" w:firstRow="1" w:lastRow="0" w:firstColumn="1" w:lastColumn="0" w:noHBand="0" w:noVBand="1"/>
      </w:tblPr>
      <w:tblGrid>
        <w:gridCol w:w="3118"/>
        <w:gridCol w:w="6236"/>
      </w:tblGrid>
      <w:tr w:rsidR="00355DAA">
        <w:trPr>
          <w:trHeight w:val="90"/>
          <w:jc w:val="center"/>
        </w:trPr>
        <w:tc>
          <w:tcPr>
            <w:tcW w:w="3118" w:type="dxa"/>
            <w:vAlign w:val="center"/>
          </w:tcPr>
          <w:p w:rsidR="00355DAA" w:rsidRDefault="00DE05DF">
            <w:pPr>
              <w:adjustRightInd w:val="0"/>
              <w:snapToGrid w:val="0"/>
              <w:spacing w:line="520" w:lineRule="exact"/>
              <w:jc w:val="center"/>
              <w:rPr>
                <w:rFonts w:ascii="黑体" w:eastAsia="黑体" w:hAnsi="黑体"/>
                <w:bCs/>
                <w:color w:val="000000"/>
                <w:sz w:val="30"/>
                <w:szCs w:val="30"/>
              </w:rPr>
            </w:pPr>
            <w:r>
              <w:rPr>
                <w:rFonts w:ascii="黑体" w:eastAsia="黑体" w:hAnsi="黑体" w:hint="eastAsia"/>
                <w:bCs/>
                <w:color w:val="000000"/>
                <w:sz w:val="28"/>
                <w:szCs w:val="28"/>
              </w:rPr>
              <w:t>标准编号</w:t>
            </w:r>
          </w:p>
        </w:tc>
        <w:tc>
          <w:tcPr>
            <w:tcW w:w="6236" w:type="dxa"/>
          </w:tcPr>
          <w:p w:rsidR="00355DAA" w:rsidRDefault="00DE05DF">
            <w:pPr>
              <w:adjustRightInd w:val="0"/>
              <w:snapToGrid w:val="0"/>
              <w:spacing w:line="520" w:lineRule="exact"/>
              <w:jc w:val="center"/>
              <w:rPr>
                <w:rFonts w:ascii="黑体" w:eastAsia="黑体" w:hAnsi="黑体"/>
                <w:bCs/>
                <w:color w:val="000000"/>
                <w:sz w:val="30"/>
                <w:szCs w:val="30"/>
              </w:rPr>
            </w:pPr>
            <w:r>
              <w:rPr>
                <w:rFonts w:ascii="黑体" w:eastAsia="黑体" w:hAnsi="黑体" w:hint="eastAsia"/>
                <w:bCs/>
                <w:color w:val="000000"/>
                <w:sz w:val="28"/>
                <w:szCs w:val="28"/>
              </w:rPr>
              <w:t>标准名称</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sz w:val="28"/>
                <w:szCs w:val="28"/>
              </w:rPr>
            </w:pPr>
            <w:r>
              <w:rPr>
                <w:rFonts w:eastAsia="仿宋_GB2312"/>
                <w:color w:val="000000"/>
                <w:sz w:val="28"/>
                <w:szCs w:val="28"/>
              </w:rPr>
              <w:t>GB/T 42062</w:t>
            </w:r>
          </w:p>
        </w:tc>
        <w:tc>
          <w:tcPr>
            <w:tcW w:w="6236" w:type="dxa"/>
            <w:shd w:val="clear" w:color="auto" w:fill="auto"/>
          </w:tcPr>
          <w:p w:rsidR="00355DAA" w:rsidRDefault="00DE05DF">
            <w:pPr>
              <w:widowControl/>
              <w:adjustRightInd w:val="0"/>
              <w:snapToGrid w:val="0"/>
              <w:spacing w:line="520" w:lineRule="exac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医疗器械</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风险管理对医疗器械的应用</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GB/T 15651.6</w:t>
            </w:r>
          </w:p>
        </w:tc>
        <w:tc>
          <w:tcPr>
            <w:tcW w:w="6236" w:type="dxa"/>
            <w:shd w:val="clear" w:color="auto" w:fill="auto"/>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半导体器件</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5-6</w:t>
            </w:r>
            <w:r>
              <w:rPr>
                <w:rFonts w:ascii="仿宋_GB2312" w:eastAsia="仿宋_GB2312" w:hAnsi="仿宋_GB2312" w:cs="仿宋_GB2312" w:hint="eastAsia"/>
                <w:color w:val="000000"/>
                <w:sz w:val="28"/>
                <w:szCs w:val="28"/>
              </w:rPr>
              <w:t>部分：光电子器件</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发光二极管</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GB/T 15651.7</w:t>
            </w:r>
          </w:p>
        </w:tc>
        <w:tc>
          <w:tcPr>
            <w:tcW w:w="6236" w:type="dxa"/>
            <w:shd w:val="clear" w:color="auto" w:fill="auto"/>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半导体器件</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5-7</w:t>
            </w:r>
            <w:r>
              <w:rPr>
                <w:rFonts w:ascii="仿宋_GB2312" w:eastAsia="仿宋_GB2312" w:hAnsi="仿宋_GB2312" w:cs="仿宋_GB2312" w:hint="eastAsia"/>
                <w:color w:val="000000"/>
                <w:sz w:val="28"/>
                <w:szCs w:val="28"/>
              </w:rPr>
              <w:t>部分：光电子器件</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光电二极管和光电晶体管</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color w:val="000000"/>
                <w:sz w:val="28"/>
                <w:szCs w:val="28"/>
              </w:rPr>
              <w:t>GB/T 14233.1</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医用输液、输血、注射器具检验方法</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部分：化学分析方法</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color w:val="000000"/>
                <w:sz w:val="28"/>
                <w:szCs w:val="28"/>
              </w:rPr>
              <w:t>GB/T 14233.2</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医用输液、输血、注射器具检验方法</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部分：生物试验方法</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sz w:val="28"/>
                <w:szCs w:val="28"/>
              </w:rPr>
              <w:t>GB/T 16886.1</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sz w:val="28"/>
                <w:szCs w:val="28"/>
              </w:rPr>
              <w:t>医疗器械生物学评价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第</w:t>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部分：风险管理过程中的评价与试验</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sz w:val="28"/>
                <w:szCs w:val="28"/>
              </w:rPr>
              <w:t>GB/T 16886.5</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sz w:val="28"/>
                <w:szCs w:val="28"/>
              </w:rPr>
              <w:t>医疗器械生物学评价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第</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部分：体外细胞毒性试验</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sz w:val="28"/>
                <w:szCs w:val="28"/>
              </w:rPr>
            </w:pPr>
            <w:r>
              <w:rPr>
                <w:rFonts w:eastAsia="仿宋_GB2312"/>
                <w:sz w:val="28"/>
                <w:szCs w:val="28"/>
              </w:rPr>
              <w:t>GB/T 16886.7</w:t>
            </w:r>
          </w:p>
        </w:tc>
        <w:tc>
          <w:tcPr>
            <w:tcW w:w="6236" w:type="dxa"/>
          </w:tcPr>
          <w:p w:rsidR="00355DAA" w:rsidRDefault="00DE05DF">
            <w:pPr>
              <w:widowControl/>
              <w:adjustRightInd w:val="0"/>
              <w:snapToGrid w:val="0"/>
              <w:spacing w:line="52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医疗器械生物学评价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第</w:t>
            </w:r>
            <w:r>
              <w:rPr>
                <w:rFonts w:ascii="仿宋_GB2312" w:eastAsia="仿宋_GB2312" w:hAnsi="仿宋_GB2312" w:cs="仿宋_GB2312" w:hint="eastAsia"/>
                <w:sz w:val="28"/>
                <w:szCs w:val="28"/>
              </w:rPr>
              <w:t>7</w:t>
            </w:r>
            <w:r>
              <w:rPr>
                <w:rFonts w:ascii="仿宋_GB2312" w:eastAsia="仿宋_GB2312" w:hAnsi="仿宋_GB2312" w:cs="仿宋_GB2312" w:hint="eastAsia"/>
                <w:sz w:val="28"/>
                <w:szCs w:val="28"/>
              </w:rPr>
              <w:t>部分</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环氧乙烷灭菌残留量</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sz w:val="28"/>
                <w:szCs w:val="28"/>
              </w:rPr>
              <w:t>GB/T 16886.10</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sz w:val="28"/>
                <w:szCs w:val="28"/>
              </w:rPr>
              <w:t>医疗器械生物学评价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第</w:t>
            </w:r>
            <w:r>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部分：刺激与迟发型超敏反应试验</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sz w:val="28"/>
                <w:szCs w:val="28"/>
              </w:rPr>
              <w:t>GB/T 16886.18</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sz w:val="28"/>
                <w:szCs w:val="28"/>
              </w:rPr>
              <w:t>医疗器械生物学评价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第</w:t>
            </w:r>
            <w:r>
              <w:rPr>
                <w:rFonts w:ascii="仿宋_GB2312" w:eastAsia="仿宋_GB2312" w:hAnsi="仿宋_GB2312" w:cs="仿宋_GB2312" w:hint="eastAsia"/>
                <w:sz w:val="28"/>
                <w:szCs w:val="28"/>
              </w:rPr>
              <w:t>18</w:t>
            </w:r>
            <w:r>
              <w:rPr>
                <w:rFonts w:ascii="仿宋_GB2312" w:eastAsia="仿宋_GB2312" w:hAnsi="仿宋_GB2312" w:cs="仿宋_GB2312" w:hint="eastAsia"/>
                <w:sz w:val="28"/>
                <w:szCs w:val="28"/>
              </w:rPr>
              <w:t>部分：材料化学表征</w:t>
            </w:r>
          </w:p>
        </w:tc>
      </w:tr>
      <w:tr w:rsidR="00355DAA">
        <w:trPr>
          <w:jc w:val="center"/>
        </w:trPr>
        <w:tc>
          <w:tcPr>
            <w:tcW w:w="3118" w:type="dxa"/>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GB 9706.1</w:t>
            </w:r>
          </w:p>
        </w:tc>
        <w:tc>
          <w:tcPr>
            <w:tcW w:w="6236" w:type="dxa"/>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医用电气设备</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部分：基本安全和基本性能的通用要求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lastRenderedPageBreak/>
              <w:t>YY 9706.261</w:t>
            </w:r>
          </w:p>
        </w:tc>
        <w:tc>
          <w:tcPr>
            <w:tcW w:w="6236" w:type="dxa"/>
            <w:shd w:val="clear" w:color="auto" w:fill="auto"/>
            <w:vAlign w:val="center"/>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医用电气设备</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2-61</w:t>
            </w:r>
            <w:r>
              <w:rPr>
                <w:rFonts w:ascii="仿宋_GB2312" w:eastAsia="仿宋_GB2312" w:hAnsi="仿宋_GB2312" w:cs="仿宋_GB2312" w:hint="eastAsia"/>
                <w:color w:val="000000"/>
                <w:sz w:val="28"/>
                <w:szCs w:val="28"/>
              </w:rPr>
              <w:t>部分</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脉搏血氧设备的基本安全和基本性能专用要求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YY 9706.111</w:t>
            </w:r>
          </w:p>
        </w:tc>
        <w:tc>
          <w:tcPr>
            <w:tcW w:w="6236" w:type="dxa"/>
            <w:shd w:val="clear" w:color="auto" w:fill="auto"/>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医用电气设备</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1-11</w:t>
            </w:r>
            <w:r>
              <w:rPr>
                <w:rFonts w:ascii="仿宋_GB2312" w:eastAsia="仿宋_GB2312" w:hAnsi="仿宋_GB2312" w:cs="仿宋_GB2312" w:hint="eastAsia"/>
                <w:color w:val="000000"/>
                <w:sz w:val="28"/>
                <w:szCs w:val="28"/>
              </w:rPr>
              <w:t>部分：基本安全和基本性能的通用要求</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并列标准：在家庭护理环境中使用的医用电气设备和医用电气系统的要求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YY 9706.112</w:t>
            </w:r>
          </w:p>
        </w:tc>
        <w:tc>
          <w:tcPr>
            <w:tcW w:w="6236" w:type="dxa"/>
            <w:shd w:val="clear" w:color="auto" w:fill="auto"/>
            <w:vAlign w:val="center"/>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医用电气设备</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1-12</w:t>
            </w:r>
            <w:r>
              <w:rPr>
                <w:rFonts w:ascii="仿宋_GB2312" w:eastAsia="仿宋_GB2312" w:hAnsi="仿宋_GB2312" w:cs="仿宋_GB2312" w:hint="eastAsia"/>
                <w:color w:val="000000"/>
                <w:sz w:val="28"/>
                <w:szCs w:val="28"/>
              </w:rPr>
              <w:t>部分：基本安全和基本性能的通用要求</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并列标准：预期在紧急医疗服务环境中使用的医用电气设备和医用电气系统的要求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color w:val="000000"/>
                <w:sz w:val="28"/>
                <w:szCs w:val="28"/>
              </w:rPr>
              <w:t>YY 9706.102</w:t>
            </w:r>
          </w:p>
        </w:tc>
        <w:tc>
          <w:tcPr>
            <w:tcW w:w="6236" w:type="dxa"/>
            <w:shd w:val="clear" w:color="auto" w:fill="auto"/>
            <w:vAlign w:val="center"/>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医用电气设备</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1-2</w:t>
            </w:r>
            <w:r>
              <w:rPr>
                <w:rFonts w:ascii="仿宋_GB2312" w:eastAsia="仿宋_GB2312" w:hAnsi="仿宋_GB2312" w:cs="仿宋_GB2312" w:hint="eastAsia"/>
                <w:color w:val="000000"/>
                <w:sz w:val="28"/>
                <w:szCs w:val="28"/>
              </w:rPr>
              <w:t>部分：基本安全和基本性能的通用要求</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并列标准：电磁兼容</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要求和试验</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hint="eastAsia"/>
                <w:szCs w:val="28"/>
              </w:rPr>
              <w:t>GB/T 41265</w:t>
            </w:r>
          </w:p>
        </w:tc>
        <w:tc>
          <w:tcPr>
            <w:tcW w:w="6236" w:type="dxa"/>
            <w:shd w:val="clear" w:color="auto" w:fill="auto"/>
            <w:vAlign w:val="center"/>
          </w:tcPr>
          <w:p w:rsidR="00355DAA" w:rsidRDefault="00DE05DF">
            <w:pPr>
              <w:widowControl/>
              <w:adjustRightInd w:val="0"/>
              <w:snapToGrid w:val="0"/>
              <w:spacing w:line="52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可穿戴设备的光辐射安全要求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spacing w:val="2"/>
                <w:sz w:val="28"/>
                <w:szCs w:val="28"/>
              </w:rPr>
            </w:pPr>
            <w:r>
              <w:rPr>
                <w:rFonts w:eastAsia="仿宋_GB2312"/>
                <w:spacing w:val="2"/>
                <w:sz w:val="28"/>
                <w:szCs w:val="28"/>
              </w:rPr>
              <w:t>YY/T 0615.1</w:t>
            </w:r>
          </w:p>
        </w:tc>
        <w:tc>
          <w:tcPr>
            <w:tcW w:w="6236" w:type="dxa"/>
            <w:shd w:val="clear" w:color="auto" w:fill="auto"/>
          </w:tcPr>
          <w:p w:rsidR="00355DAA" w:rsidRDefault="00DE05DF">
            <w:pPr>
              <w:widowControl/>
              <w:adjustRightInd w:val="0"/>
              <w:snapToGrid w:val="0"/>
              <w:spacing w:line="520" w:lineRule="exact"/>
              <w:rPr>
                <w:rFonts w:ascii="仿宋_GB2312" w:eastAsia="仿宋_GB2312" w:hAnsi="仿宋_GB2312" w:cs="仿宋_GB2312"/>
                <w:spacing w:val="2"/>
                <w:sz w:val="28"/>
                <w:szCs w:val="28"/>
              </w:rPr>
            </w:pPr>
            <w:r>
              <w:rPr>
                <w:rFonts w:ascii="仿宋_GB2312" w:eastAsia="仿宋_GB2312" w:hAnsi="仿宋_GB2312" w:cs="仿宋_GB2312" w:hint="eastAsia"/>
                <w:spacing w:val="2"/>
                <w:sz w:val="28"/>
                <w:szCs w:val="28"/>
              </w:rPr>
              <w:t>标示“无菌”医疗器械的要求</w:t>
            </w:r>
            <w:r>
              <w:rPr>
                <w:rFonts w:ascii="仿宋_GB2312" w:eastAsia="仿宋_GB2312" w:hAnsi="仿宋_GB2312" w:cs="仿宋_GB2312" w:hint="eastAsia"/>
                <w:spacing w:val="2"/>
                <w:sz w:val="28"/>
                <w:szCs w:val="28"/>
              </w:rPr>
              <w:t xml:space="preserve"> </w:t>
            </w:r>
            <w:r>
              <w:rPr>
                <w:rFonts w:ascii="仿宋_GB2312" w:eastAsia="仿宋_GB2312" w:hAnsi="仿宋_GB2312" w:cs="仿宋_GB2312" w:hint="eastAsia"/>
                <w:spacing w:val="2"/>
                <w:sz w:val="28"/>
                <w:szCs w:val="28"/>
              </w:rPr>
              <w:t>第</w:t>
            </w:r>
            <w:r>
              <w:rPr>
                <w:rFonts w:ascii="仿宋_GB2312" w:eastAsia="仿宋_GB2312" w:hAnsi="仿宋_GB2312" w:cs="仿宋_GB2312" w:hint="eastAsia"/>
                <w:spacing w:val="2"/>
                <w:sz w:val="28"/>
                <w:szCs w:val="28"/>
              </w:rPr>
              <w:t>1</w:t>
            </w:r>
            <w:r>
              <w:rPr>
                <w:rFonts w:ascii="仿宋_GB2312" w:eastAsia="仿宋_GB2312" w:hAnsi="仿宋_GB2312" w:cs="仿宋_GB2312" w:hint="eastAsia"/>
                <w:spacing w:val="2"/>
                <w:sz w:val="28"/>
                <w:szCs w:val="28"/>
              </w:rPr>
              <w:t>部分：最终灭菌医疗器械的要求</w:t>
            </w:r>
          </w:p>
        </w:tc>
      </w:tr>
      <w:tr w:rsidR="00355DAA">
        <w:trPr>
          <w:jc w:val="center"/>
        </w:trPr>
        <w:tc>
          <w:tcPr>
            <w:tcW w:w="3118" w:type="dxa"/>
            <w:shd w:val="clear" w:color="auto" w:fill="auto"/>
            <w:vAlign w:val="center"/>
          </w:tcPr>
          <w:p w:rsidR="00355DAA" w:rsidRDefault="00DE05DF">
            <w:pPr>
              <w:widowControl/>
              <w:adjustRightInd w:val="0"/>
              <w:snapToGrid w:val="0"/>
              <w:spacing w:line="520" w:lineRule="exact"/>
              <w:rPr>
                <w:rFonts w:eastAsia="仿宋_GB2312"/>
                <w:color w:val="000000"/>
                <w:sz w:val="28"/>
                <w:szCs w:val="28"/>
              </w:rPr>
            </w:pPr>
            <w:r>
              <w:rPr>
                <w:rFonts w:eastAsia="仿宋_GB2312"/>
                <w:color w:val="000000"/>
                <w:sz w:val="28"/>
                <w:szCs w:val="28"/>
              </w:rPr>
              <w:t>GB/T 14710</w:t>
            </w:r>
          </w:p>
        </w:tc>
        <w:tc>
          <w:tcPr>
            <w:tcW w:w="6236" w:type="dxa"/>
            <w:shd w:val="clear" w:color="auto" w:fill="auto"/>
          </w:tcPr>
          <w:p w:rsidR="00355DAA" w:rsidRDefault="00DE05DF">
            <w:pPr>
              <w:widowControl/>
              <w:adjustRightInd w:val="0"/>
              <w:snapToGrid w:val="0"/>
              <w:spacing w:line="520" w:lineRule="exact"/>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医用电器环境要求及试验方法</w:t>
            </w:r>
          </w:p>
        </w:tc>
      </w:tr>
      <w:tr w:rsidR="00355DAA">
        <w:trPr>
          <w:jc w:val="center"/>
        </w:trPr>
        <w:tc>
          <w:tcPr>
            <w:tcW w:w="3118" w:type="dxa"/>
            <w:shd w:val="clear" w:color="auto" w:fill="auto"/>
            <w:vAlign w:val="center"/>
          </w:tcPr>
          <w:p w:rsidR="00355DAA" w:rsidRDefault="00DE05DF">
            <w:pPr>
              <w:autoSpaceDE w:val="0"/>
              <w:autoSpaceDN w:val="0"/>
              <w:adjustRightInd w:val="0"/>
              <w:spacing w:line="520" w:lineRule="exact"/>
              <w:ind w:rightChars="-32" w:right="-102"/>
              <w:rPr>
                <w:rFonts w:eastAsia="仿宋_GB2312"/>
                <w:color w:val="000000"/>
                <w:sz w:val="28"/>
                <w:szCs w:val="28"/>
              </w:rPr>
            </w:pPr>
            <w:r>
              <w:rPr>
                <w:rFonts w:eastAsia="仿宋_GB2312"/>
                <w:kern w:val="0"/>
                <w:sz w:val="28"/>
                <w:szCs w:val="28"/>
              </w:rPr>
              <w:t>GB/T 191</w:t>
            </w:r>
          </w:p>
        </w:tc>
        <w:tc>
          <w:tcPr>
            <w:tcW w:w="6236" w:type="dxa"/>
            <w:shd w:val="clear" w:color="auto" w:fill="auto"/>
            <w:vAlign w:val="center"/>
          </w:tcPr>
          <w:p w:rsidR="00355DAA" w:rsidRDefault="00DE05DF">
            <w:pPr>
              <w:autoSpaceDE w:val="0"/>
              <w:autoSpaceDN w:val="0"/>
              <w:adjustRightInd w:val="0"/>
              <w:spacing w:line="520" w:lineRule="exact"/>
              <w:ind w:rightChars="-32" w:right="-102"/>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包装储运图形符号标志</w:t>
            </w:r>
          </w:p>
        </w:tc>
      </w:tr>
      <w:tr w:rsidR="00355DAA">
        <w:trPr>
          <w:jc w:val="center"/>
        </w:trPr>
        <w:tc>
          <w:tcPr>
            <w:tcW w:w="3118" w:type="dxa"/>
            <w:shd w:val="clear" w:color="auto" w:fill="auto"/>
            <w:vAlign w:val="center"/>
          </w:tcPr>
          <w:p w:rsidR="00355DAA" w:rsidRDefault="00DE05DF">
            <w:pPr>
              <w:autoSpaceDE w:val="0"/>
              <w:autoSpaceDN w:val="0"/>
              <w:adjustRightInd w:val="0"/>
              <w:spacing w:line="520" w:lineRule="exact"/>
              <w:ind w:rightChars="-32" w:right="-102"/>
              <w:rPr>
                <w:rFonts w:eastAsia="仿宋_GB2312"/>
                <w:spacing w:val="2"/>
                <w:sz w:val="28"/>
                <w:szCs w:val="28"/>
              </w:rPr>
            </w:pPr>
            <w:r>
              <w:rPr>
                <w:rFonts w:eastAsia="仿宋_GB2312"/>
                <w:kern w:val="0"/>
                <w:sz w:val="28"/>
                <w:szCs w:val="28"/>
              </w:rPr>
              <w:t>YY</w:t>
            </w:r>
            <w:r>
              <w:rPr>
                <w:rFonts w:eastAsia="仿宋_GB2312" w:hint="eastAsia"/>
                <w:kern w:val="0"/>
                <w:sz w:val="28"/>
                <w:szCs w:val="28"/>
              </w:rPr>
              <w:t>/T</w:t>
            </w:r>
            <w:r>
              <w:rPr>
                <w:rFonts w:eastAsia="仿宋_GB2312"/>
                <w:kern w:val="0"/>
                <w:sz w:val="28"/>
                <w:szCs w:val="28"/>
              </w:rPr>
              <w:t xml:space="preserve"> 0466.1</w:t>
            </w:r>
          </w:p>
        </w:tc>
        <w:tc>
          <w:tcPr>
            <w:tcW w:w="6236" w:type="dxa"/>
            <w:shd w:val="clear" w:color="auto" w:fill="auto"/>
            <w:vAlign w:val="center"/>
          </w:tcPr>
          <w:p w:rsidR="00355DAA" w:rsidRDefault="00DE05DF">
            <w:pPr>
              <w:autoSpaceDE w:val="0"/>
              <w:autoSpaceDN w:val="0"/>
              <w:adjustRightInd w:val="0"/>
              <w:spacing w:line="520" w:lineRule="exact"/>
              <w:ind w:rightChars="-32" w:right="-102"/>
              <w:rPr>
                <w:rFonts w:ascii="仿宋_GB2312" w:eastAsia="仿宋_GB2312" w:hAnsi="仿宋_GB2312" w:cs="仿宋_GB2312"/>
                <w:spacing w:val="2"/>
                <w:sz w:val="28"/>
                <w:szCs w:val="28"/>
              </w:rPr>
            </w:pPr>
            <w:r>
              <w:rPr>
                <w:rFonts w:ascii="仿宋_GB2312" w:eastAsia="仿宋_GB2312" w:hAnsi="仿宋_GB2312" w:cs="仿宋_GB2312" w:hint="eastAsia"/>
                <w:color w:val="000000"/>
                <w:sz w:val="28"/>
                <w:szCs w:val="28"/>
              </w:rPr>
              <w:t>医疗器械</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用于制造商提供信息的符号</w:t>
            </w:r>
            <w:r>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第</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部分：通用要求</w:t>
            </w:r>
          </w:p>
        </w:tc>
      </w:tr>
    </w:tbl>
    <w:p w:rsidR="00355DAA" w:rsidRDefault="00355DAA">
      <w:pPr>
        <w:rPr>
          <w:rFonts w:ascii="黑体" w:eastAsia="黑体" w:hAnsi="黑体" w:cs="黑体"/>
          <w:szCs w:val="28"/>
        </w:rPr>
      </w:pPr>
    </w:p>
    <w:sectPr w:rsidR="00355DAA">
      <w:footerReference w:type="even" r:id="rId13"/>
      <w:footerReference w:type="default" r:id="rId14"/>
      <w:pgSz w:w="11906" w:h="16838"/>
      <w:pgMar w:top="2098" w:right="1588" w:bottom="2098" w:left="1588"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5DF" w:rsidRDefault="00DE05DF">
      <w:r>
        <w:separator/>
      </w:r>
    </w:p>
  </w:endnote>
  <w:endnote w:type="continuationSeparator" w:id="0">
    <w:p w:rsidR="00DE05DF" w:rsidRDefault="00DE0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obe 仿宋 Std R">
    <w:altName w:val="仿宋"/>
    <w:charset w:val="86"/>
    <w:family w:val="roman"/>
    <w:pitch w:val="default"/>
    <w:sig w:usb0="00000000" w:usb1="00000000" w:usb2="00000016" w:usb3="00000000" w:csb0="00060007"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5E8E76F4-A658-473B-82A5-CD207BD6C1C1}"/>
  </w:font>
  <w:font w:name="Tahoma">
    <w:panose1 w:val="020B0604030504040204"/>
    <w:charset w:val="00"/>
    <w:family w:val="swiss"/>
    <w:pitch w:val="variable"/>
    <w:sig w:usb0="E1002EFF" w:usb1="C000605B" w:usb2="00000029" w:usb3="00000000" w:csb0="000101FF" w:csb1="00000000"/>
    <w:embedRegular r:id="rId2" w:subsetted="1" w:fontKey="{E8EDD43C-0079-4A04-A54E-0D2F3EAE48E5}"/>
  </w:font>
  <w:font w:name="微软雅黑">
    <w:panose1 w:val="020B0503020204020204"/>
    <w:charset w:val="86"/>
    <w:family w:val="swiss"/>
    <w:pitch w:val="variable"/>
    <w:sig w:usb0="80000287" w:usb1="2ACF3C50" w:usb2="00000016" w:usb3="00000000" w:csb0="0004001F" w:csb1="00000000"/>
    <w:embedRegular r:id="rId3" w:subsetted="1" w:fontKey="{F7E70AB5-C0D4-46F7-B9B4-3397FF5CAB54}"/>
  </w:font>
  <w:font w:name="Calibri Light">
    <w:panose1 w:val="020F0302020204030204"/>
    <w:charset w:val="00"/>
    <w:family w:val="swiss"/>
    <w:pitch w:val="variable"/>
    <w:sig w:usb0="E4002EFF" w:usb1="C000247B" w:usb2="00000009" w:usb3="00000000" w:csb0="000001FF" w:csb1="00000000"/>
  </w:font>
  <w:font w:name="DejaVu Sans">
    <w:altName w:val="Segoe Print"/>
    <w:charset w:val="00"/>
    <w:family w:val="roman"/>
    <w:pitch w:val="default"/>
    <w:sig w:usb0="00000000" w:usb1="00000000" w:usb2="0A246029" w:usb3="0400200C" w:csb0="600001FF" w:csb1="DFFF0000"/>
  </w:font>
  <w:font w:name="仿宋_GB2312">
    <w:panose1 w:val="02010609030101010101"/>
    <w:charset w:val="86"/>
    <w:family w:val="modern"/>
    <w:pitch w:val="fixed"/>
    <w:sig w:usb0="00000001" w:usb1="080E0000" w:usb2="00000010" w:usb3="00000000" w:csb0="00040000" w:csb1="00000000"/>
    <w:embedRegular r:id="rId4" w:subsetted="1" w:fontKey="{B9BE1FC8-8862-44F4-B033-326882D896F7}"/>
  </w:font>
  <w:font w:name="方正小标宋简体">
    <w:panose1 w:val="03000509000000000000"/>
    <w:charset w:val="86"/>
    <w:family w:val="script"/>
    <w:pitch w:val="fixed"/>
    <w:sig w:usb0="00000001" w:usb1="080E0000" w:usb2="00000010" w:usb3="00000000" w:csb0="00040000" w:csb1="00000000"/>
    <w:embedRegular r:id="rId5" w:subsetted="1" w:fontKey="{86CFC86D-6B1D-45A0-87F7-A1269FC92DDE}"/>
  </w:font>
  <w:font w:name="楷体_GB2312">
    <w:panose1 w:val="02010609030101010101"/>
    <w:charset w:val="86"/>
    <w:family w:val="modern"/>
    <w:pitch w:val="fixed"/>
    <w:sig w:usb0="00000001" w:usb1="080E0000" w:usb2="00000010" w:usb3="00000000" w:csb0="00040000" w:csb1="00000000"/>
    <w:embedRegular r:id="rId6" w:subsetted="1" w:fontKey="{E6561955-0447-40D5-841C-C56FE445285D}"/>
  </w:font>
  <w:font w:name="Arial Unicode MS">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280849"/>
    </w:sdtPr>
    <w:sdtEndPr/>
    <w:sdtContent>
      <w:p w:rsidR="00355DAA" w:rsidRDefault="00DE05DF">
        <w:pPr>
          <w:pStyle w:val="a9"/>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C8401F" w:rsidRPr="00C8401F">
          <w:rPr>
            <w:noProof/>
            <w:sz w:val="28"/>
            <w:szCs w:val="28"/>
            <w:lang w:val="zh-CN"/>
          </w:rPr>
          <w:t>4</w:t>
        </w:r>
        <w:r>
          <w:rPr>
            <w:sz w:val="28"/>
            <w:szCs w:val="28"/>
          </w:rPr>
          <w:fldChar w:fldCharType="end"/>
        </w:r>
        <w:r>
          <w:rPr>
            <w:sz w:val="28"/>
            <w:szCs w:val="28"/>
          </w:rPr>
          <w:t xml:space="preserve"> —</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DAA" w:rsidRDefault="00DE05DF">
    <w:pPr>
      <w:pStyle w:val="a9"/>
      <w:jc w:val="right"/>
      <w:rPr>
        <w:sz w:val="28"/>
        <w:szCs w:val="28"/>
      </w:rPr>
    </w:pPr>
    <w:r>
      <w:rPr>
        <w:sz w:val="28"/>
        <w:szCs w:val="28"/>
      </w:rPr>
      <w:t xml:space="preserve">— </w:t>
    </w:r>
    <w:sdt>
      <w:sdtPr>
        <w:rPr>
          <w:sz w:val="28"/>
          <w:szCs w:val="28"/>
        </w:rPr>
        <w:id w:val="90280837"/>
      </w:sdtPr>
      <w:sdtEndPr/>
      <w:sdtContent>
        <w:r>
          <w:rPr>
            <w:sz w:val="28"/>
            <w:szCs w:val="28"/>
          </w:rPr>
          <w:fldChar w:fldCharType="begin"/>
        </w:r>
        <w:r>
          <w:rPr>
            <w:sz w:val="28"/>
            <w:szCs w:val="28"/>
          </w:rPr>
          <w:instrText xml:space="preserve"> PAGE   \* MERGEFORMAT </w:instrText>
        </w:r>
        <w:r>
          <w:rPr>
            <w:sz w:val="28"/>
            <w:szCs w:val="28"/>
          </w:rPr>
          <w:fldChar w:fldCharType="separate"/>
        </w:r>
        <w:r w:rsidR="00C8401F" w:rsidRPr="00C8401F">
          <w:rPr>
            <w:noProof/>
            <w:sz w:val="28"/>
            <w:szCs w:val="28"/>
            <w:lang w:val="zh-CN"/>
          </w:rPr>
          <w:t>1</w:t>
        </w:r>
        <w:r>
          <w:rPr>
            <w:sz w:val="28"/>
            <w:szCs w:val="28"/>
          </w:rPr>
          <w:fldChar w:fldCharType="end"/>
        </w:r>
        <w:r>
          <w:rPr>
            <w:sz w:val="28"/>
            <w:szCs w:val="28"/>
          </w:rPr>
          <w:t xml:space="preserve"> —</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5DF" w:rsidRDefault="00DE05DF">
      <w:r>
        <w:separator/>
      </w:r>
    </w:p>
  </w:footnote>
  <w:footnote w:type="continuationSeparator" w:id="0">
    <w:p w:rsidR="00DE05DF" w:rsidRDefault="00DE05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AC4D8A"/>
    <w:multiLevelType w:val="singleLevel"/>
    <w:tmpl w:val="BFAC4D8A"/>
    <w:lvl w:ilvl="0">
      <w:start w:val="2"/>
      <w:numFmt w:val="decimal"/>
      <w:suff w:val="nothing"/>
      <w:lvlText w:val="（%1）"/>
      <w:lvlJc w:val="left"/>
    </w:lvl>
  </w:abstractNum>
  <w:abstractNum w:abstractNumId="1" w15:restartNumberingAfterBreak="0">
    <w:nsid w:val="CADE26B9"/>
    <w:multiLevelType w:val="singleLevel"/>
    <w:tmpl w:val="CADE26B9"/>
    <w:lvl w:ilvl="0">
      <w:start w:val="2"/>
      <w:numFmt w:val="decimal"/>
      <w:suff w:val="nothing"/>
      <w:lvlText w:val="（%1）"/>
      <w:lvlJc w:val="left"/>
    </w:lvl>
  </w:abstractNum>
  <w:abstractNum w:abstractNumId="2" w15:restartNumberingAfterBreak="0">
    <w:nsid w:val="119A07A9"/>
    <w:multiLevelType w:val="singleLevel"/>
    <w:tmpl w:val="119A07A9"/>
    <w:lvl w:ilvl="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defaultTabStop w:val="420"/>
  <w:evenAndOddHeaders/>
  <w:drawingGridHorizontalSpacing w:val="160"/>
  <w:drawingGridVerticalSpacing w:val="435"/>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0NTZjNzVjNmYzMGMxM2Y1NWJkZDAyNzhjZDU5ZjYifQ=="/>
  </w:docVars>
  <w:rsids>
    <w:rsidRoot w:val="00787F7E"/>
    <w:rsid w:val="DEF70035"/>
    <w:rsid w:val="DFFFE17D"/>
    <w:rsid w:val="ED776AC6"/>
    <w:rsid w:val="EF9F915E"/>
    <w:rsid w:val="FBB7C68F"/>
    <w:rsid w:val="FDF752B8"/>
    <w:rsid w:val="FF7F9E8F"/>
    <w:rsid w:val="00020162"/>
    <w:rsid w:val="00021955"/>
    <w:rsid w:val="000309BB"/>
    <w:rsid w:val="00056A28"/>
    <w:rsid w:val="00060C10"/>
    <w:rsid w:val="0007686E"/>
    <w:rsid w:val="0009278E"/>
    <w:rsid w:val="000B4C9B"/>
    <w:rsid w:val="000C48A1"/>
    <w:rsid w:val="000E5335"/>
    <w:rsid w:val="00145167"/>
    <w:rsid w:val="0015622E"/>
    <w:rsid w:val="001C3A87"/>
    <w:rsid w:val="001E0961"/>
    <w:rsid w:val="00241E57"/>
    <w:rsid w:val="00242375"/>
    <w:rsid w:val="00244DF7"/>
    <w:rsid w:val="00246390"/>
    <w:rsid w:val="0026293F"/>
    <w:rsid w:val="00275A48"/>
    <w:rsid w:val="00277473"/>
    <w:rsid w:val="00291759"/>
    <w:rsid w:val="00294D2B"/>
    <w:rsid w:val="00295369"/>
    <w:rsid w:val="002A1DAB"/>
    <w:rsid w:val="002B2048"/>
    <w:rsid w:val="002B24A0"/>
    <w:rsid w:val="002D3B6C"/>
    <w:rsid w:val="002F2978"/>
    <w:rsid w:val="0030368E"/>
    <w:rsid w:val="003137C1"/>
    <w:rsid w:val="00332DE8"/>
    <w:rsid w:val="003450A4"/>
    <w:rsid w:val="003549E8"/>
    <w:rsid w:val="00355421"/>
    <w:rsid w:val="00355DAA"/>
    <w:rsid w:val="00365AB2"/>
    <w:rsid w:val="0037408E"/>
    <w:rsid w:val="003C5B24"/>
    <w:rsid w:val="00410598"/>
    <w:rsid w:val="0041581E"/>
    <w:rsid w:val="00422D3A"/>
    <w:rsid w:val="00435AC6"/>
    <w:rsid w:val="00440708"/>
    <w:rsid w:val="00440AA4"/>
    <w:rsid w:val="004410B9"/>
    <w:rsid w:val="0045151A"/>
    <w:rsid w:val="00483A83"/>
    <w:rsid w:val="004B2F13"/>
    <w:rsid w:val="004C4DBC"/>
    <w:rsid w:val="004E39ED"/>
    <w:rsid w:val="004F0151"/>
    <w:rsid w:val="005041BA"/>
    <w:rsid w:val="005277E2"/>
    <w:rsid w:val="00530384"/>
    <w:rsid w:val="00534F4C"/>
    <w:rsid w:val="005609D1"/>
    <w:rsid w:val="005A1410"/>
    <w:rsid w:val="005A204F"/>
    <w:rsid w:val="005D1959"/>
    <w:rsid w:val="006014D4"/>
    <w:rsid w:val="00670933"/>
    <w:rsid w:val="006A1165"/>
    <w:rsid w:val="006C00CB"/>
    <w:rsid w:val="006E68A9"/>
    <w:rsid w:val="006E7148"/>
    <w:rsid w:val="00716619"/>
    <w:rsid w:val="00725E46"/>
    <w:rsid w:val="00745098"/>
    <w:rsid w:val="007646FC"/>
    <w:rsid w:val="00787F7E"/>
    <w:rsid w:val="007904F6"/>
    <w:rsid w:val="007D341A"/>
    <w:rsid w:val="00815364"/>
    <w:rsid w:val="00821079"/>
    <w:rsid w:val="0083192A"/>
    <w:rsid w:val="00845C30"/>
    <w:rsid w:val="008961B3"/>
    <w:rsid w:val="00920A47"/>
    <w:rsid w:val="00937F0E"/>
    <w:rsid w:val="0098100B"/>
    <w:rsid w:val="009C41FF"/>
    <w:rsid w:val="009E2514"/>
    <w:rsid w:val="009F209D"/>
    <w:rsid w:val="00A23EC2"/>
    <w:rsid w:val="00A25C1A"/>
    <w:rsid w:val="00A73BFE"/>
    <w:rsid w:val="00AA4FCB"/>
    <w:rsid w:val="00AB660B"/>
    <w:rsid w:val="00AB7E5C"/>
    <w:rsid w:val="00AD08D9"/>
    <w:rsid w:val="00AF3558"/>
    <w:rsid w:val="00AF5D76"/>
    <w:rsid w:val="00B01C58"/>
    <w:rsid w:val="00B25163"/>
    <w:rsid w:val="00B41578"/>
    <w:rsid w:val="00B66355"/>
    <w:rsid w:val="00B9118A"/>
    <w:rsid w:val="00BC2983"/>
    <w:rsid w:val="00BC7C84"/>
    <w:rsid w:val="00BD300F"/>
    <w:rsid w:val="00BE669C"/>
    <w:rsid w:val="00BE7E51"/>
    <w:rsid w:val="00C0562D"/>
    <w:rsid w:val="00C151FE"/>
    <w:rsid w:val="00C25F69"/>
    <w:rsid w:val="00C40950"/>
    <w:rsid w:val="00C55908"/>
    <w:rsid w:val="00C55C2E"/>
    <w:rsid w:val="00C8401F"/>
    <w:rsid w:val="00CA0BE6"/>
    <w:rsid w:val="00CB4CCD"/>
    <w:rsid w:val="00CD1907"/>
    <w:rsid w:val="00CE24E2"/>
    <w:rsid w:val="00D076F0"/>
    <w:rsid w:val="00D256A9"/>
    <w:rsid w:val="00D277BD"/>
    <w:rsid w:val="00D32614"/>
    <w:rsid w:val="00D36F91"/>
    <w:rsid w:val="00D4450D"/>
    <w:rsid w:val="00D6685B"/>
    <w:rsid w:val="00D73732"/>
    <w:rsid w:val="00D865D6"/>
    <w:rsid w:val="00DB1CED"/>
    <w:rsid w:val="00DC26FC"/>
    <w:rsid w:val="00DC3951"/>
    <w:rsid w:val="00DD740E"/>
    <w:rsid w:val="00DE05DF"/>
    <w:rsid w:val="00E07E6A"/>
    <w:rsid w:val="00E113E4"/>
    <w:rsid w:val="00E11D78"/>
    <w:rsid w:val="00E343F9"/>
    <w:rsid w:val="00E72EF4"/>
    <w:rsid w:val="00E7330F"/>
    <w:rsid w:val="00E771F1"/>
    <w:rsid w:val="00EB1A04"/>
    <w:rsid w:val="00EC523A"/>
    <w:rsid w:val="00ED0226"/>
    <w:rsid w:val="00EE1269"/>
    <w:rsid w:val="00EE261B"/>
    <w:rsid w:val="00EE3620"/>
    <w:rsid w:val="00EE4EBB"/>
    <w:rsid w:val="00F31CB3"/>
    <w:rsid w:val="00F45E55"/>
    <w:rsid w:val="00F73440"/>
    <w:rsid w:val="00F74C24"/>
    <w:rsid w:val="00F801A1"/>
    <w:rsid w:val="00F81D1A"/>
    <w:rsid w:val="00F90809"/>
    <w:rsid w:val="00FA36EA"/>
    <w:rsid w:val="00FB46B2"/>
    <w:rsid w:val="00FC6BE6"/>
    <w:rsid w:val="00FF0F38"/>
    <w:rsid w:val="027F6AB2"/>
    <w:rsid w:val="028440C8"/>
    <w:rsid w:val="03C453AC"/>
    <w:rsid w:val="03EF5EB9"/>
    <w:rsid w:val="042E253E"/>
    <w:rsid w:val="0486237A"/>
    <w:rsid w:val="05432019"/>
    <w:rsid w:val="06AD62E4"/>
    <w:rsid w:val="06E46C11"/>
    <w:rsid w:val="07A621E9"/>
    <w:rsid w:val="07BA233A"/>
    <w:rsid w:val="083413F2"/>
    <w:rsid w:val="0A36214C"/>
    <w:rsid w:val="0A3960E0"/>
    <w:rsid w:val="0A474359"/>
    <w:rsid w:val="0C2F1549"/>
    <w:rsid w:val="0CCE38AC"/>
    <w:rsid w:val="0D2A0DCF"/>
    <w:rsid w:val="0D3907B1"/>
    <w:rsid w:val="0D817A3C"/>
    <w:rsid w:val="0E15651D"/>
    <w:rsid w:val="0F8132BE"/>
    <w:rsid w:val="0FC6149F"/>
    <w:rsid w:val="0FE32D76"/>
    <w:rsid w:val="10101691"/>
    <w:rsid w:val="10546FDD"/>
    <w:rsid w:val="10715F61"/>
    <w:rsid w:val="10836761"/>
    <w:rsid w:val="10D75D0B"/>
    <w:rsid w:val="115A7068"/>
    <w:rsid w:val="116B0EFE"/>
    <w:rsid w:val="126D793B"/>
    <w:rsid w:val="12A32349"/>
    <w:rsid w:val="13050E55"/>
    <w:rsid w:val="136E2957"/>
    <w:rsid w:val="1384217A"/>
    <w:rsid w:val="141164F6"/>
    <w:rsid w:val="14392248"/>
    <w:rsid w:val="1457788F"/>
    <w:rsid w:val="1461070D"/>
    <w:rsid w:val="147541B9"/>
    <w:rsid w:val="154C6CC8"/>
    <w:rsid w:val="15BE749A"/>
    <w:rsid w:val="16AA639C"/>
    <w:rsid w:val="1723614E"/>
    <w:rsid w:val="17617B1B"/>
    <w:rsid w:val="184767D2"/>
    <w:rsid w:val="19037FE5"/>
    <w:rsid w:val="19327528"/>
    <w:rsid w:val="19BB266E"/>
    <w:rsid w:val="19DF620C"/>
    <w:rsid w:val="1B122A89"/>
    <w:rsid w:val="1BF70B1B"/>
    <w:rsid w:val="1D2E7552"/>
    <w:rsid w:val="1DFD14A7"/>
    <w:rsid w:val="1E430E84"/>
    <w:rsid w:val="1E7B6870"/>
    <w:rsid w:val="1EA2204E"/>
    <w:rsid w:val="1EA96F39"/>
    <w:rsid w:val="1ECE50AB"/>
    <w:rsid w:val="1EE75517"/>
    <w:rsid w:val="1F176598"/>
    <w:rsid w:val="1F444EB4"/>
    <w:rsid w:val="1FA00859"/>
    <w:rsid w:val="1FFF695C"/>
    <w:rsid w:val="206566C3"/>
    <w:rsid w:val="21577120"/>
    <w:rsid w:val="21B20A39"/>
    <w:rsid w:val="22B12634"/>
    <w:rsid w:val="22C94716"/>
    <w:rsid w:val="23344E13"/>
    <w:rsid w:val="238A2B3E"/>
    <w:rsid w:val="24306A11"/>
    <w:rsid w:val="245121D0"/>
    <w:rsid w:val="25B3069D"/>
    <w:rsid w:val="25B6018D"/>
    <w:rsid w:val="26105AEF"/>
    <w:rsid w:val="262F6FB3"/>
    <w:rsid w:val="27675BE3"/>
    <w:rsid w:val="2787789E"/>
    <w:rsid w:val="27D52B4D"/>
    <w:rsid w:val="29BF7106"/>
    <w:rsid w:val="29C15A7E"/>
    <w:rsid w:val="2A01326A"/>
    <w:rsid w:val="2B2142FB"/>
    <w:rsid w:val="2B2A7653"/>
    <w:rsid w:val="2B5B15BB"/>
    <w:rsid w:val="2C7E15F4"/>
    <w:rsid w:val="2C901738"/>
    <w:rsid w:val="2CAB0320"/>
    <w:rsid w:val="2CE101E6"/>
    <w:rsid w:val="2DE16A07"/>
    <w:rsid w:val="2EC41B6D"/>
    <w:rsid w:val="2FAF6379"/>
    <w:rsid w:val="3052767E"/>
    <w:rsid w:val="309A3FE2"/>
    <w:rsid w:val="31442502"/>
    <w:rsid w:val="31F62071"/>
    <w:rsid w:val="32452FC5"/>
    <w:rsid w:val="3279450D"/>
    <w:rsid w:val="32CB34CA"/>
    <w:rsid w:val="33072028"/>
    <w:rsid w:val="33185FE3"/>
    <w:rsid w:val="332E4BB5"/>
    <w:rsid w:val="3341378C"/>
    <w:rsid w:val="33B201E6"/>
    <w:rsid w:val="33F626EF"/>
    <w:rsid w:val="340D18C0"/>
    <w:rsid w:val="34E16FD5"/>
    <w:rsid w:val="354D466A"/>
    <w:rsid w:val="356B2D42"/>
    <w:rsid w:val="35843E04"/>
    <w:rsid w:val="35FD4574"/>
    <w:rsid w:val="372918DC"/>
    <w:rsid w:val="375079C8"/>
    <w:rsid w:val="37F52D97"/>
    <w:rsid w:val="37F56CD2"/>
    <w:rsid w:val="38743CBC"/>
    <w:rsid w:val="38804D57"/>
    <w:rsid w:val="38B8742D"/>
    <w:rsid w:val="38CF5396"/>
    <w:rsid w:val="38F34FAE"/>
    <w:rsid w:val="39934616"/>
    <w:rsid w:val="39B34CB8"/>
    <w:rsid w:val="3A9959B3"/>
    <w:rsid w:val="3ADD50BB"/>
    <w:rsid w:val="3B381D36"/>
    <w:rsid w:val="3BA41248"/>
    <w:rsid w:val="3D112421"/>
    <w:rsid w:val="3D3E7E89"/>
    <w:rsid w:val="3D483969"/>
    <w:rsid w:val="3E3C1720"/>
    <w:rsid w:val="3ED437FA"/>
    <w:rsid w:val="3F1E3405"/>
    <w:rsid w:val="3F9D1D4A"/>
    <w:rsid w:val="3FA53964"/>
    <w:rsid w:val="3FF83B2F"/>
    <w:rsid w:val="401241A2"/>
    <w:rsid w:val="40477F08"/>
    <w:rsid w:val="40F37EE8"/>
    <w:rsid w:val="418C651A"/>
    <w:rsid w:val="428B1DCB"/>
    <w:rsid w:val="42BF46CD"/>
    <w:rsid w:val="42CE526A"/>
    <w:rsid w:val="43E31A09"/>
    <w:rsid w:val="446E797B"/>
    <w:rsid w:val="45190605"/>
    <w:rsid w:val="46875502"/>
    <w:rsid w:val="47431429"/>
    <w:rsid w:val="47653A95"/>
    <w:rsid w:val="49725FF6"/>
    <w:rsid w:val="499046CE"/>
    <w:rsid w:val="49A14B2D"/>
    <w:rsid w:val="49F509D5"/>
    <w:rsid w:val="4A1946C3"/>
    <w:rsid w:val="4AEC002A"/>
    <w:rsid w:val="4B8A1D1C"/>
    <w:rsid w:val="4BFC604B"/>
    <w:rsid w:val="4C237A7B"/>
    <w:rsid w:val="4CAA1F4A"/>
    <w:rsid w:val="4CBC4D41"/>
    <w:rsid w:val="4CDD40CE"/>
    <w:rsid w:val="4D0E4287"/>
    <w:rsid w:val="4D622825"/>
    <w:rsid w:val="4E447F77"/>
    <w:rsid w:val="4E6944E8"/>
    <w:rsid w:val="4E984750"/>
    <w:rsid w:val="4EC35342"/>
    <w:rsid w:val="4F20253C"/>
    <w:rsid w:val="4F486498"/>
    <w:rsid w:val="4FCC6316"/>
    <w:rsid w:val="4FE35FE3"/>
    <w:rsid w:val="50865D61"/>
    <w:rsid w:val="51310068"/>
    <w:rsid w:val="516C0100"/>
    <w:rsid w:val="51E235E4"/>
    <w:rsid w:val="51FE39E4"/>
    <w:rsid w:val="525A6150"/>
    <w:rsid w:val="52C6795C"/>
    <w:rsid w:val="53202F66"/>
    <w:rsid w:val="53475632"/>
    <w:rsid w:val="543C792C"/>
    <w:rsid w:val="54770964"/>
    <w:rsid w:val="54AB735F"/>
    <w:rsid w:val="54F31C6C"/>
    <w:rsid w:val="55274A01"/>
    <w:rsid w:val="552D3719"/>
    <w:rsid w:val="555C7B5A"/>
    <w:rsid w:val="55A25EB5"/>
    <w:rsid w:val="56065D7E"/>
    <w:rsid w:val="56707D61"/>
    <w:rsid w:val="57806E3C"/>
    <w:rsid w:val="583D0117"/>
    <w:rsid w:val="585C67EF"/>
    <w:rsid w:val="5949786A"/>
    <w:rsid w:val="59736FAA"/>
    <w:rsid w:val="59AA2EF0"/>
    <w:rsid w:val="59E6628D"/>
    <w:rsid w:val="5A6B2E2A"/>
    <w:rsid w:val="5A715E56"/>
    <w:rsid w:val="5B10296D"/>
    <w:rsid w:val="5B4041A6"/>
    <w:rsid w:val="5BB66216"/>
    <w:rsid w:val="5BEA2363"/>
    <w:rsid w:val="5CD05A8B"/>
    <w:rsid w:val="5CD56B70"/>
    <w:rsid w:val="5D056739"/>
    <w:rsid w:val="5D6323CD"/>
    <w:rsid w:val="5D6F0D72"/>
    <w:rsid w:val="5E42538B"/>
    <w:rsid w:val="5E437C6C"/>
    <w:rsid w:val="5E506AA9"/>
    <w:rsid w:val="5F096FA4"/>
    <w:rsid w:val="5F1F2324"/>
    <w:rsid w:val="5F6143E4"/>
    <w:rsid w:val="6082033A"/>
    <w:rsid w:val="61CE000B"/>
    <w:rsid w:val="61E17D65"/>
    <w:rsid w:val="624E13AB"/>
    <w:rsid w:val="626F35C2"/>
    <w:rsid w:val="63C73E12"/>
    <w:rsid w:val="63D47B81"/>
    <w:rsid w:val="6401649C"/>
    <w:rsid w:val="64693DF5"/>
    <w:rsid w:val="649B069F"/>
    <w:rsid w:val="64F81C70"/>
    <w:rsid w:val="65AD56FF"/>
    <w:rsid w:val="663F14FE"/>
    <w:rsid w:val="670C13E0"/>
    <w:rsid w:val="671B2BA7"/>
    <w:rsid w:val="6790033C"/>
    <w:rsid w:val="67953F5D"/>
    <w:rsid w:val="680C7DAC"/>
    <w:rsid w:val="681D48E2"/>
    <w:rsid w:val="68E75F4D"/>
    <w:rsid w:val="68F44821"/>
    <w:rsid w:val="698F097C"/>
    <w:rsid w:val="699C40E5"/>
    <w:rsid w:val="69EF46E2"/>
    <w:rsid w:val="6A3F1B23"/>
    <w:rsid w:val="6AB853DB"/>
    <w:rsid w:val="6ACA3A8C"/>
    <w:rsid w:val="6B2A0087"/>
    <w:rsid w:val="6B737129"/>
    <w:rsid w:val="6B924226"/>
    <w:rsid w:val="6C847C6A"/>
    <w:rsid w:val="6CA1081C"/>
    <w:rsid w:val="6DB11862"/>
    <w:rsid w:val="6E6B10E2"/>
    <w:rsid w:val="6EBC0F1A"/>
    <w:rsid w:val="6EE352C5"/>
    <w:rsid w:val="6F0926A9"/>
    <w:rsid w:val="708A15C7"/>
    <w:rsid w:val="718304F0"/>
    <w:rsid w:val="7238577F"/>
    <w:rsid w:val="726E2F4F"/>
    <w:rsid w:val="728E091D"/>
    <w:rsid w:val="73104006"/>
    <w:rsid w:val="73320420"/>
    <w:rsid w:val="73970F13"/>
    <w:rsid w:val="75C954B4"/>
    <w:rsid w:val="75E10FA4"/>
    <w:rsid w:val="77804950"/>
    <w:rsid w:val="78216CB5"/>
    <w:rsid w:val="789071D3"/>
    <w:rsid w:val="78C733B9"/>
    <w:rsid w:val="78F25E50"/>
    <w:rsid w:val="795A247F"/>
    <w:rsid w:val="79C64DD8"/>
    <w:rsid w:val="7A4D1FE3"/>
    <w:rsid w:val="7A5944E4"/>
    <w:rsid w:val="7B5D0004"/>
    <w:rsid w:val="7B9B0BF4"/>
    <w:rsid w:val="7C030C89"/>
    <w:rsid w:val="7C06305E"/>
    <w:rsid w:val="7C0A614A"/>
    <w:rsid w:val="7C246D74"/>
    <w:rsid w:val="7C2A25DC"/>
    <w:rsid w:val="7D083FA0"/>
    <w:rsid w:val="7D3B4E7A"/>
    <w:rsid w:val="7DD0127D"/>
    <w:rsid w:val="7EB959EF"/>
    <w:rsid w:val="7EBA0727"/>
    <w:rsid w:val="7EBC14E6"/>
    <w:rsid w:val="7EEF3669"/>
    <w:rsid w:val="7F1749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F1DBEDFD-4EC4-4E97-A416-5661E4DD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Adobe 仿宋 Std R"/>
      <w:kern w:val="2"/>
      <w:sz w:val="32"/>
      <w:szCs w:val="24"/>
    </w:rPr>
  </w:style>
  <w:style w:type="paragraph" w:styleId="1">
    <w:name w:val="heading 1"/>
    <w:basedOn w:val="a"/>
    <w:next w:val="a"/>
    <w:link w:val="10"/>
    <w:uiPriority w:val="9"/>
    <w:qFormat/>
    <w:pPr>
      <w:spacing w:beforeLines="50" w:afterLines="50"/>
      <w:ind w:left="1429"/>
      <w:outlineLvl w:val="0"/>
    </w:pPr>
    <w:rPr>
      <w:rFonts w:ascii="Calibri" w:eastAsia="黑体" w:hAnsi="Calibri"/>
      <w:szCs w:val="22"/>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caption"/>
    <w:basedOn w:val="a"/>
    <w:next w:val="a"/>
    <w:unhideWhenUsed/>
    <w:qFormat/>
    <w:rPr>
      <w:rFonts w:asciiTheme="majorHAnsi" w:eastAsia="黑体" w:hAnsiTheme="majorHAnsi" w:cstheme="majorBidi"/>
      <w:sz w:val="20"/>
      <w:szCs w:val="20"/>
    </w:rPr>
  </w:style>
  <w:style w:type="paragraph" w:styleId="a5">
    <w:name w:val="annotation text"/>
    <w:basedOn w:val="a"/>
    <w:link w:val="a6"/>
    <w:uiPriority w:val="99"/>
    <w:semiHidden/>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rPr>
  </w:style>
  <w:style w:type="paragraph" w:styleId="ab">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c">
    <w:name w:val="Normal (Web)"/>
    <w:basedOn w:val="a"/>
    <w:uiPriority w:val="99"/>
    <w:semiHidden/>
    <w:unhideWhenUsed/>
    <w:qFormat/>
    <w:pPr>
      <w:spacing w:beforeAutospacing="1" w:afterAutospacing="1"/>
      <w:jc w:val="left"/>
    </w:pPr>
    <w:rPr>
      <w:kern w:val="0"/>
      <w:sz w:val="24"/>
    </w:rPr>
  </w:style>
  <w:style w:type="paragraph" w:styleId="ad">
    <w:name w:val="annotation subject"/>
    <w:basedOn w:val="a5"/>
    <w:next w:val="a5"/>
    <w:link w:val="ae"/>
    <w:uiPriority w:val="99"/>
    <w:semiHidden/>
    <w:unhideWhenUsed/>
    <w:qFormat/>
    <w:rPr>
      <w:b/>
      <w:bCs/>
    </w:rPr>
  </w:style>
  <w:style w:type="table" w:styleId="af">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uiPriority w:val="22"/>
    <w:qFormat/>
    <w:rPr>
      <w:b/>
    </w:rPr>
  </w:style>
  <w:style w:type="character" w:styleId="af1">
    <w:name w:val="line number"/>
    <w:basedOn w:val="a1"/>
    <w:uiPriority w:val="99"/>
    <w:semiHidden/>
    <w:unhideWhenUsed/>
    <w:qFormat/>
  </w:style>
  <w:style w:type="character" w:styleId="af2">
    <w:name w:val="annotation reference"/>
    <w:basedOn w:val="a1"/>
    <w:uiPriority w:val="99"/>
    <w:semiHidden/>
    <w:unhideWhenUsed/>
    <w:qFormat/>
    <w:rPr>
      <w:sz w:val="21"/>
      <w:szCs w:val="21"/>
    </w:rPr>
  </w:style>
  <w:style w:type="paragraph" w:customStyle="1" w:styleId="11">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1"/>
    <w:link w:val="11"/>
    <w:uiPriority w:val="34"/>
    <w:qFormat/>
    <w:rPr>
      <w:rFonts w:ascii="Times New Roman" w:eastAsia="仿宋_GB2312" w:hAnsi="Times New Roman" w:cs="Times New Roman"/>
      <w:sz w:val="32"/>
      <w:szCs w:val="32"/>
    </w:rPr>
  </w:style>
  <w:style w:type="character" w:customStyle="1" w:styleId="a8">
    <w:name w:val="批注框文本 字符"/>
    <w:basedOn w:val="a1"/>
    <w:link w:val="a7"/>
    <w:uiPriority w:val="99"/>
    <w:semiHidden/>
    <w:qFormat/>
    <w:rPr>
      <w:rFonts w:ascii="Times New Roman" w:eastAsia="Adobe 仿宋 Std R" w:hAnsi="Times New Roman" w:cs="Times New Roman"/>
      <w:kern w:val="2"/>
      <w:sz w:val="18"/>
      <w:szCs w:val="18"/>
    </w:rPr>
  </w:style>
  <w:style w:type="paragraph" w:styleId="af3">
    <w:name w:val="List Paragraph"/>
    <w:basedOn w:val="a"/>
    <w:link w:val="af4"/>
    <w:uiPriority w:val="34"/>
    <w:unhideWhenUsed/>
    <w:qFormat/>
    <w:pPr>
      <w:ind w:firstLineChars="200" w:firstLine="420"/>
    </w:pPr>
  </w:style>
  <w:style w:type="character" w:customStyle="1" w:styleId="a6">
    <w:name w:val="批注文字 字符"/>
    <w:basedOn w:val="a1"/>
    <w:link w:val="a5"/>
    <w:uiPriority w:val="99"/>
    <w:semiHidden/>
    <w:qFormat/>
    <w:rPr>
      <w:rFonts w:ascii="Times New Roman" w:eastAsia="Adobe 仿宋 Std R" w:hAnsi="Times New Roman" w:cs="Times New Roman"/>
      <w:kern w:val="2"/>
      <w:sz w:val="32"/>
      <w:szCs w:val="24"/>
    </w:rPr>
  </w:style>
  <w:style w:type="character" w:customStyle="1" w:styleId="ae">
    <w:name w:val="批注主题 字符"/>
    <w:basedOn w:val="a6"/>
    <w:link w:val="ad"/>
    <w:uiPriority w:val="99"/>
    <w:semiHidden/>
    <w:qFormat/>
    <w:rPr>
      <w:rFonts w:ascii="Times New Roman" w:eastAsia="Adobe 仿宋 Std R" w:hAnsi="Times New Roman" w:cs="Times New Roman"/>
      <w:b/>
      <w:bCs/>
      <w:kern w:val="2"/>
      <w:sz w:val="32"/>
      <w:szCs w:val="24"/>
    </w:rPr>
  </w:style>
  <w:style w:type="character" w:customStyle="1" w:styleId="aa">
    <w:name w:val="页脚 字符"/>
    <w:basedOn w:val="a1"/>
    <w:link w:val="a9"/>
    <w:uiPriority w:val="99"/>
    <w:qFormat/>
    <w:rPr>
      <w:rFonts w:ascii="Times New Roman" w:eastAsia="Adobe 仿宋 Std R" w:hAnsi="Times New Roman" w:cs="Times New Roman"/>
      <w:kern w:val="2"/>
      <w:sz w:val="18"/>
      <w:szCs w:val="24"/>
    </w:rPr>
  </w:style>
  <w:style w:type="character" w:customStyle="1" w:styleId="10">
    <w:name w:val="标题 1 字符"/>
    <w:basedOn w:val="a1"/>
    <w:link w:val="1"/>
    <w:uiPriority w:val="9"/>
    <w:qFormat/>
    <w:rPr>
      <w:rFonts w:ascii="Calibri" w:eastAsia="黑体" w:hAnsi="Calibri" w:cs="Times New Roman"/>
      <w:kern w:val="2"/>
      <w:sz w:val="32"/>
      <w:szCs w:val="22"/>
    </w:rPr>
  </w:style>
  <w:style w:type="character" w:customStyle="1" w:styleId="af4">
    <w:name w:val="列出段落 字符"/>
    <w:link w:val="af3"/>
    <w:uiPriority w:val="34"/>
    <w:qFormat/>
    <w:rPr>
      <w:rFonts w:ascii="Times New Roman" w:eastAsia="Adobe 仿宋 Std R" w:hAnsi="Times New Roman" w:cs="Times New Roman"/>
      <w:kern w:val="2"/>
      <w:sz w:val="32"/>
      <w:szCs w:val="24"/>
    </w:rPr>
  </w:style>
  <w:style w:type="paragraph" w:customStyle="1" w:styleId="Style19">
    <w:name w:val="_Style 19"/>
    <w:basedOn w:val="a"/>
    <w:next w:val="af3"/>
    <w:uiPriority w:val="34"/>
    <w:qFormat/>
    <w:pPr>
      <w:ind w:firstLineChars="200" w:firstLine="420"/>
    </w:pPr>
    <w:rPr>
      <w:rFonts w:eastAsia="宋体"/>
      <w:sz w:val="21"/>
    </w:rPr>
  </w:style>
  <w:style w:type="paragraph" w:customStyle="1" w:styleId="af5">
    <w:name w:val="王奕改内文"/>
    <w:basedOn w:val="a"/>
    <w:qFormat/>
    <w:pPr>
      <w:widowControl/>
      <w:spacing w:line="360" w:lineRule="auto"/>
      <w:ind w:firstLineChars="200" w:firstLine="200"/>
    </w:pPr>
    <w:rPr>
      <w:rFonts w:ascii="宋体" w:hAnsi="宋体"/>
      <w:color w:val="000000"/>
      <w:spacing w:val="-4"/>
      <w:sz w:val="24"/>
    </w:rPr>
  </w:style>
  <w:style w:type="paragraph" w:customStyle="1" w:styleId="Style32">
    <w:name w:val="_Style 32"/>
    <w:basedOn w:val="a"/>
    <w:next w:val="af3"/>
    <w:uiPriority w:val="34"/>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1613</Words>
  <Characters>9199</Characters>
  <Application>Microsoft Office Word</Application>
  <DocSecurity>0</DocSecurity>
  <Lines>76</Lines>
  <Paragraphs>21</Paragraphs>
  <ScaleCrop>false</ScaleCrop>
  <Company>Microsoft</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GT</cp:lastModifiedBy>
  <cp:revision>18</cp:revision>
  <dcterms:created xsi:type="dcterms:W3CDTF">2022-04-01T13:16:00Z</dcterms:created>
  <dcterms:modified xsi:type="dcterms:W3CDTF">2026-08-12T00:58:00Z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2E1BD229969944E4BAEB3CC8DFCCBACE_13</vt:lpwstr>
  </property>
  <property fmtid="{D5CDD505-2E9C-101B-9397-08002B2CF9AE}" pid="4" name="KSOTemplateDocerSaveRecord">
    <vt:lpwstr>eyJoZGlkIjoiZmY0NWM1MTI4YzM1YmQwMTdhZDVjMTE3NDMwNGM3YjYiLCJ1c2VySWQiOiIyNDI2ODc4MzIifQ==</vt:lpwstr>
  </property>
</Properties>
</file>