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8E5" w:rsidRPr="00F76083" w:rsidRDefault="006B1677">
      <w:pPr>
        <w:spacing w:line="520" w:lineRule="exact"/>
        <w:ind w:rightChars="-32" w:right="-102"/>
        <w:jc w:val="center"/>
        <w:rPr>
          <w:rFonts w:ascii="方正小标宋简体" w:eastAsia="方正小标宋简体" w:hint="eastAsia"/>
          <w:bCs/>
          <w:sz w:val="44"/>
          <w:szCs w:val="44"/>
        </w:rPr>
      </w:pPr>
      <w:r w:rsidRPr="00F76083">
        <w:rPr>
          <w:rFonts w:ascii="方正小标宋简体" w:eastAsia="方正小标宋简体" w:hint="eastAsia"/>
          <w:bCs/>
          <w:sz w:val="44"/>
          <w:szCs w:val="44"/>
        </w:rPr>
        <w:t>体外引流、吸引管</w:t>
      </w:r>
      <w:r w:rsidRPr="00F76083">
        <w:rPr>
          <w:rFonts w:ascii="方正小标宋简体" w:eastAsia="方正小标宋简体" w:hint="eastAsia"/>
          <w:bCs/>
          <w:sz w:val="44"/>
          <w:szCs w:val="44"/>
        </w:rPr>
        <w:t>注册审查指导原则</w:t>
      </w:r>
    </w:p>
    <w:p w:rsidR="008478E5" w:rsidRPr="00F76083" w:rsidRDefault="006B1677">
      <w:pPr>
        <w:spacing w:line="520" w:lineRule="exact"/>
        <w:ind w:rightChars="-32" w:right="-102"/>
        <w:jc w:val="center"/>
        <w:rPr>
          <w:rFonts w:ascii="方正小标宋简体" w:eastAsia="方正小标宋简体" w:hint="eastAsia"/>
          <w:bCs/>
          <w:sz w:val="44"/>
          <w:szCs w:val="44"/>
        </w:rPr>
      </w:pPr>
      <w:r w:rsidRPr="00F76083">
        <w:rPr>
          <w:rFonts w:ascii="方正小标宋简体" w:eastAsia="方正小标宋简体" w:hint="eastAsia"/>
          <w:bCs/>
          <w:sz w:val="44"/>
          <w:szCs w:val="44"/>
        </w:rPr>
        <w:t>（征求意见稿</w:t>
      </w:r>
      <w:bookmarkStart w:id="0" w:name="_GoBack"/>
      <w:bookmarkEnd w:id="0"/>
      <w:r w:rsidRPr="00F76083">
        <w:rPr>
          <w:rFonts w:ascii="方正小标宋简体" w:eastAsia="方正小标宋简体" w:hint="eastAsia"/>
          <w:bCs/>
          <w:sz w:val="44"/>
          <w:szCs w:val="44"/>
        </w:rPr>
        <w:t>）</w:t>
      </w:r>
    </w:p>
    <w:p w:rsidR="008478E5" w:rsidRDefault="008478E5">
      <w:pPr>
        <w:spacing w:line="520" w:lineRule="exact"/>
        <w:ind w:rightChars="-32" w:right="-102"/>
        <w:jc w:val="center"/>
        <w:rPr>
          <w:rFonts w:eastAsia="微软雅黑"/>
          <w:color w:val="000000"/>
          <w:szCs w:val="44"/>
        </w:rPr>
      </w:pP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本指导原则旨在指导注册申请人对体外引流、吸引管产品注册申报资料的准备及撰写，同时也为技术审评部门对注册申报资料的审评提供技术参考。</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本指导原则是对体外引流、吸引管注册申报资料的一般要求，注册申请人需依据产品的具体特性确定其中内容是否适用。若不适用，需具体阐述理由及相应的科学依据，并依据产品的具体特性对注册申报资料的内容进行充实和细化。</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本指导原则是在现行法规和标准体系以及当前认知水平下制定的，随着法规和标准的不断完善，以及科学技术的不断发展，本指导原则相关内容也将进行适时的调整。</w:t>
      </w:r>
    </w:p>
    <w:p w:rsidR="008478E5" w:rsidRDefault="006B1677">
      <w:pPr>
        <w:spacing w:line="520" w:lineRule="exact"/>
        <w:ind w:firstLineChars="200" w:firstLine="640"/>
        <w:rPr>
          <w:rFonts w:eastAsia="黑体"/>
          <w:color w:val="000000"/>
          <w:szCs w:val="32"/>
        </w:rPr>
      </w:pPr>
      <w:r>
        <w:rPr>
          <w:rFonts w:eastAsia="黑体" w:hint="eastAsia"/>
          <w:color w:val="000000"/>
          <w:szCs w:val="32"/>
        </w:rPr>
        <w:t>一、适用范围</w:t>
      </w:r>
    </w:p>
    <w:p w:rsidR="008478E5" w:rsidRDefault="006B1677">
      <w:pPr>
        <w:spacing w:line="520" w:lineRule="exact"/>
        <w:ind w:firstLineChars="200" w:firstLine="640"/>
        <w:rPr>
          <w:rFonts w:ascii="仿宋_GB2312" w:hAnsi="仿宋_GB2312" w:cs="仿宋_GB2312"/>
          <w:color w:val="000000"/>
          <w:szCs w:val="32"/>
        </w:rPr>
      </w:pPr>
      <w:r>
        <w:rPr>
          <w:rFonts w:ascii="仿宋_GB2312" w:eastAsia="仿宋_GB2312" w:hAnsi="仿宋_GB2312" w:cs="仿宋_GB2312" w:hint="eastAsia"/>
          <w:color w:val="000000"/>
          <w:szCs w:val="32"/>
        </w:rPr>
        <w:t>本指导原则适用于</w:t>
      </w:r>
      <w:r>
        <w:rPr>
          <w:rFonts w:eastAsia="仿宋_GB2312"/>
          <w:szCs w:val="32"/>
        </w:rPr>
        <w:t>按第二类医疗器械管理</w:t>
      </w:r>
      <w:r>
        <w:rPr>
          <w:rFonts w:ascii="仿宋_GB2312" w:eastAsia="仿宋_GB2312" w:hAnsi="仿宋_GB2312" w:cs="仿宋_GB2312" w:hint="eastAsia"/>
          <w:color w:val="000000"/>
          <w:szCs w:val="32"/>
        </w:rPr>
        <w:t>的一次性使用、无菌提供、</w:t>
      </w:r>
      <w:r>
        <w:rPr>
          <w:rFonts w:eastAsia="仿宋_GB2312"/>
          <w:szCs w:val="32"/>
        </w:rPr>
        <w:t>不直接接触人体的</w:t>
      </w:r>
      <w:r>
        <w:rPr>
          <w:rFonts w:ascii="仿宋_GB2312" w:eastAsia="仿宋_GB2312" w:hAnsi="仿宋_GB2312" w:cs="仿宋_GB2312" w:hint="eastAsia"/>
          <w:color w:val="000000"/>
          <w:szCs w:val="32"/>
        </w:rPr>
        <w:t>体外引流、吸引管，分类编</w:t>
      </w:r>
      <w:r>
        <w:rPr>
          <w:rFonts w:ascii="仿宋_GB2312" w:eastAsia="仿宋_GB2312" w:hAnsi="仿宋_GB2312" w:cs="仿宋_GB2312" w:hint="eastAsia"/>
          <w:color w:val="000000"/>
          <w:szCs w:val="32"/>
        </w:rPr>
        <w:t>码为</w:t>
      </w:r>
      <w:r>
        <w:rPr>
          <w:rFonts w:ascii="仿宋_GB2312" w:eastAsia="仿宋_GB2312" w:hAnsi="仿宋_GB2312" w:cs="仿宋_GB2312" w:hint="eastAsia"/>
          <w:color w:val="000000"/>
          <w:szCs w:val="32"/>
        </w:rPr>
        <w:t>14-06-11</w:t>
      </w:r>
      <w:r>
        <w:rPr>
          <w:rFonts w:ascii="仿宋_GB2312" w:eastAsia="仿宋_GB2312" w:hAnsi="仿宋_GB2312" w:cs="仿宋_GB2312" w:hint="eastAsia"/>
          <w:color w:val="000000"/>
          <w:szCs w:val="32"/>
        </w:rPr>
        <w:t>。</w:t>
      </w:r>
      <w:r>
        <w:rPr>
          <w:rFonts w:hint="eastAsia"/>
        </w:rPr>
        <w:t>不适用于分类编码为</w:t>
      </w:r>
      <w:r>
        <w:rPr>
          <w:rFonts w:hint="eastAsia"/>
        </w:rPr>
        <w:t>14-05-06</w:t>
      </w:r>
      <w:r>
        <w:rPr>
          <w:rFonts w:hint="eastAsia"/>
        </w:rPr>
        <w:t>的接入体内的引流导管、分类编码为</w:t>
      </w:r>
      <w:r>
        <w:rPr>
          <w:rFonts w:hint="eastAsia"/>
        </w:rPr>
        <w:t>02-14-01</w:t>
      </w:r>
      <w:r>
        <w:rPr>
          <w:rFonts w:hint="eastAsia"/>
        </w:rPr>
        <w:t>的吸引管以</w:t>
      </w:r>
      <w:r>
        <w:rPr>
          <w:rFonts w:hint="eastAsia"/>
        </w:rPr>
        <w:t>及分类编码为</w:t>
      </w:r>
      <w:r>
        <w:rPr>
          <w:rFonts w:hint="eastAsia"/>
        </w:rPr>
        <w:t>18-06-06</w:t>
      </w:r>
      <w:r>
        <w:rPr>
          <w:rFonts w:hint="eastAsia"/>
        </w:rPr>
        <w:t>的</w:t>
      </w:r>
      <w:r>
        <w:rPr>
          <w:rFonts w:hint="eastAsia"/>
        </w:rPr>
        <w:t>宫腔负压吸引管产品。</w:t>
      </w:r>
    </w:p>
    <w:p w:rsidR="008478E5" w:rsidRDefault="006B1677">
      <w:pPr>
        <w:spacing w:line="520" w:lineRule="exact"/>
        <w:ind w:firstLineChars="200" w:firstLine="640"/>
        <w:rPr>
          <w:rFonts w:eastAsia="黑体"/>
          <w:color w:val="000000"/>
          <w:szCs w:val="32"/>
        </w:rPr>
      </w:pPr>
      <w:r>
        <w:rPr>
          <w:rFonts w:eastAsia="黑体" w:hint="eastAsia"/>
          <w:color w:val="000000"/>
          <w:szCs w:val="32"/>
        </w:rPr>
        <w:t>二、注册审查要点</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t>（一）监管信息</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lastRenderedPageBreak/>
        <w:t>注册申请人应提供申请表、产品列表、主文档授权信（如适用）、既往沟通记录（如不适用，应当明确声明申报产品没有既往申报和</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或申报前沟通）及其他管理信息等。</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w:t>
      </w:r>
      <w:r>
        <w:rPr>
          <w:rFonts w:ascii="仿宋_GB2312" w:eastAsia="仿宋_GB2312" w:hAnsi="仿宋_GB2312" w:cs="仿宋_GB2312" w:hint="eastAsia"/>
          <w:color w:val="000000"/>
          <w:szCs w:val="32"/>
        </w:rPr>
        <w:t>申请表</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1.1</w:t>
      </w:r>
      <w:r>
        <w:rPr>
          <w:rFonts w:ascii="仿宋_GB2312" w:eastAsia="仿宋_GB2312" w:hAnsi="仿宋_GB2312" w:cs="仿宋_GB2312" w:hint="eastAsia"/>
          <w:color w:val="000000"/>
          <w:szCs w:val="32"/>
        </w:rPr>
        <w:t>产品名称</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产品名称应符合《医疗器械通用名称命名规则》或国家标准、行业标准上的通用名称，由一个核心词和一般不超过三个特征词组成，以体现产品的特性、使用特点和预期用途。</w:t>
      </w:r>
      <w:r>
        <w:rPr>
          <w:rFonts w:ascii="仿宋_GB2312" w:eastAsia="仿宋_GB2312" w:hAnsi="仿宋_GB2312" w:cs="仿宋_GB2312" w:hint="eastAsia"/>
          <w:color w:val="000000"/>
          <w:szCs w:val="32"/>
        </w:rPr>
        <w:t xml:space="preserve">  </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品名举例：一次性使用无菌吸引管、无菌体外吸引连接管等。</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1.2</w:t>
      </w:r>
      <w:r>
        <w:rPr>
          <w:rFonts w:ascii="仿宋_GB2312" w:eastAsia="仿宋_GB2312" w:hAnsi="仿宋_GB2312" w:cs="仿宋_GB2312" w:hint="eastAsia"/>
          <w:color w:val="000000"/>
          <w:szCs w:val="32"/>
        </w:rPr>
        <w:t>管理类别、分类编码</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根据《医疗器械分类目录》，申报产品属于子目录</w:t>
      </w:r>
      <w:r>
        <w:rPr>
          <w:rFonts w:ascii="仿宋_GB2312" w:eastAsia="仿宋_GB2312" w:hAnsi="仿宋_GB2312" w:cs="仿宋_GB2312" w:hint="eastAsia"/>
          <w:color w:val="000000"/>
          <w:szCs w:val="32"/>
        </w:rPr>
        <w:t>14</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注输、护理和防护器械，一级产品类别</w:t>
      </w:r>
      <w:r>
        <w:rPr>
          <w:rFonts w:ascii="仿宋_GB2312" w:eastAsia="仿宋_GB2312" w:hAnsi="仿宋_GB2312" w:cs="仿宋_GB2312" w:hint="eastAsia"/>
          <w:color w:val="000000"/>
          <w:szCs w:val="32"/>
        </w:rPr>
        <w:t>06</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与非血管内导管配套用体外器械，二级产品类别</w:t>
      </w:r>
      <w:r>
        <w:rPr>
          <w:rFonts w:ascii="仿宋_GB2312" w:eastAsia="仿宋_GB2312" w:hAnsi="仿宋_GB2312" w:cs="仿宋_GB2312" w:hint="eastAsia"/>
          <w:color w:val="000000"/>
          <w:szCs w:val="32"/>
        </w:rPr>
        <w:t>11</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体外引流、吸引管，管理类别为Ⅱ类。</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1.3</w:t>
      </w:r>
      <w:r>
        <w:rPr>
          <w:rFonts w:ascii="仿宋_GB2312" w:eastAsia="仿宋_GB2312" w:hAnsi="仿宋_GB2312" w:cs="仿宋_GB2312" w:hint="eastAsia"/>
          <w:color w:val="000000"/>
          <w:szCs w:val="32"/>
        </w:rPr>
        <w:t>注册单元划分的原则</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申报产品的注册单元的划分应符合《医疗器械注册单元划分指导原则》要求，原</w:t>
      </w:r>
      <w:r>
        <w:rPr>
          <w:rFonts w:ascii="仿宋_GB2312" w:eastAsia="仿宋_GB2312" w:hAnsi="仿宋_GB2312" w:cs="仿宋_GB2312" w:hint="eastAsia"/>
          <w:color w:val="000000"/>
          <w:szCs w:val="32"/>
        </w:rPr>
        <w:t>则上以产品的技术原理、结构组成、性能指标和适用范围为划分依据。</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1.4</w:t>
      </w:r>
      <w:r>
        <w:rPr>
          <w:rFonts w:ascii="仿宋_GB2312" w:eastAsia="仿宋_GB2312" w:hAnsi="仿宋_GB2312" w:cs="仿宋_GB2312" w:hint="eastAsia"/>
          <w:color w:val="000000"/>
          <w:szCs w:val="32"/>
        </w:rPr>
        <w:t>型号规格</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应明确所有型号规格，需提供产品各型号规格的划分依据，如依据产品结构设计（尺寸、组件）不同划分相应的型号规格。</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1.5</w:t>
      </w:r>
      <w:r>
        <w:rPr>
          <w:rFonts w:ascii="仿宋_GB2312" w:eastAsia="仿宋_GB2312" w:hAnsi="仿宋_GB2312" w:cs="仿宋_GB2312" w:hint="eastAsia"/>
          <w:color w:val="000000"/>
          <w:szCs w:val="32"/>
        </w:rPr>
        <w:t>结构及组成</w:t>
      </w:r>
    </w:p>
    <w:p w:rsidR="008478E5" w:rsidRDefault="006B1677">
      <w:pPr>
        <w:spacing w:line="520" w:lineRule="exact"/>
        <w:ind w:firstLineChars="200" w:firstLine="640"/>
      </w:pPr>
      <w:r>
        <w:rPr>
          <w:rFonts w:ascii="仿宋_GB2312" w:eastAsia="仿宋_GB2312" w:hAnsi="仿宋_GB2312" w:cs="仿宋_GB2312" w:hint="eastAsia"/>
          <w:color w:val="000000"/>
          <w:szCs w:val="32"/>
        </w:rPr>
        <w:t>结构及组成中应规范描述各部件名称及材质，各项文件中结构及组成应一致。</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lastRenderedPageBreak/>
        <w:t>（二）综述资料</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1.</w:t>
      </w:r>
      <w:r>
        <w:rPr>
          <w:rFonts w:ascii="仿宋_GB2312" w:eastAsia="仿宋_GB2312" w:hAnsi="仿宋_GB2312" w:cs="仿宋_GB2312" w:hint="eastAsia"/>
          <w:color w:val="000000"/>
          <w:szCs w:val="32"/>
        </w:rPr>
        <w:t>概述</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注册申请人应描述申报产品的名称及确定依据、管理类别、适用范围。若适用，申请人需要提供申报产品的背景信息概述。</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2.</w:t>
      </w:r>
      <w:r>
        <w:rPr>
          <w:rFonts w:ascii="仿宋_GB2312" w:eastAsia="仿宋_GB2312" w:hAnsi="仿宋_GB2312" w:cs="仿宋_GB2312" w:hint="eastAsia"/>
          <w:color w:val="000000"/>
          <w:szCs w:val="32"/>
        </w:rPr>
        <w:t>产品描述</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2.1</w:t>
      </w:r>
      <w:r>
        <w:rPr>
          <w:rFonts w:ascii="仿宋_GB2312" w:eastAsia="仿宋_GB2312" w:hAnsi="仿宋_GB2312" w:cs="仿宋_GB2312" w:hint="eastAsia"/>
          <w:color w:val="000000"/>
          <w:szCs w:val="32"/>
        </w:rPr>
        <w:t>工作原理</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体外引流、吸引管是在引流导管和引流装置之间连接，使之组成密闭的引流系统，将手术中、手术后的血水、废液等引流、吸引至废液收集装置。</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2.2 </w:t>
      </w:r>
      <w:r>
        <w:rPr>
          <w:rFonts w:ascii="仿宋_GB2312" w:eastAsia="仿宋_GB2312" w:hAnsi="仿宋_GB2312" w:cs="仿宋_GB2312" w:hint="eastAsia"/>
          <w:color w:val="000000"/>
          <w:szCs w:val="32"/>
        </w:rPr>
        <w:t>结构和组成</w:t>
      </w:r>
    </w:p>
    <w:p w:rsidR="008478E5" w:rsidRDefault="006B1677">
      <w:pPr>
        <w:spacing w:line="520" w:lineRule="exact"/>
        <w:ind w:firstLineChars="200" w:firstLine="640"/>
        <w:rPr>
          <w:rFonts w:ascii="仿宋_GB2312" w:hAnsi="仿宋_GB2312" w:cs="仿宋_GB2312"/>
          <w:color w:val="000000"/>
          <w:szCs w:val="32"/>
          <w:highlight w:val="yellow"/>
        </w:rPr>
      </w:pPr>
      <w:r>
        <w:rPr>
          <w:rFonts w:ascii="仿宋_GB2312" w:eastAsia="仿宋_GB2312" w:hAnsi="仿宋_GB2312" w:cs="仿宋_GB2312" w:hint="eastAsia"/>
          <w:color w:val="000000"/>
          <w:szCs w:val="32"/>
        </w:rPr>
        <w:t>体外引流、吸引管通常由软管和连接件组成，连接件</w:t>
      </w:r>
      <w:r>
        <w:rPr>
          <w:rFonts w:ascii="仿宋_GB2312" w:eastAsia="仿宋_GB2312" w:hAnsi="仿宋_GB2312" w:cs="仿宋_GB2312" w:hint="eastAsia"/>
          <w:color w:val="000000"/>
          <w:szCs w:val="32"/>
        </w:rPr>
        <w:t>可为圆锥</w:t>
      </w:r>
      <w:r>
        <w:rPr>
          <w:rFonts w:ascii="仿宋_GB2312" w:eastAsia="仿宋_GB2312" w:hAnsi="仿宋_GB2312" w:cs="仿宋_GB2312" w:hint="eastAsia"/>
          <w:color w:val="000000"/>
          <w:szCs w:val="32"/>
        </w:rPr>
        <w:t>接头</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鲁尔接头</w:t>
      </w:r>
      <w:r>
        <w:rPr>
          <w:rFonts w:ascii="仿宋_GB2312" w:eastAsia="仿宋_GB2312" w:hAnsi="仿宋_GB2312" w:cs="仿宋_GB2312" w:hint="eastAsia"/>
          <w:color w:val="000000"/>
          <w:szCs w:val="32"/>
        </w:rPr>
        <w:t>等，产品可根据临床需求带</w:t>
      </w:r>
      <w:r>
        <w:rPr>
          <w:rFonts w:ascii="仿宋_GB2312" w:eastAsia="仿宋_GB2312" w:hAnsi="仿宋_GB2312" w:cs="仿宋_GB2312" w:hint="eastAsia"/>
          <w:color w:val="000000"/>
          <w:szCs w:val="32"/>
        </w:rPr>
        <w:t>开关阀、护帽等组件。</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软管材料：常用材料为</w:t>
      </w:r>
      <w:r>
        <w:rPr>
          <w:rFonts w:ascii="仿宋_GB2312" w:eastAsia="仿宋_GB2312" w:hAnsi="仿宋_GB2312" w:cs="仿宋_GB2312"/>
          <w:color w:val="000000"/>
          <w:szCs w:val="32"/>
        </w:rPr>
        <w:t>PVC</w:t>
      </w:r>
      <w:r>
        <w:rPr>
          <w:rFonts w:ascii="仿宋_GB2312" w:eastAsia="仿宋_GB2312" w:hAnsi="仿宋_GB2312" w:cs="仿宋_GB2312"/>
          <w:color w:val="000000"/>
          <w:szCs w:val="32"/>
        </w:rPr>
        <w:t>（聚氯乙烯</w:t>
      </w:r>
      <w:r>
        <w:rPr>
          <w:rFonts w:ascii="仿宋_GB2312" w:eastAsia="仿宋_GB2312" w:hAnsi="仿宋_GB2312" w:cs="仿宋_GB2312" w:hint="eastAsia"/>
          <w:color w:val="000000"/>
          <w:szCs w:val="32"/>
        </w:rPr>
        <w:t>，明确增塑剂</w:t>
      </w:r>
      <w:r>
        <w:rPr>
          <w:rFonts w:ascii="仿宋_GB2312" w:eastAsia="仿宋_GB2312" w:hAnsi="仿宋_GB2312" w:cs="仿宋_GB2312"/>
          <w:color w:val="000000"/>
          <w:szCs w:val="32"/>
        </w:rPr>
        <w:t>）</w:t>
      </w:r>
      <w:r>
        <w:rPr>
          <w:rFonts w:ascii="仿宋_GB2312" w:eastAsia="仿宋_GB2312" w:hAnsi="仿宋_GB2312" w:cs="仿宋_GB2312" w:hint="eastAsia"/>
          <w:color w:val="000000"/>
          <w:szCs w:val="32"/>
        </w:rPr>
        <w:t>、天然乳胶、硅橡胶、</w:t>
      </w:r>
      <w:r>
        <w:rPr>
          <w:rFonts w:ascii="仿宋_GB2312" w:eastAsia="仿宋_GB2312" w:hAnsi="仿宋_GB2312" w:cs="仿宋_GB2312"/>
          <w:color w:val="000000"/>
          <w:szCs w:val="32"/>
        </w:rPr>
        <w:t>TPU</w:t>
      </w:r>
      <w:r>
        <w:rPr>
          <w:rFonts w:ascii="仿宋_GB2312" w:eastAsia="仿宋_GB2312" w:hAnsi="仿宋_GB2312" w:cs="仿宋_GB2312"/>
          <w:color w:val="000000"/>
          <w:szCs w:val="32"/>
        </w:rPr>
        <w:t>（热塑性聚氨酯弹性体）。</w:t>
      </w:r>
      <w:r>
        <w:rPr>
          <w:rFonts w:ascii="仿宋_GB2312" w:eastAsia="仿宋_GB2312" w:hAnsi="仿宋_GB2312" w:cs="仿宋_GB2312" w:hint="eastAsia"/>
          <w:color w:val="000000"/>
          <w:szCs w:val="32"/>
        </w:rPr>
        <w:t>为增加耐负压性，管体可在内壁增设纵向加强筋等设计。</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连接件材料：常用</w:t>
      </w:r>
      <w:r>
        <w:rPr>
          <w:rFonts w:ascii="仿宋_GB2312" w:eastAsia="仿宋_GB2312" w:hAnsi="仿宋_GB2312" w:cs="仿宋_GB2312"/>
          <w:color w:val="000000"/>
          <w:szCs w:val="32"/>
        </w:rPr>
        <w:t>PVC</w:t>
      </w:r>
      <w:r>
        <w:rPr>
          <w:rFonts w:ascii="仿宋_GB2312" w:eastAsia="仿宋_GB2312" w:hAnsi="仿宋_GB2312" w:cs="仿宋_GB2312"/>
          <w:color w:val="000000"/>
          <w:szCs w:val="32"/>
        </w:rPr>
        <w:t>（聚氯乙烯）、</w:t>
      </w:r>
      <w:r>
        <w:rPr>
          <w:rFonts w:ascii="仿宋_GB2312" w:eastAsia="仿宋_GB2312" w:hAnsi="仿宋_GB2312" w:cs="仿宋_GB2312"/>
          <w:color w:val="000000"/>
          <w:szCs w:val="32"/>
        </w:rPr>
        <w:t>ABS</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丙烯腈</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丁二烯</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苯乙烯共聚物</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PC</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聚碳酸酯</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PE</w:t>
      </w:r>
      <w:r>
        <w:rPr>
          <w:rFonts w:ascii="仿宋_GB2312" w:eastAsia="仿宋_GB2312" w:hAnsi="仿宋_GB2312" w:cs="仿宋_GB2312"/>
          <w:color w:val="000000"/>
          <w:szCs w:val="32"/>
        </w:rPr>
        <w:t>（</w:t>
      </w:r>
      <w:r>
        <w:rPr>
          <w:rFonts w:ascii="仿宋_GB2312" w:eastAsia="仿宋_GB2312" w:hAnsi="仿宋_GB2312" w:cs="仿宋_GB2312" w:hint="eastAsia"/>
          <w:color w:val="000000"/>
          <w:szCs w:val="32"/>
        </w:rPr>
        <w:t>聚乙烯</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PP</w:t>
      </w:r>
      <w:r>
        <w:rPr>
          <w:rFonts w:ascii="仿宋_GB2312" w:eastAsia="仿宋_GB2312" w:hAnsi="仿宋_GB2312" w:cs="仿宋_GB2312"/>
          <w:color w:val="000000"/>
          <w:szCs w:val="32"/>
        </w:rPr>
        <w:t>（</w:t>
      </w:r>
      <w:r>
        <w:rPr>
          <w:rFonts w:ascii="仿宋_GB2312" w:eastAsia="仿宋_GB2312" w:hAnsi="仿宋_GB2312" w:cs="仿宋_GB2312" w:hint="eastAsia"/>
          <w:color w:val="000000"/>
          <w:szCs w:val="32"/>
        </w:rPr>
        <w:t>聚丙烯</w:t>
      </w:r>
      <w:r>
        <w:rPr>
          <w:rFonts w:ascii="仿宋_GB2312" w:eastAsia="仿宋_GB2312" w:hAnsi="仿宋_GB2312" w:cs="仿宋_GB2312"/>
          <w:color w:val="000000"/>
          <w:szCs w:val="32"/>
        </w:rPr>
        <w:t>）</w:t>
      </w:r>
      <w:r>
        <w:rPr>
          <w:rFonts w:ascii="仿宋_GB2312" w:eastAsia="仿宋_GB2312" w:hAnsi="仿宋_GB2312" w:cs="仿宋_GB2312" w:hint="eastAsia"/>
          <w:color w:val="000000"/>
          <w:szCs w:val="32"/>
        </w:rPr>
        <w:t>等。</w:t>
      </w:r>
    </w:p>
    <w:p w:rsidR="008478E5" w:rsidRDefault="006B1677">
      <w:pPr>
        <w:spacing w:line="520" w:lineRule="exact"/>
        <w:ind w:firstLineChars="200" w:firstLine="640"/>
      </w:pPr>
      <w:r>
        <w:rPr>
          <w:rFonts w:ascii="仿宋_GB2312" w:eastAsia="仿宋_GB2312" w:hAnsi="仿宋_GB2312" w:cs="仿宋_GB2312" w:hint="eastAsia"/>
          <w:color w:val="000000"/>
          <w:szCs w:val="32"/>
        </w:rPr>
        <w:t>选配组件：部分产品根据临床需求配有吸引头</w:t>
      </w:r>
      <w:r>
        <w:rPr>
          <w:rFonts w:ascii="仿宋_GB2312" w:eastAsia="仿宋_GB2312" w:hAnsi="仿宋_GB2312" w:cs="仿宋_GB2312" w:hint="eastAsia"/>
          <w:color w:val="000000"/>
          <w:szCs w:val="32"/>
        </w:rPr>
        <w:t>等</w:t>
      </w:r>
      <w:r>
        <w:rPr>
          <w:rFonts w:ascii="仿宋_GB2312" w:eastAsia="仿宋_GB2312" w:hAnsi="仿宋_GB2312" w:cs="仿宋_GB2312" w:hint="eastAsia"/>
          <w:color w:val="000000"/>
          <w:szCs w:val="32"/>
        </w:rPr>
        <w:t>组件。</w:t>
      </w:r>
    </w:p>
    <w:p w:rsidR="008478E5" w:rsidRDefault="006B1677">
      <w:pPr>
        <w:spacing w:line="520" w:lineRule="exact"/>
        <w:ind w:firstLineChars="200" w:firstLine="640"/>
      </w:pPr>
      <w:r>
        <w:rPr>
          <w:rFonts w:ascii="仿宋_GB2312" w:eastAsia="仿宋_GB2312" w:hAnsi="仿宋_GB2312" w:cs="仿宋_GB2312" w:hint="eastAsia"/>
          <w:szCs w:val="32"/>
        </w:rPr>
        <w:t>典型产品结构</w:t>
      </w:r>
      <w:r>
        <w:rPr>
          <w:rFonts w:ascii="仿宋_GB2312" w:eastAsia="仿宋_GB2312" w:hAnsi="仿宋_GB2312" w:cs="仿宋_GB2312" w:hint="eastAsia"/>
          <w:szCs w:val="32"/>
        </w:rPr>
        <w:t>示意图</w:t>
      </w:r>
      <w:r>
        <w:rPr>
          <w:rFonts w:ascii="仿宋_GB2312" w:eastAsia="仿宋_GB2312" w:hAnsi="仿宋_GB2312" w:cs="仿宋_GB2312" w:hint="eastAsia"/>
          <w:szCs w:val="32"/>
        </w:rPr>
        <w:t>见下图。</w:t>
      </w:r>
    </w:p>
    <w:p w:rsidR="008478E5" w:rsidRDefault="008478E5">
      <w:pPr>
        <w:spacing w:line="520" w:lineRule="exact"/>
      </w:pPr>
    </w:p>
    <w:p w:rsidR="008478E5" w:rsidRDefault="006B1677">
      <w:pPr>
        <w:ind w:firstLineChars="200" w:firstLine="640"/>
      </w:pPr>
      <w:r>
        <w:rPr>
          <w:rFonts w:hint="eastAsia"/>
          <w:noProof/>
        </w:rPr>
        <w:lastRenderedPageBreak/>
        <w:drawing>
          <wp:inline distT="0" distB="0" distL="114300" distR="114300">
            <wp:extent cx="4378960" cy="1176655"/>
            <wp:effectExtent l="0" t="0" r="2540" b="4445"/>
            <wp:docPr id="2" name="图片 2" descr="591828b2-6453-41eb-89e0-5383b2ef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91828b2-6453-41eb-89e0-5383b2ef6783"/>
                    <pic:cNvPicPr>
                      <a:picLocks noChangeAspect="1"/>
                    </pic:cNvPicPr>
                  </pic:nvPicPr>
                  <pic:blipFill>
                    <a:blip r:embed="rId10"/>
                    <a:stretch>
                      <a:fillRect/>
                    </a:stretch>
                  </pic:blipFill>
                  <pic:spPr>
                    <a:xfrm>
                      <a:off x="0" y="0"/>
                      <a:ext cx="4378960" cy="1176655"/>
                    </a:xfrm>
                    <a:prstGeom prst="rect">
                      <a:avLst/>
                    </a:prstGeom>
                  </pic:spPr>
                </pic:pic>
              </a:graphicData>
            </a:graphic>
          </wp:inline>
        </w:drawing>
      </w:r>
    </w:p>
    <w:p w:rsidR="008478E5" w:rsidRDefault="006B1677">
      <w:pPr>
        <w:spacing w:line="520" w:lineRule="exact"/>
        <w:ind w:firstLineChars="1000" w:firstLine="2400"/>
        <w:rPr>
          <w:rFonts w:ascii="仿宋_GB2312" w:eastAsia="仿宋_GB2312" w:hAnsi="仿宋_GB2312" w:cs="仿宋_GB2312"/>
          <w:color w:val="000000"/>
          <w:szCs w:val="32"/>
        </w:rPr>
      </w:pPr>
      <w:r>
        <w:rPr>
          <w:rFonts w:hint="eastAsia"/>
          <w:sz w:val="24"/>
        </w:rPr>
        <w:t>体外引流、吸引管结构示意图</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2.3 </w:t>
      </w:r>
      <w:r>
        <w:rPr>
          <w:rFonts w:ascii="仿宋_GB2312" w:eastAsia="仿宋_GB2312" w:hAnsi="仿宋_GB2312" w:cs="仿宋_GB2312" w:hint="eastAsia"/>
          <w:color w:val="000000"/>
          <w:szCs w:val="32"/>
        </w:rPr>
        <w:t>型号规格</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应明确产品型号</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规格的表述方式、划分依据，通常可按管身内径</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外径、管身长度、接头类型以及是否带有可调负压等特殊功能进行划分。建议采用对比表及带有说明性文字的图片、图表形式，从结构组成、原材料、功能、产品特征、性能指标等方面详细列表说明各型号规格间的异同点。若吸引头为可选配组件，应在规格列表中注明选配关系并体现各型号间的差异。</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2.4 </w:t>
      </w:r>
      <w:r>
        <w:rPr>
          <w:rFonts w:ascii="仿宋_GB2312" w:eastAsia="仿宋_GB2312" w:hAnsi="仿宋_GB2312" w:cs="仿宋_GB2312" w:hint="eastAsia"/>
          <w:color w:val="000000"/>
          <w:szCs w:val="32"/>
        </w:rPr>
        <w:t>包装说明</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应提供有关产品包装的信息，如描述产品包装的材料，说明包装清单和包装方式，提供包装图示等。如有配件，还应提供与该产品一起销售的配件包装情况。应当说明与灭菌方法相适应的最初包装的信息</w:t>
      </w:r>
      <w:r>
        <w:rPr>
          <w:rFonts w:ascii="仿宋_GB2312" w:eastAsia="仿宋_GB2312" w:hAnsi="仿宋_GB2312" w:cs="仿宋_GB2312" w:hint="eastAsia"/>
          <w:color w:val="000000"/>
          <w:szCs w:val="32"/>
        </w:rPr>
        <w:t>和无菌屏障信息</w:t>
      </w:r>
      <w:r>
        <w:rPr>
          <w:rFonts w:ascii="仿宋_GB2312" w:eastAsia="仿宋_GB2312" w:hAnsi="仿宋_GB2312" w:cs="仿宋_GB2312" w:hint="eastAsia"/>
          <w:color w:val="000000"/>
          <w:szCs w:val="32"/>
        </w:rPr>
        <w:t>。</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2.5 </w:t>
      </w:r>
      <w:r>
        <w:rPr>
          <w:rFonts w:ascii="仿宋_GB2312" w:eastAsia="仿宋_GB2312" w:hAnsi="仿宋_GB2312" w:cs="仿宋_GB2312" w:hint="eastAsia"/>
          <w:color w:val="000000"/>
          <w:szCs w:val="32"/>
        </w:rPr>
        <w:t>研发历程</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应阐述申请注册产品的研发背景和目的。如有参考的同类产品或前代产品，应当提供同类产品或前代产品的信息，并说明选择其作为研发参考的原因。</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2.6 </w:t>
      </w:r>
      <w:r>
        <w:rPr>
          <w:rFonts w:ascii="仿宋_GB2312" w:eastAsia="仿宋_GB2312" w:hAnsi="仿宋_GB2312" w:cs="仿宋_GB2312" w:hint="eastAsia"/>
          <w:color w:val="000000"/>
          <w:szCs w:val="32"/>
        </w:rPr>
        <w:t>与同类和</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或前代产品的参考和比较</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color w:val="000000"/>
          <w:szCs w:val="32"/>
        </w:rPr>
        <w:t>列表比较说明申报产品与同类产品和</w:t>
      </w:r>
      <w:r>
        <w:rPr>
          <w:rFonts w:ascii="仿宋_GB2312" w:eastAsia="仿宋_GB2312" w:hAnsi="仿宋_GB2312" w:cs="仿宋_GB2312"/>
          <w:color w:val="000000"/>
          <w:szCs w:val="32"/>
        </w:rPr>
        <w:t>/</w:t>
      </w:r>
      <w:r>
        <w:rPr>
          <w:rFonts w:ascii="仿宋_GB2312" w:eastAsia="仿宋_GB2312" w:hAnsi="仿宋_GB2312" w:cs="仿宋_GB2312"/>
          <w:color w:val="000000"/>
          <w:szCs w:val="32"/>
        </w:rPr>
        <w:t>或前代产品（如有）在工作原理、结构组成、制造材料、性能指标、作用方式、适用范围等方面的</w:t>
      </w:r>
      <w:r>
        <w:rPr>
          <w:rFonts w:ascii="仿宋_GB2312" w:eastAsia="仿宋_GB2312" w:hAnsi="仿宋_GB2312" w:cs="仿宋_GB2312"/>
          <w:color w:val="000000"/>
          <w:szCs w:val="32"/>
        </w:rPr>
        <w:t>异同。</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lastRenderedPageBreak/>
        <w:t>3.</w:t>
      </w:r>
      <w:r>
        <w:rPr>
          <w:rFonts w:ascii="仿宋_GB2312" w:eastAsia="仿宋_GB2312" w:hAnsi="仿宋_GB2312" w:cs="仿宋_GB2312" w:hint="eastAsia"/>
          <w:color w:val="000000"/>
          <w:szCs w:val="32"/>
        </w:rPr>
        <w:t>适用范围和禁忌证</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3.1 </w:t>
      </w:r>
      <w:r>
        <w:rPr>
          <w:rFonts w:ascii="仿宋_GB2312" w:eastAsia="仿宋_GB2312" w:hAnsi="仿宋_GB2312" w:cs="仿宋_GB2312" w:hint="eastAsia"/>
          <w:color w:val="000000"/>
          <w:szCs w:val="32"/>
        </w:rPr>
        <w:t>适用范围</w:t>
      </w:r>
    </w:p>
    <w:p w:rsidR="008478E5" w:rsidRDefault="006B1677">
      <w:pPr>
        <w:spacing w:line="520" w:lineRule="exact"/>
        <w:ind w:firstLineChars="200" w:firstLine="640"/>
        <w:rPr>
          <w:rFonts w:ascii="仿宋_GB2312" w:hAnsi="仿宋_GB2312" w:cs="仿宋_GB2312"/>
          <w:color w:val="000000"/>
          <w:szCs w:val="32"/>
          <w:highlight w:val="yellow"/>
        </w:rPr>
      </w:pPr>
      <w:r>
        <w:rPr>
          <w:rFonts w:ascii="仿宋_GB2312" w:eastAsia="仿宋_GB2312" w:hAnsi="仿宋_GB2312" w:cs="仿宋_GB2312"/>
          <w:color w:val="000000"/>
          <w:szCs w:val="32"/>
        </w:rPr>
        <w:t>应当描述申报产品的适用范围，明确预期用途。</w:t>
      </w:r>
      <w:r>
        <w:rPr>
          <w:rFonts w:ascii="仿宋_GB2312" w:eastAsia="仿宋_GB2312" w:hAnsi="仿宋_GB2312" w:cs="仿宋_GB2312" w:hint="eastAsia"/>
          <w:color w:val="000000"/>
          <w:szCs w:val="32"/>
        </w:rPr>
        <w:t>体外引流、吸引管与适宜设备配套后，</w:t>
      </w:r>
      <w:r>
        <w:rPr>
          <w:rFonts w:ascii="仿宋_GB2312" w:eastAsia="仿宋_GB2312" w:hAnsi="仿宋_GB2312" w:cs="仿宋_GB2312"/>
          <w:color w:val="000000"/>
          <w:szCs w:val="32"/>
        </w:rPr>
        <w:t>用于手术中、手术后的血水、废液等引流、吸引使用</w:t>
      </w:r>
      <w:r>
        <w:rPr>
          <w:rFonts w:ascii="仿宋_GB2312" w:eastAsia="仿宋_GB2312" w:hAnsi="仿宋_GB2312" w:cs="仿宋_GB2312"/>
          <w:color w:val="000000"/>
          <w:szCs w:val="32"/>
        </w:rPr>
        <w:t>。</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3.2 </w:t>
      </w:r>
      <w:r>
        <w:rPr>
          <w:rFonts w:ascii="仿宋_GB2312" w:eastAsia="仿宋_GB2312" w:hAnsi="仿宋_GB2312" w:cs="仿宋_GB2312" w:hint="eastAsia"/>
          <w:color w:val="000000"/>
          <w:szCs w:val="32"/>
        </w:rPr>
        <w:t>预期使用环境</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明确该产品预期使用的地点，如医疗机构等。可能影响其安全性和有效的环境条件，如温度、湿度、压力、海拔等。</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3.3 </w:t>
      </w:r>
      <w:r>
        <w:rPr>
          <w:rFonts w:ascii="仿宋_GB2312" w:eastAsia="仿宋_GB2312" w:hAnsi="仿宋_GB2312" w:cs="仿宋_GB2312" w:hint="eastAsia"/>
          <w:color w:val="000000"/>
          <w:szCs w:val="32"/>
        </w:rPr>
        <w:t>适用人群</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适用人群建议说明目标患者人群信息，患者选择标准，重要考虑因素等。</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 xml:space="preserve">3.4 </w:t>
      </w:r>
      <w:r>
        <w:rPr>
          <w:rFonts w:ascii="仿宋_GB2312" w:eastAsia="仿宋_GB2312" w:hAnsi="仿宋_GB2312" w:cs="仿宋_GB2312" w:hint="eastAsia"/>
          <w:color w:val="000000"/>
          <w:szCs w:val="32"/>
        </w:rPr>
        <w:t>禁忌证</w:t>
      </w:r>
    </w:p>
    <w:p w:rsidR="008478E5" w:rsidRDefault="006B1677">
      <w:pPr>
        <w:spacing w:line="520" w:lineRule="exact"/>
        <w:ind w:firstLineChars="200" w:firstLine="640"/>
        <w:rPr>
          <w:rFonts w:ascii="仿宋_GB2312" w:eastAsia="仿宋_GB2312" w:hAnsi="仿宋_GB2312" w:cs="仿宋_GB2312"/>
          <w:color w:val="000000"/>
          <w:szCs w:val="32"/>
          <w:highlight w:val="yellow"/>
        </w:rPr>
      </w:pPr>
      <w:r>
        <w:rPr>
          <w:rFonts w:ascii="仿宋_GB2312" w:eastAsia="仿宋_GB2312" w:hAnsi="仿宋_GB2312" w:cs="仿宋_GB2312" w:hint="eastAsia"/>
          <w:color w:val="000000"/>
          <w:szCs w:val="32"/>
        </w:rPr>
        <w:t>应说明产品不适宜</w:t>
      </w:r>
      <w:r>
        <w:rPr>
          <w:rFonts w:ascii="仿宋_GB2312" w:eastAsia="仿宋_GB2312" w:hAnsi="仿宋_GB2312" w:cs="仿宋_GB2312" w:hint="eastAsia"/>
          <w:color w:val="000000"/>
          <w:szCs w:val="32"/>
        </w:rPr>
        <w:t>使用</w:t>
      </w:r>
      <w:r>
        <w:rPr>
          <w:rFonts w:ascii="仿宋_GB2312" w:eastAsia="仿宋_GB2312" w:hAnsi="仿宋_GB2312" w:cs="仿宋_GB2312" w:hint="eastAsia"/>
          <w:color w:val="000000"/>
          <w:szCs w:val="32"/>
        </w:rPr>
        <w:t>的某些疾病、情况或特定的人群。</w:t>
      </w:r>
    </w:p>
    <w:p w:rsidR="008478E5" w:rsidRDefault="006B1677">
      <w:pPr>
        <w:numPr>
          <w:ilvl w:val="255"/>
          <w:numId w:val="0"/>
        </w:num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申报产品上市历史</w:t>
      </w:r>
    </w:p>
    <w:p w:rsidR="008478E5" w:rsidRDefault="006B1677">
      <w:pPr>
        <w:numPr>
          <w:ilvl w:val="255"/>
          <w:numId w:val="0"/>
        </w:numPr>
        <w:spacing w:line="520" w:lineRule="exact"/>
        <w:ind w:firstLineChars="200" w:firstLine="640"/>
        <w:rPr>
          <w:rFonts w:eastAsia="仿宋_GB2312"/>
          <w:color w:val="000000"/>
          <w:szCs w:val="32"/>
        </w:rPr>
      </w:pPr>
      <w:r>
        <w:rPr>
          <w:rFonts w:eastAsia="仿宋_GB2312" w:hint="eastAsia"/>
          <w:color w:val="000000"/>
          <w:szCs w:val="32"/>
        </w:rPr>
        <w:t>4.1</w:t>
      </w:r>
      <w:r>
        <w:rPr>
          <w:rFonts w:eastAsia="仿宋_GB2312" w:hint="eastAsia"/>
          <w:color w:val="000000"/>
          <w:spacing w:val="-1"/>
          <w:szCs w:val="32"/>
        </w:rPr>
        <w:t>研发历程</w:t>
      </w:r>
    </w:p>
    <w:p w:rsidR="008478E5" w:rsidRDefault="006B1677">
      <w:pPr>
        <w:tabs>
          <w:tab w:val="left" w:pos="7140"/>
        </w:tabs>
        <w:autoSpaceDE w:val="0"/>
        <w:autoSpaceDN w:val="0"/>
        <w:spacing w:line="520" w:lineRule="exact"/>
        <w:ind w:firstLineChars="200" w:firstLine="640"/>
        <w:rPr>
          <w:rFonts w:eastAsia="仿宋_GB2312"/>
          <w:color w:val="000000"/>
          <w:szCs w:val="32"/>
        </w:rPr>
      </w:pPr>
      <w:r>
        <w:rPr>
          <w:rFonts w:eastAsia="仿宋_GB2312"/>
          <w:szCs w:val="32"/>
        </w:rPr>
        <w:t>阐述申请注册产品的研发背景和目的。如</w:t>
      </w:r>
      <w:r>
        <w:rPr>
          <w:rFonts w:eastAsia="仿宋_GB2312" w:hint="eastAsia"/>
          <w:szCs w:val="32"/>
        </w:rPr>
        <w:t>存在可以</w:t>
      </w:r>
      <w:r>
        <w:rPr>
          <w:rFonts w:eastAsia="仿宋_GB2312"/>
          <w:szCs w:val="32"/>
        </w:rPr>
        <w:t>参考的同类产品或前代产品，应</w:t>
      </w:r>
      <w:r>
        <w:rPr>
          <w:rFonts w:eastAsia="仿宋_GB2312"/>
          <w:snapToGrid w:val="0"/>
          <w:kern w:val="0"/>
          <w:szCs w:val="32"/>
          <w:lang w:val="zh-CN"/>
        </w:rPr>
        <w:t>说明选择其作为研究开发所参考的原因</w:t>
      </w:r>
      <w:r>
        <w:rPr>
          <w:rFonts w:eastAsia="仿宋_GB2312" w:hint="eastAsia"/>
          <w:snapToGrid w:val="0"/>
          <w:kern w:val="0"/>
          <w:szCs w:val="32"/>
          <w:lang w:val="zh-CN"/>
        </w:rPr>
        <w:t>，</w:t>
      </w:r>
      <w:r>
        <w:rPr>
          <w:rFonts w:eastAsia="仿宋_GB2312" w:hint="eastAsia"/>
          <w:szCs w:val="32"/>
        </w:rPr>
        <w:t>并</w:t>
      </w:r>
      <w:r>
        <w:rPr>
          <w:rFonts w:eastAsia="仿宋_GB2312"/>
          <w:szCs w:val="32"/>
        </w:rPr>
        <w:t>提供同类产品或前代产品的信息。</w:t>
      </w:r>
      <w:r>
        <w:rPr>
          <w:rFonts w:eastAsia="仿宋_GB2312" w:hint="eastAsia"/>
          <w:szCs w:val="32"/>
        </w:rPr>
        <w:t>应</w:t>
      </w:r>
      <w:r>
        <w:rPr>
          <w:rFonts w:eastAsia="仿宋_GB2312"/>
          <w:szCs w:val="32"/>
        </w:rPr>
        <w:t>列表比较说明本次申报产品与已上市同类或前代产品的</w:t>
      </w:r>
      <w:r>
        <w:rPr>
          <w:rFonts w:eastAsia="仿宋_GB2312" w:hint="eastAsia"/>
          <w:szCs w:val="32"/>
        </w:rPr>
        <w:t>异同点</w:t>
      </w:r>
      <w:r>
        <w:rPr>
          <w:rFonts w:eastAsia="仿宋_GB2312"/>
          <w:szCs w:val="32"/>
        </w:rPr>
        <w:t>，包括产品名称、工作原理、原材料、结构特点、性能指标、适用范围、生产工艺、灭菌方式、有效期等</w:t>
      </w:r>
      <w:r>
        <w:rPr>
          <w:rFonts w:eastAsia="仿宋_GB2312" w:hint="eastAsia"/>
          <w:szCs w:val="32"/>
        </w:rPr>
        <w:t>方面</w:t>
      </w:r>
      <w:r>
        <w:rPr>
          <w:rFonts w:eastAsia="仿宋_GB2312"/>
          <w:szCs w:val="32"/>
        </w:rPr>
        <w:t>。</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4.2</w:t>
      </w:r>
      <w:r>
        <w:rPr>
          <w:rFonts w:eastAsia="仿宋_GB2312" w:hint="eastAsia"/>
          <w:color w:val="000000"/>
          <w:szCs w:val="32"/>
        </w:rPr>
        <w:t>产品的不良事件历史记录</w:t>
      </w:r>
    </w:p>
    <w:p w:rsidR="008478E5" w:rsidRDefault="006B1677">
      <w:pPr>
        <w:spacing w:line="520" w:lineRule="exact"/>
        <w:ind w:firstLineChars="200" w:firstLine="640"/>
        <w:rPr>
          <w:rFonts w:ascii="仿宋_GB2312" w:eastAsia="仿宋_GB2312" w:hAnsi="仿宋_GB2312" w:cs="仿宋_GB2312"/>
          <w:color w:val="000000"/>
          <w:szCs w:val="32"/>
        </w:rPr>
      </w:pPr>
      <w:r>
        <w:rPr>
          <w:rFonts w:ascii="仿宋_GB2312" w:eastAsia="仿宋_GB2312" w:hAnsi="仿宋_GB2312" w:cs="仿宋_GB2312" w:hint="eastAsia"/>
          <w:color w:val="000000"/>
          <w:szCs w:val="32"/>
        </w:rPr>
        <w:t>常见体外引流、吸引管在临床使用过程中的不良事件主要有：吸引管渗漏</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吸引管漏气</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吸引管堵塞</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吸引头接头与连接管衔接不紧等。</w:t>
      </w:r>
    </w:p>
    <w:p w:rsidR="008478E5" w:rsidRDefault="006B1677">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申请人应汇总整理产品各类安全隐患信息，涵盖不良事</w:t>
      </w:r>
      <w:r>
        <w:rPr>
          <w:rFonts w:ascii="仿宋_GB2312" w:eastAsia="仿宋_GB2312" w:hAnsi="仿宋_GB2312" w:cs="仿宋_GB2312" w:hint="eastAsia"/>
          <w:color w:val="000000"/>
          <w:szCs w:val="32"/>
        </w:rPr>
        <w:lastRenderedPageBreak/>
        <w:t>件、召回、安全警戒等信息进行分析评价，并将其作为风险管理的输入资料，实施风险评估与控制。</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t>（三）非临床资料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 xml:space="preserve">1. </w:t>
      </w:r>
      <w:r>
        <w:rPr>
          <w:rFonts w:eastAsia="仿宋_GB2312" w:hint="eastAsia"/>
          <w:color w:val="000000"/>
          <w:szCs w:val="32"/>
        </w:rPr>
        <w:t>产品风险管理资料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注册申请人需参照</w:t>
      </w:r>
      <w:r>
        <w:rPr>
          <w:rFonts w:eastAsia="仿宋_GB2312" w:hint="eastAsia"/>
          <w:color w:val="000000"/>
          <w:szCs w:val="32"/>
        </w:rPr>
        <w:t>GB/T 42062</w:t>
      </w:r>
      <w:r>
        <w:rPr>
          <w:rFonts w:eastAsia="仿宋_GB2312" w:hint="eastAsia"/>
          <w:color w:val="000000"/>
          <w:szCs w:val="32"/>
        </w:rPr>
        <w:t>《医疗器械</w:t>
      </w:r>
      <w:r>
        <w:rPr>
          <w:rFonts w:eastAsia="仿宋_GB2312" w:hint="eastAsia"/>
          <w:color w:val="000000"/>
          <w:szCs w:val="32"/>
        </w:rPr>
        <w:t xml:space="preserve"> </w:t>
      </w:r>
      <w:r>
        <w:rPr>
          <w:rFonts w:eastAsia="仿宋_GB2312" w:hint="eastAsia"/>
          <w:color w:val="000000"/>
          <w:szCs w:val="32"/>
        </w:rPr>
        <w:t>风险管理对医疗器械的应用》对产品全生命周期实施风险管理，提交风险管理资料。风险管理报告需包括风险管理范围与职责、风险分析、风险评价、风险控制等产品风险管理的相关资料，至少包括产品安全特征清单、产品可预见的危险及危险分析清单（说明危险、可预见事件序列</w:t>
      </w:r>
      <w:r>
        <w:rPr>
          <w:rFonts w:eastAsia="仿宋_GB2312" w:hint="eastAsia"/>
          <w:color w:val="000000"/>
          <w:szCs w:val="32"/>
        </w:rPr>
        <w:t>及</w:t>
      </w:r>
      <w:r>
        <w:rPr>
          <w:rFonts w:eastAsia="仿宋_GB2312" w:hint="eastAsia"/>
          <w:color w:val="000000"/>
          <w:szCs w:val="32"/>
        </w:rPr>
        <w:t>危险成因分析）、危险处境和可能发生</w:t>
      </w:r>
      <w:r>
        <w:rPr>
          <w:rFonts w:eastAsia="仿宋_GB2312" w:hint="eastAsia"/>
          <w:color w:val="000000"/>
          <w:szCs w:val="32"/>
        </w:rPr>
        <w:t>的损害之间的关系、风险评价、风险控制措施以及剩余风险评价汇总表。</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应关注的体外引流、吸引管产品的常见危险示例详见附表。</w:t>
      </w:r>
    </w:p>
    <w:p w:rsidR="008478E5" w:rsidRDefault="006B1677">
      <w:pPr>
        <w:numPr>
          <w:ilvl w:val="0"/>
          <w:numId w:val="1"/>
        </w:numPr>
        <w:spacing w:line="520" w:lineRule="exact"/>
        <w:ind w:firstLineChars="200" w:firstLine="640"/>
        <w:rPr>
          <w:rFonts w:eastAsia="仿宋_GB2312"/>
          <w:color w:val="000000"/>
          <w:szCs w:val="32"/>
        </w:rPr>
      </w:pPr>
      <w:r>
        <w:rPr>
          <w:rFonts w:eastAsia="仿宋_GB2312" w:hint="eastAsia"/>
          <w:color w:val="000000"/>
          <w:szCs w:val="32"/>
        </w:rPr>
        <w:t>产品技术要求</w:t>
      </w:r>
    </w:p>
    <w:p w:rsidR="008478E5" w:rsidRDefault="006B1677">
      <w:pPr>
        <w:spacing w:line="520" w:lineRule="exact"/>
        <w:ind w:firstLineChars="200" w:firstLine="640"/>
        <w:rPr>
          <w:rFonts w:eastAsia="仿宋_GB2312"/>
          <w:color w:val="000000"/>
          <w:szCs w:val="32"/>
        </w:rPr>
      </w:pPr>
      <w:r>
        <w:rPr>
          <w:rFonts w:ascii="仿宋_GB2312" w:eastAsia="仿宋_GB2312" w:cs="仿宋_GB2312" w:hint="eastAsia"/>
          <w:szCs w:val="32"/>
        </w:rPr>
        <w:t>注册申请人</w:t>
      </w:r>
      <w:r>
        <w:rPr>
          <w:rFonts w:ascii="仿宋_GB2312" w:eastAsia="仿宋_GB2312" w:cs="仿宋_GB2312"/>
          <w:szCs w:val="32"/>
        </w:rPr>
        <w:t>应</w:t>
      </w:r>
      <w:r>
        <w:rPr>
          <w:rFonts w:ascii="仿宋_GB2312" w:eastAsia="仿宋_GB2312" w:cs="仿宋_GB2312" w:hint="eastAsia"/>
          <w:szCs w:val="32"/>
        </w:rPr>
        <w:t>根据</w:t>
      </w:r>
      <w:r>
        <w:rPr>
          <w:rFonts w:ascii="仿宋_GB2312" w:eastAsia="仿宋_GB2312" w:cs="仿宋_GB2312"/>
          <w:szCs w:val="32"/>
        </w:rPr>
        <w:t>产品的技术特征和临床使用情况</w:t>
      </w:r>
      <w:r>
        <w:rPr>
          <w:rFonts w:eastAsia="仿宋_GB2312"/>
          <w:bCs/>
          <w:szCs w:val="32"/>
        </w:rPr>
        <w:t>制定产品技术要求</w:t>
      </w:r>
      <w:r>
        <w:rPr>
          <w:rFonts w:eastAsia="仿宋_GB2312" w:hint="eastAsia"/>
          <w:bCs/>
          <w:szCs w:val="32"/>
        </w:rPr>
        <w:t>，</w:t>
      </w:r>
      <w:r>
        <w:rPr>
          <w:rFonts w:eastAsia="仿宋_GB2312"/>
          <w:bCs/>
          <w:szCs w:val="32"/>
        </w:rPr>
        <w:t>产品技术要求应符合</w:t>
      </w:r>
      <w:r>
        <w:rPr>
          <w:rFonts w:ascii="仿宋_GB2312" w:eastAsia="仿宋_GB2312" w:cs="仿宋_GB2312"/>
          <w:szCs w:val="32"/>
        </w:rPr>
        <w:t>《医疗器械产品技术要求编写指导原则》</w:t>
      </w:r>
      <w:r>
        <w:rPr>
          <w:rFonts w:eastAsia="仿宋_GB2312"/>
          <w:bCs/>
          <w:szCs w:val="32"/>
        </w:rPr>
        <w:t>中的相关要求。</w:t>
      </w:r>
    </w:p>
    <w:p w:rsidR="008478E5" w:rsidRDefault="006B1677">
      <w:pPr>
        <w:spacing w:line="520" w:lineRule="exact"/>
        <w:ind w:firstLineChars="200" w:firstLine="640"/>
        <w:rPr>
          <w:rFonts w:eastAsia="仿宋_GB2312"/>
          <w:color w:val="000000"/>
          <w:szCs w:val="32"/>
        </w:rPr>
      </w:pPr>
      <w:r>
        <w:rPr>
          <w:rFonts w:eastAsia="仿宋_GB2312"/>
          <w:color w:val="000000"/>
          <w:szCs w:val="32"/>
        </w:rPr>
        <w:t>2.1</w:t>
      </w:r>
      <w:r>
        <w:rPr>
          <w:rFonts w:eastAsia="仿宋_GB2312"/>
          <w:color w:val="000000"/>
          <w:szCs w:val="32"/>
        </w:rPr>
        <w:t>产品型号</w:t>
      </w:r>
      <w:r>
        <w:rPr>
          <w:rFonts w:eastAsia="仿宋_GB2312"/>
          <w:color w:val="000000"/>
          <w:szCs w:val="32"/>
        </w:rPr>
        <w:t>/</w:t>
      </w:r>
      <w:r>
        <w:rPr>
          <w:rFonts w:eastAsia="仿宋_GB2312"/>
          <w:color w:val="000000"/>
          <w:szCs w:val="32"/>
        </w:rPr>
        <w:t>规格及其划分的说明</w:t>
      </w:r>
    </w:p>
    <w:p w:rsidR="008478E5" w:rsidRDefault="006B1677">
      <w:pPr>
        <w:spacing w:line="520" w:lineRule="exact"/>
        <w:ind w:firstLineChars="200" w:firstLine="640"/>
        <w:rPr>
          <w:rFonts w:eastAsia="仿宋_GB2312"/>
          <w:color w:val="000000"/>
          <w:szCs w:val="32"/>
        </w:rPr>
      </w:pPr>
      <w:r>
        <w:rPr>
          <w:rFonts w:eastAsia="仿宋_GB2312"/>
          <w:color w:val="000000"/>
          <w:szCs w:val="32"/>
        </w:rPr>
        <w:t>列表说明产品的型号、规格，明确产品型号、规格的划分说明。需包含以下产品相关信息：</w:t>
      </w:r>
    </w:p>
    <w:p w:rsidR="008478E5" w:rsidRDefault="006B1677">
      <w:pPr>
        <w:spacing w:line="520" w:lineRule="exact"/>
        <w:ind w:firstLineChars="200" w:firstLine="640"/>
        <w:rPr>
          <w:rFonts w:eastAsia="仿宋_GB2312"/>
          <w:color w:val="000000"/>
          <w:szCs w:val="32"/>
        </w:rPr>
      </w:pPr>
      <w:r>
        <w:rPr>
          <w:rFonts w:eastAsia="仿宋_GB2312"/>
          <w:color w:val="000000"/>
          <w:szCs w:val="32"/>
        </w:rPr>
        <w:t>2.1.1</w:t>
      </w:r>
      <w:r>
        <w:rPr>
          <w:rFonts w:eastAsia="仿宋_GB2312"/>
          <w:color w:val="000000"/>
          <w:szCs w:val="32"/>
        </w:rPr>
        <w:t>提供各型号产品的结构</w:t>
      </w:r>
      <w:r>
        <w:rPr>
          <w:rFonts w:eastAsia="仿宋_GB2312" w:hint="eastAsia"/>
          <w:color w:val="000000"/>
          <w:szCs w:val="32"/>
        </w:rPr>
        <w:t>示意</w:t>
      </w:r>
      <w:r>
        <w:rPr>
          <w:rFonts w:eastAsia="仿宋_GB2312"/>
          <w:color w:val="000000"/>
          <w:szCs w:val="32"/>
        </w:rPr>
        <w:t>图</w:t>
      </w:r>
      <w:r>
        <w:rPr>
          <w:rFonts w:eastAsia="仿宋_GB2312" w:hint="eastAsia"/>
          <w:color w:val="000000"/>
          <w:szCs w:val="32"/>
        </w:rPr>
        <w:t>及</w:t>
      </w:r>
      <w:r>
        <w:rPr>
          <w:rFonts w:eastAsia="仿宋_GB2312"/>
          <w:color w:val="000000"/>
          <w:szCs w:val="32"/>
        </w:rPr>
        <w:t>尺寸标识。</w:t>
      </w:r>
    </w:p>
    <w:p w:rsidR="008478E5" w:rsidRDefault="006B1677">
      <w:pPr>
        <w:spacing w:line="520" w:lineRule="exact"/>
        <w:ind w:firstLineChars="200" w:firstLine="640"/>
        <w:rPr>
          <w:rFonts w:eastAsia="仿宋_GB2312"/>
          <w:color w:val="000000"/>
          <w:szCs w:val="32"/>
        </w:rPr>
      </w:pPr>
      <w:r>
        <w:rPr>
          <w:rFonts w:eastAsia="仿宋_GB2312"/>
          <w:color w:val="000000"/>
          <w:szCs w:val="32"/>
        </w:rPr>
        <w:t>2.1.</w:t>
      </w:r>
      <w:r>
        <w:rPr>
          <w:rFonts w:eastAsia="仿宋_GB2312" w:hint="eastAsia"/>
          <w:color w:val="000000"/>
          <w:szCs w:val="32"/>
        </w:rPr>
        <w:t>2</w:t>
      </w:r>
      <w:r>
        <w:rPr>
          <w:rFonts w:eastAsia="仿宋_GB2312"/>
          <w:color w:val="000000"/>
          <w:szCs w:val="32"/>
        </w:rPr>
        <w:t>提供产品</w:t>
      </w:r>
      <w:r>
        <w:rPr>
          <w:rFonts w:eastAsia="仿宋_GB2312" w:hint="eastAsia"/>
          <w:color w:val="000000"/>
          <w:szCs w:val="32"/>
        </w:rPr>
        <w:t>各部件</w:t>
      </w:r>
      <w:r>
        <w:rPr>
          <w:rFonts w:eastAsia="仿宋_GB2312"/>
          <w:color w:val="000000"/>
          <w:szCs w:val="32"/>
        </w:rPr>
        <w:t>关键尺寸信息，如长度、宽度、高度、直径等。</w:t>
      </w:r>
    </w:p>
    <w:p w:rsidR="008478E5" w:rsidRDefault="006B1677">
      <w:pPr>
        <w:spacing w:line="520" w:lineRule="exact"/>
        <w:ind w:firstLineChars="200" w:firstLine="640"/>
        <w:rPr>
          <w:rFonts w:eastAsia="仿宋_GB2312"/>
          <w:color w:val="000000"/>
          <w:szCs w:val="32"/>
        </w:rPr>
      </w:pPr>
      <w:r>
        <w:rPr>
          <w:rFonts w:eastAsia="仿宋_GB2312"/>
          <w:color w:val="000000"/>
          <w:szCs w:val="32"/>
        </w:rPr>
        <w:t>2.2</w:t>
      </w:r>
      <w:r>
        <w:rPr>
          <w:rFonts w:eastAsia="仿宋_GB2312"/>
          <w:color w:val="000000"/>
          <w:szCs w:val="32"/>
        </w:rPr>
        <w:t>性能指标</w:t>
      </w:r>
    </w:p>
    <w:p w:rsidR="008478E5" w:rsidRDefault="006B1677">
      <w:pPr>
        <w:spacing w:line="520" w:lineRule="exact"/>
        <w:ind w:firstLineChars="200" w:firstLine="640"/>
        <w:rPr>
          <w:rFonts w:eastAsia="仿宋_GB2312"/>
          <w:color w:val="000000"/>
          <w:szCs w:val="32"/>
        </w:rPr>
      </w:pPr>
      <w:r>
        <w:rPr>
          <w:rFonts w:eastAsia="仿宋_GB2312"/>
          <w:szCs w:val="32"/>
        </w:rPr>
        <w:t>产品技术要求中的性能指标包括但不限于以下几点</w:t>
      </w:r>
      <w:r>
        <w:rPr>
          <w:rFonts w:eastAsia="仿宋_GB2312" w:hint="eastAsia"/>
          <w:szCs w:val="32"/>
        </w:rPr>
        <w:t>：</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lastRenderedPageBreak/>
        <w:t>2.</w:t>
      </w:r>
      <w:r>
        <w:rPr>
          <w:rFonts w:eastAsia="仿宋_GB2312" w:hint="eastAsia"/>
          <w:color w:val="000000"/>
          <w:szCs w:val="32"/>
        </w:rPr>
        <w:t>2.</w:t>
      </w:r>
      <w:r>
        <w:rPr>
          <w:rFonts w:eastAsia="仿宋_GB2312" w:hint="eastAsia"/>
          <w:color w:val="000000"/>
          <w:szCs w:val="32"/>
        </w:rPr>
        <w:t xml:space="preserve">1 </w:t>
      </w:r>
      <w:r>
        <w:rPr>
          <w:rFonts w:eastAsia="仿宋_GB2312" w:hint="eastAsia"/>
          <w:color w:val="000000"/>
          <w:szCs w:val="32"/>
        </w:rPr>
        <w:t>外观</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2.2</w:t>
      </w:r>
      <w:r>
        <w:rPr>
          <w:rFonts w:eastAsia="仿宋_GB2312" w:hint="eastAsia"/>
          <w:color w:val="000000"/>
          <w:szCs w:val="32"/>
        </w:rPr>
        <w:t>.2</w:t>
      </w:r>
      <w:r>
        <w:rPr>
          <w:rFonts w:eastAsia="仿宋_GB2312" w:hint="eastAsia"/>
          <w:color w:val="000000"/>
          <w:szCs w:val="32"/>
        </w:rPr>
        <w:t>尺寸</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应明确规定管身外径和</w:t>
      </w:r>
      <w:r>
        <w:rPr>
          <w:rFonts w:eastAsia="仿宋_GB2312" w:hint="eastAsia"/>
          <w:color w:val="000000"/>
          <w:szCs w:val="32"/>
        </w:rPr>
        <w:t>/</w:t>
      </w:r>
      <w:r>
        <w:rPr>
          <w:rFonts w:eastAsia="仿宋_GB2312" w:hint="eastAsia"/>
          <w:color w:val="000000"/>
          <w:szCs w:val="32"/>
        </w:rPr>
        <w:t>或内径、</w:t>
      </w:r>
      <w:r>
        <w:rPr>
          <w:rFonts w:eastAsia="仿宋_GB2312" w:hint="eastAsia"/>
          <w:color w:val="000000"/>
          <w:szCs w:val="32"/>
        </w:rPr>
        <w:t>管身</w:t>
      </w:r>
      <w:r>
        <w:rPr>
          <w:rFonts w:eastAsia="仿宋_GB2312" w:hint="eastAsia"/>
          <w:color w:val="000000"/>
          <w:szCs w:val="32"/>
        </w:rPr>
        <w:t>长度、接头配合尺寸等关键尺寸及公差。</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2.</w:t>
      </w:r>
      <w:r>
        <w:rPr>
          <w:rFonts w:eastAsia="仿宋_GB2312" w:hint="eastAsia"/>
          <w:color w:val="000000"/>
          <w:szCs w:val="32"/>
        </w:rPr>
        <w:t xml:space="preserve">3 </w:t>
      </w:r>
      <w:r>
        <w:rPr>
          <w:rFonts w:eastAsia="仿宋_GB2312" w:hint="eastAsia"/>
          <w:color w:val="000000"/>
          <w:szCs w:val="32"/>
        </w:rPr>
        <w:t>峰值拉力</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管身与连接件之间的连接应牢固可靠，应制定软管与接头各连接处</w:t>
      </w:r>
      <w:r>
        <w:rPr>
          <w:rFonts w:eastAsia="仿宋_GB2312" w:hint="eastAsia"/>
          <w:color w:val="000000"/>
          <w:szCs w:val="32"/>
        </w:rPr>
        <w:t>的最小峰值拉力</w:t>
      </w:r>
      <w:r>
        <w:rPr>
          <w:rFonts w:eastAsia="仿宋_GB2312" w:hint="eastAsia"/>
          <w:color w:val="000000"/>
          <w:szCs w:val="32"/>
        </w:rPr>
        <w:t>，</w:t>
      </w:r>
      <w:r>
        <w:rPr>
          <w:rFonts w:eastAsia="仿宋_GB2312" w:hint="eastAsia"/>
          <w:color w:val="000000"/>
          <w:szCs w:val="32"/>
        </w:rPr>
        <w:t>如带组件还应制定组件与管路之间各连接处的最小峰值拉力，</w:t>
      </w:r>
      <w:r>
        <w:rPr>
          <w:rFonts w:eastAsia="仿宋_GB2312" w:hint="eastAsia"/>
          <w:color w:val="000000"/>
          <w:szCs w:val="32"/>
        </w:rPr>
        <w:t>确保在临床预期的拉伸和操作下不发生断裂和脱落。</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2.</w:t>
      </w:r>
      <w:r>
        <w:rPr>
          <w:rFonts w:eastAsia="仿宋_GB2312" w:hint="eastAsia"/>
          <w:color w:val="000000"/>
          <w:szCs w:val="32"/>
        </w:rPr>
        <w:t xml:space="preserve">4 </w:t>
      </w:r>
      <w:r>
        <w:rPr>
          <w:rFonts w:eastAsia="仿宋_GB2312" w:hint="eastAsia"/>
          <w:color w:val="000000"/>
          <w:szCs w:val="32"/>
        </w:rPr>
        <w:t>密封性</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作为密闭引流系统的组成部分，其管身及连接处应无泄漏。</w:t>
      </w:r>
    </w:p>
    <w:p w:rsidR="008478E5" w:rsidRDefault="006B1677">
      <w:pPr>
        <w:spacing w:line="520" w:lineRule="exact"/>
        <w:ind w:firstLineChars="200" w:firstLine="640"/>
        <w:rPr>
          <w:rFonts w:eastAsia="仿宋_GB2312"/>
          <w:color w:val="000000"/>
          <w:szCs w:val="32"/>
          <w:highlight w:val="yellow"/>
        </w:rPr>
      </w:pPr>
      <w:r>
        <w:rPr>
          <w:rFonts w:eastAsia="仿宋_GB2312" w:hint="eastAsia"/>
          <w:color w:val="000000"/>
          <w:szCs w:val="32"/>
        </w:rPr>
        <w:t>2.</w:t>
      </w:r>
      <w:r>
        <w:rPr>
          <w:rFonts w:eastAsia="仿宋_GB2312" w:hint="eastAsia"/>
          <w:color w:val="000000"/>
          <w:szCs w:val="32"/>
        </w:rPr>
        <w:t>2.</w:t>
      </w:r>
      <w:r>
        <w:rPr>
          <w:rFonts w:eastAsia="仿宋_GB2312" w:hint="eastAsia"/>
          <w:color w:val="000000"/>
          <w:szCs w:val="32"/>
        </w:rPr>
        <w:t xml:space="preserve">5 </w:t>
      </w:r>
      <w:r>
        <w:rPr>
          <w:rFonts w:eastAsia="仿宋_GB2312" w:hint="eastAsia"/>
          <w:color w:val="000000"/>
          <w:szCs w:val="32"/>
        </w:rPr>
        <w:t>耐负压性</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在规定的</w:t>
      </w:r>
      <w:r>
        <w:rPr>
          <w:rFonts w:eastAsia="仿宋_GB2312" w:hint="eastAsia"/>
          <w:color w:val="000000"/>
          <w:szCs w:val="32"/>
        </w:rPr>
        <w:t>最大</w:t>
      </w:r>
      <w:r>
        <w:rPr>
          <w:rFonts w:eastAsia="仿宋_GB2312" w:hint="eastAsia"/>
          <w:color w:val="000000"/>
          <w:szCs w:val="32"/>
        </w:rPr>
        <w:t>负压条件下应能保持管腔形状，不发生扁瘪、塌陷或破裂，所用负压值应参考配套使用吸引设备的输出负压范围，并结合临床实际确定。</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2.2.6</w:t>
      </w:r>
      <w:r>
        <w:rPr>
          <w:rFonts w:eastAsia="仿宋_GB2312" w:hint="eastAsia"/>
          <w:color w:val="000000"/>
          <w:szCs w:val="32"/>
        </w:rPr>
        <w:t>耐弯曲性</w:t>
      </w:r>
    </w:p>
    <w:p w:rsidR="008478E5" w:rsidRDefault="006B1677">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体外引流、吸引管</w:t>
      </w:r>
      <w:r>
        <w:rPr>
          <w:rFonts w:eastAsia="仿宋_GB2312"/>
          <w:szCs w:val="32"/>
        </w:rPr>
        <w:t>的管体在弯曲状态下是否可靠支撑引流</w:t>
      </w:r>
      <w:r>
        <w:rPr>
          <w:rFonts w:eastAsia="仿宋_GB2312" w:hint="eastAsia"/>
          <w:szCs w:val="32"/>
        </w:rPr>
        <w:t>、吸引</w:t>
      </w:r>
      <w:r>
        <w:rPr>
          <w:rFonts w:eastAsia="仿宋_GB2312"/>
          <w:szCs w:val="32"/>
        </w:rPr>
        <w:t>的完成</w:t>
      </w:r>
      <w:r>
        <w:rPr>
          <w:rFonts w:eastAsia="仿宋_GB2312" w:hint="eastAsia"/>
          <w:szCs w:val="32"/>
        </w:rPr>
        <w:t>。</w:t>
      </w:r>
    </w:p>
    <w:p w:rsidR="008478E5" w:rsidRDefault="006B1677">
      <w:pPr>
        <w:snapToGrid w:val="0"/>
        <w:spacing w:line="520" w:lineRule="exact"/>
        <w:ind w:firstLineChars="200" w:firstLine="640"/>
        <w:rPr>
          <w:rFonts w:eastAsia="仿宋_GB2312"/>
          <w:szCs w:val="32"/>
        </w:rPr>
      </w:pPr>
      <w:r>
        <w:rPr>
          <w:rFonts w:eastAsia="仿宋_GB2312"/>
          <w:color w:val="000000"/>
          <w:szCs w:val="32"/>
        </w:rPr>
        <w:t>2.</w:t>
      </w:r>
      <w:r>
        <w:rPr>
          <w:rFonts w:eastAsia="仿宋_GB2312" w:hint="eastAsia"/>
          <w:color w:val="000000"/>
          <w:szCs w:val="32"/>
        </w:rPr>
        <w:t>2.7</w:t>
      </w:r>
      <w:r>
        <w:rPr>
          <w:rFonts w:eastAsia="仿宋_GB2312" w:hint="eastAsia"/>
          <w:szCs w:val="32"/>
        </w:rPr>
        <w:t>流量（如适用）</w:t>
      </w:r>
    </w:p>
    <w:p w:rsidR="008478E5" w:rsidRDefault="006B1677">
      <w:pPr>
        <w:snapToGrid w:val="0"/>
        <w:spacing w:line="520" w:lineRule="exact"/>
        <w:ind w:firstLineChars="200" w:firstLine="640"/>
        <w:rPr>
          <w:rFonts w:eastAsia="仿宋_GB2312"/>
          <w:szCs w:val="32"/>
        </w:rPr>
      </w:pPr>
      <w:r>
        <w:rPr>
          <w:rFonts w:eastAsia="仿宋_GB2312" w:hint="eastAsia"/>
          <w:szCs w:val="32"/>
        </w:rPr>
        <w:t>在规定</w:t>
      </w:r>
      <w:r>
        <w:rPr>
          <w:rFonts w:eastAsia="仿宋_GB2312" w:hint="eastAsia"/>
          <w:szCs w:val="32"/>
        </w:rPr>
        <w:t>的</w:t>
      </w:r>
      <w:r>
        <w:rPr>
          <w:rFonts w:eastAsia="仿宋_GB2312" w:hint="eastAsia"/>
          <w:szCs w:val="32"/>
        </w:rPr>
        <w:t>负压条件下，产品的流量应能满足</w:t>
      </w:r>
      <w:r>
        <w:rPr>
          <w:rFonts w:eastAsia="仿宋_GB2312" w:hint="eastAsia"/>
          <w:szCs w:val="32"/>
        </w:rPr>
        <w:t>申请人宣称的流量要求</w:t>
      </w:r>
      <w:r>
        <w:rPr>
          <w:rFonts w:eastAsia="仿宋_GB2312"/>
          <w:szCs w:val="32"/>
        </w:rPr>
        <w:t>。</w:t>
      </w:r>
    </w:p>
    <w:p w:rsidR="008478E5" w:rsidRDefault="006B1677">
      <w:pPr>
        <w:snapToGrid w:val="0"/>
        <w:spacing w:line="520" w:lineRule="exact"/>
        <w:ind w:firstLineChars="200" w:firstLine="640"/>
        <w:rPr>
          <w:rFonts w:eastAsia="仿宋_GB2312"/>
          <w:szCs w:val="32"/>
        </w:rPr>
      </w:pPr>
      <w:r>
        <w:rPr>
          <w:rFonts w:eastAsia="仿宋_GB2312" w:hint="eastAsia"/>
          <w:szCs w:val="32"/>
        </w:rPr>
        <w:t>2</w:t>
      </w:r>
      <w:r>
        <w:rPr>
          <w:rFonts w:eastAsia="仿宋_GB2312"/>
          <w:szCs w:val="32"/>
        </w:rPr>
        <w:t>.</w:t>
      </w:r>
      <w:r>
        <w:rPr>
          <w:rFonts w:eastAsia="仿宋_GB2312" w:hint="eastAsia"/>
          <w:szCs w:val="32"/>
        </w:rPr>
        <w:t>2.8</w:t>
      </w:r>
      <w:r>
        <w:rPr>
          <w:rFonts w:eastAsia="仿宋_GB2312" w:hint="eastAsia"/>
          <w:szCs w:val="32"/>
        </w:rPr>
        <w:t>组件性能（如适用）</w:t>
      </w:r>
    </w:p>
    <w:p w:rsidR="008478E5" w:rsidRDefault="006B1677">
      <w:pPr>
        <w:snapToGrid w:val="0"/>
        <w:spacing w:line="520" w:lineRule="exact"/>
        <w:ind w:firstLineChars="200" w:firstLine="640"/>
        <w:rPr>
          <w:rFonts w:eastAsia="仿宋_GB2312"/>
          <w:color w:val="000000"/>
          <w:szCs w:val="32"/>
        </w:rPr>
      </w:pPr>
      <w:r>
        <w:rPr>
          <w:rFonts w:eastAsia="仿宋_GB2312" w:hint="eastAsia"/>
          <w:szCs w:val="32"/>
        </w:rPr>
        <w:t>如产品包含相关组件，还应制订组件的性能指标。</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2.9</w:t>
      </w:r>
      <w:r>
        <w:rPr>
          <w:rFonts w:eastAsia="仿宋_GB2312" w:hint="eastAsia"/>
          <w:color w:val="000000"/>
          <w:szCs w:val="32"/>
        </w:rPr>
        <w:t>若采用环氧乙烷灭菌，还应规定环氧乙烷残留量的要求。</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lastRenderedPageBreak/>
        <w:t>2.</w:t>
      </w:r>
      <w:r>
        <w:rPr>
          <w:rFonts w:eastAsia="仿宋_GB2312" w:hint="eastAsia"/>
          <w:color w:val="000000"/>
          <w:szCs w:val="32"/>
        </w:rPr>
        <w:t>2.</w:t>
      </w:r>
      <w:r>
        <w:rPr>
          <w:rFonts w:eastAsia="仿宋_GB2312" w:hint="eastAsia"/>
          <w:color w:val="000000"/>
          <w:szCs w:val="32"/>
        </w:rPr>
        <w:t>1</w:t>
      </w:r>
      <w:r>
        <w:rPr>
          <w:rFonts w:eastAsia="仿宋_GB2312" w:hint="eastAsia"/>
          <w:color w:val="000000"/>
          <w:szCs w:val="32"/>
        </w:rPr>
        <w:t>0</w:t>
      </w:r>
      <w:r>
        <w:rPr>
          <w:rFonts w:eastAsia="仿宋_GB2312" w:hint="eastAsia"/>
          <w:color w:val="000000"/>
          <w:szCs w:val="32"/>
        </w:rPr>
        <w:t>无菌</w:t>
      </w:r>
      <w:r>
        <w:rPr>
          <w:rFonts w:eastAsia="仿宋_GB2312" w:hint="eastAsia"/>
          <w:color w:val="000000"/>
          <w:szCs w:val="32"/>
        </w:rPr>
        <w:t>。</w:t>
      </w:r>
    </w:p>
    <w:p w:rsidR="008478E5" w:rsidRDefault="006B1677">
      <w:pPr>
        <w:widowControl/>
        <w:spacing w:line="520" w:lineRule="exact"/>
        <w:ind w:firstLineChars="200" w:firstLine="640"/>
        <w:jc w:val="left"/>
        <w:rPr>
          <w:rFonts w:eastAsia="仿宋_GB2312"/>
          <w:szCs w:val="32"/>
        </w:rPr>
      </w:pPr>
      <w:r>
        <w:rPr>
          <w:rFonts w:eastAsia="仿宋_GB2312" w:hint="eastAsia"/>
          <w:color w:val="000000"/>
          <w:szCs w:val="32"/>
        </w:rPr>
        <w:t>注册申请人对宣称的其他技术参数和功能，应在产品技术要求中予以规定</w:t>
      </w:r>
      <w:r>
        <w:rPr>
          <w:rFonts w:eastAsia="仿宋_GB2312" w:hint="eastAsia"/>
          <w:szCs w:val="32"/>
        </w:rPr>
        <w:t>等。</w:t>
      </w:r>
    </w:p>
    <w:p w:rsidR="008478E5" w:rsidRDefault="006B1677">
      <w:pPr>
        <w:spacing w:line="520" w:lineRule="exact"/>
        <w:ind w:firstLineChars="200" w:firstLine="640"/>
        <w:rPr>
          <w:rFonts w:eastAsia="仿宋_GB2312"/>
          <w:szCs w:val="32"/>
        </w:rPr>
      </w:pPr>
      <w:r>
        <w:rPr>
          <w:rFonts w:eastAsia="仿宋_GB2312"/>
          <w:szCs w:val="32"/>
        </w:rPr>
        <w:t>2.</w:t>
      </w:r>
      <w:r>
        <w:rPr>
          <w:rFonts w:eastAsia="仿宋_GB2312" w:hint="eastAsia"/>
          <w:szCs w:val="32"/>
        </w:rPr>
        <w:t>3</w:t>
      </w:r>
      <w:r>
        <w:rPr>
          <w:rFonts w:eastAsia="仿宋_GB2312" w:hint="eastAsia"/>
          <w:szCs w:val="32"/>
        </w:rPr>
        <w:t>检验方法</w:t>
      </w:r>
    </w:p>
    <w:p w:rsidR="008478E5" w:rsidRDefault="006B1677">
      <w:pPr>
        <w:widowControl/>
        <w:spacing w:line="520" w:lineRule="exact"/>
        <w:ind w:firstLineChars="200" w:firstLine="640"/>
        <w:jc w:val="left"/>
        <w:rPr>
          <w:rFonts w:eastAsia="仿宋_GB2312"/>
        </w:rPr>
      </w:pPr>
      <w:r>
        <w:rPr>
          <w:rFonts w:eastAsia="仿宋_GB2312" w:hint="eastAsia"/>
          <w:color w:val="000000"/>
          <w:szCs w:val="32"/>
        </w:rPr>
        <w:t>申报产品的检验方法应根</w:t>
      </w:r>
      <w:r>
        <w:rPr>
          <w:rFonts w:eastAsia="仿宋_GB2312" w:hint="eastAsia"/>
          <w:szCs w:val="32"/>
        </w:rPr>
        <w:t>据性能指标制定，优先采用已颁布的标准或公认的检验方法。其他检验方法需提供相应的方法学依据及理论基础，同时保证检验方法具有可操作性和重现性，必要时可附相应图示进行说明，文本较大的可以附录形式提供</w:t>
      </w:r>
      <w:r>
        <w:rPr>
          <w:rFonts w:eastAsia="仿宋_GB2312" w:hint="eastAsia"/>
          <w:szCs w:val="32"/>
        </w:rPr>
        <w:t>。</w:t>
      </w:r>
    </w:p>
    <w:p w:rsidR="008478E5" w:rsidRDefault="006B1677">
      <w:pPr>
        <w:spacing w:line="520" w:lineRule="exact"/>
        <w:ind w:firstLineChars="200" w:firstLine="640"/>
        <w:rPr>
          <w:rFonts w:eastAsia="仿宋_GB2312"/>
          <w:szCs w:val="32"/>
        </w:rPr>
      </w:pPr>
      <w:r>
        <w:rPr>
          <w:rFonts w:eastAsia="仿宋_GB2312" w:hint="eastAsia"/>
          <w:color w:val="000000"/>
          <w:szCs w:val="32"/>
        </w:rPr>
        <w:t>3</w:t>
      </w:r>
      <w:r>
        <w:rPr>
          <w:rFonts w:eastAsia="仿宋_GB2312" w:hint="eastAsia"/>
          <w:color w:val="000000"/>
          <w:szCs w:val="32"/>
        </w:rPr>
        <w:t>.</w:t>
      </w:r>
      <w:r>
        <w:rPr>
          <w:rFonts w:eastAsia="仿宋_GB2312" w:hint="eastAsia"/>
          <w:color w:val="000000"/>
          <w:szCs w:val="32"/>
        </w:rPr>
        <w:t>同一注册单元内注册检验典型性产</w:t>
      </w:r>
      <w:r>
        <w:rPr>
          <w:rFonts w:eastAsia="仿宋_GB2312"/>
          <w:szCs w:val="32"/>
        </w:rPr>
        <w:t>品确定原则</w:t>
      </w:r>
    </w:p>
    <w:p w:rsidR="008478E5" w:rsidRDefault="006B1677">
      <w:pPr>
        <w:widowControl/>
        <w:spacing w:line="520" w:lineRule="exact"/>
        <w:ind w:firstLineChars="200" w:firstLine="640"/>
        <w:jc w:val="left"/>
        <w:rPr>
          <w:rFonts w:eastAsia="仿宋_GB2312"/>
          <w:szCs w:val="32"/>
        </w:rPr>
      </w:pPr>
      <w:r>
        <w:rPr>
          <w:rFonts w:eastAsia="仿宋_GB2312" w:hint="eastAsia"/>
          <w:szCs w:val="32"/>
        </w:rPr>
        <w:t>同一注册单元中所检验产品应能够代表注册单元内其他产品安全性和有效性。代表产品的确定可以通过比较同一注册单元内所有产品的主要原材料、生产工艺、技术结构、性能指标和预</w:t>
      </w:r>
      <w:r>
        <w:rPr>
          <w:rFonts w:eastAsia="仿宋_GB2312" w:hint="eastAsia"/>
          <w:szCs w:val="32"/>
        </w:rPr>
        <w:t>期用途等资料，说明其能够代表注册单元内其他产品的安全性和有效性。必要时提交不同型号规格产品的差异性检验报</w:t>
      </w:r>
      <w:r>
        <w:rPr>
          <w:rFonts w:eastAsia="仿宋_GB2312" w:hint="eastAsia"/>
          <w:szCs w:val="32"/>
        </w:rPr>
        <w:t>告。</w:t>
      </w:r>
    </w:p>
    <w:p w:rsidR="008478E5" w:rsidRDefault="006B1677">
      <w:pPr>
        <w:widowControl/>
        <w:spacing w:line="520" w:lineRule="exact"/>
        <w:ind w:firstLineChars="200" w:firstLine="640"/>
        <w:jc w:val="left"/>
        <w:rPr>
          <w:rFonts w:eastAsia="仿宋_GB2312"/>
          <w:szCs w:val="32"/>
        </w:rPr>
      </w:pPr>
      <w:r>
        <w:rPr>
          <w:rFonts w:eastAsia="仿宋_GB2312" w:hint="eastAsia"/>
          <w:szCs w:val="32"/>
        </w:rPr>
        <w:t>例如：不同管径的产品峰值拉力性能不同，应进行差异性检验。</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研究资料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4.1</w:t>
      </w:r>
      <w:r>
        <w:rPr>
          <w:rFonts w:eastAsia="仿宋_GB2312" w:hint="eastAsia"/>
          <w:color w:val="000000"/>
          <w:szCs w:val="32"/>
        </w:rPr>
        <w:t>化学和物理</w:t>
      </w:r>
      <w:r>
        <w:rPr>
          <w:rFonts w:eastAsia="仿宋_GB2312" w:hint="eastAsia"/>
          <w:color w:val="000000"/>
          <w:szCs w:val="32"/>
        </w:rPr>
        <w:t>性能研究</w:t>
      </w:r>
    </w:p>
    <w:p w:rsidR="008478E5" w:rsidRDefault="006B1677">
      <w:pPr>
        <w:spacing w:line="520" w:lineRule="exact"/>
        <w:ind w:firstLineChars="200" w:firstLine="640"/>
        <w:rPr>
          <w:rFonts w:eastAsia="仿宋_GB2312"/>
          <w:color w:val="000000"/>
          <w:szCs w:val="32"/>
        </w:rPr>
      </w:pPr>
      <w:r>
        <w:rPr>
          <w:rFonts w:eastAsia="仿宋_GB2312"/>
          <w:color w:val="000000"/>
          <w:szCs w:val="32"/>
        </w:rPr>
        <w:t>应详述产品技术要求中主要性能指标及检验方法的确定依据，提供采用的原因及理论基础。可参考行业标准</w:t>
      </w:r>
      <w:r>
        <w:rPr>
          <w:rFonts w:eastAsia="仿宋_GB2312"/>
          <w:color w:val="000000"/>
          <w:szCs w:val="32"/>
        </w:rPr>
        <w:t xml:space="preserve">YY/T </w:t>
      </w:r>
      <w:r>
        <w:rPr>
          <w:rFonts w:eastAsia="仿宋_GB2312" w:hint="eastAsia"/>
          <w:color w:val="000000"/>
          <w:szCs w:val="32"/>
        </w:rPr>
        <w:t>0489</w:t>
      </w:r>
      <w:r>
        <w:rPr>
          <w:rFonts w:eastAsia="仿宋_GB2312"/>
          <w:color w:val="000000"/>
          <w:szCs w:val="32"/>
        </w:rPr>
        <w:t>，制定适合产品部分的技术指标并说明依据，另结合实际临床使用情况及临床需求，开展产品</w:t>
      </w:r>
      <w:r>
        <w:rPr>
          <w:rFonts w:eastAsia="仿宋_GB2312" w:hint="eastAsia"/>
          <w:color w:val="000000"/>
          <w:szCs w:val="32"/>
        </w:rPr>
        <w:t>配合</w:t>
      </w:r>
      <w:r>
        <w:rPr>
          <w:rFonts w:eastAsia="仿宋_GB2312"/>
          <w:color w:val="000000"/>
          <w:szCs w:val="32"/>
        </w:rPr>
        <w:t>使用性能</w:t>
      </w:r>
      <w:r>
        <w:rPr>
          <w:rFonts w:eastAsia="仿宋_GB2312" w:hint="eastAsia"/>
          <w:color w:val="000000"/>
          <w:szCs w:val="32"/>
        </w:rPr>
        <w:t>，或者</w:t>
      </w:r>
      <w:r>
        <w:rPr>
          <w:rFonts w:eastAsia="仿宋_GB2312"/>
          <w:color w:val="000000"/>
          <w:szCs w:val="32"/>
        </w:rPr>
        <w:t>特殊设计等研究，并提供具体的研究证据资料。如适用的国家标准、行业标准中有不采纳的条款，应将不采纳的条款及</w:t>
      </w:r>
      <w:r>
        <w:rPr>
          <w:rFonts w:eastAsia="仿宋_GB2312"/>
          <w:color w:val="000000"/>
          <w:szCs w:val="32"/>
        </w:rPr>
        <w:lastRenderedPageBreak/>
        <w:t>其理由予以阐明。</w:t>
      </w:r>
    </w:p>
    <w:p w:rsidR="008478E5" w:rsidRDefault="006B1677">
      <w:pPr>
        <w:spacing w:line="520" w:lineRule="exact"/>
        <w:ind w:firstLineChars="200" w:firstLine="640"/>
        <w:rPr>
          <w:rStyle w:val="af0"/>
          <w:rFonts w:eastAsia="仿宋_GB2312"/>
          <w:color w:val="000000"/>
          <w:sz w:val="32"/>
          <w:szCs w:val="32"/>
        </w:rPr>
      </w:pPr>
      <w:r>
        <w:rPr>
          <w:rFonts w:eastAsia="仿宋_GB2312" w:hint="eastAsia"/>
          <w:color w:val="000000"/>
          <w:szCs w:val="32"/>
        </w:rPr>
        <w:t>4.2</w:t>
      </w:r>
      <w:r>
        <w:rPr>
          <w:rFonts w:eastAsia="仿宋_GB2312" w:hint="eastAsia"/>
          <w:color w:val="000000"/>
          <w:szCs w:val="32"/>
        </w:rPr>
        <w:t>联合使用</w:t>
      </w:r>
    </w:p>
    <w:p w:rsidR="008478E5" w:rsidRDefault="006B1677">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体外引流、吸引管</w:t>
      </w:r>
      <w:r>
        <w:rPr>
          <w:rFonts w:eastAsia="仿宋_GB2312"/>
          <w:color w:val="000000"/>
          <w:szCs w:val="32"/>
        </w:rPr>
        <w:t>与</w:t>
      </w:r>
      <w:r>
        <w:rPr>
          <w:rFonts w:eastAsia="仿宋_GB2312" w:hint="eastAsia"/>
          <w:color w:val="000000"/>
          <w:szCs w:val="32"/>
        </w:rPr>
        <w:t>引流</w:t>
      </w:r>
      <w:r>
        <w:rPr>
          <w:rFonts w:eastAsia="仿宋_GB2312"/>
          <w:color w:val="000000"/>
          <w:szCs w:val="32"/>
        </w:rPr>
        <w:t>导管</w:t>
      </w:r>
      <w:r>
        <w:rPr>
          <w:rFonts w:eastAsia="仿宋_GB2312" w:hint="eastAsia"/>
          <w:color w:val="000000"/>
          <w:szCs w:val="32"/>
        </w:rPr>
        <w:t>及吸引、引流装置</w:t>
      </w:r>
      <w:r>
        <w:rPr>
          <w:rFonts w:eastAsia="仿宋_GB2312"/>
          <w:color w:val="000000"/>
          <w:szCs w:val="32"/>
        </w:rPr>
        <w:t>配合使用，应提供配套使用产品的情况说明。</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w:t>
      </w:r>
      <w:r>
        <w:rPr>
          <w:rFonts w:eastAsia="仿宋_GB2312" w:hint="eastAsia"/>
          <w:color w:val="000000"/>
          <w:szCs w:val="32"/>
        </w:rPr>
        <w:t>3</w:t>
      </w:r>
      <w:r>
        <w:rPr>
          <w:rFonts w:eastAsia="仿宋_GB2312" w:hint="eastAsia"/>
          <w:color w:val="000000"/>
          <w:szCs w:val="32"/>
        </w:rPr>
        <w:t xml:space="preserve"> </w:t>
      </w:r>
      <w:r>
        <w:rPr>
          <w:rFonts w:eastAsia="仿宋_GB2312" w:hint="eastAsia"/>
          <w:color w:val="000000"/>
          <w:szCs w:val="32"/>
        </w:rPr>
        <w:t>生物学特性研究</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应参照</w:t>
      </w:r>
      <w:r>
        <w:rPr>
          <w:rFonts w:eastAsia="仿宋_GB2312" w:hint="eastAsia"/>
          <w:color w:val="000000"/>
          <w:szCs w:val="32"/>
        </w:rPr>
        <w:t>GB/T 16886.1</w:t>
      </w:r>
      <w:r>
        <w:rPr>
          <w:rFonts w:eastAsia="仿宋_GB2312" w:hint="eastAsia"/>
          <w:color w:val="000000"/>
          <w:szCs w:val="32"/>
        </w:rPr>
        <w:t>《医疗器械生物学评价</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风险管理过程中的评价与试验》进行生物相容性评价。应描述产品与人体接触的材料，以及接触的性质和时间。生物学评价应考虑产品制造所用材料、最终产品的物理特性、各个组件及它们在最终产品中的相互作用、包装材料对生物相容性的影响等因素，若不同组件与人体接触性质和接触时间不同，应考虑分别进行生物学评价。</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4.4</w:t>
      </w:r>
      <w:r>
        <w:rPr>
          <w:rFonts w:eastAsia="仿宋_GB2312" w:hint="eastAsia"/>
          <w:color w:val="000000"/>
          <w:szCs w:val="32"/>
        </w:rPr>
        <w:t>灭菌研究</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应</w:t>
      </w:r>
      <w:r>
        <w:rPr>
          <w:rFonts w:eastAsia="仿宋_GB2312"/>
          <w:color w:val="000000"/>
          <w:szCs w:val="32"/>
        </w:rPr>
        <w:t>明确灭菌工艺（方法和参数）和无菌保证水平（</w:t>
      </w:r>
      <w:r>
        <w:rPr>
          <w:rFonts w:eastAsia="仿宋_GB2312"/>
          <w:color w:val="000000"/>
          <w:szCs w:val="32"/>
        </w:rPr>
        <w:t>SAL</w:t>
      </w:r>
      <w:r>
        <w:rPr>
          <w:rFonts w:eastAsia="仿宋_GB2312"/>
          <w:color w:val="000000"/>
          <w:szCs w:val="32"/>
        </w:rPr>
        <w:t>）。</w:t>
      </w:r>
      <w:r>
        <w:rPr>
          <w:rFonts w:eastAsia="仿宋_GB2312" w:hint="eastAsia"/>
          <w:color w:val="000000"/>
          <w:szCs w:val="32"/>
        </w:rPr>
        <w:t>体外引流、吸引管</w:t>
      </w:r>
      <w:r>
        <w:rPr>
          <w:rFonts w:eastAsia="仿宋_GB2312"/>
          <w:color w:val="000000"/>
          <w:szCs w:val="32"/>
        </w:rPr>
        <w:t>的无菌保证水平（</w:t>
      </w:r>
      <w:r>
        <w:rPr>
          <w:rFonts w:eastAsia="仿宋_GB2312"/>
          <w:color w:val="000000"/>
          <w:szCs w:val="32"/>
        </w:rPr>
        <w:t>SAL</w:t>
      </w:r>
      <w:r>
        <w:rPr>
          <w:rFonts w:eastAsia="仿宋_GB2312"/>
          <w:color w:val="000000"/>
          <w:szCs w:val="32"/>
        </w:rPr>
        <w:t>）需达到</w:t>
      </w:r>
      <w:r>
        <w:rPr>
          <w:rFonts w:eastAsia="仿宋_GB2312" w:hint="eastAsia"/>
          <w:color w:val="000000"/>
          <w:szCs w:val="32"/>
        </w:rPr>
        <w:t>1</w:t>
      </w:r>
      <w:r>
        <w:rPr>
          <w:rFonts w:eastAsia="仿宋_GB2312" w:hint="eastAsia"/>
          <w:color w:val="000000"/>
          <w:szCs w:val="32"/>
        </w:rPr>
        <w:t>×</w:t>
      </w:r>
      <w:r>
        <w:rPr>
          <w:rFonts w:eastAsia="仿宋_GB2312"/>
          <w:color w:val="000000"/>
          <w:szCs w:val="32"/>
        </w:rPr>
        <w:t>10</w:t>
      </w:r>
      <w:r>
        <w:rPr>
          <w:rFonts w:eastAsia="仿宋_GB2312"/>
          <w:color w:val="000000"/>
          <w:szCs w:val="32"/>
          <w:vertAlign w:val="superscript"/>
        </w:rPr>
        <w:t>-6</w:t>
      </w:r>
      <w:r>
        <w:rPr>
          <w:rFonts w:eastAsia="仿宋_GB2312"/>
          <w:color w:val="000000"/>
          <w:szCs w:val="32"/>
        </w:rPr>
        <w:t>。</w:t>
      </w:r>
      <w:r>
        <w:rPr>
          <w:rFonts w:eastAsia="仿宋_GB2312" w:hint="eastAsia"/>
          <w:color w:val="000000"/>
          <w:szCs w:val="32"/>
        </w:rPr>
        <w:t>灭菌过程的选择应至少考虑以下因素：产品与灭菌过程的适应性；包装材料与灭菌过程的适</w:t>
      </w:r>
      <w:r>
        <w:rPr>
          <w:rFonts w:eastAsia="仿宋_GB2312" w:hint="eastAsia"/>
          <w:color w:val="000000"/>
          <w:szCs w:val="32"/>
        </w:rPr>
        <w:t>应性；灭菌对产品安全有效性的影响。</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对于经环氧乙烷灭菌的产品，需提供灭菌结果确认和过程控制报告，具体可参照</w:t>
      </w:r>
      <w:r>
        <w:rPr>
          <w:rFonts w:eastAsia="仿宋_GB2312" w:hint="eastAsia"/>
          <w:color w:val="000000"/>
          <w:szCs w:val="32"/>
        </w:rPr>
        <w:t>GB 18279</w:t>
      </w:r>
      <w:r>
        <w:rPr>
          <w:rFonts w:eastAsia="仿宋_GB2312" w:hint="eastAsia"/>
          <w:color w:val="000000"/>
          <w:szCs w:val="32"/>
        </w:rPr>
        <w:t>系列标准。</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对于经辐照灭菌的产品，需明确辐照剂量及相关的验证报告，具体的剂量确定依据可参照</w:t>
      </w:r>
      <w:r>
        <w:rPr>
          <w:rFonts w:eastAsia="仿宋_GB2312" w:hint="eastAsia"/>
          <w:color w:val="000000"/>
          <w:szCs w:val="32"/>
        </w:rPr>
        <w:t>GB 18280</w:t>
      </w:r>
      <w:r>
        <w:rPr>
          <w:rFonts w:eastAsia="仿宋_GB2312" w:hint="eastAsia"/>
          <w:color w:val="000000"/>
          <w:szCs w:val="32"/>
        </w:rPr>
        <w:t>系列标准。</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残留毒性：若采用环氧乙烷灭菌，应当参考</w:t>
      </w:r>
      <w:r>
        <w:rPr>
          <w:rFonts w:eastAsia="仿宋_GB2312" w:hint="eastAsia"/>
          <w:color w:val="000000"/>
          <w:szCs w:val="32"/>
        </w:rPr>
        <w:t>GB/T 16886.7</w:t>
      </w:r>
      <w:r>
        <w:rPr>
          <w:rFonts w:eastAsia="仿宋_GB2312" w:hint="eastAsia"/>
          <w:color w:val="000000"/>
          <w:szCs w:val="32"/>
        </w:rPr>
        <w:t>《医疗器械生物学评价第</w:t>
      </w:r>
      <w:r>
        <w:rPr>
          <w:rFonts w:eastAsia="仿宋_GB2312" w:hint="eastAsia"/>
          <w:color w:val="000000"/>
          <w:szCs w:val="32"/>
        </w:rPr>
        <w:t>7</w:t>
      </w:r>
      <w:r>
        <w:rPr>
          <w:rFonts w:eastAsia="仿宋_GB2312" w:hint="eastAsia"/>
          <w:color w:val="000000"/>
          <w:szCs w:val="32"/>
        </w:rPr>
        <w:t>部分：环氧乙烷灭菌残留量》标准规定，明确残留物信息及采取的处理方法，并提供环氧乙烷解析的研究资料。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lastRenderedPageBreak/>
        <w:t>4</w:t>
      </w:r>
      <w:r>
        <w:rPr>
          <w:rFonts w:eastAsia="仿宋_GB2312" w:hint="eastAsia"/>
          <w:color w:val="000000"/>
          <w:szCs w:val="32"/>
        </w:rPr>
        <w:t>.</w:t>
      </w:r>
      <w:r>
        <w:rPr>
          <w:rFonts w:eastAsia="仿宋_GB2312" w:hint="eastAsia"/>
          <w:color w:val="000000"/>
          <w:szCs w:val="32"/>
        </w:rPr>
        <w:t>5</w:t>
      </w:r>
      <w:r>
        <w:rPr>
          <w:rFonts w:eastAsia="仿宋_GB2312" w:hint="eastAsia"/>
          <w:color w:val="000000"/>
          <w:szCs w:val="32"/>
        </w:rPr>
        <w:t>可用性研究</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按照《医疗器械可用性工程注册审查指导原则》要求，中、低使用风险医疗器</w:t>
      </w:r>
      <w:r>
        <w:rPr>
          <w:rFonts w:eastAsia="仿宋_GB2312" w:hint="eastAsia"/>
          <w:color w:val="000000"/>
          <w:szCs w:val="32"/>
        </w:rPr>
        <w:t>械可基于风险管理过程开展可用性工程生命周期质控工作，提交使用错误评估报告。若前期已开展可用性工程工作，亦可提交可用性工程研究报告，用于替代使用错误评估报告。</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使用错误评估报告用于细化风险管理报告关于可用性的内容，包括基本信息、使用风险级别、核心要素、同类医疗器械上市后使用问题分析、使用风险管理、结论等内容。申请人在对体外引流、吸引管同类产品上市后使用问题进行分析时，应重点考虑连接错误、连接脱落、管路漏气、堵塞、断裂等问题。</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w:t>
      </w:r>
      <w:r>
        <w:rPr>
          <w:rFonts w:eastAsia="仿宋_GB2312" w:hint="eastAsia"/>
          <w:color w:val="000000"/>
          <w:szCs w:val="32"/>
        </w:rPr>
        <w:t>6</w:t>
      </w:r>
      <w:r>
        <w:rPr>
          <w:rFonts w:eastAsia="仿宋_GB2312" w:hint="eastAsia"/>
          <w:color w:val="000000"/>
          <w:szCs w:val="32"/>
        </w:rPr>
        <w:t>其他资料</w:t>
      </w:r>
    </w:p>
    <w:p w:rsidR="008478E5" w:rsidRDefault="006B1677">
      <w:pPr>
        <w:spacing w:line="520" w:lineRule="exact"/>
        <w:ind w:firstLineChars="200" w:firstLine="636"/>
        <w:rPr>
          <w:rFonts w:eastAsia="仿宋_GB2312"/>
          <w:color w:val="000000"/>
          <w:szCs w:val="32"/>
        </w:rPr>
      </w:pPr>
      <w:r>
        <w:rPr>
          <w:rFonts w:eastAsia="仿宋_GB2312" w:hint="eastAsia"/>
          <w:spacing w:val="-1"/>
          <w:szCs w:val="32"/>
        </w:rPr>
        <w:t>该产品</w:t>
      </w:r>
      <w:r>
        <w:rPr>
          <w:rFonts w:eastAsia="仿宋_GB2312" w:hint="eastAsia"/>
          <w:szCs w:val="32"/>
        </w:rPr>
        <w:t>已列入</w:t>
      </w:r>
      <w:r>
        <w:rPr>
          <w:rFonts w:eastAsia="仿宋_GB2312" w:hint="eastAsia"/>
          <w:szCs w:val="32"/>
        </w:rPr>
        <w:t>《免于进行临床评价医疗器械目录》（以下简称“目录”）</w:t>
      </w:r>
      <w:r>
        <w:rPr>
          <w:rFonts w:eastAsia="仿宋_GB2312" w:hint="eastAsia"/>
          <w:szCs w:val="32"/>
        </w:rPr>
        <w:t>，</w:t>
      </w:r>
      <w:r>
        <w:rPr>
          <w:rFonts w:eastAsia="仿宋_GB2312" w:hint="eastAsia"/>
          <w:szCs w:val="32"/>
        </w:rPr>
        <w:t>注</w:t>
      </w:r>
      <w:r>
        <w:rPr>
          <w:rFonts w:eastAsia="仿宋_GB2312" w:hint="eastAsia"/>
          <w:szCs w:val="32"/>
        </w:rPr>
        <w:t>册申请人</w:t>
      </w:r>
      <w:r>
        <w:rPr>
          <w:rFonts w:eastAsia="仿宋_GB2312" w:hint="eastAsia"/>
          <w:szCs w:val="32"/>
        </w:rPr>
        <w:t>需提交申报产品相关信息与《目录》所述内容的对比资料以及申报产品与已获准境内注册的《目录》中医疗器械的</w:t>
      </w:r>
      <w:r>
        <w:rPr>
          <w:rFonts w:eastAsia="仿宋_GB2312"/>
          <w:szCs w:val="32"/>
        </w:rPr>
        <w:t>对比说明，对比说明应包括《申报产品与目录中已获准境内注册医疗器械对比表》和相应支持性资料</w:t>
      </w:r>
      <w:r>
        <w:rPr>
          <w:rFonts w:eastAsia="仿宋_GB2312" w:hint="eastAsia"/>
          <w:szCs w:val="32"/>
        </w:rPr>
        <w:t>，具体要求可参考</w:t>
      </w:r>
      <w:r>
        <w:rPr>
          <w:rFonts w:eastAsia="仿宋_GB2312" w:cs="仿宋_GB2312" w:hint="eastAsia"/>
          <w:snapToGrid w:val="0"/>
          <w:szCs w:val="32"/>
        </w:rPr>
        <w:t>《列入免于临床评价医疗器械目录产品对比说明技术指导原则》。若经对比，申报产品与对比产品存在差异，还应提交差异部分对产品安全有效性影响的分析研究资料。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hint="eastAsia"/>
          <w:color w:val="000000"/>
          <w:szCs w:val="32"/>
        </w:rPr>
        <w:t>稳定性研究</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hint="eastAsia"/>
          <w:color w:val="000000"/>
          <w:szCs w:val="32"/>
        </w:rPr>
        <w:t>.1</w:t>
      </w:r>
      <w:r>
        <w:rPr>
          <w:rFonts w:eastAsia="仿宋_GB2312" w:hint="eastAsia"/>
          <w:color w:val="000000"/>
          <w:szCs w:val="32"/>
        </w:rPr>
        <w:t>货架有效期</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产品的有效期验证可采用实时老化或加速老化的方式，无论是采取加速老化研究还是实时老化研究，均应在稳定性</w:t>
      </w:r>
      <w:r>
        <w:rPr>
          <w:rFonts w:eastAsia="仿宋_GB2312" w:hint="eastAsia"/>
          <w:color w:val="000000"/>
          <w:szCs w:val="32"/>
        </w:rPr>
        <w:lastRenderedPageBreak/>
        <w:t>研究中监测整个有效</w:t>
      </w:r>
      <w:r>
        <w:rPr>
          <w:rFonts w:eastAsia="仿宋_GB2312" w:hint="eastAsia"/>
          <w:color w:val="000000"/>
          <w:szCs w:val="32"/>
        </w:rPr>
        <w:t>期内确保产品安全性和有效性的关键参数，检测项目应包括产品自身性能检测和包装性能检测两方面。前者需选择与医疗器械货架有效期密切相关的物理、化学、微生物测试项目，并提交产品有效期验证资料及确认报告。加速老化试验研究的具体要求可参考</w:t>
      </w:r>
      <w:r>
        <w:rPr>
          <w:rFonts w:eastAsia="仿宋_GB2312" w:hint="eastAsia"/>
          <w:color w:val="000000"/>
          <w:szCs w:val="32"/>
        </w:rPr>
        <w:t>YY/T0681</w:t>
      </w:r>
      <w:r>
        <w:rPr>
          <w:rFonts w:eastAsia="仿宋_GB2312" w:hint="eastAsia"/>
          <w:color w:val="000000"/>
          <w:szCs w:val="32"/>
        </w:rPr>
        <w:t>系列标准、</w:t>
      </w:r>
      <w:r>
        <w:rPr>
          <w:rFonts w:eastAsia="仿宋_GB2312" w:hint="eastAsia"/>
          <w:color w:val="000000"/>
          <w:szCs w:val="32"/>
        </w:rPr>
        <w:t>YY/T0698</w:t>
      </w:r>
      <w:r>
        <w:rPr>
          <w:rFonts w:eastAsia="仿宋_GB2312" w:hint="eastAsia"/>
          <w:color w:val="000000"/>
          <w:szCs w:val="32"/>
        </w:rPr>
        <w:t>系列标准、</w:t>
      </w:r>
      <w:r>
        <w:rPr>
          <w:rFonts w:eastAsia="仿宋_GB2312" w:hint="eastAsia"/>
          <w:color w:val="000000"/>
          <w:szCs w:val="32"/>
        </w:rPr>
        <w:t>GB/T19633</w:t>
      </w:r>
      <w:r>
        <w:rPr>
          <w:rFonts w:eastAsia="仿宋_GB2312" w:hint="eastAsia"/>
          <w:color w:val="000000"/>
          <w:szCs w:val="32"/>
        </w:rPr>
        <w:t>系列标准。</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hint="eastAsia"/>
          <w:color w:val="000000"/>
          <w:szCs w:val="32"/>
        </w:rPr>
        <w:t>.2</w:t>
      </w:r>
      <w:r>
        <w:rPr>
          <w:rFonts w:eastAsia="仿宋_GB2312" w:hint="eastAsia"/>
          <w:color w:val="000000"/>
          <w:szCs w:val="32"/>
        </w:rPr>
        <w:t>包装研究</w:t>
      </w:r>
    </w:p>
    <w:p w:rsidR="008478E5" w:rsidRDefault="006B1677">
      <w:pPr>
        <w:spacing w:line="560" w:lineRule="exact"/>
        <w:ind w:firstLineChars="200" w:firstLine="640"/>
        <w:rPr>
          <w:rFonts w:eastAsia="仿宋_GB2312"/>
          <w:bCs/>
          <w:color w:val="000000"/>
          <w:szCs w:val="32"/>
        </w:rPr>
      </w:pPr>
      <w:r>
        <w:rPr>
          <w:rFonts w:eastAsia="仿宋_GB2312" w:hint="eastAsia"/>
          <w:bCs/>
          <w:color w:val="000000"/>
          <w:szCs w:val="32"/>
        </w:rPr>
        <w:t>应提交产品在宣称的有效期内以及规定的运输储存条件下，保持产品包装完整性的依据。</w:t>
      </w:r>
    </w:p>
    <w:p w:rsidR="008478E5" w:rsidRDefault="006B1677">
      <w:pPr>
        <w:spacing w:line="560" w:lineRule="exact"/>
        <w:ind w:firstLineChars="200" w:firstLine="640"/>
        <w:jc w:val="left"/>
        <w:rPr>
          <w:rFonts w:eastAsia="仿宋_GB2312"/>
          <w:color w:val="000000"/>
          <w:szCs w:val="32"/>
        </w:rPr>
      </w:pPr>
      <w:r>
        <w:rPr>
          <w:rFonts w:eastAsia="仿宋_GB2312" w:hint="eastAsia"/>
          <w:bCs/>
          <w:color w:val="000000"/>
          <w:szCs w:val="32"/>
        </w:rPr>
        <w:t>产品包装验证可依据相关标准（</w:t>
      </w:r>
      <w:r>
        <w:rPr>
          <w:rFonts w:eastAsia="仿宋_GB2312" w:hint="eastAsia"/>
          <w:bCs/>
          <w:szCs w:val="32"/>
        </w:rPr>
        <w:t>YY/T 0681</w:t>
      </w:r>
      <w:r>
        <w:rPr>
          <w:rFonts w:eastAsia="仿宋_GB2312" w:hint="eastAsia"/>
          <w:bCs/>
          <w:szCs w:val="32"/>
        </w:rPr>
        <w:t>、</w:t>
      </w:r>
      <w:r>
        <w:rPr>
          <w:rFonts w:eastAsia="仿宋_GB2312" w:hint="eastAsia"/>
          <w:bCs/>
          <w:szCs w:val="32"/>
        </w:rPr>
        <w:t>GB/T 19633</w:t>
      </w:r>
      <w:r>
        <w:rPr>
          <w:rFonts w:eastAsia="仿宋_GB2312" w:hint="eastAsia"/>
          <w:bCs/>
          <w:szCs w:val="32"/>
        </w:rPr>
        <w:t>、</w:t>
      </w:r>
      <w:r>
        <w:rPr>
          <w:rFonts w:eastAsia="仿宋_GB2312" w:hint="eastAsia"/>
          <w:bCs/>
          <w:szCs w:val="32"/>
        </w:rPr>
        <w:t>GB/T 4857</w:t>
      </w:r>
      <w:r>
        <w:rPr>
          <w:rFonts w:eastAsia="仿宋_GB2312" w:hint="eastAsia"/>
          <w:bCs/>
          <w:szCs w:val="32"/>
        </w:rPr>
        <w:t>等</w:t>
      </w:r>
      <w:r>
        <w:rPr>
          <w:rFonts w:eastAsia="仿宋_GB2312" w:hint="eastAsia"/>
          <w:bCs/>
          <w:color w:val="000000"/>
          <w:szCs w:val="32"/>
        </w:rPr>
        <w:t>）进行，提交产品的包装验证报告。包装材料的选择应考虑如下因素：包装材料的物理化学性能；包装材料所能提供的物理、化学和微生物屏障保护；包装材料与成型和密封过程的适应性；包装材料与产品的适应性；包装材料与标签系统的适应性；包装材料与贮存运输过程的适</w:t>
      </w:r>
      <w:r>
        <w:rPr>
          <w:rFonts w:eastAsia="仿宋_GB2312" w:hint="eastAsia"/>
          <w:bCs/>
          <w:color w:val="000000"/>
          <w:szCs w:val="32"/>
        </w:rPr>
        <w:t>应</w:t>
      </w:r>
      <w:r>
        <w:rPr>
          <w:rFonts w:eastAsia="仿宋_GB2312" w:hint="eastAsia"/>
          <w:bCs/>
          <w:color w:val="000000"/>
          <w:szCs w:val="32"/>
        </w:rPr>
        <w:t>性；包装有效期。包装验证的资料内容应与包装说明中给出的信息相符。</w:t>
      </w:r>
    </w:p>
    <w:p w:rsidR="008478E5" w:rsidRDefault="006B1677">
      <w:pPr>
        <w:spacing w:line="520" w:lineRule="exact"/>
        <w:ind w:firstLineChars="200" w:firstLine="640"/>
        <w:rPr>
          <w:rFonts w:eastAsia="仿宋_GB2312"/>
          <w:color w:val="000000"/>
          <w:szCs w:val="32"/>
        </w:rPr>
      </w:pPr>
      <w:r>
        <w:rPr>
          <w:rFonts w:eastAsia="仿宋_GB2312"/>
          <w:color w:val="000000"/>
          <w:szCs w:val="32"/>
        </w:rPr>
        <w:t>注册申请人</w:t>
      </w:r>
      <w:r>
        <w:rPr>
          <w:rFonts w:eastAsia="仿宋_GB2312" w:hint="eastAsia"/>
          <w:color w:val="000000"/>
          <w:szCs w:val="32"/>
        </w:rPr>
        <w:t>应</w:t>
      </w:r>
      <w:r>
        <w:rPr>
          <w:rFonts w:eastAsia="仿宋_GB2312"/>
          <w:color w:val="000000"/>
          <w:szCs w:val="32"/>
        </w:rPr>
        <w:t>提交运输稳定性</w:t>
      </w:r>
      <w:r>
        <w:rPr>
          <w:rFonts w:eastAsia="仿宋_GB2312" w:hint="eastAsia"/>
          <w:color w:val="000000"/>
          <w:szCs w:val="32"/>
        </w:rPr>
        <w:t>研究</w:t>
      </w:r>
      <w:r>
        <w:rPr>
          <w:rFonts w:eastAsia="仿宋_GB2312"/>
          <w:color w:val="000000"/>
          <w:szCs w:val="32"/>
        </w:rPr>
        <w:t>资料，证明在</w:t>
      </w:r>
      <w:r>
        <w:rPr>
          <w:rFonts w:eastAsia="仿宋_GB2312" w:hint="eastAsia"/>
          <w:color w:val="000000"/>
          <w:szCs w:val="32"/>
        </w:rPr>
        <w:t>生产企业</w:t>
      </w:r>
      <w:r>
        <w:rPr>
          <w:rFonts w:eastAsia="仿宋_GB2312"/>
          <w:color w:val="000000"/>
          <w:szCs w:val="32"/>
        </w:rPr>
        <w:t>规定的运输条件下，运输过程中环境条件（例如：震动、振动、温度和湿度的波动）不会对医疗器械的特性和性能，包括完整性和清洁度，造成不利影响。</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t>（四）临床评</w:t>
      </w:r>
      <w:r>
        <w:rPr>
          <w:rFonts w:eastAsia="楷体_GB2312" w:hint="eastAsia"/>
          <w:color w:val="000000"/>
          <w:szCs w:val="32"/>
        </w:rPr>
        <w:t>价资料</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若无法证明申报产品与《列入免于临床评价医疗器械目录产品对比说明技术指导原则》所述的产品具有基本等同性，则应按照《医疗器械临床评价技术指导原则》的要求开展临</w:t>
      </w:r>
      <w:r>
        <w:rPr>
          <w:rFonts w:eastAsia="仿宋_GB2312" w:hint="eastAsia"/>
          <w:color w:val="000000"/>
          <w:szCs w:val="32"/>
        </w:rPr>
        <w:lastRenderedPageBreak/>
        <w:t>床评价</w:t>
      </w:r>
      <w:r>
        <w:rPr>
          <w:rFonts w:eastAsia="仿宋_GB2312" w:hint="eastAsia"/>
          <w:color w:val="000000"/>
          <w:szCs w:val="32"/>
        </w:rPr>
        <w:t>。</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t>（五）产品说明书和标签样稿</w:t>
      </w:r>
    </w:p>
    <w:p w:rsidR="008478E5" w:rsidRDefault="006B1677">
      <w:pPr>
        <w:snapToGrid w:val="0"/>
        <w:spacing w:line="520" w:lineRule="exact"/>
        <w:ind w:firstLineChars="200" w:firstLine="640"/>
        <w:rPr>
          <w:rFonts w:eastAsia="仿宋_GB2312"/>
          <w:color w:val="000000"/>
          <w:szCs w:val="32"/>
        </w:rPr>
      </w:pPr>
      <w:r>
        <w:rPr>
          <w:rFonts w:eastAsia="仿宋_GB2312"/>
          <w:szCs w:val="32"/>
        </w:rPr>
        <w:t>产品说明书和标签的编写应符合《医疗器械说明书和标签管理规定》及</w:t>
      </w:r>
      <w:r>
        <w:rPr>
          <w:rFonts w:eastAsia="仿宋_GB2312"/>
          <w:color w:val="000000"/>
          <w:szCs w:val="32"/>
        </w:rPr>
        <w:t>YY/T 0466.1</w:t>
      </w:r>
      <w:r>
        <w:rPr>
          <w:rFonts w:eastAsia="仿宋_GB2312"/>
          <w:color w:val="000000"/>
          <w:szCs w:val="32"/>
        </w:rPr>
        <w:t>《医疗器械用于医疗器械标签、标记和提供信息的符号</w:t>
      </w:r>
      <w:r>
        <w:rPr>
          <w:rFonts w:eastAsia="仿宋_GB2312"/>
          <w:color w:val="000000"/>
          <w:szCs w:val="32"/>
        </w:rPr>
        <w:t xml:space="preserve"> </w:t>
      </w:r>
      <w:r>
        <w:rPr>
          <w:rFonts w:eastAsia="仿宋_GB2312"/>
          <w:color w:val="000000"/>
          <w:szCs w:val="32"/>
        </w:rPr>
        <w:t>第</w:t>
      </w:r>
      <w:r>
        <w:rPr>
          <w:rFonts w:eastAsia="仿宋_GB2312"/>
          <w:color w:val="000000"/>
          <w:szCs w:val="32"/>
        </w:rPr>
        <w:t>1</w:t>
      </w:r>
      <w:r>
        <w:rPr>
          <w:rFonts w:eastAsia="仿宋_GB2312"/>
          <w:color w:val="000000"/>
          <w:szCs w:val="32"/>
        </w:rPr>
        <w:t>部分：通用要求》等</w:t>
      </w:r>
      <w:r>
        <w:rPr>
          <w:rFonts w:eastAsia="仿宋_GB2312"/>
          <w:szCs w:val="32"/>
        </w:rPr>
        <w:t>相关标准的要求。同时应满足以下要求：</w:t>
      </w:r>
    </w:p>
    <w:p w:rsidR="008478E5" w:rsidRDefault="006B1677">
      <w:pPr>
        <w:spacing w:line="520" w:lineRule="exact"/>
        <w:ind w:firstLineChars="200" w:firstLine="640"/>
        <w:rPr>
          <w:rFonts w:eastAsia="仿宋_GB2312"/>
          <w:color w:val="000000"/>
          <w:szCs w:val="32"/>
        </w:rPr>
      </w:pPr>
      <w:r>
        <w:rPr>
          <w:rFonts w:eastAsia="楷体_GB2312" w:hint="eastAsia"/>
          <w:color w:val="000000"/>
          <w:szCs w:val="32"/>
        </w:rPr>
        <w:t>1</w:t>
      </w:r>
      <w:r>
        <w:rPr>
          <w:rFonts w:eastAsia="仿宋_GB2312" w:hint="eastAsia"/>
          <w:color w:val="000000"/>
          <w:szCs w:val="32"/>
        </w:rPr>
        <w:t>.</w:t>
      </w:r>
      <w:r>
        <w:rPr>
          <w:rFonts w:eastAsia="仿宋_GB2312" w:hint="eastAsia"/>
          <w:color w:val="000000"/>
          <w:szCs w:val="32"/>
        </w:rPr>
        <w:t>根据临床评价资料等有关技术文件，明确产品的适用范围、适用人群。</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提供产品的具体使用方法或图示。提供关于产品连接配套设备、接口使用的具体方法及操作步骤的详细说明。</w:t>
      </w:r>
    </w:p>
    <w:p w:rsidR="008478E5" w:rsidRDefault="006B1677">
      <w:pPr>
        <w:spacing w:line="520" w:lineRule="exact"/>
        <w:ind w:firstLineChars="200" w:firstLine="640"/>
        <w:rPr>
          <w:rFonts w:eastAsia="仿宋_GB2312"/>
          <w:szCs w:val="32"/>
        </w:rPr>
      </w:pPr>
      <w:r>
        <w:rPr>
          <w:rFonts w:eastAsia="仿宋_GB2312" w:hint="eastAsia"/>
          <w:szCs w:val="32"/>
        </w:rPr>
        <w:t>3.</w:t>
      </w:r>
      <w:r>
        <w:rPr>
          <w:rFonts w:eastAsia="仿宋_GB2312"/>
          <w:szCs w:val="32"/>
        </w:rPr>
        <w:t>对接头适配的要求进行说明</w:t>
      </w:r>
      <w:r>
        <w:rPr>
          <w:rFonts w:eastAsia="仿宋_GB2312" w:hint="eastAsia"/>
          <w:szCs w:val="32"/>
        </w:rPr>
        <w:t>；</w:t>
      </w:r>
    </w:p>
    <w:p w:rsidR="008478E5" w:rsidRDefault="006B1677">
      <w:pPr>
        <w:spacing w:line="520" w:lineRule="exact"/>
        <w:ind w:firstLineChars="200" w:firstLine="640"/>
        <w:rPr>
          <w:rFonts w:eastAsia="仿宋_GB2312"/>
          <w:color w:val="000000"/>
          <w:szCs w:val="32"/>
        </w:rPr>
      </w:pPr>
      <w:r>
        <w:rPr>
          <w:rFonts w:eastAsia="仿宋_GB2312" w:hint="eastAsia"/>
          <w:szCs w:val="32"/>
        </w:rPr>
        <w:t>4.</w:t>
      </w:r>
      <w:r>
        <w:rPr>
          <w:rFonts w:eastAsia="仿宋_GB2312" w:hint="eastAsia"/>
          <w:color w:val="000000"/>
          <w:szCs w:val="32"/>
        </w:rPr>
        <w:t>对</w:t>
      </w:r>
      <w:r>
        <w:rPr>
          <w:rFonts w:eastAsia="仿宋_GB2312" w:hint="eastAsia"/>
          <w:color w:val="000000"/>
          <w:szCs w:val="32"/>
        </w:rPr>
        <w:t>产品使用的最大</w:t>
      </w:r>
      <w:r>
        <w:rPr>
          <w:rFonts w:eastAsia="仿宋_GB2312" w:hint="eastAsia"/>
          <w:color w:val="000000"/>
          <w:szCs w:val="32"/>
        </w:rPr>
        <w:t>负压要求进行说明。</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hint="eastAsia"/>
          <w:color w:val="000000"/>
          <w:szCs w:val="32"/>
        </w:rPr>
        <w:t>.</w:t>
      </w:r>
      <w:r>
        <w:rPr>
          <w:rFonts w:eastAsia="仿宋_GB2312"/>
          <w:szCs w:val="32"/>
        </w:rPr>
        <w:t>应提示对产品材料有过敏史者禁用，以及可能产生过敏的情况</w:t>
      </w:r>
      <w:r>
        <w:rPr>
          <w:rFonts w:eastAsia="仿宋_GB2312" w:hint="eastAsia"/>
          <w:color w:val="000000"/>
          <w:szCs w:val="32"/>
        </w:rPr>
        <w:t>，还应列出</w:t>
      </w:r>
      <w:r>
        <w:rPr>
          <w:rFonts w:eastAsia="仿宋_GB2312" w:hint="eastAsia"/>
          <w:color w:val="000000"/>
          <w:szCs w:val="32"/>
        </w:rPr>
        <w:t>产品</w:t>
      </w:r>
      <w:r>
        <w:rPr>
          <w:rFonts w:eastAsia="仿宋_GB2312" w:hint="eastAsia"/>
          <w:color w:val="000000"/>
          <w:szCs w:val="32"/>
        </w:rPr>
        <w:t>不适用的手术类型、身体部位或人群。</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6.</w:t>
      </w:r>
      <w:r>
        <w:rPr>
          <w:rFonts w:eastAsia="仿宋_GB2312"/>
          <w:szCs w:val="32"/>
        </w:rPr>
        <w:t>应提示一次性使用</w:t>
      </w:r>
      <w:r>
        <w:rPr>
          <w:rFonts w:eastAsia="仿宋_GB2312" w:hint="eastAsia"/>
          <w:szCs w:val="32"/>
        </w:rPr>
        <w:t>，使</w:t>
      </w:r>
      <w:r>
        <w:rPr>
          <w:rFonts w:eastAsia="仿宋_GB2312"/>
          <w:szCs w:val="32"/>
        </w:rPr>
        <w:t>用后销毁，包装如有破损，严禁使用</w:t>
      </w:r>
      <w:r>
        <w:rPr>
          <w:rFonts w:eastAsia="仿宋_GB2312" w:hint="eastAsia"/>
          <w:color w:val="000000"/>
          <w:szCs w:val="32"/>
        </w:rPr>
        <w:t>。</w:t>
      </w:r>
      <w:r>
        <w:rPr>
          <w:rFonts w:eastAsia="仿宋_GB2312" w:hint="eastAsia"/>
          <w:color w:val="000000"/>
          <w:szCs w:val="32"/>
        </w:rPr>
        <w:t xml:space="preserve"> </w:t>
      </w:r>
    </w:p>
    <w:p w:rsidR="008478E5" w:rsidRDefault="006B1677">
      <w:pPr>
        <w:spacing w:line="520" w:lineRule="exact"/>
        <w:ind w:firstLineChars="200" w:firstLine="640"/>
        <w:rPr>
          <w:rFonts w:eastAsia="仿宋_GB2312"/>
          <w:color w:val="000000"/>
          <w:szCs w:val="32"/>
        </w:rPr>
      </w:pPr>
      <w:r>
        <w:rPr>
          <w:rFonts w:eastAsia="仿宋_GB2312" w:hint="eastAsia"/>
          <w:color w:val="000000"/>
          <w:szCs w:val="32"/>
        </w:rPr>
        <w:t>7</w:t>
      </w:r>
      <w:r>
        <w:rPr>
          <w:rFonts w:eastAsia="仿宋_GB2312" w:hint="eastAsia"/>
          <w:color w:val="000000"/>
          <w:szCs w:val="32"/>
        </w:rPr>
        <w:t>.</w:t>
      </w:r>
      <w:r>
        <w:rPr>
          <w:rFonts w:eastAsia="仿宋_GB2312"/>
          <w:szCs w:val="32"/>
        </w:rPr>
        <w:t>应提示灭菌方式</w:t>
      </w:r>
      <w:r>
        <w:rPr>
          <w:rFonts w:eastAsia="仿宋_GB2312" w:hint="eastAsia"/>
          <w:color w:val="000000"/>
          <w:szCs w:val="32"/>
        </w:rPr>
        <w:t>。</w:t>
      </w:r>
    </w:p>
    <w:p w:rsidR="008478E5" w:rsidRDefault="006B1677">
      <w:pPr>
        <w:spacing w:line="520" w:lineRule="exact"/>
        <w:ind w:firstLineChars="200" w:firstLine="640"/>
        <w:rPr>
          <w:rFonts w:eastAsia="楷体_GB2312"/>
          <w:color w:val="000000"/>
          <w:szCs w:val="32"/>
        </w:rPr>
      </w:pPr>
      <w:r>
        <w:rPr>
          <w:rFonts w:eastAsia="楷体_GB2312" w:hint="eastAsia"/>
          <w:color w:val="000000"/>
          <w:szCs w:val="32"/>
        </w:rPr>
        <w:t>（六）质量管理体系文件</w:t>
      </w:r>
    </w:p>
    <w:p w:rsidR="008478E5" w:rsidRDefault="006B1677">
      <w:pPr>
        <w:pStyle w:val="10"/>
        <w:spacing w:line="520" w:lineRule="exact"/>
        <w:ind w:firstLine="640"/>
        <w:jc w:val="left"/>
        <w:outlineLvl w:val="0"/>
        <w:rPr>
          <w:rFonts w:eastAsia="黑体"/>
        </w:rPr>
      </w:pPr>
      <w:r>
        <w:rPr>
          <w:rFonts w:hint="eastAsia"/>
          <w:color w:val="000000"/>
        </w:rPr>
        <w:t>体外引流、吸引管的质量管理体系文件应符合《医疗器械生产质量管理规范》的要求，并按照《医疗器械注册申报资料要求及说明》</w:t>
      </w:r>
      <w:r>
        <w:rPr>
          <w:color w:val="000000"/>
        </w:rPr>
        <w:t>提交资料。详述产品的生产过程，提供生产工艺流程图，注明关键工艺和特殊工艺，说明过程控制点。明确对生产加工过</w:t>
      </w:r>
      <w:r>
        <w:rPr>
          <w:rFonts w:hint="eastAsia"/>
          <w:color w:val="000000"/>
        </w:rPr>
        <w:t>程中</w:t>
      </w:r>
      <w:r>
        <w:rPr>
          <w:color w:val="000000"/>
        </w:rPr>
        <w:t>使用的添加剂、粘合剂等具有潜在毒性或限量使用的物质的控制情况。</w:t>
      </w:r>
      <w:bookmarkStart w:id="1" w:name="_Toc265839389"/>
    </w:p>
    <w:p w:rsidR="008478E5" w:rsidRDefault="006B1677">
      <w:pPr>
        <w:spacing w:line="520" w:lineRule="exact"/>
        <w:ind w:firstLineChars="200" w:firstLine="640"/>
        <w:rPr>
          <w:rFonts w:eastAsia="黑体"/>
          <w:color w:val="000000"/>
          <w:szCs w:val="32"/>
        </w:rPr>
      </w:pPr>
      <w:r>
        <w:rPr>
          <w:rFonts w:eastAsia="黑体" w:hint="eastAsia"/>
          <w:color w:val="000000"/>
          <w:szCs w:val="32"/>
        </w:rPr>
        <w:t>三、参考文献</w:t>
      </w:r>
      <w:bookmarkEnd w:id="1"/>
    </w:p>
    <w:p w:rsidR="008478E5" w:rsidRDefault="006B1677">
      <w:pPr>
        <w:overflowPunct w:val="0"/>
        <w:spacing w:line="520" w:lineRule="exact"/>
        <w:ind w:firstLineChars="177" w:firstLine="566"/>
        <w:rPr>
          <w:rFonts w:eastAsia="黑体"/>
          <w:b/>
        </w:rPr>
      </w:pPr>
      <w:r>
        <w:rPr>
          <w:rFonts w:eastAsia="仿宋_GB2312"/>
          <w:szCs w:val="32"/>
        </w:rPr>
        <w:lastRenderedPageBreak/>
        <w:t>[1]</w:t>
      </w:r>
      <w:r>
        <w:rPr>
          <w:rFonts w:eastAsia="仿宋_GB2312"/>
          <w:szCs w:val="32"/>
          <w:lang w:val="en"/>
        </w:rPr>
        <w:t>中华人民共和国国务院</w:t>
      </w:r>
      <w:r>
        <w:rPr>
          <w:rFonts w:eastAsia="仿宋_GB2312"/>
          <w:szCs w:val="32"/>
        </w:rPr>
        <w:t>.</w:t>
      </w:r>
      <w:r>
        <w:rPr>
          <w:rFonts w:eastAsia="仿宋_GB2312"/>
          <w:spacing w:val="-4"/>
          <w:szCs w:val="28"/>
        </w:rPr>
        <w:t>医疗器械监督管理条例</w:t>
      </w:r>
      <w:r>
        <w:rPr>
          <w:rFonts w:eastAsia="仿宋_GB2312"/>
          <w:szCs w:val="32"/>
        </w:rPr>
        <w:t>：中华人民共和国国务院令第</w:t>
      </w:r>
      <w:r>
        <w:rPr>
          <w:rFonts w:eastAsia="仿宋_GB2312"/>
          <w:szCs w:val="32"/>
        </w:rPr>
        <w:t>739</w:t>
      </w:r>
      <w:r>
        <w:rPr>
          <w:rFonts w:eastAsia="仿宋_GB2312"/>
          <w:szCs w:val="32"/>
        </w:rPr>
        <w:t>号</w:t>
      </w:r>
      <w:r>
        <w:rPr>
          <w:rFonts w:eastAsia="仿宋_GB2312"/>
          <w:szCs w:val="32"/>
        </w:rPr>
        <w:t>[Z].</w:t>
      </w:r>
    </w:p>
    <w:p w:rsidR="008478E5" w:rsidRDefault="006B1677">
      <w:pPr>
        <w:spacing w:line="520" w:lineRule="exact"/>
        <w:ind w:firstLine="567"/>
        <w:rPr>
          <w:rFonts w:eastAsia="仿宋_GB2312"/>
          <w:spacing w:val="-4"/>
          <w:szCs w:val="28"/>
        </w:rPr>
      </w:pPr>
      <w:r>
        <w:rPr>
          <w:rFonts w:eastAsia="仿宋_GB2312"/>
          <w:szCs w:val="32"/>
        </w:rPr>
        <w:t>[2]</w:t>
      </w:r>
      <w:r>
        <w:rPr>
          <w:rFonts w:eastAsia="仿宋_GB2312"/>
          <w:szCs w:val="32"/>
        </w:rPr>
        <w:t>国家市场监督管理总局</w:t>
      </w:r>
      <w:r>
        <w:rPr>
          <w:rFonts w:eastAsia="仿宋_GB2312"/>
          <w:szCs w:val="32"/>
        </w:rPr>
        <w:t>.</w:t>
      </w:r>
      <w:r>
        <w:rPr>
          <w:rFonts w:eastAsia="仿宋_GB2312"/>
          <w:szCs w:val="32"/>
        </w:rPr>
        <w:t>医疗器械注册与备案管理办法</w:t>
      </w:r>
      <w:r>
        <w:rPr>
          <w:rFonts w:eastAsia="仿宋_GB2312"/>
          <w:szCs w:val="32"/>
        </w:rPr>
        <w:t>:</w:t>
      </w:r>
      <w:r>
        <w:rPr>
          <w:rFonts w:eastAsia="仿宋_GB2312"/>
          <w:szCs w:val="32"/>
        </w:rPr>
        <w:t>国家市场监督管理总局令第</w:t>
      </w:r>
      <w:r>
        <w:rPr>
          <w:rFonts w:eastAsia="仿宋_GB2312"/>
          <w:szCs w:val="32"/>
        </w:rPr>
        <w:t>47</w:t>
      </w:r>
      <w:r>
        <w:rPr>
          <w:rFonts w:eastAsia="仿宋_GB2312"/>
          <w:szCs w:val="32"/>
        </w:rPr>
        <w:t>号</w:t>
      </w:r>
      <w:r>
        <w:rPr>
          <w:rFonts w:eastAsia="仿宋_GB2312"/>
          <w:szCs w:val="32"/>
        </w:rPr>
        <w:t>[Z].</w:t>
      </w:r>
    </w:p>
    <w:p w:rsidR="008478E5" w:rsidRDefault="006B1677">
      <w:pPr>
        <w:overflowPunct w:val="0"/>
        <w:spacing w:line="520" w:lineRule="exact"/>
        <w:ind w:firstLineChars="177" w:firstLine="566"/>
        <w:rPr>
          <w:rFonts w:eastAsia="仿宋_GB2312"/>
          <w:szCs w:val="32"/>
        </w:rPr>
      </w:pPr>
      <w:r>
        <w:rPr>
          <w:rFonts w:eastAsia="仿宋_GB2312"/>
          <w:szCs w:val="32"/>
        </w:rPr>
        <w:t>[3]</w:t>
      </w:r>
      <w:r>
        <w:rPr>
          <w:rFonts w:eastAsia="仿宋_GB2312"/>
          <w:szCs w:val="32"/>
        </w:rPr>
        <w:t>国家食品药品监督管理局</w:t>
      </w:r>
      <w:r>
        <w:rPr>
          <w:rFonts w:eastAsia="仿宋_GB2312"/>
          <w:szCs w:val="32"/>
        </w:rPr>
        <w:t>.</w:t>
      </w:r>
      <w:r>
        <w:rPr>
          <w:rFonts w:eastAsia="仿宋_GB2312"/>
          <w:szCs w:val="32"/>
        </w:rPr>
        <w:t>医疗器械说明书和标签管理规定</w:t>
      </w:r>
      <w:r>
        <w:rPr>
          <w:rFonts w:eastAsia="仿宋_GB2312"/>
          <w:szCs w:val="32"/>
        </w:rPr>
        <w:t>:</w:t>
      </w:r>
      <w:r>
        <w:rPr>
          <w:rFonts w:eastAsia="仿宋_GB2312"/>
          <w:szCs w:val="32"/>
        </w:rPr>
        <w:t>国家食品药品监督管理总局令第</w:t>
      </w:r>
      <w:r>
        <w:rPr>
          <w:rFonts w:eastAsia="仿宋_GB2312"/>
          <w:szCs w:val="32"/>
        </w:rPr>
        <w:t>6</w:t>
      </w:r>
      <w:r>
        <w:rPr>
          <w:rFonts w:eastAsia="仿宋_GB2312"/>
          <w:szCs w:val="32"/>
        </w:rPr>
        <w:t>号</w:t>
      </w:r>
      <w:r>
        <w:rPr>
          <w:rFonts w:eastAsia="仿宋_GB2312"/>
          <w:szCs w:val="32"/>
        </w:rPr>
        <w:t>[Z].</w:t>
      </w:r>
    </w:p>
    <w:p w:rsidR="008478E5" w:rsidRDefault="006B1677">
      <w:pPr>
        <w:tabs>
          <w:tab w:val="left" w:pos="532"/>
        </w:tabs>
        <w:spacing w:line="520" w:lineRule="exact"/>
        <w:ind w:left="2" w:firstLineChars="176" w:firstLine="563"/>
        <w:rPr>
          <w:rFonts w:eastAsia="仿宋_GB2312"/>
          <w:szCs w:val="32"/>
        </w:rPr>
      </w:pPr>
      <w:r>
        <w:rPr>
          <w:rFonts w:eastAsia="仿宋_GB2312"/>
          <w:szCs w:val="32"/>
        </w:rPr>
        <w:t>[4]</w:t>
      </w:r>
      <w:r>
        <w:rPr>
          <w:rFonts w:eastAsia="仿宋_GB2312"/>
          <w:szCs w:val="32"/>
        </w:rPr>
        <w:t>国家药品监督管理局</w:t>
      </w:r>
      <w:r>
        <w:rPr>
          <w:rFonts w:eastAsia="仿宋_GB2312"/>
          <w:szCs w:val="32"/>
        </w:rPr>
        <w:t>.</w:t>
      </w:r>
      <w:r>
        <w:rPr>
          <w:rFonts w:eastAsia="仿宋_GB2312"/>
          <w:szCs w:val="32"/>
        </w:rPr>
        <w:t>医疗器械通用名称命名规则</w:t>
      </w:r>
      <w:r>
        <w:rPr>
          <w:rFonts w:eastAsia="仿宋_GB2312"/>
          <w:szCs w:val="32"/>
        </w:rPr>
        <w:t>:</w:t>
      </w:r>
      <w:r>
        <w:rPr>
          <w:rFonts w:eastAsia="仿宋_GB2312"/>
          <w:szCs w:val="32"/>
        </w:rPr>
        <w:t>国家食品药品监督管理总局令第</w:t>
      </w:r>
      <w:r>
        <w:rPr>
          <w:rFonts w:eastAsia="仿宋_GB2312"/>
          <w:szCs w:val="32"/>
        </w:rPr>
        <w:t>19</w:t>
      </w:r>
      <w:r>
        <w:rPr>
          <w:rFonts w:eastAsia="仿宋_GB2312"/>
          <w:szCs w:val="32"/>
        </w:rPr>
        <w:t>号</w:t>
      </w:r>
      <w:r>
        <w:rPr>
          <w:rFonts w:eastAsia="仿宋_GB2312"/>
          <w:szCs w:val="32"/>
        </w:rPr>
        <w:t>[Z].</w:t>
      </w:r>
    </w:p>
    <w:p w:rsidR="008478E5" w:rsidRDefault="006B1677">
      <w:pPr>
        <w:overflowPunct w:val="0"/>
        <w:spacing w:line="520" w:lineRule="exact"/>
        <w:ind w:firstLineChars="177" w:firstLine="566"/>
        <w:rPr>
          <w:rFonts w:eastAsia="仿宋_GB2312"/>
          <w:szCs w:val="32"/>
        </w:rPr>
      </w:pPr>
      <w:r>
        <w:rPr>
          <w:rFonts w:eastAsia="仿宋_GB2312"/>
          <w:szCs w:val="32"/>
        </w:rPr>
        <w:t>[5]</w:t>
      </w:r>
      <w:r>
        <w:rPr>
          <w:rFonts w:eastAsia="仿宋_GB2312"/>
          <w:szCs w:val="32"/>
        </w:rPr>
        <w:t>国家药品监督管理局</w:t>
      </w:r>
      <w:r>
        <w:rPr>
          <w:rFonts w:eastAsia="仿宋_GB2312"/>
          <w:szCs w:val="32"/>
        </w:rPr>
        <w:t>.</w:t>
      </w:r>
      <w:r>
        <w:rPr>
          <w:rFonts w:eastAsia="仿宋_GB2312"/>
          <w:szCs w:val="32"/>
        </w:rPr>
        <w:t>医疗器械产品技术要求编写指导原则</w:t>
      </w:r>
      <w:r>
        <w:rPr>
          <w:rFonts w:eastAsia="仿宋_GB2312"/>
          <w:szCs w:val="32"/>
        </w:rPr>
        <w:t>:</w:t>
      </w:r>
      <w:r>
        <w:rPr>
          <w:rFonts w:eastAsia="仿宋_GB2312"/>
          <w:spacing w:val="-4"/>
          <w:szCs w:val="28"/>
        </w:rPr>
        <w:t>国家药监局通告</w:t>
      </w:r>
      <w:r>
        <w:rPr>
          <w:rFonts w:eastAsia="仿宋_GB2312"/>
          <w:spacing w:val="-4"/>
          <w:szCs w:val="28"/>
        </w:rPr>
        <w:t>2022</w:t>
      </w:r>
      <w:r>
        <w:rPr>
          <w:rFonts w:eastAsia="仿宋_GB2312"/>
          <w:spacing w:val="-4"/>
          <w:szCs w:val="28"/>
        </w:rPr>
        <w:t>年第</w:t>
      </w:r>
      <w:r>
        <w:rPr>
          <w:rFonts w:eastAsia="仿宋_GB2312"/>
          <w:spacing w:val="-4"/>
          <w:szCs w:val="28"/>
        </w:rPr>
        <w:t>8</w:t>
      </w:r>
      <w:r>
        <w:rPr>
          <w:rFonts w:eastAsia="仿宋_GB2312"/>
          <w:spacing w:val="-4"/>
          <w:szCs w:val="28"/>
        </w:rPr>
        <w:t>号</w:t>
      </w:r>
      <w:r>
        <w:rPr>
          <w:rFonts w:eastAsia="仿宋_GB2312"/>
          <w:szCs w:val="32"/>
        </w:rPr>
        <w:t>[Z].</w:t>
      </w:r>
    </w:p>
    <w:p w:rsidR="008478E5" w:rsidRDefault="006B1677">
      <w:pPr>
        <w:overflowPunct w:val="0"/>
        <w:spacing w:line="520" w:lineRule="exact"/>
        <w:ind w:firstLineChars="177" w:firstLine="566"/>
        <w:rPr>
          <w:rFonts w:eastAsia="仿宋_GB2312"/>
          <w:szCs w:val="32"/>
        </w:rPr>
      </w:pPr>
      <w:r>
        <w:rPr>
          <w:rFonts w:eastAsia="仿宋_GB2312"/>
          <w:szCs w:val="32"/>
        </w:rPr>
        <w:t>[6]</w:t>
      </w:r>
      <w:r>
        <w:rPr>
          <w:rFonts w:eastAsia="仿宋_GB2312"/>
          <w:szCs w:val="32"/>
        </w:rPr>
        <w:t>国家药品监督管理局</w:t>
      </w:r>
      <w:r>
        <w:rPr>
          <w:rFonts w:eastAsia="仿宋_GB2312"/>
          <w:szCs w:val="32"/>
        </w:rPr>
        <w:t>.</w:t>
      </w:r>
      <w:r>
        <w:rPr>
          <w:rFonts w:eastAsia="仿宋_GB2312"/>
          <w:szCs w:val="32"/>
        </w:rPr>
        <w:t>医疗器械注册申报资料要求和批准证明文件格式</w:t>
      </w:r>
      <w:r>
        <w:rPr>
          <w:rFonts w:eastAsia="仿宋_GB2312"/>
          <w:szCs w:val="32"/>
        </w:rPr>
        <w:t>:</w:t>
      </w:r>
      <w:r>
        <w:rPr>
          <w:rFonts w:eastAsia="仿宋_GB2312"/>
          <w:szCs w:val="32"/>
        </w:rPr>
        <w:t>国家药监局公告</w:t>
      </w:r>
      <w:r>
        <w:rPr>
          <w:rFonts w:eastAsia="仿宋_GB2312"/>
          <w:szCs w:val="32"/>
        </w:rPr>
        <w:t>2021</w:t>
      </w:r>
      <w:r>
        <w:rPr>
          <w:rFonts w:eastAsia="仿宋_GB2312"/>
          <w:szCs w:val="32"/>
        </w:rPr>
        <w:t>年第</w:t>
      </w:r>
      <w:r>
        <w:rPr>
          <w:rFonts w:eastAsia="仿宋_GB2312"/>
          <w:szCs w:val="32"/>
        </w:rPr>
        <w:t>121</w:t>
      </w:r>
      <w:r>
        <w:rPr>
          <w:rFonts w:eastAsia="仿宋_GB2312"/>
          <w:szCs w:val="32"/>
        </w:rPr>
        <w:t>号</w:t>
      </w:r>
      <w:r>
        <w:rPr>
          <w:rFonts w:eastAsia="仿宋_GB2312"/>
          <w:szCs w:val="32"/>
        </w:rPr>
        <w:t>[Z].</w:t>
      </w:r>
    </w:p>
    <w:p w:rsidR="008478E5" w:rsidRDefault="006B1677">
      <w:pPr>
        <w:overflowPunct w:val="0"/>
        <w:spacing w:line="520" w:lineRule="exact"/>
        <w:ind w:firstLineChars="177" w:firstLine="566"/>
        <w:rPr>
          <w:rFonts w:eastAsia="仿宋_GB2312"/>
          <w:szCs w:val="32"/>
        </w:rPr>
      </w:pPr>
      <w:r>
        <w:rPr>
          <w:rFonts w:eastAsia="仿宋_GB2312"/>
          <w:szCs w:val="32"/>
        </w:rPr>
        <w:t>[7]</w:t>
      </w:r>
      <w:r>
        <w:rPr>
          <w:rFonts w:eastAsia="仿宋_GB2312"/>
          <w:szCs w:val="32"/>
        </w:rPr>
        <w:t>国家药品监督管理局</w:t>
      </w:r>
      <w:r>
        <w:rPr>
          <w:rFonts w:eastAsia="仿宋_GB2312"/>
          <w:szCs w:val="32"/>
        </w:rPr>
        <w:t>.</w:t>
      </w:r>
      <w:r>
        <w:rPr>
          <w:rFonts w:eastAsia="仿宋_GB2312"/>
          <w:szCs w:val="32"/>
        </w:rPr>
        <w:t>免于临床评价医疗器械目录</w:t>
      </w:r>
      <w:r>
        <w:rPr>
          <w:rFonts w:eastAsia="仿宋_GB2312"/>
          <w:szCs w:val="32"/>
        </w:rPr>
        <w:t>:</w:t>
      </w:r>
      <w:r>
        <w:rPr>
          <w:rFonts w:eastAsia="仿宋_GB2312"/>
          <w:color w:val="000000"/>
          <w:szCs w:val="32"/>
        </w:rPr>
        <w:t>国家药品监督管理局</w:t>
      </w:r>
      <w:r>
        <w:rPr>
          <w:rFonts w:eastAsia="仿宋_GB2312"/>
          <w:szCs w:val="32"/>
        </w:rPr>
        <w:t>202</w:t>
      </w:r>
      <w:r>
        <w:rPr>
          <w:rFonts w:eastAsia="仿宋_GB2312" w:hint="eastAsia"/>
          <w:szCs w:val="32"/>
        </w:rPr>
        <w:t>5</w:t>
      </w:r>
      <w:r>
        <w:rPr>
          <w:rFonts w:eastAsia="仿宋_GB2312"/>
          <w:szCs w:val="32"/>
        </w:rPr>
        <w:t>年第</w:t>
      </w:r>
      <w:r>
        <w:rPr>
          <w:rFonts w:eastAsia="仿宋_GB2312" w:hint="eastAsia"/>
          <w:szCs w:val="32"/>
        </w:rPr>
        <w:t>19</w:t>
      </w:r>
      <w:r>
        <w:rPr>
          <w:rFonts w:eastAsia="仿宋_GB2312"/>
          <w:szCs w:val="32"/>
        </w:rPr>
        <w:t>号</w:t>
      </w:r>
      <w:r>
        <w:rPr>
          <w:rFonts w:eastAsia="仿宋_GB2312"/>
          <w:szCs w:val="32"/>
        </w:rPr>
        <w:t>[Z].</w:t>
      </w:r>
    </w:p>
    <w:p w:rsidR="008478E5" w:rsidRDefault="006B1677">
      <w:pPr>
        <w:tabs>
          <w:tab w:val="left" w:pos="532"/>
        </w:tabs>
        <w:spacing w:line="520" w:lineRule="exact"/>
        <w:ind w:left="2" w:firstLineChars="176" w:firstLine="563"/>
        <w:rPr>
          <w:rFonts w:eastAsia="仿宋_GB2312"/>
          <w:spacing w:val="-4"/>
          <w:szCs w:val="28"/>
        </w:rPr>
      </w:pPr>
      <w:r>
        <w:rPr>
          <w:rFonts w:eastAsia="仿宋_GB2312"/>
          <w:szCs w:val="32"/>
        </w:rPr>
        <w:t>[8]</w:t>
      </w:r>
      <w:r>
        <w:rPr>
          <w:rFonts w:eastAsia="仿宋_GB2312"/>
          <w:szCs w:val="32"/>
        </w:rPr>
        <w:t>国家药品监督管理局</w:t>
      </w:r>
      <w:r>
        <w:rPr>
          <w:rFonts w:eastAsia="仿宋_GB2312" w:hint="eastAsia"/>
          <w:szCs w:val="32"/>
        </w:rPr>
        <w:t xml:space="preserve"> </w:t>
      </w:r>
      <w:r>
        <w:rPr>
          <w:rFonts w:eastAsia="仿宋_GB2312"/>
          <w:color w:val="000000"/>
          <w:szCs w:val="32"/>
        </w:rPr>
        <w:t>国家卫生健康委</w:t>
      </w:r>
      <w:r>
        <w:rPr>
          <w:rFonts w:eastAsia="仿宋_GB2312"/>
          <w:szCs w:val="32"/>
        </w:rPr>
        <w:t>.</w:t>
      </w:r>
      <w:r>
        <w:rPr>
          <w:rFonts w:eastAsia="仿宋_GB2312"/>
          <w:color w:val="000000"/>
          <w:szCs w:val="32"/>
        </w:rPr>
        <w:t>医疗器械临床试验质量管理规范</w:t>
      </w:r>
      <w:r>
        <w:rPr>
          <w:rFonts w:eastAsia="仿宋_GB2312"/>
          <w:color w:val="000000"/>
          <w:szCs w:val="32"/>
        </w:rPr>
        <w:t>:</w:t>
      </w:r>
      <w:r>
        <w:rPr>
          <w:rFonts w:eastAsia="仿宋_GB2312"/>
          <w:color w:val="000000"/>
          <w:szCs w:val="32"/>
        </w:rPr>
        <w:t>国家药监局</w:t>
      </w:r>
      <w:r>
        <w:rPr>
          <w:rFonts w:eastAsia="仿宋_GB2312" w:hint="eastAsia"/>
          <w:color w:val="000000"/>
          <w:szCs w:val="32"/>
        </w:rPr>
        <w:t xml:space="preserve"> </w:t>
      </w:r>
      <w:r>
        <w:rPr>
          <w:rFonts w:eastAsia="仿宋_GB2312"/>
          <w:color w:val="000000"/>
          <w:szCs w:val="32"/>
        </w:rPr>
        <w:t>国家卫生健康委公告</w:t>
      </w:r>
      <w:r>
        <w:rPr>
          <w:rFonts w:eastAsia="仿宋_GB2312"/>
          <w:color w:val="000000"/>
          <w:szCs w:val="32"/>
        </w:rPr>
        <w:t>2</w:t>
      </w:r>
      <w:r>
        <w:rPr>
          <w:rFonts w:eastAsia="仿宋_GB2312"/>
          <w:color w:val="000000"/>
          <w:szCs w:val="32"/>
        </w:rPr>
        <w:t>022</w:t>
      </w:r>
      <w:r>
        <w:rPr>
          <w:rFonts w:eastAsia="仿宋_GB2312"/>
          <w:color w:val="000000"/>
          <w:szCs w:val="32"/>
        </w:rPr>
        <w:t>年第</w:t>
      </w:r>
      <w:r>
        <w:rPr>
          <w:rFonts w:eastAsia="仿宋_GB2312"/>
          <w:color w:val="000000"/>
          <w:szCs w:val="32"/>
        </w:rPr>
        <w:t>28</w:t>
      </w:r>
      <w:r>
        <w:rPr>
          <w:rFonts w:eastAsia="仿宋_GB2312"/>
          <w:color w:val="000000"/>
          <w:szCs w:val="32"/>
        </w:rPr>
        <w:t>号</w:t>
      </w:r>
      <w:r>
        <w:rPr>
          <w:rFonts w:eastAsia="仿宋_GB2312"/>
          <w:szCs w:val="32"/>
        </w:rPr>
        <w:t>[Z]</w:t>
      </w:r>
      <w:r>
        <w:rPr>
          <w:rFonts w:eastAsia="仿宋_GB2312"/>
          <w:color w:val="000000"/>
          <w:szCs w:val="32"/>
        </w:rPr>
        <w:t>.</w:t>
      </w:r>
    </w:p>
    <w:p w:rsidR="008478E5" w:rsidRDefault="006B1677">
      <w:pPr>
        <w:tabs>
          <w:tab w:val="left" w:pos="532"/>
        </w:tabs>
        <w:spacing w:line="520" w:lineRule="exact"/>
        <w:ind w:left="2" w:firstLineChars="176" w:firstLine="563"/>
        <w:rPr>
          <w:rFonts w:eastAsia="仿宋_GB2312"/>
          <w:szCs w:val="32"/>
        </w:rPr>
      </w:pPr>
      <w:r>
        <w:rPr>
          <w:rFonts w:eastAsia="仿宋_GB2312"/>
          <w:szCs w:val="32"/>
        </w:rPr>
        <w:t>[9]</w:t>
      </w:r>
      <w:r>
        <w:rPr>
          <w:rFonts w:eastAsia="仿宋_GB2312"/>
          <w:szCs w:val="32"/>
        </w:rPr>
        <w:t>国家药品监督管理局</w:t>
      </w:r>
      <w:r>
        <w:rPr>
          <w:rFonts w:eastAsia="仿宋_GB2312"/>
          <w:szCs w:val="32"/>
        </w:rPr>
        <w:t>.</w:t>
      </w:r>
      <w:r>
        <w:rPr>
          <w:rFonts w:eastAsia="仿宋_GB2312"/>
          <w:szCs w:val="32"/>
        </w:rPr>
        <w:t>医疗器械分</w:t>
      </w:r>
      <w:r>
        <w:rPr>
          <w:rFonts w:eastAsia="仿宋_GB2312"/>
          <w:kern w:val="0"/>
          <w:szCs w:val="32"/>
        </w:rPr>
        <w:t>类目录</w:t>
      </w:r>
      <w:r>
        <w:rPr>
          <w:rFonts w:eastAsia="仿宋_GB2312"/>
          <w:szCs w:val="32"/>
        </w:rPr>
        <w:t>:</w:t>
      </w:r>
      <w:r>
        <w:rPr>
          <w:rFonts w:eastAsia="仿宋_GB2312"/>
          <w:szCs w:val="32"/>
        </w:rPr>
        <w:t>国家食品药品监督管理总局公告</w:t>
      </w:r>
      <w:r>
        <w:rPr>
          <w:rFonts w:eastAsia="仿宋_GB2312"/>
          <w:szCs w:val="32"/>
        </w:rPr>
        <w:t>2017</w:t>
      </w:r>
      <w:r>
        <w:rPr>
          <w:rFonts w:eastAsia="仿宋_GB2312"/>
          <w:szCs w:val="32"/>
        </w:rPr>
        <w:t>年第</w:t>
      </w:r>
      <w:r>
        <w:rPr>
          <w:rFonts w:eastAsia="仿宋_GB2312"/>
          <w:szCs w:val="32"/>
        </w:rPr>
        <w:t>104</w:t>
      </w:r>
      <w:r>
        <w:rPr>
          <w:rFonts w:eastAsia="仿宋_GB2312"/>
          <w:szCs w:val="32"/>
        </w:rPr>
        <w:t>号</w:t>
      </w:r>
      <w:r>
        <w:rPr>
          <w:rFonts w:eastAsia="仿宋_GB2312"/>
          <w:szCs w:val="32"/>
        </w:rPr>
        <w:t>[Z].</w:t>
      </w:r>
    </w:p>
    <w:p w:rsidR="008478E5" w:rsidRDefault="006B1677">
      <w:pPr>
        <w:adjustRightInd w:val="0"/>
        <w:snapToGrid w:val="0"/>
        <w:spacing w:line="520" w:lineRule="exact"/>
        <w:ind w:firstLineChars="177" w:firstLine="566"/>
        <w:rPr>
          <w:rFonts w:eastAsia="仿宋_GB2312"/>
          <w:szCs w:val="32"/>
        </w:rPr>
      </w:pPr>
      <w:r>
        <w:rPr>
          <w:rFonts w:eastAsia="仿宋_GB2312"/>
          <w:szCs w:val="32"/>
        </w:rPr>
        <w:t>[10]</w:t>
      </w:r>
      <w:r>
        <w:rPr>
          <w:rFonts w:eastAsia="仿宋_GB2312"/>
          <w:szCs w:val="32"/>
        </w:rPr>
        <w:t>国家药品监督管理局</w:t>
      </w:r>
      <w:r>
        <w:rPr>
          <w:rFonts w:eastAsia="仿宋_GB2312"/>
          <w:szCs w:val="32"/>
        </w:rPr>
        <w:t>.</w:t>
      </w:r>
      <w:r>
        <w:rPr>
          <w:rFonts w:eastAsia="仿宋_GB2312"/>
          <w:szCs w:val="32"/>
        </w:rPr>
        <w:t>医疗器械通用名称命名规则</w:t>
      </w:r>
      <w:r>
        <w:rPr>
          <w:rFonts w:eastAsia="仿宋_GB2312"/>
          <w:szCs w:val="32"/>
        </w:rPr>
        <w:t>:</w:t>
      </w:r>
      <w:r>
        <w:rPr>
          <w:rFonts w:eastAsia="仿宋_GB2312"/>
          <w:szCs w:val="32"/>
        </w:rPr>
        <w:t>国家食品药品监督管理总局令第</w:t>
      </w:r>
      <w:r>
        <w:rPr>
          <w:rFonts w:eastAsia="仿宋_GB2312"/>
          <w:szCs w:val="32"/>
        </w:rPr>
        <w:t>19</w:t>
      </w:r>
      <w:r>
        <w:rPr>
          <w:rFonts w:eastAsia="仿宋_GB2312"/>
          <w:szCs w:val="32"/>
        </w:rPr>
        <w:t>号</w:t>
      </w:r>
      <w:r>
        <w:rPr>
          <w:rFonts w:eastAsia="仿宋_GB2312"/>
          <w:szCs w:val="32"/>
        </w:rPr>
        <w:t>[Z].</w:t>
      </w:r>
    </w:p>
    <w:p w:rsidR="008478E5" w:rsidRDefault="006B1677">
      <w:pPr>
        <w:tabs>
          <w:tab w:val="left" w:pos="532"/>
        </w:tabs>
        <w:spacing w:line="520" w:lineRule="exact"/>
        <w:ind w:firstLineChars="177" w:firstLine="566"/>
        <w:rPr>
          <w:rFonts w:eastAsia="仿宋_GB2312"/>
          <w:szCs w:val="32"/>
        </w:rPr>
      </w:pPr>
      <w:r>
        <w:rPr>
          <w:rFonts w:eastAsia="仿宋_GB2312"/>
          <w:szCs w:val="32"/>
        </w:rPr>
        <w:t>[11]</w:t>
      </w:r>
      <w:r>
        <w:rPr>
          <w:rFonts w:eastAsia="仿宋_GB2312" w:hint="eastAsia"/>
          <w:szCs w:val="32"/>
        </w:rPr>
        <w:t>YY</w:t>
      </w:r>
      <w:r>
        <w:rPr>
          <w:rFonts w:eastAsia="仿宋_GB2312"/>
          <w:szCs w:val="32"/>
        </w:rPr>
        <w:t xml:space="preserve">/T </w:t>
      </w:r>
      <w:r>
        <w:rPr>
          <w:rFonts w:eastAsia="仿宋_GB2312" w:hint="eastAsia"/>
          <w:szCs w:val="32"/>
        </w:rPr>
        <w:t>0489</w:t>
      </w:r>
      <w:r>
        <w:rPr>
          <w:rFonts w:eastAsia="仿宋_GB2312"/>
          <w:szCs w:val="32"/>
        </w:rPr>
        <w:t>-20</w:t>
      </w:r>
      <w:r>
        <w:rPr>
          <w:rFonts w:eastAsia="仿宋_GB2312" w:hint="eastAsia"/>
          <w:szCs w:val="32"/>
        </w:rPr>
        <w:t>23</w:t>
      </w:r>
      <w:r>
        <w:rPr>
          <w:rFonts w:eastAsia="仿宋_GB2312"/>
          <w:szCs w:val="32"/>
        </w:rPr>
        <w:t>,</w:t>
      </w:r>
      <w:r>
        <w:rPr>
          <w:rFonts w:eastAsia="仿宋_GB2312"/>
          <w:szCs w:val="32"/>
        </w:rPr>
        <w:t>一次性使用无菌引流导管及辅助器械</w:t>
      </w:r>
      <w:r>
        <w:rPr>
          <w:rFonts w:eastAsia="仿宋_GB2312"/>
          <w:szCs w:val="32"/>
        </w:rPr>
        <w:t>[S].</w:t>
      </w:r>
    </w:p>
    <w:p w:rsidR="008478E5" w:rsidRDefault="008478E5">
      <w:pPr>
        <w:tabs>
          <w:tab w:val="left" w:pos="532"/>
          <w:tab w:val="left" w:pos="1751"/>
        </w:tabs>
        <w:spacing w:line="520" w:lineRule="exact"/>
        <w:ind w:firstLineChars="177" w:firstLine="566"/>
        <w:rPr>
          <w:rFonts w:eastAsia="仿宋_GB2312"/>
          <w:szCs w:val="32"/>
        </w:rPr>
      </w:pPr>
    </w:p>
    <w:p w:rsidR="008478E5" w:rsidRDefault="006B1677">
      <w:pPr>
        <w:tabs>
          <w:tab w:val="left" w:pos="532"/>
          <w:tab w:val="left" w:pos="1751"/>
        </w:tabs>
        <w:spacing w:line="520" w:lineRule="exact"/>
        <w:ind w:firstLineChars="200" w:firstLine="640"/>
        <w:rPr>
          <w:rFonts w:eastAsia="仿宋_GB2312"/>
          <w:szCs w:val="32"/>
        </w:rPr>
      </w:pPr>
      <w:r>
        <w:rPr>
          <w:rFonts w:eastAsia="仿宋_GB2312"/>
          <w:szCs w:val="32"/>
        </w:rPr>
        <w:t>[1</w:t>
      </w:r>
      <w:r>
        <w:rPr>
          <w:rFonts w:eastAsia="仿宋_GB2312" w:hint="eastAsia"/>
          <w:szCs w:val="32"/>
        </w:rPr>
        <w:t>2</w:t>
      </w:r>
      <w:r>
        <w:rPr>
          <w:rFonts w:eastAsia="仿宋_GB2312"/>
          <w:szCs w:val="32"/>
        </w:rPr>
        <w:t>]GB/T 15812.1-2005,</w:t>
      </w:r>
      <w:r>
        <w:rPr>
          <w:rFonts w:eastAsia="仿宋_GB2312"/>
          <w:szCs w:val="32"/>
        </w:rPr>
        <w:t>非血管内导管</w:t>
      </w:r>
      <w:r>
        <w:rPr>
          <w:rFonts w:eastAsia="仿宋_GB2312"/>
          <w:szCs w:val="32"/>
        </w:rPr>
        <w:t xml:space="preserve"> </w:t>
      </w:r>
      <w:r>
        <w:rPr>
          <w:rFonts w:eastAsia="仿宋_GB2312"/>
          <w:szCs w:val="32"/>
        </w:rPr>
        <w:t>第</w:t>
      </w:r>
      <w:r>
        <w:rPr>
          <w:rFonts w:eastAsia="仿宋_GB2312"/>
          <w:szCs w:val="32"/>
        </w:rPr>
        <w:t>1</w:t>
      </w:r>
      <w:r>
        <w:rPr>
          <w:rFonts w:eastAsia="仿宋_GB2312"/>
          <w:szCs w:val="32"/>
        </w:rPr>
        <w:t>部分</w:t>
      </w:r>
      <w:r>
        <w:rPr>
          <w:rFonts w:eastAsia="仿宋_GB2312"/>
          <w:szCs w:val="32"/>
        </w:rPr>
        <w:t xml:space="preserve"> </w:t>
      </w:r>
      <w:r>
        <w:rPr>
          <w:rFonts w:eastAsia="仿宋_GB2312"/>
          <w:szCs w:val="32"/>
        </w:rPr>
        <w:t>一般性能试验方法</w:t>
      </w:r>
      <w:r>
        <w:rPr>
          <w:rFonts w:eastAsia="仿宋_GB2312"/>
          <w:szCs w:val="32"/>
        </w:rPr>
        <w:t>[S].</w:t>
      </w:r>
    </w:p>
    <w:p w:rsidR="008478E5" w:rsidRDefault="006B1677">
      <w:pPr>
        <w:tabs>
          <w:tab w:val="left" w:pos="532"/>
        </w:tabs>
        <w:spacing w:line="520" w:lineRule="exact"/>
        <w:ind w:firstLineChars="200" w:firstLine="640"/>
        <w:rPr>
          <w:rFonts w:eastAsia="仿宋_GB2312"/>
          <w:szCs w:val="32"/>
        </w:rPr>
      </w:pPr>
      <w:r>
        <w:rPr>
          <w:rFonts w:eastAsia="仿宋_GB2312"/>
          <w:szCs w:val="32"/>
        </w:rPr>
        <w:lastRenderedPageBreak/>
        <w:t>[1</w:t>
      </w:r>
      <w:r>
        <w:rPr>
          <w:rFonts w:eastAsia="仿宋_GB2312" w:hint="eastAsia"/>
          <w:szCs w:val="32"/>
        </w:rPr>
        <w:t>3</w:t>
      </w:r>
      <w:r>
        <w:rPr>
          <w:rFonts w:eastAsia="仿宋_GB2312"/>
          <w:szCs w:val="32"/>
        </w:rPr>
        <w:t>]</w:t>
      </w:r>
      <w:r>
        <w:rPr>
          <w:rFonts w:eastAsia="仿宋_GB2312" w:hint="eastAsia"/>
          <w:szCs w:val="32"/>
        </w:rPr>
        <w:t>GB/T 14233,</w:t>
      </w:r>
      <w:r>
        <w:rPr>
          <w:rFonts w:eastAsia="仿宋_GB2312" w:hint="eastAsia"/>
          <w:szCs w:val="32"/>
        </w:rPr>
        <w:t>医用输液、输血、注射器具检验方法系列标准</w:t>
      </w:r>
      <w:r>
        <w:rPr>
          <w:rFonts w:eastAsia="仿宋_GB2312" w:hint="eastAsia"/>
          <w:szCs w:val="32"/>
        </w:rPr>
        <w:t>[S].</w:t>
      </w:r>
    </w:p>
    <w:p w:rsidR="008478E5" w:rsidRDefault="006B1677">
      <w:pPr>
        <w:tabs>
          <w:tab w:val="left" w:pos="532"/>
        </w:tabs>
        <w:spacing w:line="520" w:lineRule="exact"/>
        <w:ind w:firstLineChars="200" w:firstLine="640"/>
        <w:rPr>
          <w:rFonts w:eastAsia="仿宋_GB2312"/>
          <w:szCs w:val="32"/>
        </w:rPr>
      </w:pPr>
      <w:r>
        <w:rPr>
          <w:rFonts w:eastAsia="仿宋_GB2312"/>
          <w:szCs w:val="32"/>
        </w:rPr>
        <w:t>[1</w:t>
      </w:r>
      <w:r>
        <w:rPr>
          <w:rFonts w:eastAsia="仿宋_GB2312" w:hint="eastAsia"/>
          <w:szCs w:val="32"/>
        </w:rPr>
        <w:t>4</w:t>
      </w:r>
      <w:r>
        <w:rPr>
          <w:rFonts w:eastAsia="仿宋_GB2312"/>
          <w:szCs w:val="32"/>
        </w:rPr>
        <w:t>]</w:t>
      </w:r>
      <w:r>
        <w:rPr>
          <w:rFonts w:eastAsia="仿宋_GB2312"/>
          <w:color w:val="000000"/>
          <w:szCs w:val="32"/>
        </w:rPr>
        <w:t xml:space="preserve">GB/T </w:t>
      </w:r>
      <w:r>
        <w:rPr>
          <w:rFonts w:eastAsia="仿宋_GB2312"/>
          <w:color w:val="000000"/>
          <w:szCs w:val="32"/>
        </w:rPr>
        <w:t>16886,</w:t>
      </w:r>
      <w:r>
        <w:rPr>
          <w:rFonts w:eastAsia="仿宋_GB2312"/>
          <w:color w:val="000000"/>
          <w:szCs w:val="32"/>
        </w:rPr>
        <w:t>医疗器械生物学评价系列标准</w:t>
      </w:r>
      <w:r>
        <w:rPr>
          <w:rFonts w:eastAsia="仿宋_GB2312"/>
          <w:color w:val="000000"/>
          <w:szCs w:val="32"/>
        </w:rPr>
        <w:t>[S]</w:t>
      </w:r>
      <w:r>
        <w:rPr>
          <w:rFonts w:eastAsia="仿宋_GB2312"/>
          <w:szCs w:val="32"/>
        </w:rPr>
        <w:t>.</w:t>
      </w:r>
    </w:p>
    <w:p w:rsidR="008478E5" w:rsidRDefault="006B1677">
      <w:pPr>
        <w:tabs>
          <w:tab w:val="left" w:pos="532"/>
        </w:tabs>
        <w:spacing w:line="520" w:lineRule="exact"/>
        <w:ind w:firstLineChars="200" w:firstLine="640"/>
        <w:rPr>
          <w:rFonts w:eastAsia="仿宋_GB2312"/>
          <w:szCs w:val="32"/>
        </w:rPr>
      </w:pPr>
      <w:r>
        <w:rPr>
          <w:rFonts w:eastAsia="仿宋_GB2312"/>
          <w:szCs w:val="32"/>
        </w:rPr>
        <w:t>[1</w:t>
      </w:r>
      <w:r>
        <w:rPr>
          <w:rFonts w:eastAsia="仿宋_GB2312" w:hint="eastAsia"/>
          <w:szCs w:val="32"/>
        </w:rPr>
        <w:t>5</w:t>
      </w:r>
      <w:r>
        <w:rPr>
          <w:rFonts w:eastAsia="仿宋_GB2312"/>
          <w:szCs w:val="32"/>
        </w:rPr>
        <w:t>]</w:t>
      </w:r>
      <w:r>
        <w:rPr>
          <w:rFonts w:eastAsia="仿宋_GB2312"/>
          <w:color w:val="000000"/>
          <w:szCs w:val="32"/>
        </w:rPr>
        <w:t>GB 18279,</w:t>
      </w:r>
      <w:r>
        <w:rPr>
          <w:rFonts w:eastAsia="仿宋_GB2312"/>
          <w:color w:val="000000"/>
          <w:szCs w:val="32"/>
        </w:rPr>
        <w:t>医疗保健产品灭菌</w:t>
      </w:r>
      <w:r>
        <w:rPr>
          <w:rFonts w:eastAsia="仿宋_GB2312"/>
          <w:color w:val="000000"/>
          <w:szCs w:val="32"/>
        </w:rPr>
        <w:t xml:space="preserve"> </w:t>
      </w:r>
      <w:r>
        <w:rPr>
          <w:rFonts w:eastAsia="仿宋_GB2312"/>
          <w:color w:val="000000"/>
          <w:szCs w:val="32"/>
        </w:rPr>
        <w:t>环氧乙烷系列标准</w:t>
      </w:r>
      <w:r>
        <w:rPr>
          <w:rFonts w:eastAsia="仿宋_GB2312"/>
          <w:color w:val="000000"/>
          <w:szCs w:val="32"/>
        </w:rPr>
        <w:t>[S].</w:t>
      </w:r>
    </w:p>
    <w:p w:rsidR="008478E5" w:rsidRDefault="006B1677">
      <w:pPr>
        <w:tabs>
          <w:tab w:val="left" w:pos="532"/>
        </w:tabs>
        <w:spacing w:line="520" w:lineRule="exact"/>
        <w:ind w:firstLineChars="200" w:firstLine="640"/>
        <w:rPr>
          <w:rFonts w:eastAsia="仿宋_GB2312"/>
          <w:szCs w:val="32"/>
        </w:rPr>
      </w:pPr>
      <w:r>
        <w:rPr>
          <w:rFonts w:eastAsia="仿宋_GB2312"/>
          <w:szCs w:val="32"/>
        </w:rPr>
        <w:t>[1</w:t>
      </w:r>
      <w:r>
        <w:rPr>
          <w:rFonts w:eastAsia="仿宋_GB2312" w:hint="eastAsia"/>
          <w:szCs w:val="32"/>
        </w:rPr>
        <w:t>6</w:t>
      </w:r>
      <w:r>
        <w:rPr>
          <w:rFonts w:eastAsia="仿宋_GB2312"/>
          <w:szCs w:val="32"/>
        </w:rPr>
        <w:t>]</w:t>
      </w:r>
      <w:r>
        <w:rPr>
          <w:rFonts w:eastAsia="仿宋_GB2312" w:hint="eastAsia"/>
          <w:szCs w:val="32"/>
        </w:rPr>
        <w:t>GB 18280,</w:t>
      </w:r>
      <w:r>
        <w:rPr>
          <w:rFonts w:eastAsia="仿宋_GB2312" w:hint="eastAsia"/>
          <w:szCs w:val="32"/>
        </w:rPr>
        <w:t>医疗保健产品灭菌</w:t>
      </w:r>
      <w:r>
        <w:rPr>
          <w:rFonts w:eastAsia="仿宋_GB2312" w:hint="eastAsia"/>
          <w:szCs w:val="32"/>
        </w:rPr>
        <w:t xml:space="preserve"> </w:t>
      </w:r>
      <w:r>
        <w:rPr>
          <w:rFonts w:eastAsia="仿宋_GB2312" w:hint="eastAsia"/>
          <w:szCs w:val="32"/>
        </w:rPr>
        <w:t>辐射系列标准</w:t>
      </w:r>
      <w:r>
        <w:rPr>
          <w:rFonts w:eastAsia="仿宋_GB2312" w:hint="eastAsia"/>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7</w:t>
      </w:r>
      <w:r>
        <w:rPr>
          <w:rFonts w:eastAsia="仿宋_GB2312"/>
          <w:color w:val="000000"/>
          <w:szCs w:val="32"/>
        </w:rPr>
        <w:t>]GB/T 19633,</w:t>
      </w:r>
      <w:r>
        <w:rPr>
          <w:rFonts w:eastAsia="仿宋_GB2312"/>
          <w:color w:val="000000"/>
          <w:szCs w:val="32"/>
        </w:rPr>
        <w:t>最终灭菌医疗器械包装系列标准</w:t>
      </w:r>
      <w:r>
        <w:rPr>
          <w:rFonts w:eastAsia="仿宋_GB2312"/>
          <w:color w:val="000000"/>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8</w:t>
      </w:r>
      <w:r>
        <w:rPr>
          <w:rFonts w:eastAsia="仿宋_GB2312"/>
          <w:color w:val="000000"/>
          <w:szCs w:val="32"/>
        </w:rPr>
        <w:t>]GB/T 4857,</w:t>
      </w:r>
      <w:r>
        <w:rPr>
          <w:rFonts w:eastAsia="仿宋_GB2312"/>
          <w:color w:val="000000"/>
          <w:szCs w:val="32"/>
        </w:rPr>
        <w:t>包装</w:t>
      </w:r>
      <w:r>
        <w:rPr>
          <w:rFonts w:eastAsia="仿宋_GB2312"/>
          <w:color w:val="000000"/>
          <w:szCs w:val="32"/>
        </w:rPr>
        <w:t xml:space="preserve"> </w:t>
      </w:r>
      <w:r>
        <w:rPr>
          <w:rFonts w:eastAsia="仿宋_GB2312"/>
          <w:color w:val="000000"/>
          <w:szCs w:val="32"/>
        </w:rPr>
        <w:t>运输包装件系列标准</w:t>
      </w:r>
      <w:r>
        <w:rPr>
          <w:rFonts w:eastAsia="仿宋_GB2312"/>
          <w:color w:val="000000"/>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9</w:t>
      </w:r>
      <w:r>
        <w:rPr>
          <w:rFonts w:eastAsia="仿宋_GB2312"/>
          <w:color w:val="000000"/>
          <w:szCs w:val="32"/>
        </w:rPr>
        <w:t>]</w:t>
      </w:r>
      <w:r>
        <w:rPr>
          <w:rFonts w:eastAsia="仿宋_GB2312"/>
          <w:szCs w:val="32"/>
        </w:rPr>
        <w:t>GB/T 42062-2022,</w:t>
      </w:r>
      <w:r>
        <w:rPr>
          <w:rFonts w:eastAsia="仿宋_GB2312"/>
          <w:szCs w:val="32"/>
        </w:rPr>
        <w:t>医疗器械</w:t>
      </w:r>
      <w:r>
        <w:rPr>
          <w:rFonts w:eastAsia="仿宋_GB2312"/>
          <w:szCs w:val="32"/>
        </w:rPr>
        <w:t xml:space="preserve"> </w:t>
      </w:r>
      <w:r>
        <w:rPr>
          <w:rFonts w:eastAsia="仿宋_GB2312"/>
          <w:szCs w:val="32"/>
        </w:rPr>
        <w:t>风险管理对医疗器械的应用</w:t>
      </w:r>
      <w:r>
        <w:rPr>
          <w:rFonts w:eastAsia="仿宋_GB2312"/>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w:t>
      </w:r>
      <w:r>
        <w:rPr>
          <w:rFonts w:eastAsia="仿宋_GB2312" w:hint="eastAsia"/>
          <w:color w:val="000000"/>
          <w:szCs w:val="32"/>
        </w:rPr>
        <w:t>20</w:t>
      </w:r>
      <w:r>
        <w:rPr>
          <w:rFonts w:eastAsia="仿宋_GB2312"/>
          <w:color w:val="000000"/>
          <w:szCs w:val="32"/>
        </w:rPr>
        <w:t>]YY/T 0681,</w:t>
      </w:r>
      <w:r>
        <w:rPr>
          <w:rFonts w:eastAsia="仿宋_GB2312"/>
          <w:color w:val="000000"/>
          <w:szCs w:val="32"/>
        </w:rPr>
        <w:t>无菌医疗器械包装试验方法系列标准</w:t>
      </w:r>
      <w:r>
        <w:rPr>
          <w:rFonts w:eastAsia="仿宋_GB2312"/>
          <w:color w:val="000000"/>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w:t>
      </w:r>
      <w:r>
        <w:rPr>
          <w:rFonts w:eastAsia="仿宋_GB2312" w:hint="eastAsia"/>
          <w:color w:val="000000"/>
          <w:szCs w:val="32"/>
        </w:rPr>
        <w:t>21</w:t>
      </w:r>
      <w:r>
        <w:rPr>
          <w:rFonts w:eastAsia="仿宋_GB2312"/>
          <w:color w:val="000000"/>
          <w:szCs w:val="32"/>
        </w:rPr>
        <w:t xml:space="preserve">]YY/T </w:t>
      </w:r>
      <w:r>
        <w:rPr>
          <w:rFonts w:eastAsia="仿宋_GB2312"/>
          <w:color w:val="000000"/>
          <w:szCs w:val="32"/>
        </w:rPr>
        <w:t>0698,</w:t>
      </w:r>
      <w:r>
        <w:rPr>
          <w:rFonts w:eastAsia="仿宋_GB2312"/>
          <w:color w:val="000000"/>
          <w:szCs w:val="32"/>
        </w:rPr>
        <w:t>最终灭菌医疗器械包装材料系列标准</w:t>
      </w:r>
      <w:r>
        <w:rPr>
          <w:rFonts w:eastAsia="仿宋_GB2312"/>
          <w:color w:val="000000"/>
          <w:szCs w:val="32"/>
        </w:rPr>
        <w:t>[S].</w:t>
      </w:r>
    </w:p>
    <w:p w:rsidR="008478E5" w:rsidRDefault="006B1677">
      <w:pPr>
        <w:spacing w:line="520" w:lineRule="exact"/>
        <w:ind w:firstLineChars="200" w:firstLine="640"/>
        <w:rPr>
          <w:rFonts w:eastAsia="仿宋_GB2312"/>
          <w:color w:val="000000"/>
          <w:szCs w:val="32"/>
        </w:rPr>
      </w:pPr>
      <w:r>
        <w:rPr>
          <w:rFonts w:eastAsia="仿宋_GB2312"/>
          <w:color w:val="000000"/>
          <w:szCs w:val="32"/>
        </w:rPr>
        <w:t>[</w:t>
      </w:r>
      <w:r>
        <w:rPr>
          <w:rFonts w:eastAsia="仿宋_GB2312" w:hint="eastAsia"/>
          <w:color w:val="000000"/>
          <w:szCs w:val="32"/>
        </w:rPr>
        <w:t>22</w:t>
      </w:r>
      <w:r>
        <w:rPr>
          <w:rFonts w:eastAsia="仿宋_GB2312"/>
          <w:color w:val="000000"/>
          <w:szCs w:val="32"/>
        </w:rPr>
        <w:t>]</w:t>
      </w:r>
      <w:r>
        <w:rPr>
          <w:rFonts w:eastAsia="仿宋_GB2312"/>
          <w:kern w:val="0"/>
          <w:szCs w:val="32"/>
        </w:rPr>
        <w:t>YY/T 0466.1-</w:t>
      </w:r>
      <w:r>
        <w:rPr>
          <w:rFonts w:eastAsia="仿宋_GB2312"/>
          <w:szCs w:val="32"/>
        </w:rPr>
        <w:t>2023</w:t>
      </w:r>
      <w:r>
        <w:rPr>
          <w:rFonts w:eastAsia="仿宋_GB2312"/>
          <w:kern w:val="0"/>
          <w:szCs w:val="32"/>
        </w:rPr>
        <w:t>,</w:t>
      </w:r>
      <w:r>
        <w:rPr>
          <w:rFonts w:eastAsia="仿宋_GB2312"/>
          <w:kern w:val="0"/>
          <w:szCs w:val="32"/>
        </w:rPr>
        <w:t>医疗器械用于医疗器械标签</w:t>
      </w:r>
      <w:r>
        <w:rPr>
          <w:rFonts w:eastAsia="仿宋_GB2312"/>
          <w:szCs w:val="32"/>
        </w:rPr>
        <w:t>、</w:t>
      </w:r>
      <w:r>
        <w:rPr>
          <w:rFonts w:eastAsia="仿宋_GB2312"/>
          <w:kern w:val="0"/>
          <w:szCs w:val="32"/>
        </w:rPr>
        <w:t>标记和提供信息的符号</w:t>
      </w:r>
      <w:r>
        <w:rPr>
          <w:rFonts w:eastAsia="仿宋_GB2312"/>
          <w:kern w:val="0"/>
          <w:szCs w:val="32"/>
        </w:rPr>
        <w:t xml:space="preserve"> </w:t>
      </w:r>
      <w:r>
        <w:rPr>
          <w:rFonts w:eastAsia="仿宋_GB2312"/>
          <w:kern w:val="0"/>
          <w:szCs w:val="32"/>
        </w:rPr>
        <w:t>第</w:t>
      </w:r>
      <w:r>
        <w:rPr>
          <w:rFonts w:eastAsia="仿宋_GB2312"/>
          <w:kern w:val="0"/>
          <w:szCs w:val="32"/>
        </w:rPr>
        <w:t>1</w:t>
      </w:r>
      <w:r>
        <w:rPr>
          <w:rFonts w:eastAsia="仿宋_GB2312"/>
          <w:kern w:val="0"/>
          <w:szCs w:val="32"/>
        </w:rPr>
        <w:t>部分</w:t>
      </w:r>
      <w:r>
        <w:rPr>
          <w:rFonts w:eastAsia="仿宋_GB2312"/>
          <w:kern w:val="0"/>
          <w:szCs w:val="32"/>
        </w:rPr>
        <w:t>:</w:t>
      </w:r>
      <w:r>
        <w:rPr>
          <w:rFonts w:eastAsia="仿宋_GB2312"/>
          <w:kern w:val="0"/>
          <w:szCs w:val="32"/>
        </w:rPr>
        <w:t>通用要求</w:t>
      </w:r>
      <w:r>
        <w:rPr>
          <w:rFonts w:eastAsia="仿宋_GB2312"/>
          <w:color w:val="000000"/>
          <w:szCs w:val="32"/>
        </w:rPr>
        <w:t>[S].</w:t>
      </w:r>
    </w:p>
    <w:p w:rsidR="008478E5" w:rsidRDefault="006B1677">
      <w:pPr>
        <w:pStyle w:val="Style0"/>
        <w:spacing w:line="520" w:lineRule="exact"/>
        <w:ind w:firstLineChars="200" w:firstLine="640"/>
        <w:rPr>
          <w:rFonts w:eastAsia="仿宋_GB2312"/>
          <w:kern w:val="0"/>
          <w:sz w:val="32"/>
          <w:szCs w:val="32"/>
        </w:rPr>
      </w:pPr>
      <w:r>
        <w:rPr>
          <w:rFonts w:eastAsia="仿宋_GB2312"/>
          <w:color w:val="000000"/>
          <w:sz w:val="32"/>
          <w:szCs w:val="32"/>
        </w:rPr>
        <w:t>[</w:t>
      </w:r>
      <w:r>
        <w:rPr>
          <w:rFonts w:eastAsia="仿宋_GB2312" w:hint="eastAsia"/>
          <w:color w:val="000000"/>
          <w:sz w:val="32"/>
          <w:szCs w:val="32"/>
        </w:rPr>
        <w:t>23</w:t>
      </w:r>
      <w:r>
        <w:rPr>
          <w:rFonts w:eastAsia="仿宋_GB2312"/>
          <w:color w:val="000000"/>
          <w:sz w:val="32"/>
          <w:szCs w:val="32"/>
        </w:rPr>
        <w:t>]</w:t>
      </w:r>
      <w:r>
        <w:rPr>
          <w:rFonts w:eastAsia="仿宋_GB2312"/>
          <w:kern w:val="0"/>
          <w:sz w:val="32"/>
          <w:szCs w:val="32"/>
        </w:rPr>
        <w:t>YY/T 0615.1-2007,</w:t>
      </w:r>
      <w:r>
        <w:rPr>
          <w:rFonts w:eastAsia="仿宋_GB2312"/>
          <w:kern w:val="0"/>
          <w:sz w:val="32"/>
          <w:szCs w:val="32"/>
        </w:rPr>
        <w:t>标示</w:t>
      </w:r>
      <w:r>
        <w:rPr>
          <w:rFonts w:eastAsia="仿宋_GB2312"/>
          <w:kern w:val="0"/>
          <w:sz w:val="32"/>
          <w:szCs w:val="32"/>
        </w:rPr>
        <w:t>“</w:t>
      </w:r>
      <w:r>
        <w:rPr>
          <w:rFonts w:eastAsia="仿宋_GB2312"/>
          <w:kern w:val="0"/>
          <w:sz w:val="32"/>
          <w:szCs w:val="32"/>
        </w:rPr>
        <w:t>无菌</w:t>
      </w:r>
      <w:r>
        <w:rPr>
          <w:rFonts w:eastAsia="仿宋_GB2312"/>
          <w:kern w:val="0"/>
          <w:sz w:val="32"/>
          <w:szCs w:val="32"/>
        </w:rPr>
        <w:t>”</w:t>
      </w:r>
      <w:r>
        <w:rPr>
          <w:rFonts w:eastAsia="仿宋_GB2312"/>
          <w:kern w:val="0"/>
          <w:sz w:val="32"/>
          <w:szCs w:val="32"/>
        </w:rPr>
        <w:t>医疗器械的要求</w:t>
      </w:r>
      <w:r>
        <w:rPr>
          <w:rFonts w:eastAsia="仿宋_GB2312"/>
          <w:kern w:val="0"/>
          <w:sz w:val="32"/>
          <w:szCs w:val="32"/>
        </w:rPr>
        <w:t xml:space="preserve"> </w:t>
      </w:r>
      <w:r>
        <w:rPr>
          <w:rFonts w:eastAsia="仿宋_GB2312"/>
          <w:kern w:val="0"/>
          <w:sz w:val="32"/>
          <w:szCs w:val="32"/>
        </w:rPr>
        <w:t>第</w:t>
      </w:r>
      <w:r>
        <w:rPr>
          <w:rFonts w:eastAsia="仿宋_GB2312"/>
          <w:kern w:val="0"/>
          <w:sz w:val="32"/>
          <w:szCs w:val="32"/>
        </w:rPr>
        <w:t>1</w:t>
      </w:r>
      <w:r>
        <w:rPr>
          <w:rFonts w:eastAsia="仿宋_GB2312"/>
          <w:kern w:val="0"/>
          <w:sz w:val="32"/>
          <w:szCs w:val="32"/>
        </w:rPr>
        <w:t>部分</w:t>
      </w:r>
      <w:r>
        <w:rPr>
          <w:rFonts w:eastAsia="仿宋_GB2312"/>
          <w:kern w:val="0"/>
          <w:sz w:val="32"/>
          <w:szCs w:val="32"/>
        </w:rPr>
        <w:t>:</w:t>
      </w:r>
      <w:r>
        <w:rPr>
          <w:rFonts w:eastAsia="仿宋_GB2312"/>
          <w:kern w:val="0"/>
          <w:sz w:val="32"/>
          <w:szCs w:val="32"/>
        </w:rPr>
        <w:t>最终灭菌医疗器械的要求</w:t>
      </w:r>
      <w:r>
        <w:rPr>
          <w:rFonts w:eastAsia="仿宋_GB2312"/>
          <w:color w:val="000000"/>
          <w:sz w:val="32"/>
          <w:szCs w:val="32"/>
        </w:rPr>
        <w:t>[S]</w:t>
      </w:r>
      <w:r>
        <w:rPr>
          <w:rFonts w:eastAsia="仿宋_GB2312"/>
          <w:kern w:val="0"/>
          <w:sz w:val="32"/>
          <w:szCs w:val="32"/>
        </w:rPr>
        <w:t>.</w:t>
      </w:r>
    </w:p>
    <w:p w:rsidR="008478E5" w:rsidRDefault="006B1677">
      <w:pPr>
        <w:tabs>
          <w:tab w:val="left" w:pos="532"/>
        </w:tabs>
        <w:spacing w:line="520" w:lineRule="exact"/>
        <w:ind w:left="2" w:firstLineChars="200" w:firstLine="640"/>
        <w:rPr>
          <w:rFonts w:eastAsia="仿宋_GB2312"/>
          <w:szCs w:val="32"/>
        </w:rPr>
      </w:pPr>
      <w:r>
        <w:rPr>
          <w:rFonts w:eastAsia="仿宋_GB2312"/>
          <w:szCs w:val="32"/>
        </w:rPr>
        <w:t>[</w:t>
      </w:r>
      <w:r>
        <w:rPr>
          <w:rFonts w:eastAsia="仿宋_GB2312" w:hint="eastAsia"/>
          <w:szCs w:val="32"/>
        </w:rPr>
        <w:t>24</w:t>
      </w:r>
      <w:r>
        <w:rPr>
          <w:rFonts w:eastAsia="仿宋_GB2312"/>
          <w:szCs w:val="32"/>
        </w:rPr>
        <w:t>]</w:t>
      </w:r>
      <w:r>
        <w:rPr>
          <w:rFonts w:eastAsia="仿宋_GB2312"/>
          <w:szCs w:val="32"/>
        </w:rPr>
        <w:t>国家药典委员会</w:t>
      </w:r>
      <w:r>
        <w:rPr>
          <w:rFonts w:eastAsia="仿宋_GB2312"/>
          <w:szCs w:val="32"/>
        </w:rPr>
        <w:t>.</w:t>
      </w:r>
      <w:r>
        <w:rPr>
          <w:rFonts w:eastAsia="仿宋_GB2312"/>
          <w:szCs w:val="32"/>
        </w:rPr>
        <w:t>中华人民共和国药典</w:t>
      </w:r>
      <w:r>
        <w:rPr>
          <w:rFonts w:eastAsia="仿宋_GB2312"/>
          <w:szCs w:val="32"/>
        </w:rPr>
        <w:t>[M].</w:t>
      </w:r>
      <w:r>
        <w:rPr>
          <w:rFonts w:eastAsia="仿宋_GB2312"/>
          <w:szCs w:val="32"/>
        </w:rPr>
        <w:t>北京：中国医药科技出版社</w:t>
      </w:r>
      <w:r>
        <w:rPr>
          <w:rFonts w:eastAsia="仿宋_GB2312"/>
          <w:szCs w:val="32"/>
        </w:rPr>
        <w:t>, 20</w:t>
      </w:r>
      <w:r>
        <w:rPr>
          <w:rFonts w:eastAsia="仿宋_GB2312" w:hint="eastAsia"/>
          <w:szCs w:val="32"/>
        </w:rPr>
        <w:t>25</w:t>
      </w:r>
      <w:r>
        <w:rPr>
          <w:rFonts w:eastAsia="仿宋_GB2312"/>
          <w:szCs w:val="32"/>
        </w:rPr>
        <w:t>.</w:t>
      </w:r>
    </w:p>
    <w:p w:rsidR="008478E5" w:rsidRDefault="008478E5">
      <w:pPr>
        <w:spacing w:line="600" w:lineRule="exact"/>
        <w:jc w:val="left"/>
        <w:rPr>
          <w:rFonts w:eastAsia="黑体"/>
          <w:szCs w:val="32"/>
        </w:rPr>
      </w:pPr>
    </w:p>
    <w:p w:rsidR="008478E5" w:rsidRDefault="008478E5">
      <w:pPr>
        <w:spacing w:line="600" w:lineRule="exact"/>
        <w:jc w:val="left"/>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8478E5">
      <w:pPr>
        <w:pStyle w:val="a0"/>
        <w:rPr>
          <w:rFonts w:eastAsia="黑体"/>
          <w:szCs w:val="32"/>
        </w:rPr>
      </w:pPr>
    </w:p>
    <w:p w:rsidR="008478E5" w:rsidRDefault="006B1677">
      <w:pPr>
        <w:spacing w:line="600" w:lineRule="exact"/>
        <w:jc w:val="left"/>
        <w:rPr>
          <w:rFonts w:eastAsia="黑体"/>
          <w:szCs w:val="32"/>
        </w:rPr>
      </w:pPr>
      <w:r>
        <w:rPr>
          <w:rFonts w:eastAsia="黑体"/>
          <w:szCs w:val="32"/>
        </w:rPr>
        <w:lastRenderedPageBreak/>
        <w:t>附表</w:t>
      </w:r>
    </w:p>
    <w:p w:rsidR="008478E5" w:rsidRDefault="008478E5">
      <w:pPr>
        <w:pStyle w:val="a0"/>
        <w:spacing w:line="600" w:lineRule="exact"/>
        <w:ind w:firstLine="640"/>
        <w:rPr>
          <w:rFonts w:ascii="Times New Roman" w:hAnsi="Times New Roman"/>
        </w:rPr>
      </w:pPr>
    </w:p>
    <w:p w:rsidR="008478E5" w:rsidRDefault="006B1677">
      <w:pPr>
        <w:spacing w:line="600" w:lineRule="exact"/>
        <w:jc w:val="center"/>
        <w:rPr>
          <w:rFonts w:eastAsia="微软雅黑"/>
          <w:sz w:val="44"/>
          <w:szCs w:val="44"/>
        </w:rPr>
      </w:pPr>
      <w:r>
        <w:rPr>
          <w:rFonts w:eastAsia="微软雅黑"/>
          <w:sz w:val="44"/>
          <w:szCs w:val="44"/>
        </w:rPr>
        <w:t>产品主要危险</w:t>
      </w:r>
    </w:p>
    <w:p w:rsidR="008478E5" w:rsidRDefault="008478E5">
      <w:pPr>
        <w:pStyle w:val="a0"/>
        <w:spacing w:line="600" w:lineRule="exact"/>
        <w:ind w:firstLine="640"/>
        <w:rPr>
          <w:rFonts w:ascii="Times New Roman" w:hAnsi="Times New Roman"/>
        </w:rPr>
      </w:pPr>
    </w:p>
    <w:tbl>
      <w:tblPr>
        <w:tblW w:w="9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438"/>
        <w:gridCol w:w="2956"/>
        <w:gridCol w:w="3789"/>
      </w:tblGrid>
      <w:tr w:rsidR="008478E5">
        <w:trPr>
          <w:cantSplit/>
          <w:trHeight w:val="494"/>
          <w:tblHeader/>
          <w:jc w:val="center"/>
        </w:trPr>
        <w:tc>
          <w:tcPr>
            <w:tcW w:w="2309" w:type="dxa"/>
            <w:gridSpan w:val="2"/>
            <w:vAlign w:val="center"/>
          </w:tcPr>
          <w:p w:rsidR="008478E5" w:rsidRDefault="006B1677">
            <w:pPr>
              <w:spacing w:line="400" w:lineRule="exact"/>
              <w:jc w:val="center"/>
              <w:rPr>
                <w:rFonts w:eastAsia="黑体"/>
                <w:sz w:val="28"/>
                <w:szCs w:val="28"/>
              </w:rPr>
            </w:pPr>
            <w:r>
              <w:rPr>
                <w:rFonts w:eastAsia="黑体"/>
                <w:sz w:val="28"/>
                <w:szCs w:val="28"/>
              </w:rPr>
              <w:t>危险的分类</w:t>
            </w:r>
          </w:p>
        </w:tc>
        <w:tc>
          <w:tcPr>
            <w:tcW w:w="2956" w:type="dxa"/>
            <w:vAlign w:val="center"/>
          </w:tcPr>
          <w:p w:rsidR="008478E5" w:rsidRDefault="006B1677">
            <w:pPr>
              <w:spacing w:line="400" w:lineRule="exact"/>
              <w:jc w:val="center"/>
              <w:rPr>
                <w:rFonts w:eastAsia="黑体"/>
                <w:sz w:val="28"/>
                <w:szCs w:val="28"/>
              </w:rPr>
            </w:pPr>
            <w:r>
              <w:rPr>
                <w:rFonts w:eastAsia="黑体"/>
                <w:sz w:val="28"/>
                <w:szCs w:val="28"/>
              </w:rPr>
              <w:t>危险的形成因素</w:t>
            </w:r>
          </w:p>
        </w:tc>
        <w:tc>
          <w:tcPr>
            <w:tcW w:w="3789" w:type="dxa"/>
            <w:vAlign w:val="center"/>
          </w:tcPr>
          <w:p w:rsidR="008478E5" w:rsidRDefault="006B1677">
            <w:pPr>
              <w:spacing w:line="400" w:lineRule="exact"/>
              <w:jc w:val="center"/>
              <w:rPr>
                <w:rFonts w:eastAsia="黑体"/>
                <w:sz w:val="28"/>
                <w:szCs w:val="28"/>
              </w:rPr>
            </w:pPr>
            <w:r>
              <w:rPr>
                <w:rFonts w:eastAsia="黑体"/>
                <w:sz w:val="28"/>
                <w:szCs w:val="28"/>
              </w:rPr>
              <w:t>可能的后果</w:t>
            </w:r>
          </w:p>
        </w:tc>
      </w:tr>
      <w:tr w:rsidR="008478E5">
        <w:trPr>
          <w:cantSplit/>
          <w:trHeight w:val="1701"/>
          <w:jc w:val="center"/>
        </w:trPr>
        <w:tc>
          <w:tcPr>
            <w:tcW w:w="871" w:type="dxa"/>
            <w:vMerge w:val="restart"/>
            <w:vAlign w:val="center"/>
          </w:tcPr>
          <w:p w:rsidR="008478E5" w:rsidRDefault="006B1677">
            <w:pPr>
              <w:spacing w:line="400" w:lineRule="exact"/>
              <w:jc w:val="center"/>
              <w:rPr>
                <w:rFonts w:eastAsia="仿宋_GB2312"/>
                <w:sz w:val="28"/>
                <w:szCs w:val="28"/>
              </w:rPr>
            </w:pPr>
            <w:r>
              <w:rPr>
                <w:rFonts w:eastAsia="仿宋_GB2312"/>
                <w:sz w:val="28"/>
                <w:szCs w:val="28"/>
              </w:rPr>
              <w:t>生物学危险</w:t>
            </w:r>
          </w:p>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生物污染</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生产环境控制不好、灭菌操作不严格、包装破损、使用时未按照无菌操作技术操作</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产品带菌，引起患者感染</w:t>
            </w:r>
          </w:p>
        </w:tc>
      </w:tr>
      <w:tr w:rsidR="008478E5">
        <w:trPr>
          <w:cantSplit/>
          <w:trHeight w:val="2154"/>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生物不相容性</w:t>
            </w:r>
          </w:p>
        </w:tc>
        <w:tc>
          <w:tcPr>
            <w:tcW w:w="2956" w:type="dxa"/>
            <w:vAlign w:val="center"/>
          </w:tcPr>
          <w:p w:rsidR="008478E5" w:rsidRDefault="006B1677">
            <w:pPr>
              <w:spacing w:line="400" w:lineRule="exact"/>
              <w:rPr>
                <w:rFonts w:eastAsia="仿宋_GB2312"/>
                <w:sz w:val="28"/>
                <w:szCs w:val="28"/>
              </w:rPr>
            </w:pPr>
            <w:r>
              <w:rPr>
                <w:rFonts w:eastAsia="仿宋_GB2312"/>
                <w:bCs/>
                <w:sz w:val="28"/>
                <w:szCs w:val="28"/>
              </w:rPr>
              <w:t>采用不合格的原辅材料、</w:t>
            </w:r>
            <w:r>
              <w:rPr>
                <w:rFonts w:eastAsia="仿宋_GB2312"/>
                <w:sz w:val="28"/>
                <w:szCs w:val="28"/>
              </w:rPr>
              <w:t>其他加工助剂残留、成品环氧乙烷残留</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毒性或刺激反应</w:t>
            </w:r>
          </w:p>
        </w:tc>
      </w:tr>
      <w:tr w:rsidR="008478E5">
        <w:trPr>
          <w:cantSplit/>
          <w:trHeight w:val="1120"/>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不正确的配方</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未按照工艺要求</w:t>
            </w:r>
            <w:r>
              <w:rPr>
                <w:rFonts w:eastAsia="仿宋_GB2312" w:hint="eastAsia"/>
                <w:sz w:val="28"/>
                <w:szCs w:val="28"/>
              </w:rPr>
              <w:t>生产</w:t>
            </w:r>
            <w:r>
              <w:rPr>
                <w:rFonts w:eastAsia="仿宋_GB2312"/>
                <w:sz w:val="28"/>
                <w:szCs w:val="28"/>
              </w:rPr>
              <w:t>，添加剂或助剂使用比例不当</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造成毒性危险</w:t>
            </w:r>
          </w:p>
        </w:tc>
      </w:tr>
      <w:tr w:rsidR="008478E5">
        <w:trPr>
          <w:cantSplit/>
          <w:trHeight w:val="20"/>
          <w:jc w:val="center"/>
        </w:trPr>
        <w:tc>
          <w:tcPr>
            <w:tcW w:w="871" w:type="dxa"/>
            <w:vMerge w:val="restart"/>
            <w:vAlign w:val="center"/>
          </w:tcPr>
          <w:p w:rsidR="008478E5" w:rsidRDefault="006B1677">
            <w:pPr>
              <w:spacing w:line="400" w:lineRule="exact"/>
              <w:jc w:val="center"/>
              <w:rPr>
                <w:rFonts w:eastAsia="仿宋_GB2312"/>
                <w:sz w:val="28"/>
                <w:szCs w:val="28"/>
              </w:rPr>
            </w:pPr>
            <w:r>
              <w:rPr>
                <w:rFonts w:eastAsia="仿宋_GB2312"/>
                <w:sz w:val="28"/>
                <w:szCs w:val="28"/>
              </w:rPr>
              <w:t>环境危险</w:t>
            </w: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储运不当</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储运条件（如温度、湿度）不符合要求</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产品无菌屏障损坏或有效期缩短</w:t>
            </w:r>
          </w:p>
        </w:tc>
      </w:tr>
      <w:tr w:rsidR="008478E5">
        <w:trPr>
          <w:cantSplit/>
          <w:trHeight w:val="20"/>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意外的机械破坏</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储运、使用过程中发生意外的机械性破坏</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产品染菌或使用性能无法得到保证</w:t>
            </w:r>
          </w:p>
        </w:tc>
      </w:tr>
      <w:tr w:rsidR="008478E5">
        <w:trPr>
          <w:cantSplit/>
          <w:trHeight w:val="2551"/>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由于废物和（或）医疗器械处置的污染</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使用后的产品没有按照要求集中销毁</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造成环境污染</w:t>
            </w:r>
            <w:r>
              <w:rPr>
                <w:rFonts w:eastAsia="仿宋_GB2312" w:hint="eastAsia"/>
                <w:sz w:val="28"/>
                <w:szCs w:val="28"/>
              </w:rPr>
              <w:t>或交叉感染</w:t>
            </w:r>
          </w:p>
        </w:tc>
      </w:tr>
      <w:tr w:rsidR="008478E5">
        <w:trPr>
          <w:cantSplit/>
          <w:trHeight w:val="937"/>
          <w:jc w:val="center"/>
        </w:trPr>
        <w:tc>
          <w:tcPr>
            <w:tcW w:w="871" w:type="dxa"/>
            <w:vMerge w:val="restart"/>
            <w:vAlign w:val="center"/>
          </w:tcPr>
          <w:p w:rsidR="008478E5" w:rsidRDefault="006B1677">
            <w:pPr>
              <w:spacing w:line="400" w:lineRule="exact"/>
              <w:jc w:val="center"/>
              <w:rPr>
                <w:rFonts w:eastAsia="仿宋_GB2312"/>
                <w:sz w:val="28"/>
                <w:szCs w:val="28"/>
              </w:rPr>
            </w:pPr>
            <w:r>
              <w:rPr>
                <w:rFonts w:eastAsia="仿宋_GB2312"/>
                <w:sz w:val="28"/>
                <w:szCs w:val="28"/>
              </w:rPr>
              <w:t>与医疗器</w:t>
            </w:r>
            <w:r>
              <w:rPr>
                <w:rFonts w:eastAsia="仿宋_GB2312"/>
                <w:sz w:val="28"/>
                <w:szCs w:val="28"/>
              </w:rPr>
              <w:lastRenderedPageBreak/>
              <w:t>械使用有关的危险</w:t>
            </w:r>
          </w:p>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lastRenderedPageBreak/>
              <w:t>不适当的标记</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标记不清晰、错误、没有按照要求进行标记</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错误使用，重复使用，辨别错误</w:t>
            </w:r>
          </w:p>
        </w:tc>
      </w:tr>
      <w:tr w:rsidR="008478E5">
        <w:trPr>
          <w:cantSplit/>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不适当的操作说明</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操作要点不突出</w:t>
            </w:r>
            <w:r>
              <w:rPr>
                <w:rFonts w:eastAsia="仿宋_GB2312" w:hint="eastAsia"/>
                <w:sz w:val="28"/>
                <w:szCs w:val="28"/>
              </w:rPr>
              <w:t>，</w:t>
            </w:r>
            <w:r>
              <w:rPr>
                <w:rFonts w:eastAsia="仿宋_GB2312"/>
                <w:sz w:val="28"/>
                <w:szCs w:val="28"/>
              </w:rPr>
              <w:t>无法识别；由不熟练</w:t>
            </w:r>
            <w:r>
              <w:rPr>
                <w:rFonts w:eastAsia="仿宋_GB2312"/>
                <w:sz w:val="28"/>
                <w:szCs w:val="28"/>
              </w:rPr>
              <w:t>/</w:t>
            </w:r>
            <w:r>
              <w:rPr>
                <w:rFonts w:eastAsia="仿宋_GB2312"/>
                <w:sz w:val="28"/>
                <w:szCs w:val="28"/>
              </w:rPr>
              <w:t>未经培训的人员使用</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无法保证使用安全性；导致操作失误。</w:t>
            </w:r>
          </w:p>
        </w:tc>
      </w:tr>
      <w:tr w:rsidR="008478E5">
        <w:trPr>
          <w:cantSplit/>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sz w:val="28"/>
                <w:szCs w:val="28"/>
              </w:rPr>
              <w:t>合理可预见的误用</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规格型号选用错误</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导致无法达到满意的</w:t>
            </w:r>
            <w:r>
              <w:rPr>
                <w:rFonts w:eastAsia="仿宋_GB2312" w:hint="eastAsia"/>
                <w:sz w:val="28"/>
                <w:szCs w:val="28"/>
              </w:rPr>
              <w:t>引流、吸引</w:t>
            </w:r>
            <w:r>
              <w:rPr>
                <w:rFonts w:eastAsia="仿宋_GB2312"/>
                <w:sz w:val="28"/>
                <w:szCs w:val="28"/>
              </w:rPr>
              <w:t>效果</w:t>
            </w:r>
          </w:p>
        </w:tc>
      </w:tr>
      <w:tr w:rsidR="008478E5">
        <w:trPr>
          <w:cantSplit/>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eastAsia="仿宋_GB2312"/>
                <w:sz w:val="28"/>
                <w:szCs w:val="28"/>
              </w:rPr>
            </w:pPr>
            <w:r>
              <w:rPr>
                <w:rFonts w:eastAsia="仿宋_GB2312" w:hint="eastAsia"/>
                <w:sz w:val="28"/>
                <w:szCs w:val="28"/>
              </w:rPr>
              <w:t>对副作用的警告不充分</w:t>
            </w:r>
          </w:p>
        </w:tc>
        <w:tc>
          <w:tcPr>
            <w:tcW w:w="2956" w:type="dxa"/>
            <w:vAlign w:val="center"/>
          </w:tcPr>
          <w:p w:rsidR="008478E5" w:rsidRDefault="006B1677">
            <w:pPr>
              <w:spacing w:line="400" w:lineRule="exact"/>
              <w:rPr>
                <w:rFonts w:eastAsia="仿宋_GB2312"/>
                <w:sz w:val="28"/>
                <w:szCs w:val="28"/>
              </w:rPr>
            </w:pPr>
            <w:r>
              <w:rPr>
                <w:rFonts w:eastAsia="仿宋_GB2312" w:hint="eastAsia"/>
                <w:sz w:val="28"/>
                <w:szCs w:val="28"/>
              </w:rPr>
              <w:t>对操作人员警示不足</w:t>
            </w:r>
          </w:p>
        </w:tc>
        <w:tc>
          <w:tcPr>
            <w:tcW w:w="3789" w:type="dxa"/>
            <w:vAlign w:val="center"/>
          </w:tcPr>
          <w:p w:rsidR="008478E5" w:rsidRDefault="006B1677">
            <w:pPr>
              <w:spacing w:line="400" w:lineRule="exact"/>
              <w:rPr>
                <w:rFonts w:eastAsia="仿宋_GB2312"/>
                <w:sz w:val="28"/>
                <w:szCs w:val="28"/>
              </w:rPr>
            </w:pPr>
            <w:r>
              <w:rPr>
                <w:rFonts w:eastAsia="仿宋_GB2312" w:hint="eastAsia"/>
                <w:sz w:val="28"/>
                <w:szCs w:val="28"/>
              </w:rPr>
              <w:t>患者出现过敏、刺激反应</w:t>
            </w:r>
          </w:p>
        </w:tc>
      </w:tr>
      <w:tr w:rsidR="008478E5">
        <w:trPr>
          <w:cantSplit/>
          <w:jc w:val="center"/>
        </w:trPr>
        <w:tc>
          <w:tcPr>
            <w:tcW w:w="871" w:type="dxa"/>
            <w:vMerge/>
            <w:vAlign w:val="center"/>
          </w:tcPr>
          <w:p w:rsidR="008478E5" w:rsidRDefault="008478E5">
            <w:pPr>
              <w:spacing w:line="400" w:lineRule="exact"/>
              <w:ind w:firstLineChars="200" w:firstLine="560"/>
              <w:jc w:val="center"/>
              <w:rPr>
                <w:rFonts w:eastAsia="仿宋_GB2312"/>
                <w:sz w:val="28"/>
                <w:szCs w:val="28"/>
              </w:rPr>
            </w:pPr>
          </w:p>
        </w:tc>
        <w:tc>
          <w:tcPr>
            <w:tcW w:w="1438" w:type="dxa"/>
            <w:vAlign w:val="center"/>
          </w:tcPr>
          <w:p w:rsidR="008478E5" w:rsidRDefault="006B1677">
            <w:pPr>
              <w:spacing w:line="400" w:lineRule="exact"/>
              <w:rPr>
                <w:rFonts w:ascii="Tahoma" w:eastAsia="微软雅黑" w:hAnsi="Tahoma"/>
                <w:sz w:val="22"/>
                <w:szCs w:val="22"/>
              </w:rPr>
            </w:pPr>
            <w:r>
              <w:rPr>
                <w:rFonts w:eastAsia="仿宋_GB2312"/>
                <w:sz w:val="28"/>
                <w:szCs w:val="28"/>
              </w:rPr>
              <w:t>对一次性使用医疗器械很可能再次使用的危险警告不适当</w:t>
            </w:r>
          </w:p>
        </w:tc>
        <w:tc>
          <w:tcPr>
            <w:tcW w:w="2956" w:type="dxa"/>
            <w:vAlign w:val="center"/>
          </w:tcPr>
          <w:p w:rsidR="008478E5" w:rsidRDefault="006B1677">
            <w:pPr>
              <w:spacing w:line="400" w:lineRule="exact"/>
              <w:rPr>
                <w:rFonts w:eastAsia="仿宋_GB2312"/>
                <w:sz w:val="28"/>
                <w:szCs w:val="28"/>
              </w:rPr>
            </w:pPr>
            <w:r>
              <w:rPr>
                <w:rFonts w:eastAsia="仿宋_GB2312"/>
                <w:sz w:val="28"/>
                <w:szCs w:val="28"/>
              </w:rPr>
              <w:t>重复使用</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交叉感染</w:t>
            </w:r>
          </w:p>
        </w:tc>
      </w:tr>
      <w:tr w:rsidR="008478E5">
        <w:trPr>
          <w:cantSplit/>
          <w:jc w:val="center"/>
        </w:trPr>
        <w:tc>
          <w:tcPr>
            <w:tcW w:w="871" w:type="dxa"/>
            <w:vAlign w:val="center"/>
          </w:tcPr>
          <w:p w:rsidR="008478E5" w:rsidRDefault="006B1677">
            <w:pPr>
              <w:spacing w:line="400" w:lineRule="exact"/>
              <w:jc w:val="center"/>
              <w:rPr>
                <w:rFonts w:eastAsia="仿宋_GB2312"/>
                <w:sz w:val="28"/>
                <w:szCs w:val="28"/>
              </w:rPr>
            </w:pPr>
            <w:r>
              <w:rPr>
                <w:rFonts w:eastAsia="仿宋_GB2312"/>
                <w:sz w:val="28"/>
                <w:szCs w:val="28"/>
              </w:rPr>
              <w:t>功能失效、老化引起的危险</w:t>
            </w:r>
          </w:p>
        </w:tc>
        <w:tc>
          <w:tcPr>
            <w:tcW w:w="1438" w:type="dxa"/>
            <w:vAlign w:val="center"/>
          </w:tcPr>
          <w:p w:rsidR="008478E5" w:rsidRDefault="006B1677">
            <w:pPr>
              <w:spacing w:line="400" w:lineRule="exact"/>
              <w:rPr>
                <w:rFonts w:eastAsia="仿宋_GB2312"/>
                <w:sz w:val="28"/>
                <w:szCs w:val="28"/>
              </w:rPr>
            </w:pPr>
            <w:r>
              <w:rPr>
                <w:rFonts w:eastAsia="仿宋_GB2312" w:hint="eastAsia"/>
                <w:sz w:val="28"/>
                <w:szCs w:val="28"/>
              </w:rPr>
              <w:t>吸引管渗漏、漏气、堵塞，吸引头接头与连接管衔接不紧</w:t>
            </w:r>
          </w:p>
        </w:tc>
        <w:tc>
          <w:tcPr>
            <w:tcW w:w="2956" w:type="dxa"/>
            <w:vAlign w:val="center"/>
          </w:tcPr>
          <w:p w:rsidR="008478E5" w:rsidRDefault="006B1677">
            <w:pPr>
              <w:spacing w:line="400" w:lineRule="exact"/>
              <w:rPr>
                <w:rFonts w:eastAsia="仿宋_GB2312"/>
                <w:sz w:val="28"/>
                <w:szCs w:val="28"/>
              </w:rPr>
            </w:pPr>
            <w:r>
              <w:rPr>
                <w:rFonts w:eastAsia="仿宋_GB2312" w:hint="eastAsia"/>
                <w:sz w:val="28"/>
                <w:szCs w:val="28"/>
              </w:rPr>
              <w:t>吸引管引流功能失效</w:t>
            </w:r>
          </w:p>
        </w:tc>
        <w:tc>
          <w:tcPr>
            <w:tcW w:w="3789" w:type="dxa"/>
            <w:vAlign w:val="center"/>
          </w:tcPr>
          <w:p w:rsidR="008478E5" w:rsidRDefault="006B1677">
            <w:pPr>
              <w:spacing w:line="400" w:lineRule="exact"/>
              <w:rPr>
                <w:rFonts w:eastAsia="仿宋_GB2312"/>
                <w:sz w:val="28"/>
                <w:szCs w:val="28"/>
              </w:rPr>
            </w:pPr>
            <w:r>
              <w:rPr>
                <w:rFonts w:eastAsia="仿宋_GB2312"/>
                <w:sz w:val="28"/>
                <w:szCs w:val="28"/>
              </w:rPr>
              <w:t>产品无法满足临床使用</w:t>
            </w:r>
          </w:p>
        </w:tc>
      </w:tr>
    </w:tbl>
    <w:p w:rsidR="008478E5" w:rsidRDefault="008478E5">
      <w:pPr>
        <w:spacing w:line="520" w:lineRule="exact"/>
        <w:rPr>
          <w:rFonts w:eastAsia="仿宋_GB2312"/>
          <w:color w:val="000000"/>
          <w:szCs w:val="32"/>
        </w:rPr>
      </w:pPr>
    </w:p>
    <w:sectPr w:rsidR="008478E5">
      <w:footerReference w:type="default" r:id="rId11"/>
      <w:pgSz w:w="11906" w:h="16838"/>
      <w:pgMar w:top="1440" w:right="1800" w:bottom="1440" w:left="1800"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677" w:rsidRDefault="006B1677">
      <w:r>
        <w:separator/>
      </w:r>
    </w:p>
  </w:endnote>
  <w:endnote w:type="continuationSeparator" w:id="0">
    <w:p w:rsidR="006B1677" w:rsidRDefault="006B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obe 仿宋 Std R">
    <w:altName w:val="仿宋"/>
    <w:charset w:val="86"/>
    <w:family w:val="roman"/>
    <w:pitch w:val="default"/>
    <w:sig w:usb0="00000000" w:usb1="00000000" w:usb2="00000016" w:usb3="00000000" w:csb0="00060007" w:csb1="00000000"/>
    <w:embedRegular r:id="rId1" w:fontKey="{9DCBE37F-268C-4297-B0C3-321DF93FE068}"/>
  </w:font>
  <w:font w:name="黑体">
    <w:altName w:val="SimHei"/>
    <w:panose1 w:val="02010609060101010101"/>
    <w:charset w:val="86"/>
    <w:family w:val="modern"/>
    <w:pitch w:val="fixed"/>
    <w:sig w:usb0="800002BF" w:usb1="38CF7CFA" w:usb2="00000016" w:usb3="00000000" w:csb0="00040001" w:csb1="00000000"/>
    <w:embedRegular r:id="rId2" w:subsetted="1" w:fontKey="{064A83A0-3802-4732-A796-158B2DDB06BD}"/>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embedRegular r:id="rId3" w:subsetted="1" w:fontKey="{B87FC01C-6051-4D8B-A257-8F77EDE161C1}"/>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roman"/>
    <w:pitch w:val="default"/>
    <w:sig w:usb0="00000000" w:usb1="0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embedRegular r:id="rId4" w:subsetted="1" w:fontKey="{910BC4E2-2638-46D3-8352-E434A9B264D0}"/>
  </w:font>
  <w:font w:name="方正小标宋简体">
    <w:panose1 w:val="03000509000000000000"/>
    <w:charset w:val="86"/>
    <w:family w:val="script"/>
    <w:pitch w:val="fixed"/>
    <w:sig w:usb0="00000001" w:usb1="080E0000" w:usb2="00000010" w:usb3="00000000" w:csb0="00040000" w:csb1="00000000"/>
    <w:embedRegular r:id="rId5" w:subsetted="1" w:fontKey="{398B4A48-7F52-4968-9C9D-8D6E92A61E3F}"/>
  </w:font>
  <w:font w:name="楷体_GB2312">
    <w:panose1 w:val="02010609030101010101"/>
    <w:charset w:val="86"/>
    <w:family w:val="modern"/>
    <w:pitch w:val="fixed"/>
    <w:sig w:usb0="00000001" w:usb1="080E0000" w:usb2="00000010" w:usb3="00000000" w:csb0="00040000" w:csb1="00000000"/>
    <w:embedRegular r:id="rId6" w:subsetted="1" w:fontKey="{0E59576E-A5A2-49E0-9E97-05D7A57C8564}"/>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8E5" w:rsidRDefault="008478E5">
    <w:pPr>
      <w:pStyle w:val="a9"/>
      <w:ind w:firstLine="562"/>
      <w:jc w:val="right"/>
      <w:rPr>
        <w:sz w:val="28"/>
        <w:szCs w:val="28"/>
      </w:rPr>
    </w:pPr>
  </w:p>
  <w:p w:rsidR="008478E5" w:rsidRDefault="006B1677">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8478E5" w:rsidRDefault="006B1677">
                          <w:pPr>
                            <w:snapToGrid w:val="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F76083">
                            <w:rPr>
                              <w:noProof/>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8478E5" w:rsidRDefault="006B1677">
                    <w:pPr>
                      <w:snapToGrid w:val="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F76083">
                      <w:rPr>
                        <w:noProof/>
                        <w:sz w:val="28"/>
                        <w:szCs w:val="28"/>
                      </w:rPr>
                      <w:t>2</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677" w:rsidRDefault="006B1677">
      <w:r>
        <w:separator/>
      </w:r>
    </w:p>
  </w:footnote>
  <w:footnote w:type="continuationSeparator" w:id="0">
    <w:p w:rsidR="006B1677" w:rsidRDefault="006B16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8DD5E2"/>
    <w:multiLevelType w:val="singleLevel"/>
    <w:tmpl w:val="8E8DD5E2"/>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defaultTabStop w:val="420"/>
  <w:drawingGridHorizontalSpacing w:val="160"/>
  <w:drawingGridVerticalSpacing w:val="435"/>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DEF70035"/>
    <w:rsid w:val="DFFFE17D"/>
    <w:rsid w:val="ED776AC6"/>
    <w:rsid w:val="EF9F915E"/>
    <w:rsid w:val="FBB7C68F"/>
    <w:rsid w:val="FDF752B8"/>
    <w:rsid w:val="FF7F9E8F"/>
    <w:rsid w:val="00004D66"/>
    <w:rsid w:val="0007686E"/>
    <w:rsid w:val="000C6CA4"/>
    <w:rsid w:val="000E4E50"/>
    <w:rsid w:val="000E5335"/>
    <w:rsid w:val="00145167"/>
    <w:rsid w:val="0015622E"/>
    <w:rsid w:val="001C3A87"/>
    <w:rsid w:val="001E0961"/>
    <w:rsid w:val="00242375"/>
    <w:rsid w:val="00244DF7"/>
    <w:rsid w:val="00277473"/>
    <w:rsid w:val="00291759"/>
    <w:rsid w:val="00294D2B"/>
    <w:rsid w:val="002B24A0"/>
    <w:rsid w:val="002F2978"/>
    <w:rsid w:val="0030368E"/>
    <w:rsid w:val="003137C1"/>
    <w:rsid w:val="00332DE8"/>
    <w:rsid w:val="00334B16"/>
    <w:rsid w:val="003450A4"/>
    <w:rsid w:val="00355421"/>
    <w:rsid w:val="00365AB2"/>
    <w:rsid w:val="00410598"/>
    <w:rsid w:val="00435AC6"/>
    <w:rsid w:val="00440708"/>
    <w:rsid w:val="004410B9"/>
    <w:rsid w:val="0045364F"/>
    <w:rsid w:val="004C4DBC"/>
    <w:rsid w:val="004E39ED"/>
    <w:rsid w:val="00500138"/>
    <w:rsid w:val="005041BA"/>
    <w:rsid w:val="00534F4C"/>
    <w:rsid w:val="00555F3B"/>
    <w:rsid w:val="005A1410"/>
    <w:rsid w:val="005A204F"/>
    <w:rsid w:val="006A1165"/>
    <w:rsid w:val="006B1677"/>
    <w:rsid w:val="006C00CB"/>
    <w:rsid w:val="006E68A9"/>
    <w:rsid w:val="006E7148"/>
    <w:rsid w:val="00716619"/>
    <w:rsid w:val="00745098"/>
    <w:rsid w:val="007646FC"/>
    <w:rsid w:val="007702AB"/>
    <w:rsid w:val="00787F7E"/>
    <w:rsid w:val="007904F6"/>
    <w:rsid w:val="007D341A"/>
    <w:rsid w:val="00815364"/>
    <w:rsid w:val="00821079"/>
    <w:rsid w:val="00845C30"/>
    <w:rsid w:val="008478E5"/>
    <w:rsid w:val="00932274"/>
    <w:rsid w:val="00933041"/>
    <w:rsid w:val="00937F0E"/>
    <w:rsid w:val="009E2514"/>
    <w:rsid w:val="009F209D"/>
    <w:rsid w:val="00A15466"/>
    <w:rsid w:val="00A23EC2"/>
    <w:rsid w:val="00A25C1A"/>
    <w:rsid w:val="00A67D1C"/>
    <w:rsid w:val="00A73BFE"/>
    <w:rsid w:val="00B41578"/>
    <w:rsid w:val="00B4791F"/>
    <w:rsid w:val="00B66355"/>
    <w:rsid w:val="00B9118A"/>
    <w:rsid w:val="00B974CF"/>
    <w:rsid w:val="00BC2983"/>
    <w:rsid w:val="00BC7C84"/>
    <w:rsid w:val="00BD300F"/>
    <w:rsid w:val="00BE669C"/>
    <w:rsid w:val="00C0562D"/>
    <w:rsid w:val="00C25F69"/>
    <w:rsid w:val="00C40950"/>
    <w:rsid w:val="00C74CE1"/>
    <w:rsid w:val="00CB4CCD"/>
    <w:rsid w:val="00CC284D"/>
    <w:rsid w:val="00D32614"/>
    <w:rsid w:val="00D35067"/>
    <w:rsid w:val="00D36F91"/>
    <w:rsid w:val="00D4450D"/>
    <w:rsid w:val="00DD740E"/>
    <w:rsid w:val="00E00DDC"/>
    <w:rsid w:val="00E07E6A"/>
    <w:rsid w:val="00E11D78"/>
    <w:rsid w:val="00E72EF4"/>
    <w:rsid w:val="00EB1A04"/>
    <w:rsid w:val="00EB60B2"/>
    <w:rsid w:val="00EC523A"/>
    <w:rsid w:val="00ED0226"/>
    <w:rsid w:val="00EE261B"/>
    <w:rsid w:val="00EE4EBB"/>
    <w:rsid w:val="00F31CB3"/>
    <w:rsid w:val="00F76083"/>
    <w:rsid w:val="00F81D1A"/>
    <w:rsid w:val="00FB46B2"/>
    <w:rsid w:val="00FF0F38"/>
    <w:rsid w:val="017600F1"/>
    <w:rsid w:val="0210496C"/>
    <w:rsid w:val="03D54B91"/>
    <w:rsid w:val="04161698"/>
    <w:rsid w:val="0438522F"/>
    <w:rsid w:val="05DC421B"/>
    <w:rsid w:val="06444B83"/>
    <w:rsid w:val="08E82330"/>
    <w:rsid w:val="0935611C"/>
    <w:rsid w:val="0B865355"/>
    <w:rsid w:val="0CBB30E7"/>
    <w:rsid w:val="0D696CDD"/>
    <w:rsid w:val="0D86786F"/>
    <w:rsid w:val="11B342B3"/>
    <w:rsid w:val="11E33C5A"/>
    <w:rsid w:val="11FC1ECD"/>
    <w:rsid w:val="123E7F36"/>
    <w:rsid w:val="126132D0"/>
    <w:rsid w:val="14484316"/>
    <w:rsid w:val="14D955E8"/>
    <w:rsid w:val="19813BAB"/>
    <w:rsid w:val="1BD9327F"/>
    <w:rsid w:val="222F1E4B"/>
    <w:rsid w:val="225B2C40"/>
    <w:rsid w:val="235E1748"/>
    <w:rsid w:val="248D64E1"/>
    <w:rsid w:val="24A80026"/>
    <w:rsid w:val="268E39D0"/>
    <w:rsid w:val="27087008"/>
    <w:rsid w:val="286E6E1A"/>
    <w:rsid w:val="29D238DE"/>
    <w:rsid w:val="2B106A5D"/>
    <w:rsid w:val="31E06CBE"/>
    <w:rsid w:val="322C1F03"/>
    <w:rsid w:val="333C43C8"/>
    <w:rsid w:val="339A10EE"/>
    <w:rsid w:val="37265173"/>
    <w:rsid w:val="381F62AB"/>
    <w:rsid w:val="3D453E79"/>
    <w:rsid w:val="3D73375E"/>
    <w:rsid w:val="3ECB480E"/>
    <w:rsid w:val="3EE30952"/>
    <w:rsid w:val="408F1FDB"/>
    <w:rsid w:val="40C854ED"/>
    <w:rsid w:val="41690F08"/>
    <w:rsid w:val="41A90E7A"/>
    <w:rsid w:val="42DF08CC"/>
    <w:rsid w:val="43C04259"/>
    <w:rsid w:val="45407917"/>
    <w:rsid w:val="459E478F"/>
    <w:rsid w:val="46A402FE"/>
    <w:rsid w:val="472B2331"/>
    <w:rsid w:val="48CC02D4"/>
    <w:rsid w:val="49D75A5A"/>
    <w:rsid w:val="49FB72E4"/>
    <w:rsid w:val="4BD22B7A"/>
    <w:rsid w:val="4D2717ED"/>
    <w:rsid w:val="4FDF2E8D"/>
    <w:rsid w:val="501C6CBB"/>
    <w:rsid w:val="50CD4603"/>
    <w:rsid w:val="51EA543D"/>
    <w:rsid w:val="56455B5B"/>
    <w:rsid w:val="567316E7"/>
    <w:rsid w:val="57544DCC"/>
    <w:rsid w:val="5A1467AB"/>
    <w:rsid w:val="5B5F17BB"/>
    <w:rsid w:val="5B746366"/>
    <w:rsid w:val="5BB51A95"/>
    <w:rsid w:val="5BCC45D6"/>
    <w:rsid w:val="5CA93FCD"/>
    <w:rsid w:val="62E25A94"/>
    <w:rsid w:val="6808621F"/>
    <w:rsid w:val="69913E1E"/>
    <w:rsid w:val="6B737129"/>
    <w:rsid w:val="6C6420ED"/>
    <w:rsid w:val="6C994553"/>
    <w:rsid w:val="6E4C0C5C"/>
    <w:rsid w:val="707C3028"/>
    <w:rsid w:val="70DE3255"/>
    <w:rsid w:val="72844381"/>
    <w:rsid w:val="755A1EB0"/>
    <w:rsid w:val="76780840"/>
    <w:rsid w:val="76956056"/>
    <w:rsid w:val="76B86E8E"/>
    <w:rsid w:val="775C0B8E"/>
    <w:rsid w:val="782D1D70"/>
    <w:rsid w:val="79BB3D42"/>
    <w:rsid w:val="7A0406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A3F954-7DA0-4C44-AD49-C4106F1A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Adobe 仿宋 Std R"/>
      <w:kern w:val="2"/>
      <w:sz w:val="32"/>
      <w:szCs w:val="24"/>
    </w:rPr>
  </w:style>
  <w:style w:type="paragraph" w:styleId="1">
    <w:name w:val="heading 1"/>
    <w:basedOn w:val="a"/>
    <w:next w:val="a"/>
    <w:qFormat/>
    <w:pPr>
      <w:keepNext/>
      <w:keepLines/>
      <w:spacing w:line="520" w:lineRule="exact"/>
      <w:ind w:leftChars="300" w:left="300"/>
      <w:jc w:val="left"/>
      <w:outlineLvl w:val="0"/>
    </w:pPr>
    <w:rPr>
      <w:rFonts w:eastAsia="黑体" w:cs="Calibri"/>
      <w:bCs/>
      <w:kern w:val="44"/>
      <w:szCs w:val="44"/>
    </w:rPr>
  </w:style>
  <w:style w:type="paragraph" w:styleId="3">
    <w:name w:val="heading 3"/>
    <w:basedOn w:val="a"/>
    <w:next w:val="1"/>
    <w:qFormat/>
    <w:pPr>
      <w:spacing w:line="520" w:lineRule="exact"/>
      <w:ind w:leftChars="300" w:left="300"/>
      <w:jc w:val="left"/>
      <w:outlineLvl w:val="2"/>
    </w:pPr>
    <w:rPr>
      <w:rFonts w:ascii="宋体" w:eastAsia="仿宋" w:hAnsi="宋体" w:hint="eastAsia"/>
      <w:kern w:val="0"/>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annotation text"/>
    <w:basedOn w:val="a"/>
    <w:link w:val="a5"/>
    <w:uiPriority w:val="99"/>
    <w:semiHidden/>
    <w:unhideWhenUsed/>
    <w:qFormat/>
    <w:pPr>
      <w:jc w:val="left"/>
    </w:pPr>
  </w:style>
  <w:style w:type="paragraph" w:styleId="a6">
    <w:name w:val="Plain Text"/>
    <w:basedOn w:val="a"/>
    <w:qFormat/>
    <w:rPr>
      <w:rFonts w:ascii="宋体" w:hAnsi="Courier New" w:hint="eastAsia"/>
      <w:szCs w:val="20"/>
    </w:rPr>
  </w:style>
  <w:style w:type="paragraph" w:styleId="a7">
    <w:name w:val="Balloon Text"/>
    <w:basedOn w:val="a"/>
    <w:link w:val="a8"/>
    <w:uiPriority w:val="99"/>
    <w:semiHidden/>
    <w:unhideWhenUsed/>
    <w:qFormat/>
    <w:rPr>
      <w:sz w:val="18"/>
      <w:szCs w:val="18"/>
    </w:rPr>
  </w:style>
  <w:style w:type="paragraph" w:styleId="a9">
    <w:name w:val="footer"/>
    <w:basedOn w:val="a"/>
    <w:uiPriority w:val="99"/>
    <w:unhideWhenUsed/>
    <w:qFormat/>
    <w:pPr>
      <w:tabs>
        <w:tab w:val="center" w:pos="4153"/>
        <w:tab w:val="right" w:pos="8306"/>
      </w:tabs>
      <w:snapToGrid w:val="0"/>
      <w:jc w:val="left"/>
    </w:pPr>
    <w:rPr>
      <w:sz w:val="18"/>
    </w:rPr>
  </w:style>
  <w:style w:type="paragraph" w:styleId="aa">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b">
    <w:name w:val="Title"/>
    <w:basedOn w:val="a"/>
    <w:next w:val="a"/>
    <w:qFormat/>
    <w:pPr>
      <w:spacing w:line="520" w:lineRule="exact"/>
      <w:jc w:val="center"/>
      <w:outlineLvl w:val="0"/>
    </w:pPr>
    <w:rPr>
      <w:rFonts w:ascii="Cambria" w:eastAsia="微软雅黑" w:hAnsi="Cambria"/>
      <w:bCs/>
      <w:sz w:val="44"/>
      <w:szCs w:val="32"/>
    </w:rPr>
  </w:style>
  <w:style w:type="paragraph" w:styleId="ac">
    <w:name w:val="annotation subject"/>
    <w:basedOn w:val="a4"/>
    <w:next w:val="a4"/>
    <w:link w:val="ad"/>
    <w:uiPriority w:val="99"/>
    <w:semiHidden/>
    <w:unhideWhenUsed/>
    <w:qFormat/>
    <w:rPr>
      <w:b/>
      <w:bCs/>
    </w:rPr>
  </w:style>
  <w:style w:type="character" w:styleId="ae">
    <w:name w:val="Strong"/>
    <w:basedOn w:val="a1"/>
    <w:uiPriority w:val="22"/>
    <w:qFormat/>
    <w:rPr>
      <w:b/>
    </w:rPr>
  </w:style>
  <w:style w:type="character" w:styleId="af">
    <w:name w:val="line number"/>
    <w:basedOn w:val="a1"/>
    <w:uiPriority w:val="99"/>
    <w:semiHidden/>
    <w:unhideWhenUsed/>
    <w:qFormat/>
  </w:style>
  <w:style w:type="character" w:styleId="af0">
    <w:name w:val="annotation reference"/>
    <w:basedOn w:val="a1"/>
    <w:uiPriority w:val="99"/>
    <w:semiHidden/>
    <w:unhideWhenUsed/>
    <w:qFormat/>
    <w:rPr>
      <w:sz w:val="21"/>
      <w:szCs w:val="21"/>
    </w:rPr>
  </w:style>
  <w:style w:type="paragraph" w:customStyle="1" w:styleId="10">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1"/>
    <w:link w:val="10"/>
    <w:uiPriority w:val="34"/>
    <w:qFormat/>
    <w:rPr>
      <w:rFonts w:ascii="Times New Roman" w:eastAsia="仿宋_GB2312" w:hAnsi="Times New Roman" w:cs="Times New Roman"/>
      <w:sz w:val="32"/>
      <w:szCs w:val="32"/>
    </w:rPr>
  </w:style>
  <w:style w:type="character" w:customStyle="1" w:styleId="a8">
    <w:name w:val="批注框文本 字符"/>
    <w:basedOn w:val="a1"/>
    <w:link w:val="a7"/>
    <w:uiPriority w:val="99"/>
    <w:semiHidden/>
    <w:qFormat/>
    <w:rPr>
      <w:rFonts w:ascii="Times New Roman" w:eastAsia="Adobe 仿宋 Std R" w:hAnsi="Times New Roman" w:cs="Times New Roman"/>
      <w:kern w:val="2"/>
      <w:sz w:val="18"/>
      <w:szCs w:val="18"/>
    </w:rPr>
  </w:style>
  <w:style w:type="paragraph" w:styleId="af1">
    <w:name w:val="List Paragraph"/>
    <w:basedOn w:val="a"/>
    <w:uiPriority w:val="99"/>
    <w:unhideWhenUsed/>
    <w:qFormat/>
    <w:pPr>
      <w:ind w:firstLineChars="200" w:firstLine="420"/>
    </w:pPr>
  </w:style>
  <w:style w:type="character" w:customStyle="1" w:styleId="a5">
    <w:name w:val="批注文字 字符"/>
    <w:basedOn w:val="a1"/>
    <w:link w:val="a4"/>
    <w:uiPriority w:val="99"/>
    <w:semiHidden/>
    <w:qFormat/>
    <w:rPr>
      <w:rFonts w:ascii="Times New Roman" w:eastAsia="Adobe 仿宋 Std R" w:hAnsi="Times New Roman" w:cs="Times New Roman"/>
      <w:kern w:val="2"/>
      <w:sz w:val="32"/>
      <w:szCs w:val="24"/>
    </w:rPr>
  </w:style>
  <w:style w:type="character" w:customStyle="1" w:styleId="ad">
    <w:name w:val="批注主题 字符"/>
    <w:basedOn w:val="a5"/>
    <w:link w:val="ac"/>
    <w:uiPriority w:val="99"/>
    <w:semiHidden/>
    <w:qFormat/>
    <w:rPr>
      <w:rFonts w:ascii="Times New Roman" w:eastAsia="Adobe 仿宋 Std R" w:hAnsi="Times New Roman" w:cs="Times New Roman"/>
      <w:b/>
      <w:bCs/>
      <w:kern w:val="2"/>
      <w:sz w:val="32"/>
      <w:szCs w:val="24"/>
    </w:rPr>
  </w:style>
  <w:style w:type="character" w:customStyle="1" w:styleId="f101">
    <w:name w:val="f101"/>
    <w:qFormat/>
    <w:rPr>
      <w:sz w:val="24"/>
      <w:szCs w:val="24"/>
    </w:rPr>
  </w:style>
  <w:style w:type="paragraph" w:customStyle="1" w:styleId="11">
    <w:name w:val="修订1"/>
    <w:hidden/>
    <w:uiPriority w:val="99"/>
    <w:unhideWhenUsed/>
    <w:qFormat/>
    <w:rPr>
      <w:rFonts w:eastAsia="Adobe 仿宋 Std R"/>
      <w:kern w:val="2"/>
      <w:sz w:val="32"/>
      <w:szCs w:val="24"/>
    </w:rPr>
  </w:style>
  <w:style w:type="paragraph" w:customStyle="1" w:styleId="Style0">
    <w:name w:val="_Style 0"/>
    <w:uiPriority w:val="99"/>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6b60a209-bc5a-43e0-933c-22c4b7b5ef4d</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23E459E0</paraID>
      <start>14</start>
      <end>24</end>
      <status>ignored</status>
      <modifiedWord/>
      <trackRevisions>false</trackRevisions>
    </reviewItem>
    <reviewItem>
      <errorID>9c47b1ec-21a4-4e2d-b9bc-97be5aae1a66</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 685B5AE</paraID>
      <start>5</start>
      <end>14</end>
      <status>ignored</status>
      <modifiedWord/>
      <trackRevisions>false</trackRevisions>
    </reviewItem>
    <reviewItem>
      <errorID>b404fece-b412-4a10-9d61-3e6d5a781325</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 685B5AE</paraID>
      <start>30</start>
      <end>42</end>
      <status>ignored</status>
      <modifiedWord/>
      <trackRevisions>false</trackRevisions>
    </reviewItem>
    <reviewItem>
      <errorID>bca59bd6-d11c-4f0e-81f3-8d212ed69946</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52977734</paraID>
      <start>26</start>
      <end>38</end>
      <status>ignored</status>
      <modifiedWord/>
      <trackRevisions>false</trackRevisions>
    </reviewItem>
    <reviewItem>
      <errorID>b9997804-1970-41b7-9d94-e897c9bb38df</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4D085386</paraID>
      <start>22</start>
      <end>34</end>
      <status>ignored</status>
      <modifiedWord/>
      <trackRevisions>false</trackRevisions>
    </reviewItem>
    <reviewItem>
      <errorID>edb8fae6-cb98-4822-a031-7d8d60daf2a4</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53792674</paraID>
      <start>27</start>
      <end>39</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7D8467-6C61-4887-BC6C-AE4BB3E3DAD0}">
  <ds:schemaRefs>
    <ds:schemaRef ds:uri="http://schemas.wps.cn/vas-ai-hub/contract-review"/>
  </ds:schemaRefs>
</ds:datastoreItem>
</file>

<file path=customXml/itemProps3.xml><?xml version="1.0" encoding="utf-8"?>
<ds:datastoreItem xmlns:ds="http://schemas.openxmlformats.org/officeDocument/2006/customXml" ds:itemID="{5D4F4806-4C2D-455F-B375-08F6FE46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1155</Words>
  <Characters>6590</Characters>
  <Application>Microsoft Office Word</Application>
  <DocSecurity>0</DocSecurity>
  <Lines>54</Lines>
  <Paragraphs>15</Paragraphs>
  <ScaleCrop>false</ScaleCrop>
  <Company>Microsoft</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GT</cp:lastModifiedBy>
  <cp:revision>5</cp:revision>
  <dcterms:created xsi:type="dcterms:W3CDTF">2026-05-17T07:35:00Z</dcterms:created>
  <dcterms:modified xsi:type="dcterms:W3CDTF">2026-08-03T06:54:00Z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5D8BA8F484304380BAD342BCFBF575EE_13</vt:lpwstr>
  </property>
  <property fmtid="{D5CDD505-2E9C-101B-9397-08002B2CF9AE}" pid="4" name="KSOTemplateDocerSaveRecord">
    <vt:lpwstr>eyJoZGlkIjoiYmIzZjgxYTIxZWEyZmFlZjg2ZjgzYzBkNDE2MTAwN2IiLCJ1c2VySWQiOiIyNjEyODUwMzMifQ==</vt:lpwstr>
  </property>
</Properties>
</file>