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652A2">
      <w:pPr>
        <w:spacing w:line="520" w:lineRule="exact"/>
        <w:ind w:right="-67" w:rightChars="-32"/>
        <w:jc w:val="center"/>
        <w:rPr>
          <w:rFonts w:eastAsia="方正小标宋简体"/>
          <w:color w:val="000000"/>
          <w:sz w:val="44"/>
          <w:szCs w:val="44"/>
        </w:rPr>
      </w:pPr>
      <w:r>
        <w:rPr>
          <w:rFonts w:eastAsia="方正小标宋简体"/>
          <w:color w:val="000000"/>
          <w:sz w:val="44"/>
          <w:szCs w:val="44"/>
        </w:rPr>
        <w:t>渗透压测定仪注册审查指导原则</w:t>
      </w:r>
    </w:p>
    <w:p w14:paraId="5AE23D9A">
      <w:pPr>
        <w:spacing w:line="520" w:lineRule="exact"/>
        <w:ind w:right="-67" w:rightChars="-32"/>
        <w:jc w:val="center"/>
        <w:rPr>
          <w:rFonts w:hint="default" w:eastAsia="方正小标宋简体"/>
          <w:color w:val="000000"/>
          <w:sz w:val="44"/>
          <w:szCs w:val="44"/>
          <w:lang w:val="en-US" w:eastAsia="zh-CN"/>
        </w:rPr>
      </w:pPr>
      <w:r>
        <w:rPr>
          <w:rFonts w:hint="eastAsia" w:eastAsia="方正小标宋简体"/>
          <w:color w:val="000000"/>
          <w:sz w:val="44"/>
          <w:szCs w:val="44"/>
          <w:lang w:eastAsia="zh-CN"/>
        </w:rPr>
        <w:t>（</w:t>
      </w:r>
      <w:r>
        <w:rPr>
          <w:rFonts w:hint="eastAsia" w:eastAsia="方正小标宋简体"/>
          <w:color w:val="000000"/>
          <w:sz w:val="44"/>
          <w:szCs w:val="44"/>
          <w:lang w:val="en-US" w:eastAsia="zh-CN"/>
        </w:rPr>
        <w:t>征求意见稿）</w:t>
      </w:r>
    </w:p>
    <w:p w14:paraId="123ECDE7">
      <w:pPr>
        <w:spacing w:line="520" w:lineRule="exact"/>
        <w:ind w:right="-67" w:rightChars="-32"/>
        <w:jc w:val="center"/>
        <w:rPr>
          <w:rFonts w:eastAsia="方正小标宋简体"/>
          <w:color w:val="000000"/>
          <w:sz w:val="44"/>
          <w:szCs w:val="44"/>
        </w:rPr>
      </w:pPr>
    </w:p>
    <w:p w14:paraId="705DA44A">
      <w:pPr>
        <w:spacing w:line="520" w:lineRule="exact"/>
        <w:ind w:firstLine="640" w:firstLineChars="200"/>
        <w:rPr>
          <w:rFonts w:eastAsia="仿宋_GB2312"/>
          <w:kern w:val="0"/>
          <w:sz w:val="32"/>
          <w:szCs w:val="32"/>
        </w:rPr>
      </w:pPr>
      <w:r>
        <w:rPr>
          <w:rFonts w:eastAsia="仿宋_GB2312"/>
          <w:kern w:val="0"/>
          <w:sz w:val="32"/>
          <w:szCs w:val="32"/>
        </w:rPr>
        <w:t>本指导原则旨在指导注册申请人对渗透压测定仪注册申报资料的准备及撰写，同时也为技术审评部门审评注册申报资料提供参考。</w:t>
      </w:r>
    </w:p>
    <w:p w14:paraId="5374A65D">
      <w:pPr>
        <w:spacing w:line="520" w:lineRule="exact"/>
        <w:ind w:firstLine="640" w:firstLineChars="200"/>
        <w:rPr>
          <w:rFonts w:eastAsia="仿宋_GB2312"/>
          <w:kern w:val="0"/>
          <w:sz w:val="32"/>
          <w:szCs w:val="32"/>
        </w:rPr>
      </w:pPr>
      <w:r>
        <w:rPr>
          <w:rFonts w:eastAsia="仿宋_GB2312"/>
          <w:kern w:val="0"/>
          <w:sz w:val="32"/>
          <w:szCs w:val="32"/>
        </w:rPr>
        <w:t>本指导原则是对渗透压测定仪的一般要求，申请人应依据产品的具体特性确定其中内容是否适用，若不适用，需具体阐述理由及相应的科学依据，并依据产品的具体特性对注册申报资料的内容进行充实和细化。</w:t>
      </w:r>
    </w:p>
    <w:p w14:paraId="3D1F24D0">
      <w:pPr>
        <w:spacing w:line="520" w:lineRule="exact"/>
        <w:ind w:firstLine="640" w:firstLineChars="200"/>
        <w:rPr>
          <w:rFonts w:eastAsia="仿宋_GB2312"/>
          <w:kern w:val="0"/>
          <w:sz w:val="32"/>
          <w:szCs w:val="32"/>
        </w:rPr>
      </w:pPr>
      <w:r>
        <w:rPr>
          <w:rFonts w:eastAsia="仿宋_GB2312"/>
          <w:kern w:val="0"/>
          <w:sz w:val="32"/>
          <w:szCs w:val="32"/>
        </w:rPr>
        <w:t>本指导原则是供申请人和</w:t>
      </w:r>
      <w:r>
        <w:rPr>
          <w:rFonts w:hint="eastAsia" w:eastAsia="仿宋_GB2312"/>
          <w:kern w:val="0"/>
          <w:sz w:val="32"/>
          <w:szCs w:val="32"/>
        </w:rPr>
        <w:t>技术审评</w:t>
      </w:r>
      <w:r>
        <w:rPr>
          <w:rFonts w:eastAsia="仿宋_GB2312"/>
          <w:kern w:val="0"/>
          <w:sz w:val="32"/>
          <w:szCs w:val="32"/>
        </w:rPr>
        <w:t>人员使用的指导文件，不涉及注册审批等行政事项，亦不作为法规强制执行，如有能够满足法规要求的其他方法，也可以采用，但应提供详细的研究资料和验证资料。相关人员应在遵循相关法规的前提下使用本指导原则。</w:t>
      </w:r>
    </w:p>
    <w:p w14:paraId="6ED41008">
      <w:pPr>
        <w:spacing w:line="520" w:lineRule="exact"/>
        <w:ind w:firstLine="640" w:firstLineChars="200"/>
        <w:rPr>
          <w:rFonts w:eastAsia="仿宋_GB2312"/>
          <w:kern w:val="0"/>
          <w:sz w:val="32"/>
          <w:szCs w:val="32"/>
        </w:rPr>
      </w:pPr>
      <w:r>
        <w:rPr>
          <w:rFonts w:eastAsia="仿宋_GB2312"/>
          <w:kern w:val="0"/>
          <w:sz w:val="32"/>
          <w:szCs w:val="32"/>
        </w:rPr>
        <w:t>本指导原则是在现行法规、标准体系及当前认知水平下制定的，随着法规、标准体系的不断完善和科学技术的不断发展，本指导原则相关内容也将适时进行调整。</w:t>
      </w:r>
    </w:p>
    <w:p w14:paraId="261D6ECE">
      <w:pPr>
        <w:overflowPunct w:val="0"/>
        <w:spacing w:line="500" w:lineRule="exact"/>
        <w:ind w:firstLine="640" w:firstLineChars="200"/>
        <w:outlineLvl w:val="0"/>
        <w:rPr>
          <w:rFonts w:eastAsia="黑体"/>
          <w:color w:val="000000"/>
          <w:sz w:val="32"/>
          <w:szCs w:val="28"/>
        </w:rPr>
      </w:pPr>
      <w:r>
        <w:rPr>
          <w:rFonts w:hint="eastAsia" w:eastAsia="黑体"/>
          <w:color w:val="000000"/>
          <w:sz w:val="32"/>
          <w:szCs w:val="28"/>
        </w:rPr>
        <w:t>一、</w:t>
      </w:r>
      <w:r>
        <w:rPr>
          <w:rFonts w:eastAsia="黑体"/>
          <w:color w:val="000000"/>
          <w:sz w:val="32"/>
          <w:szCs w:val="28"/>
        </w:rPr>
        <w:t>适用范围</w:t>
      </w:r>
    </w:p>
    <w:p w14:paraId="7576CDD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kern w:val="0"/>
          <w:sz w:val="32"/>
          <w:szCs w:val="32"/>
        </w:rPr>
      </w:pPr>
      <w:r>
        <w:rPr>
          <w:rFonts w:hint="eastAsia" w:eastAsia="仿宋_GB2312"/>
          <w:kern w:val="0"/>
          <w:sz w:val="32"/>
          <w:szCs w:val="32"/>
          <w:lang w:val="en-US" w:eastAsia="zh-CN"/>
        </w:rPr>
        <w:t>渗透压测定</w:t>
      </w:r>
      <w:r>
        <w:rPr>
          <w:rFonts w:hint="eastAsia" w:eastAsia="仿宋_GB2312"/>
          <w:kern w:val="0"/>
          <w:sz w:val="32"/>
          <w:szCs w:val="32"/>
        </w:rPr>
        <w:t>一般分为</w:t>
      </w:r>
      <w:r>
        <w:rPr>
          <w:rFonts w:hint="eastAsia" w:eastAsia="仿宋_GB2312"/>
          <w:kern w:val="0"/>
          <w:sz w:val="32"/>
          <w:szCs w:val="32"/>
          <w:lang w:val="en-US" w:eastAsia="zh-CN"/>
        </w:rPr>
        <w:t>晶体</w:t>
      </w:r>
      <w:r>
        <w:rPr>
          <w:rFonts w:hint="eastAsia" w:eastAsia="仿宋_GB2312"/>
          <w:kern w:val="0"/>
          <w:sz w:val="32"/>
          <w:szCs w:val="32"/>
        </w:rPr>
        <w:t>渗透压测定和胶体渗透压测定。</w:t>
      </w:r>
      <w:r>
        <w:rPr>
          <w:rFonts w:eastAsia="仿宋_GB2312"/>
          <w:kern w:val="0"/>
          <w:sz w:val="32"/>
          <w:szCs w:val="32"/>
        </w:rPr>
        <w:t>本指导原则适用于</w:t>
      </w:r>
      <w:r>
        <w:rPr>
          <w:rFonts w:hint="eastAsia" w:eastAsia="仿宋_GB2312"/>
          <w:kern w:val="0"/>
          <w:sz w:val="32"/>
          <w:szCs w:val="32"/>
          <w:lang w:val="en-US" w:eastAsia="zh-CN"/>
        </w:rPr>
        <w:t>采用冰点下降原理</w:t>
      </w:r>
      <w:r>
        <w:rPr>
          <w:rFonts w:eastAsia="仿宋_GB2312"/>
          <w:kern w:val="0"/>
          <w:sz w:val="32"/>
          <w:szCs w:val="32"/>
        </w:rPr>
        <w:t>对尿液、血液</w:t>
      </w:r>
      <w:r>
        <w:rPr>
          <w:rFonts w:hint="eastAsia" w:eastAsia="仿宋_GB2312"/>
          <w:kern w:val="0"/>
          <w:sz w:val="32"/>
          <w:szCs w:val="32"/>
        </w:rPr>
        <w:t>等人体</w:t>
      </w:r>
      <w:r>
        <w:rPr>
          <w:rFonts w:hint="eastAsia" w:eastAsia="仿宋_GB2312"/>
          <w:kern w:val="0"/>
          <w:sz w:val="32"/>
          <w:szCs w:val="32"/>
          <w:lang w:val="en-US" w:eastAsia="zh-CN"/>
        </w:rPr>
        <w:t>体液晶体渗透压</w:t>
      </w:r>
      <w:r>
        <w:rPr>
          <w:rFonts w:hint="eastAsia" w:eastAsia="仿宋_GB2312"/>
          <w:kern w:val="0"/>
          <w:sz w:val="32"/>
          <w:szCs w:val="32"/>
        </w:rPr>
        <w:t>的测定</w:t>
      </w:r>
      <w:r>
        <w:rPr>
          <w:rFonts w:hint="eastAsia" w:eastAsia="仿宋_GB2312"/>
          <w:kern w:val="0"/>
          <w:sz w:val="32"/>
          <w:szCs w:val="32"/>
          <w:lang w:val="en-US" w:eastAsia="zh-CN"/>
        </w:rPr>
        <w:t>，以及采用</w:t>
      </w:r>
      <w:r>
        <w:rPr>
          <w:rFonts w:hint="default" w:eastAsia="仿宋_GB2312"/>
          <w:kern w:val="0"/>
          <w:sz w:val="32"/>
          <w:szCs w:val="32"/>
          <w:lang w:val="en-US" w:eastAsia="zh-CN"/>
        </w:rPr>
        <w:t>半透膜</w:t>
      </w:r>
      <w:r>
        <w:rPr>
          <w:rFonts w:hint="eastAsia" w:eastAsia="仿宋_GB2312"/>
          <w:kern w:val="0"/>
          <w:sz w:val="32"/>
          <w:szCs w:val="32"/>
          <w:lang w:val="en-US" w:eastAsia="zh-CN"/>
        </w:rPr>
        <w:t>渗透原理</w:t>
      </w:r>
      <w:r>
        <w:rPr>
          <w:rFonts w:hint="eastAsia" w:eastAsia="仿宋_GB2312"/>
          <w:kern w:val="0"/>
          <w:sz w:val="32"/>
          <w:szCs w:val="32"/>
        </w:rPr>
        <w:t>对血液等</w:t>
      </w:r>
      <w:r>
        <w:rPr>
          <w:rFonts w:eastAsia="仿宋_GB2312"/>
          <w:kern w:val="0"/>
          <w:sz w:val="32"/>
          <w:szCs w:val="32"/>
        </w:rPr>
        <w:t>人体</w:t>
      </w:r>
      <w:r>
        <w:rPr>
          <w:rFonts w:hint="eastAsia" w:eastAsia="仿宋_GB2312"/>
          <w:kern w:val="0"/>
          <w:sz w:val="32"/>
          <w:szCs w:val="32"/>
        </w:rPr>
        <w:t>样本</w:t>
      </w:r>
      <w:r>
        <w:rPr>
          <w:rFonts w:hint="eastAsia" w:eastAsia="仿宋_GB2312"/>
          <w:kern w:val="0"/>
          <w:sz w:val="32"/>
          <w:szCs w:val="32"/>
          <w:lang w:val="en-US" w:eastAsia="zh-CN"/>
        </w:rPr>
        <w:t>胶体渗透压</w:t>
      </w:r>
      <w:r>
        <w:rPr>
          <w:rFonts w:hint="eastAsia" w:eastAsia="仿宋_GB2312"/>
          <w:kern w:val="0"/>
          <w:sz w:val="32"/>
          <w:szCs w:val="32"/>
        </w:rPr>
        <w:t>的测定。采用其他方法的渗透压测定仪</w:t>
      </w:r>
      <w:r>
        <w:rPr>
          <w:rFonts w:hint="eastAsia" w:eastAsia="仿宋_GB2312"/>
          <w:kern w:val="0"/>
          <w:sz w:val="32"/>
          <w:szCs w:val="32"/>
          <w:lang w:val="en-US" w:eastAsia="zh-CN"/>
        </w:rPr>
        <w:t>注册</w:t>
      </w:r>
      <w:r>
        <w:rPr>
          <w:rFonts w:eastAsia="仿宋_GB2312"/>
          <w:sz w:val="32"/>
        </w:rPr>
        <w:t>可参照本指导原则，但</w:t>
      </w:r>
      <w:r>
        <w:rPr>
          <w:rFonts w:hint="eastAsia" w:ascii="Times New Roman" w:hAnsi="Times New Roman" w:eastAsia="仿宋_GB2312" w:cs="Times New Roman"/>
          <w:color w:val="000000"/>
          <w:kern w:val="0"/>
          <w:sz w:val="32"/>
          <w:szCs w:val="28"/>
          <w:lang w:val="en-US" w:eastAsia="zh-CN"/>
        </w:rPr>
        <w:t>应根据产品的具体特性确定其中内容是否适用。</w:t>
      </w:r>
    </w:p>
    <w:p w14:paraId="1247BD0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color w:val="000000"/>
          <w:kern w:val="0"/>
          <w:sz w:val="32"/>
          <w:szCs w:val="28"/>
          <w:lang w:val="en-US" w:eastAsia="zh-CN"/>
        </w:rPr>
      </w:pPr>
      <w:r>
        <w:rPr>
          <w:rFonts w:hint="eastAsia" w:ascii="Times New Roman" w:hAnsi="Times New Roman" w:eastAsia="仿宋_GB2312" w:cs="Times New Roman"/>
          <w:color w:val="000000"/>
          <w:kern w:val="0"/>
          <w:sz w:val="32"/>
          <w:szCs w:val="28"/>
          <w:lang w:val="en-US" w:eastAsia="zh-CN"/>
        </w:rPr>
        <w:t>本指导原则针对</w:t>
      </w:r>
      <w:r>
        <w:rPr>
          <w:rFonts w:eastAsia="仿宋_GB2312"/>
          <w:kern w:val="0"/>
          <w:sz w:val="32"/>
          <w:szCs w:val="32"/>
        </w:rPr>
        <w:t>渗透压测定仪</w:t>
      </w:r>
      <w:r>
        <w:rPr>
          <w:rFonts w:hint="eastAsia" w:ascii="Times New Roman" w:hAnsi="Times New Roman" w:eastAsia="仿宋_GB2312" w:cs="Times New Roman"/>
          <w:color w:val="000000"/>
          <w:kern w:val="0"/>
          <w:sz w:val="32"/>
          <w:szCs w:val="28"/>
          <w:lang w:val="en-US" w:eastAsia="zh-CN"/>
        </w:rPr>
        <w:t>注册申报资料中的部分内容进行撰写，其他未尽事宜应当符合《关于公布医疗器械注册申报资料要求和批准证明文件格式的公告》等相关法规要求。</w:t>
      </w:r>
    </w:p>
    <w:p w14:paraId="0956EF0E">
      <w:pPr>
        <w:pStyle w:val="8"/>
        <w:widowControl w:val="0"/>
        <w:spacing w:line="600" w:lineRule="exact"/>
        <w:ind w:firstLine="640"/>
        <w:rPr>
          <w:rFonts w:hint="eastAsia" w:ascii="Times New Roman" w:hAnsi="Times New Roman" w:eastAsia="黑体" w:cs="Times New Roman"/>
          <w:bCs/>
          <w:color w:val="auto"/>
          <w:kern w:val="2"/>
          <w:sz w:val="32"/>
          <w:szCs w:val="32"/>
        </w:rPr>
      </w:pPr>
      <w:r>
        <w:rPr>
          <w:rFonts w:hint="eastAsia" w:ascii="Times New Roman" w:hAnsi="Times New Roman" w:eastAsia="黑体" w:cs="Times New Roman"/>
          <w:bCs/>
          <w:color w:val="auto"/>
          <w:kern w:val="2"/>
          <w:sz w:val="32"/>
          <w:szCs w:val="32"/>
          <w:lang w:val="en-US" w:eastAsia="zh-CN"/>
        </w:rPr>
        <w:t>二、</w:t>
      </w:r>
      <w:r>
        <w:rPr>
          <w:rFonts w:hint="eastAsia" w:ascii="Times New Roman" w:hAnsi="Times New Roman" w:eastAsia="黑体" w:cs="Times New Roman"/>
          <w:bCs/>
          <w:color w:val="auto"/>
          <w:kern w:val="2"/>
          <w:sz w:val="32"/>
          <w:szCs w:val="32"/>
        </w:rPr>
        <w:t>注册审查要点</w:t>
      </w:r>
    </w:p>
    <w:p w14:paraId="33CD1559">
      <w:pPr>
        <w:numPr>
          <w:ilvl w:val="0"/>
          <w:numId w:val="0"/>
        </w:numPr>
        <w:tabs>
          <w:tab w:val="left" w:pos="6720"/>
        </w:tabs>
        <w:spacing w:line="520" w:lineRule="exact"/>
        <w:ind w:firstLine="640" w:firstLineChars="200"/>
        <w:outlineLvl w:val="0"/>
        <w:rPr>
          <w:rFonts w:hint="eastAsia" w:ascii="Times New Roman" w:hAnsi="Times New Roman" w:eastAsia="楷体_GB2312" w:cs="Times New Roman"/>
          <w:bCs/>
          <w:color w:val="auto"/>
          <w:kern w:val="2"/>
          <w:sz w:val="32"/>
          <w:szCs w:val="32"/>
          <w:lang w:val="en-US" w:eastAsia="zh-CN" w:bidi="ar-SA"/>
        </w:rPr>
      </w:pPr>
      <w:r>
        <w:rPr>
          <w:rFonts w:eastAsia="楷体_GB2312"/>
          <w:sz w:val="32"/>
          <w:szCs w:val="32"/>
        </w:rPr>
        <w:t>（一）</w:t>
      </w:r>
      <w:r>
        <w:rPr>
          <w:rFonts w:hint="eastAsia" w:ascii="Times New Roman" w:hAnsi="Times New Roman" w:eastAsia="楷体_GB2312" w:cs="Times New Roman"/>
          <w:bCs/>
          <w:color w:val="auto"/>
          <w:kern w:val="2"/>
          <w:sz w:val="32"/>
          <w:szCs w:val="32"/>
          <w:lang w:val="en-US" w:eastAsia="zh-CN" w:bidi="ar-SA"/>
        </w:rPr>
        <w:t>监管信息</w:t>
      </w:r>
    </w:p>
    <w:p w14:paraId="7813FF3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1.产品名称</w:t>
      </w:r>
    </w:p>
    <w:p w14:paraId="502DF77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eastAsia="仿宋_GB2312"/>
          <w:kern w:val="0"/>
          <w:sz w:val="32"/>
          <w:szCs w:val="32"/>
          <w:lang w:val="en-US" w:eastAsia="zh-CN"/>
        </w:rPr>
      </w:pPr>
      <w:r>
        <w:rPr>
          <w:rFonts w:hint="eastAsia" w:eastAsia="仿宋_GB2312"/>
          <w:kern w:val="0"/>
          <w:sz w:val="32"/>
          <w:szCs w:val="32"/>
          <w:lang w:val="en-US" w:eastAsia="zh-CN"/>
        </w:rPr>
        <w:t>根据《医疗器械注册与备案管理办法》、《医疗器械通用名称命名指导原则》、《临床检验器械通用名称命名指导原则》和《医疗器械分类目录》及相关法规的要求，产品名称通常由一个核心词和一般不超过三个特征词组成。申请人可结合申报产品的特征，直接选用《医疗器械分类目录》品名举例中的适用名称，如：全自动冰点渗透压计、冰点渗透压测定仪、胶体渗透压测定仪；也可根据医疗器械命名原则，参考《医疗器械分类目录》中的品名举例确定命名，并详细描述确定依据。</w:t>
      </w:r>
    </w:p>
    <w:p w14:paraId="5030EB43">
      <w:pPr>
        <w:spacing w:line="520" w:lineRule="exact"/>
        <w:ind w:firstLine="640" w:firstLineChars="200"/>
        <w:rPr>
          <w:rFonts w:eastAsia="仿宋_GB2312"/>
          <w:sz w:val="32"/>
          <w:szCs w:val="28"/>
        </w:rPr>
      </w:pPr>
      <w:r>
        <w:rPr>
          <w:rFonts w:eastAsia="仿宋_GB2312"/>
          <w:sz w:val="32"/>
          <w:szCs w:val="28"/>
        </w:rPr>
        <w:t>2.分类编码</w:t>
      </w:r>
    </w:p>
    <w:p w14:paraId="7FBE4BCB">
      <w:pPr>
        <w:spacing w:line="520" w:lineRule="exact"/>
        <w:ind w:firstLine="640" w:firstLineChars="200"/>
        <w:rPr>
          <w:rFonts w:eastAsia="仿宋_GB2312"/>
          <w:kern w:val="0"/>
          <w:sz w:val="32"/>
          <w:szCs w:val="32"/>
        </w:rPr>
      </w:pPr>
      <w:r>
        <w:rPr>
          <w:rFonts w:eastAsia="仿宋_GB2312"/>
          <w:sz w:val="32"/>
          <w:szCs w:val="28"/>
        </w:rPr>
        <w:t>根据《医疗器械分类目录》，渗透压测定仪管理类别为Ⅱ类，分类编码为</w:t>
      </w:r>
      <w:r>
        <w:rPr>
          <w:rFonts w:eastAsia="仿宋_GB2312"/>
          <w:kern w:val="0"/>
          <w:sz w:val="32"/>
          <w:szCs w:val="32"/>
        </w:rPr>
        <w:t>22-</w:t>
      </w:r>
      <w:r>
        <w:rPr>
          <w:rFonts w:hint="eastAsia" w:eastAsia="仿宋_GB2312"/>
          <w:kern w:val="0"/>
          <w:sz w:val="32"/>
          <w:szCs w:val="32"/>
        </w:rPr>
        <w:t>10-06</w:t>
      </w:r>
      <w:r>
        <w:rPr>
          <w:rFonts w:eastAsia="仿宋_GB2312"/>
          <w:kern w:val="0"/>
          <w:sz w:val="32"/>
          <w:szCs w:val="32"/>
        </w:rPr>
        <w:t>。</w:t>
      </w:r>
    </w:p>
    <w:p w14:paraId="426E9E83">
      <w:pPr>
        <w:spacing w:line="520" w:lineRule="exact"/>
        <w:ind w:firstLine="640" w:firstLineChars="200"/>
        <w:rPr>
          <w:rFonts w:eastAsia="仿宋_GB2312"/>
          <w:kern w:val="0"/>
          <w:sz w:val="32"/>
          <w:szCs w:val="32"/>
        </w:rPr>
      </w:pPr>
      <w:r>
        <w:rPr>
          <w:rFonts w:eastAsia="仿宋_GB2312"/>
          <w:kern w:val="0"/>
          <w:sz w:val="32"/>
          <w:szCs w:val="32"/>
        </w:rPr>
        <w:t>3.注册单元划分</w:t>
      </w:r>
    </w:p>
    <w:p w14:paraId="28C3D37E">
      <w:pPr>
        <w:adjustRightInd w:val="0"/>
        <w:snapToGrid w:val="0"/>
        <w:spacing w:line="520" w:lineRule="exact"/>
        <w:ind w:firstLine="640"/>
        <w:rPr>
          <w:rFonts w:eastAsia="仿宋_GB2312"/>
          <w:kern w:val="0"/>
          <w:sz w:val="32"/>
          <w:szCs w:val="32"/>
        </w:rPr>
      </w:pPr>
      <w:r>
        <w:rPr>
          <w:rFonts w:eastAsia="仿宋_GB2312"/>
          <w:kern w:val="0"/>
          <w:sz w:val="32"/>
          <w:szCs w:val="32"/>
        </w:rPr>
        <w:t>参照《医疗器械注册单元划分指导原则》中有源医疗器械注册单元划分的基本原则进行划分。</w:t>
      </w:r>
    </w:p>
    <w:p w14:paraId="3A778129">
      <w:pPr>
        <w:spacing w:line="520" w:lineRule="exact"/>
        <w:ind w:firstLine="640" w:firstLineChars="200"/>
        <w:jc w:val="both"/>
        <w:rPr>
          <w:rFonts w:hint="eastAsia" w:ascii="宋体" w:hAnsi="宋体"/>
        </w:rPr>
      </w:pPr>
      <w:r>
        <w:rPr>
          <w:rFonts w:eastAsia="仿宋_GB2312"/>
          <w:kern w:val="0"/>
          <w:sz w:val="32"/>
          <w:szCs w:val="32"/>
        </w:rPr>
        <w:t>原则上同一注册单元渗透压测定仪的技术原理、结构组成、性能指标和适用范围应基本一致</w:t>
      </w:r>
      <w:r>
        <w:rPr>
          <w:rFonts w:hint="eastAsia" w:eastAsia="仿宋_GB2312"/>
          <w:kern w:val="0"/>
          <w:sz w:val="32"/>
          <w:szCs w:val="32"/>
        </w:rPr>
        <w:t>。</w:t>
      </w:r>
    </w:p>
    <w:p w14:paraId="2CF7D294">
      <w:pPr>
        <w:spacing w:line="520" w:lineRule="exact"/>
        <w:ind w:firstLine="640" w:firstLineChars="200"/>
        <w:rPr>
          <w:rFonts w:eastAsia="仿宋_GB2312"/>
          <w:kern w:val="0"/>
          <w:sz w:val="32"/>
          <w:szCs w:val="32"/>
        </w:rPr>
      </w:pPr>
      <w:r>
        <w:rPr>
          <w:rFonts w:eastAsia="仿宋_GB2312"/>
          <w:kern w:val="0"/>
          <w:sz w:val="32"/>
          <w:szCs w:val="32"/>
        </w:rPr>
        <w:t>符合下列任一情况的产品，原则上划分为不同的注册单元：</w:t>
      </w:r>
    </w:p>
    <w:p w14:paraId="44D6AE73">
      <w:pPr>
        <w:spacing w:line="520" w:lineRule="exact"/>
        <w:ind w:firstLine="640" w:firstLineChars="200"/>
        <w:jc w:val="left"/>
        <w:rPr>
          <w:rFonts w:eastAsia="仿宋_GB2312"/>
          <w:kern w:val="0"/>
          <w:sz w:val="32"/>
          <w:szCs w:val="32"/>
        </w:rPr>
      </w:pPr>
      <w:r>
        <w:rPr>
          <w:rFonts w:eastAsia="仿宋_GB2312"/>
          <w:kern w:val="0"/>
          <w:sz w:val="32"/>
          <w:szCs w:val="32"/>
        </w:rPr>
        <w:t>（1）产品的</w:t>
      </w:r>
      <w:r>
        <w:rPr>
          <w:rFonts w:hint="eastAsia" w:eastAsia="仿宋_GB2312"/>
          <w:kern w:val="0"/>
          <w:sz w:val="32"/>
          <w:szCs w:val="32"/>
          <w:lang w:val="en-US" w:eastAsia="zh-CN"/>
        </w:rPr>
        <w:t>工作原理</w:t>
      </w:r>
      <w:r>
        <w:rPr>
          <w:rFonts w:eastAsia="仿宋_GB2312"/>
          <w:kern w:val="0"/>
          <w:sz w:val="32"/>
          <w:szCs w:val="32"/>
        </w:rPr>
        <w:t>不同，原则上划分为不同的注册单元。</w:t>
      </w:r>
      <w:r>
        <w:rPr>
          <w:rFonts w:hint="eastAsia" w:eastAsia="仿宋_GB2312"/>
          <w:kern w:val="0"/>
          <w:sz w:val="32"/>
          <w:szCs w:val="32"/>
        </w:rPr>
        <w:t>如，采用冰点下降法的产品和</w:t>
      </w:r>
      <w:r>
        <w:rPr>
          <w:rFonts w:hint="eastAsia" w:eastAsia="仿宋_GB2312"/>
          <w:kern w:val="0"/>
          <w:sz w:val="32"/>
          <w:szCs w:val="32"/>
          <w:lang w:val="en-US" w:eastAsia="zh-CN"/>
        </w:rPr>
        <w:t>半透膜</w:t>
      </w:r>
      <w:r>
        <w:rPr>
          <w:rFonts w:hint="eastAsia" w:eastAsia="仿宋_GB2312"/>
          <w:kern w:val="0"/>
          <w:sz w:val="32"/>
          <w:szCs w:val="32"/>
        </w:rPr>
        <w:t>渗透法的产品，</w:t>
      </w:r>
      <w:r>
        <w:rPr>
          <w:rFonts w:eastAsia="仿宋_GB2312"/>
          <w:kern w:val="0"/>
          <w:sz w:val="32"/>
          <w:szCs w:val="32"/>
        </w:rPr>
        <w:t>应划分为不同的注册单元。</w:t>
      </w:r>
    </w:p>
    <w:p w14:paraId="1BD900BE">
      <w:pPr>
        <w:spacing w:line="520" w:lineRule="exact"/>
        <w:ind w:firstLine="640" w:firstLineChars="200"/>
        <w:rPr>
          <w:rFonts w:eastAsia="仿宋_GB2312"/>
          <w:kern w:val="0"/>
          <w:sz w:val="32"/>
          <w:szCs w:val="32"/>
          <w:highlight w:val="none"/>
        </w:rPr>
      </w:pPr>
      <w:r>
        <w:rPr>
          <w:rFonts w:eastAsia="仿宋_GB2312"/>
          <w:kern w:val="0"/>
          <w:sz w:val="32"/>
          <w:szCs w:val="32"/>
          <w:highlight w:val="none"/>
        </w:rPr>
        <w:t>（2）</w:t>
      </w:r>
      <w:r>
        <w:rPr>
          <w:rFonts w:hint="eastAsia" w:eastAsia="仿宋_GB2312"/>
          <w:kern w:val="0"/>
          <w:sz w:val="32"/>
          <w:szCs w:val="32"/>
          <w:highlight w:val="none"/>
        </w:rPr>
        <w:t>性能指标有较大差异的</w:t>
      </w:r>
      <w:r>
        <w:rPr>
          <w:rFonts w:eastAsia="仿宋_GB2312"/>
          <w:kern w:val="0"/>
          <w:sz w:val="32"/>
          <w:szCs w:val="32"/>
          <w:highlight w:val="none"/>
        </w:rPr>
        <w:t>，原则上划分为不同的注册单元。</w:t>
      </w:r>
    </w:p>
    <w:p w14:paraId="76BC56F4">
      <w:pPr>
        <w:pStyle w:val="8"/>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 w:hAnsi="仿宋" w:eastAsia="仿宋" w:cs="仿宋"/>
          <w:spacing w:val="2"/>
          <w:sz w:val="32"/>
          <w:szCs w:val="32"/>
        </w:rPr>
      </w:pPr>
      <w:r>
        <w:rPr>
          <w:rFonts w:hint="eastAsia" w:ascii="Times New Roman" w:hAnsi="Times New Roman" w:eastAsia="仿宋_GB2312" w:cs="Times New Roman"/>
          <w:color w:val="auto"/>
          <w:kern w:val="2"/>
          <w:sz w:val="32"/>
          <w:szCs w:val="24"/>
          <w:lang w:val="en-US" w:eastAsia="zh-CN" w:bidi="ar-SA"/>
        </w:rPr>
        <w:t>4.</w:t>
      </w:r>
      <w:r>
        <w:rPr>
          <w:rFonts w:hint="default" w:ascii="Times New Roman" w:hAnsi="Times New Roman" w:eastAsia="仿宋_GB2312" w:cs="Times New Roman"/>
          <w:color w:val="auto"/>
          <w:kern w:val="2"/>
          <w:sz w:val="32"/>
          <w:szCs w:val="24"/>
          <w:lang w:val="en-US" w:eastAsia="zh-CN" w:bidi="ar-SA"/>
        </w:rPr>
        <w:t>其他信息还包括产品列表、关联文件、申报前与监管机构的联系情况和沟通记录以及符合性声明等文件。</w:t>
      </w:r>
    </w:p>
    <w:p w14:paraId="415BD6B9">
      <w:pPr>
        <w:spacing w:line="520" w:lineRule="exact"/>
        <w:ind w:firstLine="640" w:firstLineChars="200"/>
        <w:rPr>
          <w:rFonts w:eastAsia="楷体_GB2312"/>
          <w:sz w:val="32"/>
          <w:szCs w:val="32"/>
        </w:rPr>
      </w:pPr>
      <w:r>
        <w:rPr>
          <w:rFonts w:hint="eastAsia" w:eastAsia="楷体_GB2312"/>
          <w:sz w:val="32"/>
          <w:szCs w:val="32"/>
        </w:rPr>
        <w:t>（二）综述资料</w:t>
      </w:r>
    </w:p>
    <w:p w14:paraId="20E34E1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kern w:val="2"/>
          <w:sz w:val="32"/>
          <w:szCs w:val="24"/>
        </w:rPr>
      </w:pPr>
      <w:r>
        <w:rPr>
          <w:rFonts w:hint="eastAsia" w:ascii="Times New Roman" w:hAnsi="Times New Roman" w:eastAsia="仿宋_GB2312" w:cs="Times New Roman"/>
          <w:sz w:val="32"/>
          <w:szCs w:val="32"/>
        </w:rPr>
        <w:t>1.</w:t>
      </w:r>
      <w:r>
        <w:rPr>
          <w:rFonts w:hint="default" w:ascii="Times New Roman" w:hAnsi="Times New Roman" w:eastAsia="仿宋_GB2312" w:cs="Times New Roman"/>
          <w:kern w:val="2"/>
          <w:sz w:val="32"/>
          <w:szCs w:val="24"/>
        </w:rPr>
        <w:t>产品描述</w:t>
      </w:r>
    </w:p>
    <w:p w14:paraId="7F899412">
      <w:pPr>
        <w:spacing w:line="520" w:lineRule="exact"/>
        <w:ind w:firstLine="640" w:firstLineChars="200"/>
        <w:rPr>
          <w:rFonts w:hint="eastAsia" w:eastAsia="仿宋_GB2312"/>
          <w:kern w:val="0"/>
          <w:sz w:val="32"/>
          <w:szCs w:val="32"/>
          <w:lang w:val="en-US" w:eastAsia="zh-CN"/>
        </w:rPr>
      </w:pPr>
      <w:r>
        <w:rPr>
          <w:rFonts w:hint="eastAsia" w:eastAsia="仿宋_GB2312"/>
          <w:kern w:val="0"/>
          <w:sz w:val="32"/>
          <w:szCs w:val="32"/>
          <w:lang w:val="en-US" w:eastAsia="zh-CN"/>
        </w:rPr>
        <w:t>1.1工作原理</w:t>
      </w:r>
    </w:p>
    <w:p w14:paraId="2FD6D6C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eastAsia="仿宋_GB2312"/>
          <w:color w:val="EE0000"/>
          <w:kern w:val="0"/>
          <w:sz w:val="32"/>
          <w:szCs w:val="32"/>
          <w:lang w:eastAsia="zh-CN"/>
        </w:rPr>
      </w:pPr>
      <w:r>
        <w:rPr>
          <w:rFonts w:hint="eastAsia" w:eastAsia="仿宋_GB2312" w:cs="Times New Roman"/>
          <w:color w:val="auto"/>
          <w:kern w:val="2"/>
          <w:sz w:val="32"/>
          <w:szCs w:val="24"/>
          <w:lang w:val="en-US" w:eastAsia="zh-CN" w:bidi="ar-SA"/>
        </w:rPr>
        <w:t>渗透压</w:t>
      </w:r>
      <w:r>
        <w:rPr>
          <w:rFonts w:hint="eastAsia" w:ascii="Times New Roman" w:hAnsi="Times New Roman" w:eastAsia="仿宋_GB2312" w:cs="Times New Roman"/>
          <w:color w:val="auto"/>
          <w:kern w:val="2"/>
          <w:sz w:val="32"/>
          <w:szCs w:val="24"/>
          <w:lang w:val="en-US" w:eastAsia="zh-CN" w:bidi="ar-SA"/>
        </w:rPr>
        <w:t>一般分为冰点渗透压测定和胶体渗透压测定。冰点渗透压测定仪通常由制冷模块、搅动模块、测温传感器模块和计算机系统组成；原理一般为振动原理结晶。胶体渗透压测定仪通常由半透膜及其固定装置参比液室电压传感器和计算机系统组成。原理一般为渗透原理。申请</w:t>
      </w:r>
      <w:r>
        <w:rPr>
          <w:rFonts w:eastAsia="仿宋_GB2312"/>
          <w:kern w:val="0"/>
          <w:sz w:val="32"/>
          <w:szCs w:val="32"/>
        </w:rPr>
        <w:t>人应当根据申报产品的特点写明申报产品</w:t>
      </w:r>
      <w:r>
        <w:rPr>
          <w:rFonts w:hint="eastAsia" w:eastAsia="仿宋_GB2312"/>
          <w:kern w:val="0"/>
          <w:sz w:val="32"/>
          <w:szCs w:val="32"/>
        </w:rPr>
        <w:t>采用的</w:t>
      </w:r>
      <w:r>
        <w:rPr>
          <w:rFonts w:hint="eastAsia" w:eastAsia="仿宋_GB2312"/>
          <w:kern w:val="0"/>
          <w:sz w:val="32"/>
          <w:szCs w:val="32"/>
          <w:lang w:val="en-US" w:eastAsia="zh-CN"/>
        </w:rPr>
        <w:t>具体</w:t>
      </w:r>
      <w:r>
        <w:rPr>
          <w:rFonts w:hint="eastAsia" w:eastAsia="仿宋_GB2312"/>
          <w:kern w:val="0"/>
          <w:sz w:val="32"/>
          <w:szCs w:val="32"/>
        </w:rPr>
        <w:t>方法。</w:t>
      </w:r>
    </w:p>
    <w:p w14:paraId="42B5E93E">
      <w:pPr>
        <w:spacing w:line="520" w:lineRule="exact"/>
        <w:ind w:firstLine="640" w:firstLineChars="200"/>
        <w:rPr>
          <w:rFonts w:hint="eastAsia" w:eastAsia="仿宋_GB2312"/>
          <w:kern w:val="0"/>
          <w:sz w:val="32"/>
          <w:szCs w:val="32"/>
        </w:rPr>
      </w:pPr>
      <w:r>
        <w:rPr>
          <w:rFonts w:hint="eastAsia" w:eastAsia="仿宋_GB2312"/>
          <w:kern w:val="0"/>
          <w:sz w:val="32"/>
          <w:szCs w:val="32"/>
          <w:lang w:val="en-US" w:eastAsia="zh-CN"/>
        </w:rPr>
        <w:t>1</w:t>
      </w:r>
      <w:r>
        <w:rPr>
          <w:rFonts w:hint="eastAsia" w:eastAsia="仿宋_GB2312"/>
          <w:kern w:val="0"/>
          <w:sz w:val="32"/>
          <w:szCs w:val="32"/>
        </w:rPr>
        <w:t>.</w:t>
      </w:r>
      <w:r>
        <w:rPr>
          <w:rFonts w:hint="eastAsia" w:eastAsia="仿宋_GB2312"/>
          <w:kern w:val="0"/>
          <w:sz w:val="32"/>
          <w:szCs w:val="32"/>
          <w:lang w:val="en-US" w:eastAsia="zh-CN"/>
        </w:rPr>
        <w:t>2</w:t>
      </w:r>
      <w:r>
        <w:rPr>
          <w:rFonts w:hint="eastAsia" w:eastAsia="仿宋_GB2312"/>
          <w:kern w:val="0"/>
          <w:sz w:val="32"/>
          <w:szCs w:val="32"/>
        </w:rPr>
        <w:t>结构及组成</w:t>
      </w:r>
    </w:p>
    <w:p w14:paraId="13AC8AF9">
      <w:pPr>
        <w:spacing w:line="520" w:lineRule="exact"/>
        <w:ind w:firstLine="640" w:firstLineChars="200"/>
        <w:rPr>
          <w:rFonts w:eastAsia="仿宋_GB2312"/>
          <w:kern w:val="0"/>
          <w:sz w:val="32"/>
          <w:szCs w:val="32"/>
        </w:rPr>
      </w:pPr>
      <w:r>
        <w:rPr>
          <w:rFonts w:hint="eastAsia" w:eastAsia="仿宋_GB2312"/>
          <w:kern w:val="0"/>
          <w:sz w:val="32"/>
          <w:szCs w:val="32"/>
        </w:rPr>
        <w:t>冰点渗透压测定仪通常由制冷模块、</w:t>
      </w:r>
      <w:r>
        <w:rPr>
          <w:rFonts w:hint="eastAsia" w:eastAsia="仿宋_GB2312"/>
          <w:kern w:val="0"/>
          <w:sz w:val="32"/>
          <w:szCs w:val="32"/>
          <w:lang w:val="en-US" w:eastAsia="zh-CN"/>
        </w:rPr>
        <w:t>扰</w:t>
      </w:r>
      <w:r>
        <w:rPr>
          <w:rFonts w:hint="eastAsia" w:eastAsia="仿宋_GB2312"/>
          <w:kern w:val="0"/>
          <w:sz w:val="32"/>
          <w:szCs w:val="32"/>
        </w:rPr>
        <w:t>动模块、测温传感器模块</w:t>
      </w:r>
      <w:r>
        <w:rPr>
          <w:rFonts w:hint="eastAsia" w:eastAsia="仿宋_GB2312"/>
          <w:kern w:val="0"/>
          <w:sz w:val="32"/>
          <w:szCs w:val="32"/>
          <w:lang w:val="en-US" w:eastAsia="zh-CN"/>
        </w:rPr>
        <w:t>和</w:t>
      </w:r>
      <w:r>
        <w:rPr>
          <w:rFonts w:hint="eastAsia" w:ascii="Times New Roman" w:hAnsi="Times New Roman" w:eastAsia="仿宋_GB2312" w:cs="Times New Roman"/>
          <w:color w:val="auto"/>
          <w:kern w:val="2"/>
          <w:sz w:val="32"/>
          <w:szCs w:val="24"/>
          <w:lang w:val="en-US" w:eastAsia="zh-CN" w:bidi="ar-SA"/>
        </w:rPr>
        <w:t>计算机系统</w:t>
      </w:r>
      <w:r>
        <w:rPr>
          <w:rFonts w:hint="eastAsia" w:eastAsia="仿宋_GB2312"/>
          <w:kern w:val="0"/>
          <w:sz w:val="32"/>
          <w:szCs w:val="32"/>
          <w:lang w:val="en-US" w:eastAsia="zh-CN"/>
        </w:rPr>
        <w:t>组</w:t>
      </w:r>
      <w:r>
        <w:rPr>
          <w:rFonts w:hint="eastAsia" w:eastAsia="仿宋_GB2312"/>
          <w:kern w:val="0"/>
          <w:sz w:val="32"/>
          <w:szCs w:val="32"/>
        </w:rPr>
        <w:t>成</w:t>
      </w:r>
      <w:r>
        <w:rPr>
          <w:rFonts w:hint="eastAsia" w:eastAsia="仿宋_GB2312"/>
          <w:kern w:val="0"/>
          <w:sz w:val="32"/>
          <w:szCs w:val="32"/>
          <w:lang w:eastAsia="zh-CN"/>
        </w:rPr>
        <w:t>，</w:t>
      </w:r>
      <w:r>
        <w:rPr>
          <w:rFonts w:hint="eastAsia" w:eastAsia="仿宋_GB2312"/>
          <w:kern w:val="0"/>
          <w:sz w:val="32"/>
          <w:szCs w:val="32"/>
          <w:lang w:val="en-US" w:eastAsia="zh-CN"/>
        </w:rPr>
        <w:t>结构示意图如图1</w:t>
      </w:r>
      <w:r>
        <w:rPr>
          <w:rFonts w:hint="eastAsia" w:eastAsia="仿宋_GB2312"/>
          <w:kern w:val="0"/>
          <w:sz w:val="32"/>
          <w:szCs w:val="32"/>
        </w:rPr>
        <w:t>。制冷模块用于</w:t>
      </w:r>
      <w:r>
        <w:rPr>
          <w:rFonts w:eastAsia="仿宋_GB2312"/>
          <w:kern w:val="0"/>
          <w:sz w:val="32"/>
          <w:szCs w:val="32"/>
        </w:rPr>
        <w:t>调节</w:t>
      </w:r>
      <w:r>
        <w:rPr>
          <w:rFonts w:hint="eastAsia" w:eastAsia="仿宋_GB2312"/>
          <w:kern w:val="0"/>
          <w:sz w:val="32"/>
          <w:szCs w:val="32"/>
          <w:lang w:val="en-US" w:eastAsia="zh-CN"/>
        </w:rPr>
        <w:t>待测溶液</w:t>
      </w:r>
      <w:r>
        <w:rPr>
          <w:rFonts w:hint="eastAsia" w:eastAsia="仿宋_GB2312"/>
          <w:kern w:val="0"/>
          <w:sz w:val="32"/>
          <w:szCs w:val="32"/>
        </w:rPr>
        <w:t>制冷温度，使</w:t>
      </w:r>
      <w:r>
        <w:rPr>
          <w:rFonts w:hint="eastAsia" w:eastAsia="仿宋_GB2312"/>
          <w:kern w:val="0"/>
          <w:sz w:val="32"/>
          <w:szCs w:val="32"/>
          <w:lang w:val="en-US" w:eastAsia="zh-CN"/>
        </w:rPr>
        <w:t>待测</w:t>
      </w:r>
      <w:r>
        <w:rPr>
          <w:rFonts w:hint="eastAsia" w:eastAsia="仿宋_GB2312"/>
          <w:kern w:val="0"/>
          <w:sz w:val="32"/>
          <w:szCs w:val="32"/>
        </w:rPr>
        <w:t>溶液</w:t>
      </w:r>
      <w:r>
        <w:rPr>
          <w:rFonts w:eastAsia="仿宋_GB2312"/>
          <w:kern w:val="0"/>
          <w:sz w:val="32"/>
          <w:szCs w:val="32"/>
        </w:rPr>
        <w:t>降至设定温度</w:t>
      </w:r>
      <w:r>
        <w:rPr>
          <w:rFonts w:hint="eastAsia" w:eastAsia="仿宋_GB2312"/>
          <w:kern w:val="0"/>
          <w:sz w:val="32"/>
          <w:szCs w:val="32"/>
          <w:lang w:eastAsia="zh-CN"/>
        </w:rPr>
        <w:t>。</w:t>
      </w:r>
      <w:r>
        <w:rPr>
          <w:rFonts w:hint="eastAsia" w:eastAsia="仿宋_GB2312"/>
          <w:kern w:val="0"/>
          <w:sz w:val="32"/>
          <w:szCs w:val="32"/>
          <w:lang w:val="en-US" w:eastAsia="zh-CN"/>
        </w:rPr>
        <w:t>扰</w:t>
      </w:r>
      <w:r>
        <w:rPr>
          <w:rFonts w:hint="eastAsia" w:eastAsia="仿宋_GB2312"/>
          <w:kern w:val="0"/>
          <w:sz w:val="32"/>
          <w:szCs w:val="32"/>
        </w:rPr>
        <w:t>动模块可使用探针引晶方式或振动结晶方式，用于给</w:t>
      </w:r>
      <w:r>
        <w:rPr>
          <w:rFonts w:hint="eastAsia" w:eastAsia="仿宋_GB2312"/>
          <w:kern w:val="0"/>
          <w:sz w:val="32"/>
          <w:szCs w:val="32"/>
          <w:lang w:val="en-US" w:eastAsia="zh-CN"/>
        </w:rPr>
        <w:t>待测</w:t>
      </w:r>
      <w:r>
        <w:rPr>
          <w:rFonts w:hint="eastAsia" w:eastAsia="仿宋_GB2312"/>
          <w:kern w:val="0"/>
          <w:sz w:val="32"/>
          <w:szCs w:val="32"/>
        </w:rPr>
        <w:t>溶液引晶或振动促进其结冰</w:t>
      </w:r>
      <w:r>
        <w:rPr>
          <w:rFonts w:hint="eastAsia" w:eastAsia="仿宋_GB2312"/>
          <w:kern w:val="0"/>
          <w:sz w:val="32"/>
          <w:szCs w:val="32"/>
          <w:lang w:eastAsia="zh-CN"/>
        </w:rPr>
        <w:t>。</w:t>
      </w:r>
      <w:r>
        <w:rPr>
          <w:rFonts w:hint="eastAsia" w:eastAsia="仿宋_GB2312"/>
          <w:kern w:val="0"/>
          <w:sz w:val="32"/>
          <w:szCs w:val="32"/>
        </w:rPr>
        <w:t>测温传感器模块用于实时监测</w:t>
      </w:r>
      <w:r>
        <w:rPr>
          <w:rFonts w:hint="eastAsia" w:eastAsia="仿宋_GB2312"/>
          <w:kern w:val="0"/>
          <w:sz w:val="32"/>
          <w:szCs w:val="32"/>
          <w:lang w:val="en-US" w:eastAsia="zh-CN"/>
        </w:rPr>
        <w:t>待测</w:t>
      </w:r>
      <w:r>
        <w:rPr>
          <w:rFonts w:hint="eastAsia" w:eastAsia="仿宋_GB2312"/>
          <w:kern w:val="0"/>
          <w:sz w:val="32"/>
          <w:szCs w:val="32"/>
        </w:rPr>
        <w:t>溶液温度，由</w:t>
      </w:r>
      <w:r>
        <w:rPr>
          <w:rFonts w:hint="eastAsia" w:eastAsia="仿宋_GB2312"/>
          <w:kern w:val="0"/>
          <w:sz w:val="32"/>
          <w:szCs w:val="32"/>
          <w:lang w:val="en-US" w:eastAsia="zh-CN"/>
        </w:rPr>
        <w:t>软件</w:t>
      </w:r>
      <w:r>
        <w:rPr>
          <w:rFonts w:eastAsia="仿宋_GB2312"/>
          <w:kern w:val="0"/>
          <w:sz w:val="32"/>
          <w:szCs w:val="32"/>
        </w:rPr>
        <w:t>将</w:t>
      </w:r>
      <w:r>
        <w:rPr>
          <w:rFonts w:hint="eastAsia" w:eastAsia="仿宋_GB2312"/>
          <w:kern w:val="0"/>
          <w:sz w:val="32"/>
          <w:szCs w:val="32"/>
          <w:lang w:val="en-US" w:eastAsia="zh-CN"/>
        </w:rPr>
        <w:t>待测</w:t>
      </w:r>
      <w:r>
        <w:rPr>
          <w:rFonts w:hint="eastAsia" w:eastAsia="仿宋_GB2312"/>
          <w:kern w:val="0"/>
          <w:sz w:val="32"/>
          <w:szCs w:val="32"/>
        </w:rPr>
        <w:t>溶液</w:t>
      </w:r>
      <w:r>
        <w:rPr>
          <w:rFonts w:eastAsia="仿宋_GB2312"/>
          <w:kern w:val="0"/>
          <w:sz w:val="32"/>
          <w:szCs w:val="32"/>
        </w:rPr>
        <w:t>的温度</w:t>
      </w:r>
      <w:r>
        <w:rPr>
          <w:rFonts w:hint="eastAsia" w:eastAsia="仿宋_GB2312"/>
          <w:kern w:val="0"/>
          <w:sz w:val="32"/>
          <w:szCs w:val="32"/>
        </w:rPr>
        <w:t>变化</w:t>
      </w:r>
      <w:r>
        <w:rPr>
          <w:rFonts w:hint="eastAsia" w:eastAsia="仿宋_GB2312"/>
          <w:kern w:val="0"/>
          <w:sz w:val="32"/>
          <w:szCs w:val="32"/>
          <w:lang w:eastAsia="zh-CN"/>
        </w:rPr>
        <w:t>（</w:t>
      </w:r>
      <w:r>
        <w:rPr>
          <w:rFonts w:eastAsia="仿宋_GB2312"/>
          <w:kern w:val="0"/>
          <w:sz w:val="32"/>
          <w:szCs w:val="32"/>
        </w:rPr>
        <w:t>冰点</w:t>
      </w:r>
      <w:r>
        <w:rPr>
          <w:rFonts w:hint="eastAsia" w:eastAsia="仿宋_GB2312"/>
          <w:kern w:val="0"/>
          <w:sz w:val="32"/>
          <w:szCs w:val="32"/>
        </w:rPr>
        <w:t>下降值</w:t>
      </w:r>
      <w:r>
        <w:rPr>
          <w:rFonts w:hint="eastAsia" w:eastAsia="仿宋_GB2312"/>
          <w:kern w:val="0"/>
          <w:sz w:val="32"/>
          <w:szCs w:val="32"/>
          <w:lang w:eastAsia="zh-CN"/>
        </w:rPr>
        <w:t>）</w:t>
      </w:r>
      <w:r>
        <w:rPr>
          <w:rFonts w:eastAsia="仿宋_GB2312"/>
          <w:kern w:val="0"/>
          <w:sz w:val="32"/>
          <w:szCs w:val="32"/>
        </w:rPr>
        <w:t>转换为电信号并显示测量值</w:t>
      </w:r>
      <w:r>
        <w:rPr>
          <w:rFonts w:hint="eastAsia" w:eastAsia="仿宋_GB2312"/>
          <w:kern w:val="0"/>
          <w:sz w:val="32"/>
          <w:szCs w:val="32"/>
          <w:lang w:eastAsia="zh-CN"/>
        </w:rPr>
        <w:t>。</w:t>
      </w:r>
      <w:r>
        <w:rPr>
          <w:rFonts w:hint="eastAsia" w:eastAsia="仿宋_GB2312"/>
          <w:kern w:val="0"/>
          <w:sz w:val="32"/>
          <w:szCs w:val="32"/>
          <w:lang w:val="en-US" w:eastAsia="zh-CN"/>
        </w:rPr>
        <w:t>软件</w:t>
      </w:r>
      <w:r>
        <w:rPr>
          <w:rFonts w:hint="eastAsia" w:eastAsia="仿宋_GB2312"/>
          <w:kern w:val="0"/>
          <w:sz w:val="32"/>
          <w:szCs w:val="32"/>
        </w:rPr>
        <w:t>同时进行设备的操控、</w:t>
      </w:r>
      <w:r>
        <w:rPr>
          <w:rFonts w:eastAsia="仿宋_GB2312"/>
          <w:kern w:val="0"/>
          <w:sz w:val="32"/>
          <w:szCs w:val="32"/>
        </w:rPr>
        <w:t>数据处理、结果显示及判定。</w:t>
      </w:r>
    </w:p>
    <w:p w14:paraId="4FE20426">
      <w:pPr>
        <w:spacing w:line="520" w:lineRule="exact"/>
        <w:ind w:firstLine="640" w:firstLineChars="200"/>
        <w:rPr>
          <w:rFonts w:eastAsia="仿宋_GB2312"/>
          <w:kern w:val="0"/>
          <w:sz w:val="32"/>
          <w:szCs w:val="32"/>
        </w:rPr>
      </w:pPr>
    </w:p>
    <w:p w14:paraId="109D6FDB">
      <w:pPr>
        <w:spacing w:line="520" w:lineRule="exact"/>
        <w:ind w:firstLine="640" w:firstLineChars="200"/>
        <w:rPr>
          <w:rFonts w:eastAsia="仿宋_GB2312"/>
          <w:kern w:val="0"/>
          <w:sz w:val="32"/>
          <w:szCs w:val="32"/>
        </w:rPr>
      </w:pPr>
    </w:p>
    <w:p w14:paraId="4B540101">
      <w:pPr>
        <w:spacing w:line="520" w:lineRule="exact"/>
        <w:ind w:firstLine="640" w:firstLineChars="200"/>
        <w:rPr>
          <w:rFonts w:eastAsia="仿宋_GB2312"/>
          <w:kern w:val="0"/>
          <w:sz w:val="32"/>
          <w:szCs w:val="32"/>
        </w:rPr>
      </w:pPr>
      <w:r>
        <w:rPr>
          <w:rFonts w:hint="eastAsia" w:eastAsia="仿宋_GB2312"/>
          <w:kern w:val="0"/>
          <w:sz w:val="32"/>
          <w:szCs w:val="32"/>
          <w:lang w:eastAsia="zh-CN"/>
        </w:rPr>
        <w:drawing>
          <wp:anchor distT="0" distB="0" distL="114300" distR="114300" simplePos="0" relativeHeight="251659264" behindDoc="0" locked="0" layoutInCell="1" allowOverlap="1">
            <wp:simplePos x="0" y="0"/>
            <wp:positionH relativeFrom="column">
              <wp:posOffset>1530350</wp:posOffset>
            </wp:positionH>
            <wp:positionV relativeFrom="paragraph">
              <wp:posOffset>-27940</wp:posOffset>
            </wp:positionV>
            <wp:extent cx="2047875" cy="2265045"/>
            <wp:effectExtent l="0" t="0" r="9525" b="8255"/>
            <wp:wrapNone/>
            <wp:docPr id="1" name="图片 1" descr="086433640fd30c99a47afbe79e899d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6433640fd30c99a47afbe79e899dac"/>
                    <pic:cNvPicPr>
                      <a:picLocks noChangeAspect="1"/>
                    </pic:cNvPicPr>
                  </pic:nvPicPr>
                  <pic:blipFill>
                    <a:blip r:embed="rId4"/>
                    <a:stretch>
                      <a:fillRect/>
                    </a:stretch>
                  </pic:blipFill>
                  <pic:spPr>
                    <a:xfrm>
                      <a:off x="0" y="0"/>
                      <a:ext cx="2047875" cy="2265045"/>
                    </a:xfrm>
                    <a:prstGeom prst="rect">
                      <a:avLst/>
                    </a:prstGeom>
                  </pic:spPr>
                </pic:pic>
              </a:graphicData>
            </a:graphic>
          </wp:anchor>
        </w:drawing>
      </w:r>
    </w:p>
    <w:p w14:paraId="237E9CCA">
      <w:pPr>
        <w:spacing w:line="520" w:lineRule="exact"/>
        <w:ind w:firstLine="640" w:firstLineChars="200"/>
        <w:rPr>
          <w:rFonts w:eastAsia="仿宋_GB2312"/>
          <w:kern w:val="0"/>
          <w:sz w:val="32"/>
          <w:szCs w:val="32"/>
        </w:rPr>
      </w:pPr>
    </w:p>
    <w:p w14:paraId="1F33E108">
      <w:pPr>
        <w:spacing w:line="520" w:lineRule="exact"/>
        <w:ind w:firstLine="640" w:firstLineChars="200"/>
        <w:rPr>
          <w:rFonts w:hint="eastAsia" w:eastAsia="仿宋_GB2312"/>
          <w:kern w:val="0"/>
          <w:sz w:val="32"/>
          <w:szCs w:val="32"/>
          <w:lang w:eastAsia="zh-CN"/>
        </w:rPr>
      </w:pPr>
    </w:p>
    <w:p w14:paraId="28FD9BAB">
      <w:pPr>
        <w:spacing w:line="520" w:lineRule="exact"/>
        <w:ind w:firstLine="640" w:firstLineChars="200"/>
        <w:rPr>
          <w:rFonts w:hint="eastAsia" w:eastAsia="仿宋_GB2312"/>
          <w:kern w:val="0"/>
          <w:sz w:val="32"/>
          <w:szCs w:val="32"/>
        </w:rPr>
      </w:pPr>
    </w:p>
    <w:p w14:paraId="6A633CE1">
      <w:pPr>
        <w:spacing w:line="520" w:lineRule="exact"/>
        <w:ind w:firstLine="640" w:firstLineChars="200"/>
        <w:rPr>
          <w:rFonts w:hint="eastAsia" w:eastAsia="仿宋_GB2312"/>
          <w:kern w:val="0"/>
          <w:sz w:val="32"/>
          <w:szCs w:val="32"/>
        </w:rPr>
      </w:pPr>
    </w:p>
    <w:p w14:paraId="389BF1C3">
      <w:pPr>
        <w:spacing w:line="520" w:lineRule="exact"/>
        <w:rPr>
          <w:rFonts w:hint="eastAsia" w:eastAsia="仿宋_GB2312"/>
          <w:kern w:val="0"/>
          <w:sz w:val="32"/>
          <w:szCs w:val="32"/>
        </w:rPr>
      </w:pPr>
    </w:p>
    <w:p w14:paraId="3F2F395E">
      <w:pPr>
        <w:spacing w:line="520" w:lineRule="exact"/>
        <w:jc w:val="center"/>
        <w:rPr>
          <w:rFonts w:hint="eastAsia" w:eastAsia="仿宋_GB2312"/>
          <w:kern w:val="0"/>
          <w:sz w:val="32"/>
          <w:szCs w:val="32"/>
          <w:lang w:val="en-US" w:eastAsia="zh-CN"/>
        </w:rPr>
      </w:pPr>
    </w:p>
    <w:p w14:paraId="4FA3E1BB">
      <w:pPr>
        <w:spacing w:line="520" w:lineRule="exact"/>
        <w:jc w:val="center"/>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 xml:space="preserve">图1 </w:t>
      </w:r>
      <w:r>
        <w:rPr>
          <w:rFonts w:hint="eastAsia" w:ascii="黑体" w:hAnsi="黑体" w:eastAsia="黑体" w:cs="黑体"/>
          <w:kern w:val="0"/>
          <w:sz w:val="28"/>
          <w:szCs w:val="28"/>
        </w:rPr>
        <w:t>冰点渗透压测定仪</w:t>
      </w:r>
      <w:r>
        <w:rPr>
          <w:rFonts w:hint="eastAsia" w:ascii="黑体" w:hAnsi="黑体" w:eastAsia="黑体" w:cs="黑体"/>
          <w:kern w:val="0"/>
          <w:sz w:val="28"/>
          <w:szCs w:val="28"/>
          <w:lang w:val="en-US" w:eastAsia="zh-CN"/>
        </w:rPr>
        <w:t>结构示意图</w:t>
      </w:r>
    </w:p>
    <w:p w14:paraId="4F1608F5">
      <w:pPr>
        <w:spacing w:line="520" w:lineRule="exact"/>
        <w:jc w:val="center"/>
        <w:rPr>
          <w:rFonts w:hint="eastAsia" w:eastAsia="仿宋_GB2312"/>
          <w:kern w:val="0"/>
          <w:sz w:val="32"/>
          <w:szCs w:val="32"/>
          <w:lang w:val="en-US" w:eastAsia="zh-CN"/>
        </w:rPr>
      </w:pPr>
    </w:p>
    <w:p w14:paraId="69366BCF">
      <w:pPr>
        <w:spacing w:line="520" w:lineRule="exact"/>
        <w:ind w:firstLine="640" w:firstLineChars="200"/>
        <w:rPr>
          <w:rFonts w:hint="default" w:eastAsia="仿宋_GB2312"/>
          <w:kern w:val="0"/>
          <w:sz w:val="32"/>
          <w:szCs w:val="32"/>
        </w:rPr>
      </w:pPr>
      <w:r>
        <w:rPr>
          <w:rFonts w:hint="eastAsia" w:eastAsia="仿宋_GB2312"/>
          <w:kern w:val="0"/>
          <w:sz w:val="32"/>
          <w:szCs w:val="32"/>
          <w:lang w:val="en-US" w:eastAsia="zh-CN"/>
        </w:rPr>
        <w:t>胶体渗透压测定仪通常由测量模块、液晶显示系统、清洗系统和控制系统组成，结构示意图如图2。测量模块由参比室、样本室，半透膜组成，</w:t>
      </w:r>
      <w:r>
        <w:rPr>
          <w:rFonts w:hint="default" w:eastAsia="仿宋_GB2312"/>
          <w:kern w:val="0"/>
          <w:sz w:val="32"/>
          <w:szCs w:val="32"/>
          <w:lang w:val="en-US" w:eastAsia="zh-CN"/>
        </w:rPr>
        <w:t>用于渗透压的测量</w:t>
      </w:r>
      <w:r>
        <w:rPr>
          <w:rFonts w:hint="eastAsia" w:eastAsia="仿宋_GB2312"/>
          <w:kern w:val="0"/>
          <w:sz w:val="32"/>
          <w:szCs w:val="32"/>
          <w:lang w:val="en-US" w:eastAsia="zh-CN"/>
        </w:rPr>
        <w:t>。液晶显示系统由显示屏、触摸屏和计算机软件组成。清洗系统</w:t>
      </w:r>
      <w:r>
        <w:rPr>
          <w:rFonts w:hint="default" w:eastAsia="仿宋_GB2312"/>
          <w:kern w:val="0"/>
          <w:sz w:val="32"/>
          <w:szCs w:val="32"/>
          <w:lang w:val="en-US" w:eastAsia="zh-CN"/>
        </w:rPr>
        <w:t>由清洗液瓶（罐）、废液瓶（罐）、清洗泵、废液泵及相应管路组成，用于样品腔的清洗。</w:t>
      </w:r>
      <w:r>
        <w:rPr>
          <w:rFonts w:hint="eastAsia" w:eastAsia="仿宋_GB2312"/>
          <w:kern w:val="0"/>
          <w:sz w:val="32"/>
          <w:szCs w:val="32"/>
          <w:lang w:val="en-US" w:eastAsia="zh-CN"/>
        </w:rPr>
        <w:t>控制系统</w:t>
      </w:r>
      <w:r>
        <w:rPr>
          <w:rFonts w:hint="default" w:eastAsia="仿宋_GB2312"/>
          <w:kern w:val="0"/>
          <w:sz w:val="32"/>
          <w:szCs w:val="32"/>
          <w:lang w:val="en-US" w:eastAsia="zh-CN"/>
        </w:rPr>
        <w:t>由嵌入式</w:t>
      </w:r>
      <w:r>
        <w:rPr>
          <w:rFonts w:hint="eastAsia" w:eastAsia="仿宋_GB2312"/>
          <w:kern w:val="0"/>
          <w:sz w:val="32"/>
          <w:szCs w:val="32"/>
          <w:lang w:val="en-US" w:eastAsia="zh-CN"/>
        </w:rPr>
        <w:t>软件</w:t>
      </w:r>
      <w:r>
        <w:rPr>
          <w:rFonts w:hint="default" w:eastAsia="仿宋_GB2312"/>
          <w:kern w:val="0"/>
          <w:sz w:val="32"/>
          <w:szCs w:val="32"/>
          <w:lang w:val="en-US" w:eastAsia="zh-CN"/>
        </w:rPr>
        <w:t>构成的控制电路板组成</w:t>
      </w:r>
      <w:r>
        <w:rPr>
          <w:rFonts w:hint="eastAsia" w:eastAsia="仿宋_GB2312"/>
          <w:kern w:val="0"/>
          <w:sz w:val="32"/>
          <w:szCs w:val="32"/>
          <w:lang w:val="en-US" w:eastAsia="zh-CN"/>
        </w:rPr>
        <w:t>，</w:t>
      </w:r>
      <w:r>
        <w:rPr>
          <w:rFonts w:hint="default" w:eastAsia="仿宋_GB2312"/>
          <w:kern w:val="0"/>
          <w:sz w:val="32"/>
          <w:szCs w:val="32"/>
          <w:lang w:val="en-US" w:eastAsia="zh-CN"/>
        </w:rPr>
        <w:t>控制本机所有的操作。</w:t>
      </w:r>
      <w:r>
        <w:rPr>
          <w:rFonts w:hint="default" w:eastAsia="仿宋_GB2312"/>
          <w:kern w:val="0"/>
          <w:sz w:val="32"/>
          <w:szCs w:val="32"/>
        </w:rPr>
        <w:t>由测量模块得到被测溶液的胶体渗透压，显示在液晶屏幕上。在模块清洗状态下，可以对测量模块的测量腔进行清洗注液、清洗排液、微量注液等操作。</w:t>
      </w:r>
    </w:p>
    <w:p w14:paraId="16CE49D1">
      <w:pPr>
        <w:spacing w:line="520" w:lineRule="exact"/>
        <w:ind w:firstLine="420" w:firstLineChars="200"/>
        <w:rPr>
          <w:rFonts w:hint="default" w:eastAsia="仿宋_GB2312"/>
          <w:kern w:val="0"/>
          <w:sz w:val="32"/>
          <w:szCs w:val="32"/>
          <w:lang w:val="en-US" w:eastAsia="zh-CN"/>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537845</wp:posOffset>
            </wp:positionH>
            <wp:positionV relativeFrom="paragraph">
              <wp:posOffset>172720</wp:posOffset>
            </wp:positionV>
            <wp:extent cx="4089400" cy="1424940"/>
            <wp:effectExtent l="0" t="0" r="0" b="10160"/>
            <wp:wrapNone/>
            <wp:docPr id="2" name="图片 2"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ps1"/>
                    <pic:cNvPicPr>
                      <a:picLocks noChangeAspect="1"/>
                    </pic:cNvPicPr>
                  </pic:nvPicPr>
                  <pic:blipFill>
                    <a:blip r:embed="rId5"/>
                    <a:stretch>
                      <a:fillRect/>
                    </a:stretch>
                  </pic:blipFill>
                  <pic:spPr>
                    <a:xfrm>
                      <a:off x="0" y="0"/>
                      <a:ext cx="4089400" cy="1424940"/>
                    </a:xfrm>
                    <a:prstGeom prst="rect">
                      <a:avLst/>
                    </a:prstGeom>
                    <a:noFill/>
                    <a:ln>
                      <a:noFill/>
                    </a:ln>
                  </pic:spPr>
                </pic:pic>
              </a:graphicData>
            </a:graphic>
          </wp:anchor>
        </w:drawing>
      </w:r>
    </w:p>
    <w:p w14:paraId="48C34B48">
      <w:pPr>
        <w:spacing w:line="520" w:lineRule="exact"/>
        <w:ind w:firstLine="640" w:firstLineChars="200"/>
        <w:rPr>
          <w:rFonts w:hint="eastAsia" w:eastAsia="仿宋_GB2312"/>
          <w:kern w:val="0"/>
          <w:sz w:val="32"/>
          <w:szCs w:val="32"/>
        </w:rPr>
      </w:pPr>
    </w:p>
    <w:p w14:paraId="04E5A578">
      <w:pPr>
        <w:spacing w:line="520" w:lineRule="exact"/>
        <w:ind w:firstLine="640" w:firstLineChars="200"/>
        <w:rPr>
          <w:rFonts w:hint="eastAsia" w:eastAsia="仿宋_GB2312"/>
          <w:kern w:val="0"/>
          <w:sz w:val="32"/>
          <w:szCs w:val="32"/>
        </w:rPr>
      </w:pPr>
    </w:p>
    <w:p w14:paraId="7A7EA8FD">
      <w:pPr>
        <w:spacing w:line="520" w:lineRule="exact"/>
        <w:ind w:firstLine="640" w:firstLineChars="200"/>
        <w:rPr>
          <w:rFonts w:hint="eastAsia" w:eastAsia="仿宋_GB2312"/>
          <w:kern w:val="0"/>
          <w:sz w:val="32"/>
          <w:szCs w:val="32"/>
        </w:rPr>
      </w:pPr>
    </w:p>
    <w:p w14:paraId="611823F2">
      <w:pPr>
        <w:spacing w:line="520" w:lineRule="exact"/>
        <w:ind w:firstLine="640" w:firstLineChars="200"/>
        <w:rPr>
          <w:rFonts w:hint="eastAsia" w:eastAsia="仿宋_GB2312"/>
          <w:kern w:val="0"/>
          <w:sz w:val="32"/>
          <w:szCs w:val="32"/>
        </w:rPr>
      </w:pPr>
    </w:p>
    <w:p w14:paraId="751C4261">
      <w:pPr>
        <w:spacing w:line="520" w:lineRule="exact"/>
        <w:jc w:val="center"/>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图2 胶体渗透压测定仪结构示意图</w:t>
      </w:r>
    </w:p>
    <w:p w14:paraId="1111A655">
      <w:pPr>
        <w:spacing w:line="520" w:lineRule="exact"/>
        <w:rPr>
          <w:rFonts w:hint="eastAsia" w:eastAsia="仿宋_GB2312"/>
          <w:kern w:val="0"/>
          <w:sz w:val="32"/>
          <w:szCs w:val="32"/>
        </w:rPr>
      </w:pPr>
    </w:p>
    <w:p w14:paraId="1E2C2C11">
      <w:pPr>
        <w:spacing w:line="520" w:lineRule="exact"/>
        <w:ind w:firstLine="640" w:firstLineChars="200"/>
        <w:rPr>
          <w:rFonts w:hint="default" w:eastAsia="仿宋_GB2312"/>
          <w:kern w:val="0"/>
          <w:sz w:val="32"/>
          <w:szCs w:val="32"/>
        </w:rPr>
      </w:pPr>
      <w:r>
        <w:rPr>
          <w:rFonts w:hint="eastAsia" w:eastAsia="仿宋_GB2312"/>
          <w:kern w:val="0"/>
          <w:sz w:val="32"/>
          <w:szCs w:val="32"/>
        </w:rPr>
        <w:t>申请人应当根据申报产品的具体特征</w:t>
      </w:r>
      <w:r>
        <w:rPr>
          <w:rFonts w:hint="default" w:eastAsia="仿宋_GB2312"/>
          <w:kern w:val="0"/>
          <w:sz w:val="32"/>
          <w:szCs w:val="32"/>
        </w:rPr>
        <w:t>详细描述产品各组成模块、模块的细分构成以及关键元器件/部件的名称、生产企业和质量标准。同时，清晰阐述申报产品的主要功能及各模块的功能。可采用文字结合图示的方式加以说明。</w:t>
      </w:r>
    </w:p>
    <w:p w14:paraId="07D1BB03">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1.</w:t>
      </w:r>
      <w:r>
        <w:rPr>
          <w:rFonts w:eastAsia="仿宋_GB2312"/>
          <w:kern w:val="0"/>
          <w:sz w:val="32"/>
          <w:szCs w:val="32"/>
        </w:rPr>
        <w:t>3产品型号</w:t>
      </w:r>
      <w:r>
        <w:rPr>
          <w:rFonts w:hint="eastAsia" w:eastAsia="仿宋_GB2312"/>
          <w:kern w:val="0"/>
          <w:sz w:val="32"/>
          <w:szCs w:val="32"/>
        </w:rPr>
        <w:t>/</w:t>
      </w:r>
      <w:r>
        <w:rPr>
          <w:rFonts w:eastAsia="仿宋_GB2312"/>
          <w:kern w:val="0"/>
          <w:sz w:val="32"/>
          <w:szCs w:val="32"/>
        </w:rPr>
        <w:t>规格</w:t>
      </w:r>
    </w:p>
    <w:p w14:paraId="14002022">
      <w:pPr>
        <w:spacing w:line="520" w:lineRule="exact"/>
        <w:ind w:firstLine="640" w:firstLineChars="200"/>
        <w:rPr>
          <w:rFonts w:eastAsia="仿宋_GB2312"/>
          <w:kern w:val="0"/>
          <w:sz w:val="32"/>
          <w:szCs w:val="32"/>
        </w:rPr>
      </w:pPr>
      <w:r>
        <w:rPr>
          <w:rFonts w:eastAsia="仿宋_GB2312"/>
          <w:kern w:val="0"/>
          <w:sz w:val="32"/>
          <w:szCs w:val="32"/>
        </w:rPr>
        <w:t>对于同一注册单元申报产品存在多种型号</w:t>
      </w:r>
      <w:r>
        <w:rPr>
          <w:rFonts w:hint="eastAsia" w:eastAsia="仿宋_GB2312"/>
          <w:kern w:val="0"/>
          <w:sz w:val="32"/>
          <w:szCs w:val="32"/>
        </w:rPr>
        <w:t>/</w:t>
      </w:r>
      <w:r>
        <w:rPr>
          <w:rFonts w:eastAsia="仿宋_GB2312"/>
          <w:kern w:val="0"/>
          <w:sz w:val="32"/>
          <w:szCs w:val="32"/>
        </w:rPr>
        <w:t>规格的，应当明确各型号</w:t>
      </w:r>
      <w:r>
        <w:rPr>
          <w:rFonts w:hint="eastAsia" w:eastAsia="仿宋_GB2312"/>
          <w:kern w:val="0"/>
          <w:sz w:val="32"/>
          <w:szCs w:val="32"/>
        </w:rPr>
        <w:t>/</w:t>
      </w:r>
      <w:r>
        <w:rPr>
          <w:rFonts w:eastAsia="仿宋_GB2312"/>
          <w:kern w:val="0"/>
          <w:sz w:val="32"/>
          <w:szCs w:val="32"/>
        </w:rPr>
        <w:t>规格之间的区别，</w:t>
      </w:r>
      <w:r>
        <w:rPr>
          <w:rFonts w:hint="eastAsia" w:eastAsia="仿宋_GB2312"/>
          <w:kern w:val="0"/>
          <w:sz w:val="32"/>
          <w:szCs w:val="32"/>
        </w:rPr>
        <w:t>可</w:t>
      </w:r>
      <w:r>
        <w:rPr>
          <w:rFonts w:eastAsia="仿宋_GB2312"/>
          <w:kern w:val="0"/>
          <w:sz w:val="32"/>
          <w:szCs w:val="32"/>
        </w:rPr>
        <w:t>采用表格加说明性文字的图片、图表，对各型号</w:t>
      </w:r>
      <w:r>
        <w:rPr>
          <w:rFonts w:hint="eastAsia" w:eastAsia="仿宋_GB2312"/>
          <w:kern w:val="0"/>
          <w:sz w:val="32"/>
          <w:szCs w:val="32"/>
        </w:rPr>
        <w:t>/</w:t>
      </w:r>
      <w:r>
        <w:rPr>
          <w:rFonts w:eastAsia="仿宋_GB2312"/>
          <w:kern w:val="0"/>
          <w:sz w:val="32"/>
          <w:szCs w:val="32"/>
        </w:rPr>
        <w:t>规格的结构组成</w:t>
      </w:r>
      <w:r>
        <w:rPr>
          <w:rFonts w:eastAsia="仿宋_GB2312"/>
          <w:sz w:val="32"/>
          <w:szCs w:val="32"/>
        </w:rPr>
        <w:t>（或配置）</w:t>
      </w:r>
      <w:r>
        <w:rPr>
          <w:rFonts w:eastAsia="仿宋_GB2312"/>
          <w:kern w:val="0"/>
          <w:sz w:val="32"/>
          <w:szCs w:val="32"/>
        </w:rPr>
        <w:t>、功能、</w:t>
      </w:r>
      <w:r>
        <w:rPr>
          <w:rFonts w:eastAsia="仿宋_GB2312"/>
          <w:sz w:val="32"/>
          <w:szCs w:val="32"/>
        </w:rPr>
        <w:t>产品特征和运行模式、技术参数、</w:t>
      </w:r>
      <w:r>
        <w:rPr>
          <w:rFonts w:eastAsia="仿宋_GB2312"/>
          <w:kern w:val="0"/>
          <w:sz w:val="32"/>
          <w:szCs w:val="32"/>
        </w:rPr>
        <w:t>性能指标等方面的差异进行描述。</w:t>
      </w:r>
    </w:p>
    <w:p w14:paraId="63DD7B1C">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1.</w:t>
      </w:r>
      <w:r>
        <w:rPr>
          <w:rFonts w:eastAsia="仿宋_GB2312"/>
          <w:kern w:val="0"/>
          <w:sz w:val="32"/>
          <w:szCs w:val="32"/>
        </w:rPr>
        <w:t>4适用范围</w:t>
      </w:r>
    </w:p>
    <w:p w14:paraId="42C8DB4E">
      <w:pPr>
        <w:spacing w:line="520" w:lineRule="exact"/>
        <w:ind w:firstLine="640" w:firstLineChars="200"/>
        <w:rPr>
          <w:rFonts w:eastAsia="仿宋_GB2312"/>
          <w:kern w:val="0"/>
          <w:sz w:val="32"/>
          <w:szCs w:val="32"/>
          <w:highlight w:val="yellow"/>
        </w:rPr>
      </w:pPr>
      <w:r>
        <w:rPr>
          <w:rFonts w:hint="eastAsia" w:eastAsia="仿宋_GB2312"/>
          <w:kern w:val="0"/>
          <w:sz w:val="32"/>
          <w:szCs w:val="32"/>
          <w:lang w:val="en-US" w:eastAsia="zh-CN"/>
        </w:rPr>
        <w:t>1.</w:t>
      </w:r>
      <w:r>
        <w:rPr>
          <w:rFonts w:eastAsia="仿宋_GB2312"/>
          <w:kern w:val="0"/>
          <w:sz w:val="32"/>
          <w:szCs w:val="32"/>
        </w:rPr>
        <w:t>4.1适用范围</w:t>
      </w:r>
    </w:p>
    <w:p w14:paraId="2E921C06">
      <w:pPr>
        <w:spacing w:line="520" w:lineRule="exact"/>
        <w:ind w:firstLine="640" w:firstLineChars="200"/>
        <w:rPr>
          <w:rFonts w:eastAsia="仿宋_GB2312"/>
          <w:kern w:val="0"/>
          <w:sz w:val="32"/>
          <w:szCs w:val="32"/>
        </w:rPr>
      </w:pPr>
      <w:r>
        <w:rPr>
          <w:rFonts w:eastAsia="仿宋_GB2312"/>
          <w:kern w:val="0"/>
          <w:sz w:val="32"/>
          <w:szCs w:val="32"/>
        </w:rPr>
        <w:t>明确申报产品的预期用途，建议采用以下形式描述：“该产品采用</w:t>
      </w:r>
      <w:r>
        <w:rPr>
          <w:rFonts w:hint="eastAsia" w:eastAsia="仿宋_GB2312"/>
          <w:kern w:val="0"/>
          <w:sz w:val="32"/>
          <w:szCs w:val="32"/>
          <w:lang w:val="en-US" w:eastAsia="zh-CN"/>
        </w:rPr>
        <w:t>XXX方法/原理</w:t>
      </w:r>
      <w:r>
        <w:rPr>
          <w:rFonts w:eastAsia="仿宋_GB2312"/>
          <w:kern w:val="0"/>
          <w:sz w:val="32"/>
          <w:szCs w:val="32"/>
        </w:rPr>
        <w:t>，用于</w:t>
      </w:r>
      <w:r>
        <w:rPr>
          <w:rFonts w:hint="eastAsia" w:eastAsia="仿宋_GB2312"/>
          <w:kern w:val="0"/>
          <w:sz w:val="32"/>
          <w:szCs w:val="32"/>
          <w:lang w:val="en-US" w:eastAsia="zh-CN"/>
        </w:rPr>
        <w:t>测量</w:t>
      </w:r>
      <w:r>
        <w:rPr>
          <w:rFonts w:hint="eastAsia" w:eastAsia="仿宋_GB2312"/>
          <w:kern w:val="0"/>
          <w:sz w:val="32"/>
          <w:szCs w:val="32"/>
        </w:rPr>
        <w:t>人体</w:t>
      </w:r>
      <w:r>
        <w:rPr>
          <w:rFonts w:hint="eastAsia" w:eastAsia="仿宋_GB2312"/>
          <w:kern w:val="0"/>
          <w:sz w:val="32"/>
          <w:szCs w:val="32"/>
          <w:lang w:val="en-US" w:eastAsia="zh-CN"/>
        </w:rPr>
        <w:t>XXX</w:t>
      </w:r>
      <w:r>
        <w:rPr>
          <w:rFonts w:eastAsia="仿宋_GB2312"/>
          <w:kern w:val="0"/>
          <w:sz w:val="32"/>
          <w:szCs w:val="32"/>
        </w:rPr>
        <w:t>样本的</w:t>
      </w:r>
      <w:r>
        <w:rPr>
          <w:rFonts w:hint="eastAsia" w:eastAsia="仿宋_GB2312"/>
          <w:kern w:val="0"/>
          <w:sz w:val="32"/>
          <w:szCs w:val="32"/>
        </w:rPr>
        <w:t>渗透压</w:t>
      </w:r>
      <w:r>
        <w:rPr>
          <w:rFonts w:eastAsia="仿宋_GB2312"/>
          <w:kern w:val="0"/>
          <w:sz w:val="32"/>
          <w:szCs w:val="32"/>
        </w:rPr>
        <w:t>”</w:t>
      </w:r>
      <w:r>
        <w:rPr>
          <w:rFonts w:hint="eastAsia" w:eastAsia="仿宋_GB2312"/>
          <w:kern w:val="0"/>
          <w:sz w:val="32"/>
          <w:szCs w:val="32"/>
        </w:rPr>
        <w:t>。</w:t>
      </w:r>
    </w:p>
    <w:p w14:paraId="6DE1550D">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1</w:t>
      </w:r>
      <w:r>
        <w:rPr>
          <w:rFonts w:eastAsia="仿宋_GB2312"/>
          <w:kern w:val="0"/>
          <w:sz w:val="32"/>
          <w:szCs w:val="32"/>
        </w:rPr>
        <w:t>.</w:t>
      </w:r>
      <w:r>
        <w:rPr>
          <w:rFonts w:hint="eastAsia" w:eastAsia="仿宋_GB2312"/>
          <w:kern w:val="0"/>
          <w:sz w:val="32"/>
          <w:szCs w:val="32"/>
          <w:lang w:val="en-US" w:eastAsia="zh-CN"/>
        </w:rPr>
        <w:t>4</w:t>
      </w:r>
      <w:r>
        <w:rPr>
          <w:rFonts w:eastAsia="仿宋_GB2312"/>
          <w:kern w:val="0"/>
          <w:sz w:val="32"/>
          <w:szCs w:val="32"/>
        </w:rPr>
        <w:t>.2明确写明目标用户为经专业培训的医疗卫生机构的检验人员，并写明相关人员操作申报产品应当具备的基本能力要求。</w:t>
      </w:r>
    </w:p>
    <w:p w14:paraId="4B27420D">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1.</w:t>
      </w:r>
      <w:r>
        <w:rPr>
          <w:rFonts w:eastAsia="仿宋_GB2312"/>
          <w:kern w:val="0"/>
          <w:sz w:val="32"/>
          <w:szCs w:val="32"/>
        </w:rPr>
        <w:t>4.</w:t>
      </w:r>
      <w:r>
        <w:rPr>
          <w:rFonts w:hint="eastAsia" w:eastAsia="仿宋_GB2312"/>
          <w:kern w:val="0"/>
          <w:sz w:val="32"/>
          <w:szCs w:val="32"/>
          <w:lang w:val="en-US" w:eastAsia="zh-CN"/>
        </w:rPr>
        <w:t>3</w:t>
      </w:r>
      <w:r>
        <w:rPr>
          <w:rFonts w:eastAsia="仿宋_GB2312"/>
          <w:kern w:val="0"/>
          <w:sz w:val="32"/>
          <w:szCs w:val="32"/>
        </w:rPr>
        <w:t>预期使用环境</w:t>
      </w:r>
    </w:p>
    <w:p w14:paraId="3C1DC92F">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应</w:t>
      </w:r>
      <w:r>
        <w:rPr>
          <w:rFonts w:eastAsia="仿宋_GB2312"/>
          <w:kern w:val="0"/>
          <w:sz w:val="32"/>
          <w:szCs w:val="32"/>
        </w:rPr>
        <w:t>明确申报产品预期使用的地点，如医疗卫生机构检验科。</w:t>
      </w:r>
    </w:p>
    <w:p w14:paraId="5DBBEF75">
      <w:pPr>
        <w:spacing w:line="520" w:lineRule="exact"/>
        <w:ind w:firstLine="640" w:firstLineChars="200"/>
        <w:rPr>
          <w:rFonts w:eastAsia="仿宋_GB2312"/>
          <w:kern w:val="0"/>
          <w:sz w:val="32"/>
          <w:szCs w:val="32"/>
        </w:rPr>
      </w:pPr>
      <w:r>
        <w:rPr>
          <w:rFonts w:eastAsia="仿宋_GB2312"/>
          <w:kern w:val="0"/>
          <w:sz w:val="32"/>
          <w:szCs w:val="32"/>
        </w:rPr>
        <w:t>明确写明可能会影响申报产品安全性和有效性的环境条件，即申报产品的正常工作条件，包括温度范围、湿度范围、电源要求等，对每一条件均应给出具体的指标要求，如温度范围</w:t>
      </w:r>
      <w:r>
        <w:rPr>
          <w:rFonts w:hint="eastAsia" w:eastAsia="仿宋_GB2312"/>
          <w:kern w:val="0"/>
          <w:sz w:val="32"/>
          <w:szCs w:val="32"/>
          <w:lang w:val="en-US" w:eastAsia="zh-CN"/>
        </w:rPr>
        <w:t>为</w:t>
      </w:r>
      <w:r>
        <w:rPr>
          <w:rFonts w:eastAsia="仿宋_GB2312"/>
          <w:kern w:val="0"/>
          <w:sz w:val="32"/>
          <w:szCs w:val="32"/>
        </w:rPr>
        <w:t>10℃～30℃。</w:t>
      </w:r>
    </w:p>
    <w:p w14:paraId="0DDE3E1D">
      <w:pPr>
        <w:spacing w:line="520" w:lineRule="exact"/>
        <w:ind w:right="-67" w:rightChars="-32" w:firstLine="640" w:firstLineChars="200"/>
        <w:rPr>
          <w:rFonts w:eastAsia="楷体_GB2312"/>
          <w:sz w:val="32"/>
          <w:szCs w:val="32"/>
        </w:rPr>
      </w:pPr>
      <w:r>
        <w:rPr>
          <w:rFonts w:eastAsia="楷体_GB2312"/>
          <w:sz w:val="32"/>
          <w:szCs w:val="32"/>
        </w:rPr>
        <w:t>（三）非临床资料</w:t>
      </w:r>
    </w:p>
    <w:p w14:paraId="22019383">
      <w:pPr>
        <w:spacing w:line="520" w:lineRule="exact"/>
        <w:ind w:firstLine="640" w:firstLineChars="200"/>
        <w:rPr>
          <w:rFonts w:eastAsia="仿宋_GB2312"/>
          <w:sz w:val="32"/>
          <w:szCs w:val="32"/>
        </w:rPr>
      </w:pPr>
      <w:r>
        <w:rPr>
          <w:rFonts w:eastAsia="仿宋_GB2312"/>
          <w:sz w:val="32"/>
          <w:szCs w:val="32"/>
        </w:rPr>
        <w:t>1.产品风险管理资料</w:t>
      </w:r>
    </w:p>
    <w:p w14:paraId="3184CC2D">
      <w:pPr>
        <w:spacing w:line="520" w:lineRule="exact"/>
        <w:ind w:firstLine="640" w:firstLineChars="200"/>
        <w:rPr>
          <w:rFonts w:eastAsia="仿宋_GB2312"/>
          <w:kern w:val="0"/>
          <w:sz w:val="32"/>
          <w:szCs w:val="32"/>
        </w:rPr>
      </w:pPr>
      <w:r>
        <w:rPr>
          <w:rFonts w:eastAsia="仿宋_GB2312"/>
          <w:kern w:val="0"/>
          <w:sz w:val="32"/>
          <w:szCs w:val="32"/>
        </w:rPr>
        <w:t xml:space="preserve">申请人应根据GB/T 42062《医疗器械 风险管理对医疗器械的应用》及YY/T 1437《医疗器械 </w:t>
      </w:r>
      <w:r>
        <w:rPr>
          <w:rFonts w:hint="eastAsia" w:eastAsia="仿宋_GB2312"/>
          <w:kern w:val="0"/>
          <w:sz w:val="32"/>
          <w:szCs w:val="32"/>
        </w:rPr>
        <w:t>G</w:t>
      </w:r>
      <w:r>
        <w:rPr>
          <w:rFonts w:eastAsia="仿宋_GB2312"/>
          <w:kern w:val="0"/>
          <w:sz w:val="32"/>
          <w:szCs w:val="32"/>
        </w:rPr>
        <w:t>B/T 46062</w:t>
      </w:r>
      <w:r>
        <w:rPr>
          <w:rFonts w:hint="eastAsia" w:eastAsia="仿宋_GB2312"/>
          <w:kern w:val="0"/>
          <w:sz w:val="32"/>
          <w:szCs w:val="32"/>
        </w:rPr>
        <w:t>应用指南</w:t>
      </w:r>
      <w:r>
        <w:rPr>
          <w:rFonts w:eastAsia="仿宋_GB2312"/>
          <w:kern w:val="0"/>
          <w:sz w:val="32"/>
          <w:szCs w:val="32"/>
        </w:rPr>
        <w:t>》</w:t>
      </w:r>
      <w:r>
        <w:rPr>
          <w:rFonts w:hint="eastAsia" w:eastAsia="仿宋_GB2312"/>
          <w:kern w:val="0"/>
          <w:sz w:val="32"/>
          <w:szCs w:val="32"/>
        </w:rPr>
        <w:t>中</w:t>
      </w:r>
      <w:r>
        <w:rPr>
          <w:rFonts w:eastAsia="仿宋_GB2312"/>
          <w:kern w:val="0"/>
          <w:sz w:val="32"/>
          <w:szCs w:val="32"/>
        </w:rPr>
        <w:t>规定的过程和方法，在产品生命周期内对申报产品可能造成的危险进行判定，对每一危险处境的风险进行判定和评价，形成风险管理报告，控制这些风险并监视控制的有效性，充分保证产品的安全性和有效性。</w:t>
      </w:r>
    </w:p>
    <w:p w14:paraId="5403E9B0">
      <w:pPr>
        <w:spacing w:line="520" w:lineRule="exact"/>
        <w:ind w:firstLine="640" w:firstLineChars="200"/>
        <w:rPr>
          <w:rFonts w:hint="eastAsia" w:eastAsia="仿宋_GB2312"/>
          <w:kern w:val="0"/>
          <w:sz w:val="32"/>
          <w:szCs w:val="32"/>
          <w:lang w:val="zh-CN"/>
        </w:rPr>
      </w:pPr>
      <w:r>
        <w:rPr>
          <w:rFonts w:eastAsia="仿宋_GB2312"/>
          <w:kern w:val="0"/>
          <w:sz w:val="32"/>
          <w:szCs w:val="32"/>
          <w:lang w:val="zh-CN"/>
        </w:rPr>
        <w:t>申请人需重点说明：申报产品的研制阶段已对有关可能的危害及产生的风险进行了估计和评价，针对性地实施了降低风险的技术和管理方面的措施。产品性能测试对上述措施的有效性进行了验证，确认其达到了通用和专用标准的要求。申请人对所有剩余风险进行了评价，</w:t>
      </w:r>
      <w:r>
        <w:rPr>
          <w:rFonts w:hint="eastAsia" w:eastAsia="仿宋_GB2312"/>
          <w:kern w:val="0"/>
          <w:sz w:val="32"/>
          <w:szCs w:val="32"/>
          <w:lang w:val="zh-CN"/>
        </w:rPr>
        <w:t>确保</w:t>
      </w:r>
      <w:r>
        <w:rPr>
          <w:rFonts w:eastAsia="仿宋_GB2312"/>
          <w:kern w:val="0"/>
          <w:sz w:val="32"/>
          <w:szCs w:val="32"/>
          <w:lang w:val="zh-CN"/>
        </w:rPr>
        <w:t>全部达到可接受的水平。产品风险分析资料需为申请人关于产品安全性的承诺提供支持。</w:t>
      </w:r>
    </w:p>
    <w:p w14:paraId="78B6B1B6">
      <w:pPr>
        <w:spacing w:line="520" w:lineRule="exact"/>
        <w:ind w:firstLine="640" w:firstLineChars="200"/>
        <w:rPr>
          <w:rFonts w:eastAsia="仿宋_GB2312"/>
          <w:kern w:val="0"/>
          <w:sz w:val="32"/>
          <w:szCs w:val="32"/>
        </w:rPr>
      </w:pPr>
      <w:r>
        <w:rPr>
          <w:rFonts w:eastAsia="仿宋_GB2312"/>
          <w:kern w:val="0"/>
          <w:sz w:val="32"/>
          <w:szCs w:val="32"/>
        </w:rPr>
        <w:t>渗透压测定仪的主要危险大致可包括</w:t>
      </w:r>
      <w:r>
        <w:rPr>
          <w:rFonts w:hint="eastAsia" w:eastAsia="仿宋_GB2312"/>
          <w:kern w:val="0"/>
          <w:sz w:val="32"/>
          <w:szCs w:val="32"/>
        </w:rPr>
        <w:t>三</w:t>
      </w:r>
      <w:r>
        <w:rPr>
          <w:rFonts w:eastAsia="仿宋_GB2312"/>
          <w:kern w:val="0"/>
          <w:sz w:val="32"/>
          <w:szCs w:val="32"/>
        </w:rPr>
        <w:t>个方面，即：能量危险、生物学危险、性能有关的危险。</w:t>
      </w:r>
    </w:p>
    <w:p w14:paraId="13CC8B88">
      <w:pPr>
        <w:spacing w:line="520" w:lineRule="exact"/>
        <w:ind w:firstLine="640" w:firstLineChars="200"/>
        <w:rPr>
          <w:rFonts w:eastAsia="仿宋_GB2312"/>
          <w:kern w:val="0"/>
          <w:sz w:val="32"/>
          <w:szCs w:val="32"/>
        </w:rPr>
      </w:pPr>
      <w:r>
        <w:rPr>
          <w:rFonts w:eastAsia="仿宋_GB2312"/>
          <w:kern w:val="0"/>
          <w:sz w:val="32"/>
          <w:szCs w:val="32"/>
        </w:rPr>
        <w:t>1.1能量危险</w:t>
      </w:r>
    </w:p>
    <w:p w14:paraId="29118FFD">
      <w:pPr>
        <w:spacing w:line="520" w:lineRule="exact"/>
        <w:ind w:firstLine="640" w:firstLineChars="200"/>
        <w:rPr>
          <w:rFonts w:eastAsia="仿宋_GB2312"/>
          <w:kern w:val="0"/>
          <w:sz w:val="32"/>
          <w:szCs w:val="32"/>
        </w:rPr>
      </w:pPr>
      <w:r>
        <w:rPr>
          <w:rFonts w:eastAsia="仿宋_GB2312"/>
          <w:kern w:val="0"/>
          <w:sz w:val="32"/>
          <w:szCs w:val="32"/>
        </w:rPr>
        <w:t>电磁能：漏电流</w:t>
      </w:r>
      <w:r>
        <w:rPr>
          <w:rFonts w:hint="eastAsia" w:eastAsia="仿宋_GB2312"/>
          <w:kern w:val="0"/>
          <w:sz w:val="32"/>
          <w:szCs w:val="32"/>
        </w:rPr>
        <w:t>、强电磁辐射源</w:t>
      </w:r>
      <w:r>
        <w:rPr>
          <w:rFonts w:eastAsia="仿宋_GB2312"/>
          <w:kern w:val="0"/>
          <w:sz w:val="32"/>
          <w:szCs w:val="32"/>
        </w:rPr>
        <w:t>对申报产品的电磁干扰</w:t>
      </w:r>
      <w:r>
        <w:rPr>
          <w:rFonts w:hint="eastAsia" w:eastAsia="仿宋_GB2312"/>
          <w:kern w:val="0"/>
          <w:sz w:val="32"/>
          <w:szCs w:val="32"/>
        </w:rPr>
        <w:t>，导致测试错误、误差过大等</w:t>
      </w:r>
      <w:r>
        <w:rPr>
          <w:rFonts w:eastAsia="仿宋_GB2312"/>
          <w:kern w:val="0"/>
          <w:sz w:val="32"/>
          <w:szCs w:val="32"/>
        </w:rPr>
        <w:t>。</w:t>
      </w:r>
    </w:p>
    <w:p w14:paraId="21CD9D80">
      <w:pPr>
        <w:spacing w:line="520" w:lineRule="exact"/>
        <w:ind w:firstLine="640" w:firstLineChars="200"/>
        <w:rPr>
          <w:rFonts w:eastAsia="仿宋_GB2312"/>
          <w:kern w:val="0"/>
          <w:sz w:val="32"/>
          <w:szCs w:val="32"/>
        </w:rPr>
      </w:pPr>
      <w:r>
        <w:rPr>
          <w:rFonts w:eastAsia="仿宋_GB2312"/>
          <w:kern w:val="0"/>
          <w:sz w:val="32"/>
          <w:szCs w:val="32"/>
        </w:rPr>
        <w:t>坠落：坠落导致机械部件松动，导致测</w:t>
      </w:r>
      <w:r>
        <w:rPr>
          <w:rFonts w:hint="eastAsia" w:eastAsia="仿宋_GB2312"/>
          <w:kern w:val="0"/>
          <w:sz w:val="32"/>
          <w:szCs w:val="32"/>
        </w:rPr>
        <w:t>试</w:t>
      </w:r>
      <w:r>
        <w:rPr>
          <w:rFonts w:eastAsia="仿宋_GB2312"/>
          <w:kern w:val="0"/>
          <w:sz w:val="32"/>
          <w:szCs w:val="32"/>
        </w:rPr>
        <w:t>错误、误差过大或显示异常</w:t>
      </w:r>
      <w:r>
        <w:rPr>
          <w:rFonts w:hint="eastAsia" w:eastAsia="仿宋_GB2312"/>
          <w:kern w:val="0"/>
          <w:sz w:val="32"/>
          <w:szCs w:val="32"/>
        </w:rPr>
        <w:t>等</w:t>
      </w:r>
      <w:r>
        <w:rPr>
          <w:rFonts w:eastAsia="仿宋_GB2312"/>
          <w:kern w:val="0"/>
          <w:sz w:val="32"/>
          <w:szCs w:val="32"/>
        </w:rPr>
        <w:t xml:space="preserve">。 </w:t>
      </w:r>
    </w:p>
    <w:p w14:paraId="68200101">
      <w:pPr>
        <w:spacing w:line="52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2</w:t>
      </w:r>
      <w:r>
        <w:rPr>
          <w:rFonts w:eastAsia="仿宋_GB2312"/>
          <w:kern w:val="0"/>
          <w:sz w:val="32"/>
          <w:szCs w:val="32"/>
        </w:rPr>
        <w:t>生物学</w:t>
      </w:r>
      <w:r>
        <w:rPr>
          <w:rFonts w:hint="eastAsia" w:eastAsia="仿宋_GB2312"/>
          <w:kern w:val="0"/>
          <w:sz w:val="32"/>
          <w:szCs w:val="32"/>
        </w:rPr>
        <w:t>危险</w:t>
      </w:r>
    </w:p>
    <w:p w14:paraId="4AE9256B">
      <w:pPr>
        <w:spacing w:line="520" w:lineRule="exact"/>
        <w:ind w:firstLine="640" w:firstLineChars="200"/>
        <w:rPr>
          <w:rFonts w:eastAsia="仿宋_GB2312"/>
          <w:kern w:val="0"/>
          <w:sz w:val="32"/>
          <w:szCs w:val="32"/>
        </w:rPr>
      </w:pPr>
      <w:r>
        <w:rPr>
          <w:rFonts w:eastAsia="仿宋_GB2312"/>
          <w:kern w:val="0"/>
          <w:sz w:val="32"/>
          <w:szCs w:val="32"/>
        </w:rPr>
        <w:t>与</w:t>
      </w:r>
      <w:r>
        <w:rPr>
          <w:rFonts w:hint="eastAsia" w:eastAsia="仿宋_GB2312"/>
          <w:kern w:val="0"/>
          <w:sz w:val="32"/>
          <w:szCs w:val="32"/>
        </w:rPr>
        <w:t>检测</w:t>
      </w:r>
      <w:r>
        <w:rPr>
          <w:rFonts w:eastAsia="仿宋_GB2312"/>
          <w:kern w:val="0"/>
          <w:sz w:val="32"/>
          <w:szCs w:val="32"/>
        </w:rPr>
        <w:t>样本接触的部件清洗消毒不彻底，或检测完成后剩余样本及废弃物处理不当，可能导致交叉感染。</w:t>
      </w:r>
    </w:p>
    <w:p w14:paraId="7C123E18">
      <w:pPr>
        <w:spacing w:line="520" w:lineRule="exact"/>
        <w:ind w:firstLine="640" w:firstLineChars="200"/>
        <w:rPr>
          <w:rFonts w:eastAsia="仿宋_GB2312"/>
          <w:kern w:val="0"/>
          <w:sz w:val="32"/>
          <w:szCs w:val="32"/>
        </w:rPr>
      </w:pPr>
      <w:r>
        <w:rPr>
          <w:rFonts w:eastAsia="仿宋_GB2312"/>
          <w:kern w:val="0"/>
          <w:sz w:val="32"/>
          <w:szCs w:val="32"/>
        </w:rPr>
        <w:t>1.3性能有关的危险</w:t>
      </w:r>
    </w:p>
    <w:p w14:paraId="62E5116F">
      <w:pPr>
        <w:spacing w:line="520" w:lineRule="exact"/>
        <w:ind w:firstLine="640" w:firstLineChars="200"/>
        <w:rPr>
          <w:rFonts w:eastAsia="仿宋_GB2312"/>
          <w:kern w:val="0"/>
          <w:sz w:val="32"/>
          <w:szCs w:val="32"/>
        </w:rPr>
      </w:pPr>
      <w:r>
        <w:rPr>
          <w:rFonts w:eastAsia="仿宋_GB2312"/>
          <w:kern w:val="0"/>
          <w:sz w:val="32"/>
          <w:szCs w:val="32"/>
        </w:rPr>
        <w:t>产品长时间未经校准</w:t>
      </w:r>
      <w:r>
        <w:rPr>
          <w:rFonts w:hint="eastAsia" w:eastAsia="仿宋_GB2312"/>
          <w:kern w:val="0"/>
          <w:sz w:val="32"/>
          <w:szCs w:val="32"/>
        </w:rPr>
        <w:t>或使用了不当的校准物</w:t>
      </w:r>
      <w:r>
        <w:rPr>
          <w:rFonts w:eastAsia="仿宋_GB2312"/>
          <w:kern w:val="0"/>
          <w:sz w:val="32"/>
          <w:szCs w:val="32"/>
        </w:rPr>
        <w:t>，导致误差过大。</w:t>
      </w:r>
    </w:p>
    <w:p w14:paraId="08DAACC3">
      <w:pPr>
        <w:spacing w:line="520" w:lineRule="exact"/>
        <w:ind w:firstLine="640" w:firstLineChars="200"/>
        <w:rPr>
          <w:rFonts w:eastAsia="仿宋_GB2312"/>
          <w:kern w:val="0"/>
          <w:sz w:val="32"/>
          <w:szCs w:val="32"/>
        </w:rPr>
      </w:pPr>
      <w:r>
        <w:rPr>
          <w:rFonts w:eastAsia="仿宋_GB2312"/>
          <w:kern w:val="0"/>
          <w:sz w:val="32"/>
          <w:szCs w:val="32"/>
        </w:rPr>
        <w:t>未按使用说明书中的要求进行测</w:t>
      </w:r>
      <w:r>
        <w:rPr>
          <w:rFonts w:hint="eastAsia" w:eastAsia="仿宋_GB2312"/>
          <w:kern w:val="0"/>
          <w:sz w:val="32"/>
          <w:szCs w:val="32"/>
        </w:rPr>
        <w:t>试或使用了不当的耗材或试剂</w:t>
      </w:r>
      <w:r>
        <w:rPr>
          <w:rFonts w:eastAsia="仿宋_GB2312"/>
          <w:kern w:val="0"/>
          <w:sz w:val="32"/>
          <w:szCs w:val="32"/>
        </w:rPr>
        <w:t>，导致测试失败或测量误差过大。</w:t>
      </w:r>
    </w:p>
    <w:p w14:paraId="6DF13B9A">
      <w:pPr>
        <w:spacing w:line="520" w:lineRule="exact"/>
        <w:ind w:firstLine="640" w:firstLineChars="200"/>
        <w:rPr>
          <w:rFonts w:eastAsia="仿宋_GB2312"/>
          <w:kern w:val="0"/>
          <w:sz w:val="32"/>
          <w:szCs w:val="32"/>
        </w:rPr>
      </w:pPr>
      <w:r>
        <w:rPr>
          <w:rFonts w:eastAsia="仿宋_GB2312"/>
          <w:kern w:val="0"/>
          <w:sz w:val="32"/>
          <w:szCs w:val="32"/>
        </w:rPr>
        <w:t>在制造商规定的使用环境条件外使用产品，可能造成测</w:t>
      </w:r>
      <w:r>
        <w:rPr>
          <w:rFonts w:hint="eastAsia" w:eastAsia="仿宋_GB2312"/>
          <w:kern w:val="0"/>
          <w:sz w:val="32"/>
          <w:szCs w:val="32"/>
        </w:rPr>
        <w:t>试</w:t>
      </w:r>
      <w:r>
        <w:rPr>
          <w:rFonts w:eastAsia="仿宋_GB2312"/>
          <w:kern w:val="0"/>
          <w:sz w:val="32"/>
          <w:szCs w:val="32"/>
        </w:rPr>
        <w:t>误差过大，产品寿命降低。</w:t>
      </w:r>
    </w:p>
    <w:p w14:paraId="5A886327">
      <w:pPr>
        <w:spacing w:line="520" w:lineRule="exact"/>
        <w:ind w:firstLine="640" w:firstLineChars="200"/>
        <w:rPr>
          <w:rFonts w:eastAsia="仿宋_GB2312"/>
          <w:kern w:val="0"/>
          <w:sz w:val="32"/>
          <w:szCs w:val="32"/>
        </w:rPr>
      </w:pPr>
      <w:r>
        <w:rPr>
          <w:rFonts w:eastAsia="仿宋_GB2312"/>
          <w:kern w:val="0"/>
          <w:sz w:val="32"/>
          <w:szCs w:val="32"/>
        </w:rPr>
        <w:t>未按产品说明书的规定对申报产品进行保养、未按产品说明书的规定更换具有使用寿命的元器件，</w:t>
      </w:r>
      <w:r>
        <w:rPr>
          <w:rFonts w:hint="eastAsia" w:eastAsia="仿宋_GB2312"/>
          <w:kern w:val="0"/>
          <w:sz w:val="32"/>
          <w:szCs w:val="32"/>
          <w:lang w:val="en-US" w:eastAsia="zh-CN"/>
        </w:rPr>
        <w:t>导致</w:t>
      </w:r>
      <w:r>
        <w:rPr>
          <w:rFonts w:eastAsia="仿宋_GB2312"/>
          <w:kern w:val="0"/>
          <w:sz w:val="32"/>
          <w:szCs w:val="32"/>
        </w:rPr>
        <w:t>的产品工作不正常。</w:t>
      </w:r>
    </w:p>
    <w:p w14:paraId="3D50B1B3">
      <w:pPr>
        <w:spacing w:line="520" w:lineRule="exact"/>
        <w:ind w:firstLine="640" w:firstLineChars="200"/>
        <w:rPr>
          <w:rFonts w:eastAsia="仿宋_GB2312"/>
          <w:kern w:val="0"/>
          <w:sz w:val="32"/>
          <w:szCs w:val="32"/>
        </w:rPr>
      </w:pPr>
      <w:r>
        <w:rPr>
          <w:rFonts w:eastAsia="仿宋_GB2312"/>
          <w:kern w:val="0"/>
          <w:sz w:val="32"/>
          <w:szCs w:val="32"/>
        </w:rPr>
        <w:t>说明书未对限制充分告知，未对不正确的操作、与其他设备共同使用时易产生的危险进行警告，未正确标示储存条件、消毒方法、维护信息，未对因长期使用产生功能</w:t>
      </w:r>
      <w:r>
        <w:rPr>
          <w:rFonts w:hint="eastAsia" w:eastAsia="仿宋_GB2312"/>
          <w:kern w:val="0"/>
          <w:sz w:val="32"/>
          <w:szCs w:val="32"/>
        </w:rPr>
        <w:t>失效</w:t>
      </w:r>
      <w:r>
        <w:rPr>
          <w:rFonts w:eastAsia="仿宋_GB2312"/>
          <w:kern w:val="0"/>
          <w:sz w:val="32"/>
          <w:szCs w:val="32"/>
        </w:rPr>
        <w:t>而可能引发的危险进行警告，未对合理可预见的误用进行警告等引发的危险。</w:t>
      </w:r>
    </w:p>
    <w:p w14:paraId="1F88D2ED">
      <w:pPr>
        <w:spacing w:line="520" w:lineRule="exact"/>
        <w:ind w:firstLine="640" w:firstLineChars="200"/>
        <w:rPr>
          <w:rFonts w:eastAsia="仿宋_GB2312"/>
          <w:sz w:val="32"/>
          <w:szCs w:val="32"/>
        </w:rPr>
      </w:pPr>
      <w:r>
        <w:rPr>
          <w:rFonts w:hint="eastAsia" w:eastAsia="仿宋_GB2312"/>
          <w:sz w:val="32"/>
          <w:szCs w:val="32"/>
        </w:rPr>
        <w:t>1.4信息危险</w:t>
      </w:r>
    </w:p>
    <w:p w14:paraId="23F9919D">
      <w:pPr>
        <w:spacing w:line="520" w:lineRule="exact"/>
        <w:ind w:firstLine="640" w:firstLineChars="200"/>
        <w:rPr>
          <w:rFonts w:eastAsia="仿宋_GB2312"/>
          <w:sz w:val="32"/>
          <w:szCs w:val="32"/>
        </w:rPr>
      </w:pPr>
      <w:r>
        <w:rPr>
          <w:rFonts w:hint="eastAsia" w:eastAsia="仿宋_GB2312"/>
          <w:sz w:val="32"/>
          <w:szCs w:val="32"/>
        </w:rPr>
        <w:t>包括标记缺少或不正确，标记的位置不正确，不能被正确的识别，不能永久贴牢和清晰可辨，不能耐受温度、摩擦及正常使用时可能遇到的溶剂和试剂的影响。</w:t>
      </w:r>
    </w:p>
    <w:p w14:paraId="3230C683">
      <w:pPr>
        <w:spacing w:line="520" w:lineRule="exact"/>
        <w:ind w:firstLine="640" w:firstLineChars="200"/>
        <w:rPr>
          <w:rFonts w:eastAsia="仿宋_GB2312"/>
          <w:kern w:val="0"/>
          <w:sz w:val="32"/>
          <w:szCs w:val="32"/>
        </w:rPr>
      </w:pPr>
      <w:r>
        <w:rPr>
          <w:rFonts w:hint="eastAsia" w:eastAsia="仿宋_GB2312"/>
          <w:sz w:val="32"/>
          <w:szCs w:val="32"/>
        </w:rPr>
        <w:t>不符合法规及标准规定的产品说明书，包括产品说明书中未对限制充分告知，未对不正确的操作、与其他设备共同使用时易产生的危险进行警告，未正确标示包装储运条件、消毒方法、维护信息、对所有标识警告符号的阐述，未对因长期使用产生功能丧失而可能引发的危险进行警告，未对合理可预见的误用进行警告等引发的危险。</w:t>
      </w:r>
    </w:p>
    <w:p w14:paraId="01CDB08E">
      <w:pPr>
        <w:spacing w:line="520" w:lineRule="exact"/>
        <w:ind w:firstLine="640" w:firstLineChars="200"/>
        <w:rPr>
          <w:rFonts w:eastAsia="仿宋_GB2312"/>
          <w:sz w:val="32"/>
          <w:szCs w:val="32"/>
        </w:rPr>
      </w:pPr>
      <w:r>
        <w:rPr>
          <w:rFonts w:hint="eastAsia" w:eastAsia="仿宋_GB2312"/>
          <w:sz w:val="32"/>
          <w:szCs w:val="32"/>
        </w:rPr>
        <w:t>1.</w:t>
      </w:r>
      <w:r>
        <w:rPr>
          <w:rFonts w:hint="eastAsia" w:eastAsia="仿宋_GB2312"/>
          <w:sz w:val="32"/>
          <w:szCs w:val="32"/>
          <w:lang w:val="en-US" w:eastAsia="zh-CN"/>
        </w:rPr>
        <w:t>5</w:t>
      </w:r>
      <w:r>
        <w:rPr>
          <w:rFonts w:hint="eastAsia" w:eastAsia="仿宋_GB2312"/>
          <w:sz w:val="32"/>
          <w:szCs w:val="32"/>
        </w:rPr>
        <w:t>软件危险</w:t>
      </w:r>
    </w:p>
    <w:p w14:paraId="60424F02">
      <w:pPr>
        <w:spacing w:line="520" w:lineRule="exact"/>
        <w:ind w:firstLine="640" w:firstLineChars="200"/>
        <w:rPr>
          <w:rFonts w:eastAsia="仿宋_GB2312"/>
          <w:kern w:val="0"/>
          <w:sz w:val="32"/>
          <w:szCs w:val="32"/>
        </w:rPr>
      </w:pPr>
      <w:r>
        <w:rPr>
          <w:rFonts w:hint="eastAsia" w:eastAsia="仿宋_GB2312"/>
          <w:sz w:val="32"/>
          <w:szCs w:val="32"/>
        </w:rPr>
        <w:t>数据交换时医疗器械相关数据未设计授权访问、修改、删除，无法保证数据的保密性、完整性和可得性。</w:t>
      </w:r>
    </w:p>
    <w:p w14:paraId="33DA401D">
      <w:pPr>
        <w:spacing w:line="520" w:lineRule="exact"/>
        <w:ind w:firstLine="640" w:firstLineChars="200"/>
        <w:rPr>
          <w:rFonts w:eastAsia="仿宋_GB2312"/>
          <w:sz w:val="32"/>
          <w:szCs w:val="32"/>
        </w:rPr>
      </w:pPr>
      <w:r>
        <w:rPr>
          <w:rFonts w:eastAsia="仿宋_GB2312"/>
          <w:sz w:val="32"/>
          <w:szCs w:val="32"/>
        </w:rPr>
        <w:t>由于</w:t>
      </w:r>
      <w:r>
        <w:rPr>
          <w:rFonts w:hint="eastAsia" w:eastAsia="仿宋_GB2312"/>
          <w:sz w:val="32"/>
          <w:szCs w:val="32"/>
        </w:rPr>
        <w:t>渗透压测定</w:t>
      </w:r>
      <w:r>
        <w:rPr>
          <w:rFonts w:eastAsia="仿宋_GB2312"/>
          <w:sz w:val="32"/>
          <w:szCs w:val="32"/>
        </w:rPr>
        <w:t>仪的原理、功能和结构的差异，本章给出的风险要素及其示例是常见的而不是全部的。上述部分只是风险管理过程的组成部分，不是风险管理的全部。注册申请人应按照</w:t>
      </w:r>
      <w:r>
        <w:rPr>
          <w:rFonts w:eastAsia="仿宋_GB2312"/>
          <w:snapToGrid w:val="0"/>
          <w:kern w:val="0"/>
          <w:sz w:val="32"/>
          <w:szCs w:val="32"/>
        </w:rPr>
        <w:t>GB/T 42062《医疗器械风险管理对医疗器械的应用》</w:t>
      </w:r>
      <w:r>
        <w:rPr>
          <w:rFonts w:eastAsia="仿宋_GB2312"/>
          <w:sz w:val="32"/>
          <w:szCs w:val="32"/>
        </w:rPr>
        <w:t>中规定的过程和方法，在产品整个生命周期内建立、形成文件和保持一个持续的过程，用以判定与医疗器械有关的危害、估计和评价相关的风险、控制这些风险并监视上述控制的有效性，以充分保证产品的安全和有效。</w:t>
      </w:r>
    </w:p>
    <w:p w14:paraId="0CD83515">
      <w:pPr>
        <w:spacing w:line="520" w:lineRule="exact"/>
        <w:ind w:firstLine="640" w:firstLineChars="200"/>
        <w:rPr>
          <w:rFonts w:eastAsia="仿宋_GB2312"/>
          <w:sz w:val="32"/>
          <w:szCs w:val="32"/>
        </w:rPr>
      </w:pPr>
      <w:r>
        <w:rPr>
          <w:rFonts w:hint="eastAsia" w:eastAsia="仿宋_GB2312"/>
          <w:kern w:val="0"/>
          <w:sz w:val="32"/>
          <w:szCs w:val="32"/>
          <w:lang w:val="en-US" w:eastAsia="zh-CN"/>
        </w:rPr>
        <w:t>2</w:t>
      </w:r>
      <w:r>
        <w:rPr>
          <w:rFonts w:eastAsia="仿宋_GB2312"/>
          <w:kern w:val="0"/>
          <w:sz w:val="32"/>
          <w:szCs w:val="32"/>
        </w:rPr>
        <w:t>.</w:t>
      </w:r>
      <w:r>
        <w:rPr>
          <w:rFonts w:eastAsia="仿宋_GB2312"/>
          <w:sz w:val="32"/>
          <w:szCs w:val="32"/>
        </w:rPr>
        <w:t>产品技术要求及检验报告</w:t>
      </w:r>
    </w:p>
    <w:p w14:paraId="1FCE86DE">
      <w:pPr>
        <w:spacing w:line="52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2</w:t>
      </w:r>
      <w:r>
        <w:rPr>
          <w:rFonts w:eastAsia="仿宋_GB2312"/>
          <w:sz w:val="32"/>
          <w:szCs w:val="32"/>
        </w:rPr>
        <w:t>.</w:t>
      </w:r>
      <w:r>
        <w:rPr>
          <w:rFonts w:hint="eastAsia" w:eastAsia="仿宋_GB2312"/>
          <w:sz w:val="32"/>
          <w:szCs w:val="32"/>
        </w:rPr>
        <w:t>1</w:t>
      </w:r>
      <w:r>
        <w:rPr>
          <w:rFonts w:eastAsia="仿宋_GB2312"/>
          <w:sz w:val="32"/>
          <w:szCs w:val="32"/>
        </w:rPr>
        <w:t>产品技术要求及检验报告</w:t>
      </w:r>
    </w:p>
    <w:p w14:paraId="1DC54A88">
      <w:pPr>
        <w:spacing w:line="500" w:lineRule="exact"/>
        <w:ind w:right="-67" w:rightChars="-32" w:firstLine="640" w:firstLineChars="200"/>
        <w:rPr>
          <w:rFonts w:eastAsia="仿宋_GB2312"/>
          <w:sz w:val="32"/>
          <w:szCs w:val="32"/>
        </w:rPr>
      </w:pPr>
      <w:r>
        <w:rPr>
          <w:rFonts w:eastAsia="仿宋_GB2312"/>
          <w:snapToGrid w:val="0"/>
          <w:kern w:val="0"/>
          <w:sz w:val="32"/>
          <w:szCs w:val="32"/>
        </w:rPr>
        <w:t>依据《医疗器械产品技术要求编写指导原则》进行编制。产品技术要求需符合相关国家标准、行业标准和有关法律法规的相应要求。</w:t>
      </w:r>
      <w:r>
        <w:rPr>
          <w:rFonts w:eastAsia="仿宋_GB2312"/>
          <w:sz w:val="32"/>
          <w:szCs w:val="32"/>
        </w:rPr>
        <w:t>产品技术要求应包含产品名称、产品型号/规格及其划分说明、性能指标和检验方法。</w:t>
      </w:r>
    </w:p>
    <w:p w14:paraId="7145E032">
      <w:pPr>
        <w:pStyle w:val="9"/>
        <w:overflowPunct w:val="0"/>
        <w:autoSpaceDE w:val="0"/>
        <w:autoSpaceDN w:val="0"/>
        <w:spacing w:line="520" w:lineRule="exact"/>
        <w:ind w:right="210" w:firstLine="64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lang w:val="en-US" w:eastAsia="zh-CN"/>
        </w:rPr>
        <w:t>2</w:t>
      </w:r>
      <w:r>
        <w:rPr>
          <w:rFonts w:ascii="Times New Roman" w:hAnsi="Times New Roman" w:eastAsia="仿宋_GB2312"/>
          <w:snapToGrid w:val="0"/>
          <w:kern w:val="0"/>
          <w:sz w:val="32"/>
          <w:szCs w:val="32"/>
        </w:rPr>
        <w:t>.1.1</w:t>
      </w:r>
      <w:r>
        <w:rPr>
          <w:rFonts w:hint="eastAsia" w:ascii="Times New Roman" w:hAnsi="Times New Roman" w:eastAsia="仿宋_GB2312"/>
          <w:snapToGrid w:val="0"/>
          <w:kern w:val="0"/>
          <w:sz w:val="32"/>
          <w:szCs w:val="32"/>
          <w:lang w:val="en-US" w:eastAsia="zh-CN"/>
        </w:rPr>
        <w:t xml:space="preserve"> </w:t>
      </w:r>
      <w:r>
        <w:rPr>
          <w:rFonts w:ascii="Times New Roman" w:hAnsi="Times New Roman" w:eastAsia="仿宋_GB2312"/>
          <w:snapToGrid w:val="0"/>
          <w:kern w:val="0"/>
          <w:sz w:val="32"/>
          <w:szCs w:val="32"/>
        </w:rPr>
        <w:t>产品型号</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规格及其划分说明</w:t>
      </w:r>
    </w:p>
    <w:p w14:paraId="20B6BF20">
      <w:pPr>
        <w:overflowPunct w:val="0"/>
        <w:autoSpaceDE w:val="0"/>
        <w:autoSpaceDN w:val="0"/>
        <w:spacing w:line="520" w:lineRule="exact"/>
        <w:ind w:firstLine="640" w:firstLineChars="200"/>
        <w:rPr>
          <w:rFonts w:eastAsia="仿宋_GB2312"/>
          <w:snapToGrid w:val="0"/>
          <w:kern w:val="0"/>
          <w:sz w:val="32"/>
          <w:szCs w:val="32"/>
        </w:rPr>
      </w:pPr>
      <w:r>
        <w:rPr>
          <w:rFonts w:eastAsia="仿宋_GB2312"/>
          <w:snapToGrid w:val="0"/>
          <w:kern w:val="0"/>
          <w:sz w:val="32"/>
          <w:szCs w:val="32"/>
        </w:rPr>
        <w:t>说明产品的型号</w:t>
      </w:r>
      <w:r>
        <w:rPr>
          <w:rFonts w:hint="eastAsia" w:eastAsia="仿宋_GB2312"/>
          <w:snapToGrid w:val="0"/>
          <w:kern w:val="0"/>
          <w:sz w:val="32"/>
          <w:szCs w:val="32"/>
        </w:rPr>
        <w:t>/</w:t>
      </w:r>
      <w:r>
        <w:rPr>
          <w:rFonts w:eastAsia="仿宋_GB2312"/>
          <w:snapToGrid w:val="0"/>
          <w:kern w:val="0"/>
          <w:sz w:val="32"/>
          <w:szCs w:val="32"/>
        </w:rPr>
        <w:t>规格，明确产品型号</w:t>
      </w:r>
      <w:r>
        <w:rPr>
          <w:rFonts w:hint="eastAsia" w:eastAsia="仿宋_GB2312"/>
          <w:snapToGrid w:val="0"/>
          <w:kern w:val="0"/>
          <w:sz w:val="32"/>
          <w:szCs w:val="32"/>
        </w:rPr>
        <w:t>/</w:t>
      </w:r>
      <w:r>
        <w:rPr>
          <w:rFonts w:eastAsia="仿宋_GB2312"/>
          <w:snapToGrid w:val="0"/>
          <w:kern w:val="0"/>
          <w:sz w:val="32"/>
          <w:szCs w:val="32"/>
        </w:rPr>
        <w:t>规格的划分说明，明确不同型号间产品差异。</w:t>
      </w:r>
    </w:p>
    <w:p w14:paraId="6EF67A10">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z w:val="32"/>
          <w:szCs w:val="32"/>
        </w:rPr>
        <w:t>渗透压测定仪</w:t>
      </w:r>
      <w:r>
        <w:rPr>
          <w:rFonts w:eastAsia="仿宋_GB2312"/>
          <w:sz w:val="32"/>
          <w:szCs w:val="32"/>
        </w:rPr>
        <w:t>产品中包含内嵌型软件组件，应明确软件的名称、型号</w:t>
      </w:r>
      <w:r>
        <w:rPr>
          <w:rFonts w:hint="eastAsia" w:eastAsia="仿宋_GB2312"/>
          <w:sz w:val="32"/>
          <w:szCs w:val="32"/>
        </w:rPr>
        <w:t>/</w:t>
      </w:r>
      <w:r>
        <w:rPr>
          <w:rFonts w:eastAsia="仿宋_GB2312"/>
          <w:sz w:val="32"/>
          <w:szCs w:val="32"/>
        </w:rPr>
        <w:t>规格（若适用）、发布版本和版本命名规则</w:t>
      </w:r>
      <w:r>
        <w:rPr>
          <w:rFonts w:hint="eastAsia" w:eastAsia="仿宋_GB2312"/>
          <w:sz w:val="32"/>
          <w:szCs w:val="32"/>
        </w:rPr>
        <w:t>。</w:t>
      </w:r>
    </w:p>
    <w:p w14:paraId="2509CE04">
      <w:pPr>
        <w:pStyle w:val="9"/>
        <w:overflowPunct w:val="0"/>
        <w:autoSpaceDE w:val="0"/>
        <w:autoSpaceDN w:val="0"/>
        <w:spacing w:line="520" w:lineRule="exact"/>
        <w:ind w:right="210" w:firstLine="64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2.1.2</w:t>
      </w:r>
      <w:r>
        <w:rPr>
          <w:rFonts w:hint="eastAsia" w:ascii="Times New Roman" w:hAnsi="Times New Roman" w:eastAsia="仿宋_GB2312"/>
          <w:snapToGrid w:val="0"/>
          <w:kern w:val="0"/>
          <w:sz w:val="32"/>
          <w:szCs w:val="32"/>
          <w:lang w:val="en-US" w:eastAsia="zh-CN"/>
        </w:rPr>
        <w:t xml:space="preserve"> </w:t>
      </w:r>
      <w:r>
        <w:rPr>
          <w:rFonts w:ascii="Times New Roman" w:hAnsi="Times New Roman" w:eastAsia="仿宋_GB2312"/>
          <w:snapToGrid w:val="0"/>
          <w:kern w:val="0"/>
          <w:sz w:val="32"/>
          <w:szCs w:val="32"/>
        </w:rPr>
        <w:t>性能指标</w:t>
      </w:r>
    </w:p>
    <w:p w14:paraId="1270D91F">
      <w:pPr>
        <w:pStyle w:val="9"/>
        <w:overflowPunct w:val="0"/>
        <w:autoSpaceDE w:val="0"/>
        <w:autoSpaceDN w:val="0"/>
        <w:spacing w:line="520" w:lineRule="exact"/>
        <w:ind w:right="210" w:firstLine="640"/>
        <w:rPr>
          <w:rFonts w:ascii="Times New Roman" w:hAnsi="Times New Roman" w:eastAsia="仿宋_GB2312"/>
          <w:sz w:val="32"/>
          <w:szCs w:val="32"/>
        </w:rPr>
      </w:pPr>
      <w:r>
        <w:rPr>
          <w:rFonts w:ascii="Times New Roman" w:hAnsi="Times New Roman" w:eastAsia="仿宋_GB2312"/>
          <w:sz w:val="32"/>
          <w:szCs w:val="32"/>
        </w:rPr>
        <w:t>性能指标包括功能性指标、安全性指标，其内容应与产品性能研究资料的内容一致，并具有确定的研究依据。</w:t>
      </w:r>
    </w:p>
    <w:p w14:paraId="3141F079">
      <w:pPr>
        <w:spacing w:line="520" w:lineRule="exact"/>
        <w:ind w:firstLine="640" w:firstLineChars="200"/>
        <w:rPr>
          <w:rFonts w:ascii="Times New Roman" w:hAnsi="Times New Roman" w:eastAsia="仿宋_GB2312"/>
          <w:sz w:val="32"/>
          <w:szCs w:val="32"/>
          <w:highlight w:val="yellow"/>
        </w:rPr>
      </w:pPr>
      <w:r>
        <w:rPr>
          <w:rFonts w:hint="eastAsia" w:ascii="Times New Roman" w:hAnsi="Times New Roman" w:eastAsia="仿宋_GB2312"/>
          <w:sz w:val="32"/>
          <w:szCs w:val="32"/>
          <w:lang w:val="en-US" w:eastAsia="zh-CN"/>
        </w:rPr>
        <w:t>晶体渗透压测定仪</w:t>
      </w:r>
      <w:r>
        <w:rPr>
          <w:rFonts w:ascii="Times New Roman" w:hAnsi="Times New Roman" w:eastAsia="仿宋_GB2312"/>
          <w:sz w:val="32"/>
          <w:szCs w:val="32"/>
        </w:rPr>
        <w:t>性能指标至少应包括</w:t>
      </w:r>
      <w:r>
        <w:rPr>
          <w:rFonts w:ascii="Times New Roman" w:hAnsi="Times New Roman" w:eastAsia="仿宋_GB2312" w:cs="Times New Roman"/>
          <w:kern w:val="2"/>
          <w:sz w:val="32"/>
          <w:szCs w:val="32"/>
          <w:lang w:val="en-US" w:eastAsia="zh-CN" w:bidi="ar-SA"/>
        </w:rPr>
        <w:t>外观、准确</w:t>
      </w:r>
      <w:r>
        <w:rPr>
          <w:rFonts w:hint="eastAsia" w:ascii="Times New Roman" w:hAnsi="Times New Roman" w:eastAsia="仿宋_GB2312" w:cs="Times New Roman"/>
          <w:kern w:val="2"/>
          <w:sz w:val="32"/>
          <w:szCs w:val="32"/>
          <w:lang w:val="en-US" w:eastAsia="zh-CN" w:bidi="ar-SA"/>
        </w:rPr>
        <w:t>度</w:t>
      </w:r>
      <w:r>
        <w:rPr>
          <w:rFonts w:ascii="Times New Roman" w:hAnsi="Times New Roman" w:eastAsia="仿宋_GB2312" w:cs="Times New Roman"/>
          <w:kern w:val="2"/>
          <w:sz w:val="32"/>
          <w:szCs w:val="32"/>
          <w:lang w:val="en-US" w:eastAsia="zh-CN" w:bidi="ar-SA"/>
        </w:rPr>
        <w:t>、</w:t>
      </w:r>
      <w:r>
        <w:rPr>
          <w:rFonts w:hint="eastAsia" w:eastAsia="仿宋_GB2312"/>
          <w:sz w:val="32"/>
          <w:szCs w:val="32"/>
        </w:rPr>
        <w:t>精密度、</w:t>
      </w:r>
      <w:r>
        <w:rPr>
          <w:rFonts w:hint="eastAsia" w:ascii="Times New Roman" w:hAnsi="Times New Roman" w:eastAsia="仿宋_GB2312" w:cs="Times New Roman"/>
          <w:kern w:val="2"/>
          <w:sz w:val="32"/>
          <w:szCs w:val="32"/>
          <w:lang w:val="en-US" w:eastAsia="zh-CN" w:bidi="ar-SA"/>
        </w:rPr>
        <w:t>线性、</w:t>
      </w:r>
      <w:r>
        <w:rPr>
          <w:rFonts w:hint="eastAsia" w:eastAsia="仿宋_GB2312"/>
          <w:sz w:val="32"/>
          <w:szCs w:val="32"/>
        </w:rPr>
        <w:t>稳定性、携带污染率、软件性能、安全要求、电磁兼容要求</w:t>
      </w:r>
      <w:r>
        <w:rPr>
          <w:rFonts w:hint="eastAsia" w:eastAsia="仿宋_GB2312"/>
          <w:sz w:val="32"/>
          <w:szCs w:val="32"/>
          <w:lang w:eastAsia="zh-CN"/>
        </w:rPr>
        <w:t>、</w:t>
      </w:r>
      <w:r>
        <w:rPr>
          <w:rFonts w:hint="eastAsia" w:eastAsia="仿宋_GB2312"/>
          <w:sz w:val="32"/>
          <w:szCs w:val="32"/>
          <w:lang w:val="en-US" w:eastAsia="zh-CN"/>
        </w:rPr>
        <w:t>预冷时间（如适用）、测试时间（如适用）、打印功能（如适用）</w:t>
      </w:r>
      <w:r>
        <w:rPr>
          <w:rFonts w:hint="eastAsia" w:eastAsia="仿宋_GB2312"/>
          <w:sz w:val="32"/>
          <w:szCs w:val="32"/>
        </w:rPr>
        <w:t>等。</w:t>
      </w:r>
    </w:p>
    <w:p w14:paraId="24CC520A">
      <w:pPr>
        <w:spacing w:line="520" w:lineRule="exact"/>
        <w:ind w:firstLine="640" w:firstLineChars="200"/>
        <w:rPr>
          <w:rFonts w:hint="default" w:ascii="Times New Roman" w:hAnsi="Times New Roman" w:eastAsia="仿宋_GB2312"/>
          <w:sz w:val="32"/>
          <w:szCs w:val="32"/>
          <w:highlight w:val="yellow"/>
          <w:lang w:val="en-US" w:eastAsia="zh-CN"/>
        </w:rPr>
      </w:pPr>
      <w:r>
        <w:rPr>
          <w:rFonts w:hint="eastAsia" w:ascii="Times New Roman" w:hAnsi="Times New Roman" w:eastAsia="仿宋_GB2312"/>
          <w:sz w:val="32"/>
          <w:szCs w:val="32"/>
          <w:lang w:val="en-US" w:eastAsia="zh-CN"/>
        </w:rPr>
        <w:t>胶体渗透压测定仪</w:t>
      </w:r>
      <w:r>
        <w:rPr>
          <w:rFonts w:ascii="Times New Roman" w:hAnsi="Times New Roman" w:eastAsia="仿宋_GB2312"/>
          <w:sz w:val="32"/>
          <w:szCs w:val="32"/>
        </w:rPr>
        <w:t>性能指标至少应包括</w:t>
      </w:r>
      <w:r>
        <w:rPr>
          <w:rFonts w:hint="eastAsia" w:ascii="Times New Roman" w:hAnsi="Times New Roman" w:eastAsia="仿宋_GB2312"/>
          <w:sz w:val="32"/>
          <w:szCs w:val="32"/>
          <w:lang w:val="en-US" w:eastAsia="zh-CN"/>
        </w:rPr>
        <w:t>外观、</w:t>
      </w:r>
      <w:r>
        <w:rPr>
          <w:rFonts w:hint="eastAsia" w:eastAsia="仿宋_GB2312"/>
          <w:sz w:val="32"/>
          <w:szCs w:val="32"/>
        </w:rPr>
        <w:t>准确度、精密度、线性、稳定性、携带污染率、软件性能、安全要求、电磁兼容要求等。</w:t>
      </w:r>
    </w:p>
    <w:p w14:paraId="344CDB71">
      <w:pPr>
        <w:spacing w:line="520" w:lineRule="exact"/>
        <w:ind w:firstLine="640" w:firstLineChars="200"/>
        <w:rPr>
          <w:rFonts w:eastAsia="仿宋_GB2312"/>
          <w:sz w:val="32"/>
          <w:szCs w:val="32"/>
        </w:rPr>
      </w:pPr>
      <w:r>
        <w:rPr>
          <w:rFonts w:hint="eastAsia" w:eastAsia="仿宋_GB2312"/>
          <w:sz w:val="32"/>
          <w:szCs w:val="32"/>
        </w:rPr>
        <w:t>安全要求：符合GB 4793、GB/T 42125.1、</w:t>
      </w:r>
      <w:r>
        <w:rPr>
          <w:rFonts w:hint="eastAsia" w:eastAsia="仿宋_GB2312"/>
          <w:sz w:val="32"/>
          <w:szCs w:val="32"/>
          <w:lang w:val="en-US" w:eastAsia="zh-CN"/>
        </w:rPr>
        <w:t>GB/T 42125.3、</w:t>
      </w:r>
      <w:r>
        <w:rPr>
          <w:rFonts w:hint="eastAsia" w:eastAsia="仿宋_GB2312"/>
          <w:sz w:val="32"/>
          <w:szCs w:val="32"/>
        </w:rPr>
        <w:t>YY</w:t>
      </w:r>
      <w:r>
        <w:rPr>
          <w:rFonts w:hint="eastAsia" w:eastAsia="仿宋_GB2312"/>
          <w:sz w:val="32"/>
          <w:szCs w:val="32"/>
          <w:lang w:val="en-US" w:eastAsia="zh-CN"/>
        </w:rPr>
        <w:t xml:space="preserve">/T </w:t>
      </w:r>
      <w:r>
        <w:rPr>
          <w:rFonts w:hint="eastAsia" w:eastAsia="仿宋_GB2312"/>
          <w:sz w:val="32"/>
          <w:szCs w:val="32"/>
        </w:rPr>
        <w:t>0648中适用条款的要求。</w:t>
      </w:r>
    </w:p>
    <w:p w14:paraId="7F16D0CA">
      <w:pPr>
        <w:spacing w:line="520" w:lineRule="exact"/>
        <w:ind w:firstLine="640" w:firstLineChars="200"/>
        <w:rPr>
          <w:rFonts w:eastAsia="仿宋_GB2312"/>
          <w:sz w:val="32"/>
          <w:szCs w:val="32"/>
        </w:rPr>
      </w:pPr>
      <w:r>
        <w:rPr>
          <w:rFonts w:hint="eastAsia" w:eastAsia="仿宋_GB2312"/>
          <w:sz w:val="32"/>
          <w:szCs w:val="32"/>
        </w:rPr>
        <w:t>电磁兼容要求：符合GB/T 18268.1、GB/T 18268.26中适用条款的要求。</w:t>
      </w:r>
    </w:p>
    <w:p w14:paraId="54937246">
      <w:pPr>
        <w:spacing w:line="520" w:lineRule="exact"/>
        <w:ind w:firstLine="640" w:firstLineChars="200"/>
        <w:rPr>
          <w:rFonts w:hint="eastAsia" w:eastAsia="仿宋_GB2312"/>
          <w:sz w:val="32"/>
          <w:szCs w:val="32"/>
        </w:rPr>
      </w:pPr>
      <w:r>
        <w:rPr>
          <w:rFonts w:hint="eastAsia" w:eastAsia="仿宋_GB2312"/>
          <w:sz w:val="32"/>
          <w:szCs w:val="32"/>
        </w:rPr>
        <w:t>软件性能要求：产品中包含内嵌型软件组件，应参照《医疗器械软件注册审查指导原则（2022年修订版）》明确软件的性能指标。</w:t>
      </w:r>
    </w:p>
    <w:p w14:paraId="3194FEBD">
      <w:pPr>
        <w:spacing w:line="52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建议在产品技术要求附录明确胶体渗透压测定所用的标准品溶液，以及晶体渗透压测定所用的晶体等内容。</w:t>
      </w:r>
    </w:p>
    <w:p w14:paraId="39280266">
      <w:pPr>
        <w:spacing w:line="520" w:lineRule="exact"/>
        <w:ind w:firstLine="640" w:firstLineChars="200"/>
        <w:rPr>
          <w:rFonts w:eastAsia="仿宋_GB2312"/>
          <w:sz w:val="32"/>
          <w:szCs w:val="32"/>
        </w:rPr>
      </w:pPr>
      <w:r>
        <w:rPr>
          <w:rFonts w:eastAsia="仿宋_GB2312"/>
          <w:kern w:val="0"/>
          <w:sz w:val="32"/>
          <w:szCs w:val="32"/>
        </w:rPr>
        <w:t>2.</w:t>
      </w:r>
      <w:r>
        <w:rPr>
          <w:rFonts w:hint="eastAsia" w:eastAsia="仿宋_GB2312"/>
          <w:kern w:val="0"/>
          <w:sz w:val="32"/>
          <w:szCs w:val="32"/>
        </w:rPr>
        <w:t>2</w:t>
      </w:r>
      <w:r>
        <w:rPr>
          <w:rFonts w:eastAsia="仿宋_GB2312"/>
          <w:sz w:val="32"/>
          <w:szCs w:val="32"/>
        </w:rPr>
        <w:t>产品检验报告</w:t>
      </w:r>
    </w:p>
    <w:p w14:paraId="02933DE8">
      <w:pPr>
        <w:widowControl/>
        <w:spacing w:line="520" w:lineRule="exact"/>
        <w:ind w:firstLine="640" w:firstLineChars="200"/>
        <w:rPr>
          <w:rFonts w:eastAsia="仿宋_GB2312"/>
          <w:sz w:val="32"/>
          <w:szCs w:val="32"/>
        </w:rPr>
      </w:pPr>
      <w:r>
        <w:rPr>
          <w:rFonts w:eastAsia="仿宋_GB2312"/>
          <w:sz w:val="32"/>
          <w:szCs w:val="32"/>
        </w:rPr>
        <w:t>可提交以下任一形式的检验报告：</w:t>
      </w:r>
    </w:p>
    <w:p w14:paraId="1974FA32">
      <w:pPr>
        <w:widowControl/>
        <w:spacing w:line="520" w:lineRule="exact"/>
        <w:ind w:firstLine="640" w:firstLineChars="200"/>
        <w:rPr>
          <w:rFonts w:eastAsia="仿宋_GB2312"/>
          <w:sz w:val="32"/>
          <w:szCs w:val="32"/>
        </w:rPr>
      </w:pPr>
      <w:r>
        <w:rPr>
          <w:rFonts w:eastAsia="仿宋_GB2312"/>
          <w:sz w:val="32"/>
          <w:szCs w:val="32"/>
        </w:rPr>
        <w:t>2.2.1注册申请人出具的自检报告；</w:t>
      </w:r>
    </w:p>
    <w:p w14:paraId="601A4734">
      <w:pPr>
        <w:widowControl/>
        <w:spacing w:line="520" w:lineRule="exact"/>
        <w:ind w:firstLine="640" w:firstLineChars="200"/>
        <w:rPr>
          <w:rFonts w:eastAsia="仿宋_GB2312"/>
          <w:sz w:val="32"/>
          <w:szCs w:val="32"/>
        </w:rPr>
      </w:pPr>
      <w:r>
        <w:rPr>
          <w:rFonts w:eastAsia="仿宋_GB2312"/>
          <w:sz w:val="32"/>
          <w:szCs w:val="32"/>
        </w:rPr>
        <w:t>2.2.2委托有资质的医疗器械检验机构出具的检验报告。</w:t>
      </w:r>
    </w:p>
    <w:p w14:paraId="5A89A396">
      <w:pPr>
        <w:spacing w:line="52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2.3</w:t>
      </w:r>
      <w:r>
        <w:rPr>
          <w:rFonts w:eastAsia="仿宋_GB2312"/>
          <w:sz w:val="32"/>
          <w:szCs w:val="32"/>
        </w:rPr>
        <w:t>同一注册单元内检验典型性产品确定原则</w:t>
      </w:r>
    </w:p>
    <w:p w14:paraId="4EF0D34D">
      <w:pPr>
        <w:spacing w:line="520" w:lineRule="exact"/>
        <w:ind w:firstLine="640" w:firstLineChars="200"/>
        <w:rPr>
          <w:rFonts w:eastAsia="仿宋_GB2312"/>
          <w:kern w:val="0"/>
          <w:sz w:val="32"/>
          <w:szCs w:val="32"/>
        </w:rPr>
      </w:pPr>
      <w:r>
        <w:rPr>
          <w:rFonts w:eastAsia="仿宋_GB2312"/>
          <w:kern w:val="0"/>
          <w:sz w:val="32"/>
          <w:szCs w:val="32"/>
        </w:rPr>
        <w:t>同一注册单元内所检验的产品应当能够代表本注册单元内其他产品的安全性和有效性。对同一注册单元内代表产品的选取应考虑产品预期用途、性能指标、安全指标、结构组成等，具体原则如下：</w:t>
      </w:r>
    </w:p>
    <w:p w14:paraId="75961F21">
      <w:pPr>
        <w:spacing w:line="520" w:lineRule="exact"/>
        <w:ind w:firstLine="640" w:firstLineChars="200"/>
        <w:rPr>
          <w:rFonts w:eastAsia="仿宋_GB2312"/>
          <w:sz w:val="32"/>
          <w:szCs w:val="32"/>
        </w:rPr>
      </w:pPr>
      <w:r>
        <w:rPr>
          <w:rFonts w:eastAsia="仿宋_GB2312"/>
          <w:kern w:val="0"/>
          <w:sz w:val="32"/>
          <w:szCs w:val="32"/>
        </w:rPr>
        <w:t>（1）</w:t>
      </w:r>
      <w:r>
        <w:rPr>
          <w:rFonts w:eastAsia="仿宋_GB2312"/>
          <w:sz w:val="32"/>
          <w:szCs w:val="32"/>
        </w:rPr>
        <w:t>典型型号应是同一注册单元内能够代表本单元内其他型号安全性和有效性的产品。</w:t>
      </w:r>
    </w:p>
    <w:p w14:paraId="1B353EA2">
      <w:pPr>
        <w:spacing w:line="520" w:lineRule="exact"/>
        <w:ind w:firstLine="640" w:firstLineChars="200"/>
        <w:rPr>
          <w:rFonts w:eastAsia="仿宋_GB2312"/>
          <w:sz w:val="32"/>
          <w:szCs w:val="32"/>
        </w:rPr>
      </w:pPr>
      <w:r>
        <w:rPr>
          <w:rFonts w:eastAsia="仿宋_GB2312"/>
          <w:kern w:val="0"/>
          <w:sz w:val="32"/>
          <w:szCs w:val="32"/>
        </w:rPr>
        <w:t>（2）</w:t>
      </w:r>
      <w:r>
        <w:rPr>
          <w:rFonts w:eastAsia="仿宋_GB2312"/>
          <w:sz w:val="32"/>
          <w:szCs w:val="32"/>
        </w:rPr>
        <w:t>应考虑功能最齐全、结构最复杂、风险最高的型号。</w:t>
      </w:r>
    </w:p>
    <w:p w14:paraId="64B09A40">
      <w:pPr>
        <w:spacing w:line="520" w:lineRule="exact"/>
        <w:ind w:firstLine="640" w:firstLineChars="200"/>
        <w:rPr>
          <w:rFonts w:eastAsia="仿宋_GB2312"/>
          <w:sz w:val="32"/>
          <w:szCs w:val="32"/>
        </w:rPr>
      </w:pPr>
      <w:r>
        <w:rPr>
          <w:rFonts w:eastAsia="仿宋_GB2312"/>
          <w:kern w:val="0"/>
          <w:sz w:val="32"/>
          <w:szCs w:val="32"/>
        </w:rPr>
        <w:t>（</w:t>
      </w:r>
      <w:r>
        <w:rPr>
          <w:rFonts w:hint="eastAsia" w:eastAsia="仿宋_GB2312"/>
          <w:kern w:val="0"/>
          <w:sz w:val="32"/>
          <w:szCs w:val="32"/>
        </w:rPr>
        <w:t>3</w:t>
      </w:r>
      <w:r>
        <w:rPr>
          <w:rFonts w:eastAsia="仿宋_GB2312"/>
          <w:kern w:val="0"/>
          <w:sz w:val="32"/>
          <w:szCs w:val="32"/>
        </w:rPr>
        <w:t>）</w:t>
      </w:r>
      <w:r>
        <w:rPr>
          <w:rFonts w:eastAsia="仿宋_GB2312"/>
          <w:sz w:val="32"/>
          <w:szCs w:val="32"/>
        </w:rPr>
        <w:t>注册单元内各种型号的主要安全指标、性能指标不能被某一型号全部涵盖时，则应选择涵盖安全指标、性能指标最多的型号作为典型型号，同时还应考虑其他型号中未被典型型号所涵盖的安全指标及性能指标。</w:t>
      </w:r>
    </w:p>
    <w:p w14:paraId="661A7B70">
      <w:pPr>
        <w:spacing w:line="520" w:lineRule="exact"/>
        <w:ind w:firstLine="640" w:firstLineChars="200"/>
        <w:rPr>
          <w:rFonts w:eastAsia="仿宋_GB2312"/>
          <w:sz w:val="32"/>
          <w:szCs w:val="32"/>
        </w:rPr>
      </w:pPr>
      <w:r>
        <w:rPr>
          <w:rFonts w:eastAsia="仿宋_GB2312"/>
          <w:kern w:val="0"/>
          <w:sz w:val="32"/>
          <w:szCs w:val="32"/>
        </w:rPr>
        <w:t>（</w:t>
      </w:r>
      <w:r>
        <w:rPr>
          <w:rFonts w:hint="eastAsia" w:eastAsia="仿宋_GB2312"/>
          <w:kern w:val="0"/>
          <w:sz w:val="32"/>
          <w:szCs w:val="32"/>
        </w:rPr>
        <w:t>4</w:t>
      </w:r>
      <w:r>
        <w:rPr>
          <w:rFonts w:eastAsia="仿宋_GB2312"/>
          <w:kern w:val="0"/>
          <w:sz w:val="32"/>
          <w:szCs w:val="32"/>
        </w:rPr>
        <w:t>）</w:t>
      </w:r>
      <w:r>
        <w:rPr>
          <w:rFonts w:eastAsia="仿宋_GB2312"/>
          <w:sz w:val="32"/>
          <w:szCs w:val="32"/>
        </w:rPr>
        <w:t>应当按最不利的原则确定覆盖性，不能覆盖的差异性应分别检测。当没有充足证据能够证明同一注册单元内不同型号</w:t>
      </w:r>
      <w:r>
        <w:rPr>
          <w:rFonts w:hint="eastAsia" w:eastAsia="仿宋_GB2312"/>
          <w:sz w:val="32"/>
          <w:szCs w:val="32"/>
        </w:rPr>
        <w:t>/</w:t>
      </w:r>
      <w:r>
        <w:rPr>
          <w:rFonts w:eastAsia="仿宋_GB2312"/>
          <w:sz w:val="32"/>
          <w:szCs w:val="32"/>
        </w:rPr>
        <w:t>规格产品之间电气安全性能、电磁兼容性能可以覆盖时，应选取每一型号</w:t>
      </w:r>
      <w:r>
        <w:rPr>
          <w:rFonts w:hint="eastAsia" w:eastAsia="仿宋_GB2312"/>
          <w:sz w:val="32"/>
          <w:szCs w:val="32"/>
        </w:rPr>
        <w:t>/</w:t>
      </w:r>
      <w:r>
        <w:rPr>
          <w:rFonts w:eastAsia="仿宋_GB2312"/>
          <w:sz w:val="32"/>
          <w:szCs w:val="32"/>
        </w:rPr>
        <w:t>规格产品进行电气安全指标和电磁兼容项目检测。</w:t>
      </w:r>
    </w:p>
    <w:p w14:paraId="496B96D7">
      <w:pPr>
        <w:spacing w:line="520" w:lineRule="exact"/>
        <w:ind w:firstLine="640" w:firstLineChars="200"/>
        <w:rPr>
          <w:rFonts w:hint="eastAsia" w:eastAsia="仿宋_GB2312"/>
          <w:kern w:val="0"/>
          <w:sz w:val="32"/>
          <w:szCs w:val="32"/>
          <w:lang w:val="en-US" w:eastAsia="zh-CN"/>
        </w:rPr>
      </w:pPr>
      <w:r>
        <w:rPr>
          <w:rFonts w:hint="eastAsia" w:eastAsia="仿宋_GB2312"/>
          <w:kern w:val="0"/>
          <w:sz w:val="32"/>
          <w:szCs w:val="32"/>
          <w:lang w:val="en-US" w:eastAsia="zh-CN"/>
        </w:rPr>
        <w:t>3.研究资料</w:t>
      </w:r>
    </w:p>
    <w:p w14:paraId="3F868109">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3</w:t>
      </w:r>
      <w:r>
        <w:rPr>
          <w:rFonts w:eastAsia="仿宋_GB2312"/>
          <w:kern w:val="0"/>
          <w:sz w:val="32"/>
          <w:szCs w:val="32"/>
        </w:rPr>
        <w:t>.1产品性能研究资料</w:t>
      </w:r>
    </w:p>
    <w:p w14:paraId="40F0319A">
      <w:pPr>
        <w:spacing w:line="520" w:lineRule="exact"/>
        <w:ind w:firstLine="640" w:firstLineChars="200"/>
        <w:rPr>
          <w:rFonts w:hint="eastAsia" w:eastAsia="仿宋_GB2312"/>
          <w:kern w:val="0"/>
          <w:sz w:val="32"/>
          <w:szCs w:val="32"/>
        </w:rPr>
      </w:pPr>
      <w:r>
        <w:rPr>
          <w:rFonts w:hint="eastAsia" w:eastAsia="仿宋_GB2312"/>
          <w:kern w:val="0"/>
          <w:sz w:val="32"/>
          <w:szCs w:val="32"/>
          <w:lang w:val="en-US" w:eastAsia="zh-CN"/>
        </w:rPr>
        <w:t>3</w:t>
      </w:r>
      <w:r>
        <w:rPr>
          <w:rFonts w:hint="eastAsia" w:eastAsia="仿宋_GB2312"/>
          <w:kern w:val="0"/>
          <w:sz w:val="32"/>
          <w:szCs w:val="32"/>
        </w:rPr>
        <w:t>.1.1功能性研究</w:t>
      </w:r>
    </w:p>
    <w:p w14:paraId="62FED9EE">
      <w:pPr>
        <w:spacing w:line="520" w:lineRule="exact"/>
        <w:ind w:firstLine="640" w:firstLineChars="200"/>
        <w:rPr>
          <w:rFonts w:hint="eastAsia" w:eastAsia="仿宋_GB2312"/>
          <w:kern w:val="0"/>
          <w:sz w:val="32"/>
          <w:szCs w:val="32"/>
          <w:lang w:eastAsia="zh-CN"/>
        </w:rPr>
      </w:pPr>
      <w:r>
        <w:rPr>
          <w:rFonts w:eastAsia="仿宋_GB2312"/>
          <w:sz w:val="32"/>
          <w:szCs w:val="32"/>
        </w:rPr>
        <w:t>申请人</w:t>
      </w:r>
      <w:r>
        <w:rPr>
          <w:rFonts w:eastAsia="仿宋_GB2312"/>
          <w:kern w:val="0"/>
          <w:sz w:val="32"/>
          <w:szCs w:val="32"/>
        </w:rPr>
        <w:t>应结合仪器原理</w:t>
      </w:r>
      <w:r>
        <w:rPr>
          <w:rFonts w:hint="eastAsia" w:eastAsia="仿宋_GB2312"/>
          <w:kern w:val="0"/>
          <w:sz w:val="32"/>
          <w:szCs w:val="32"/>
        </w:rPr>
        <w:t>、</w:t>
      </w:r>
      <w:r>
        <w:rPr>
          <w:rFonts w:eastAsia="仿宋_GB2312"/>
          <w:kern w:val="0"/>
          <w:sz w:val="32"/>
          <w:szCs w:val="32"/>
        </w:rPr>
        <w:t>适用范围</w:t>
      </w:r>
      <w:r>
        <w:rPr>
          <w:rFonts w:hint="eastAsia" w:eastAsia="仿宋_GB2312"/>
          <w:kern w:val="0"/>
          <w:sz w:val="32"/>
          <w:szCs w:val="32"/>
        </w:rPr>
        <w:t>、申报产品的结构组成和各主要组成模块的情况，提供详细的性能研究资料</w:t>
      </w:r>
      <w:r>
        <w:rPr>
          <w:rFonts w:hint="eastAsia" w:eastAsia="仿宋_GB2312"/>
          <w:kern w:val="0"/>
          <w:sz w:val="32"/>
          <w:szCs w:val="32"/>
          <w:lang w:eastAsia="zh-CN"/>
        </w:rPr>
        <w:t>。</w:t>
      </w:r>
    </w:p>
    <w:p w14:paraId="693FB941">
      <w:pPr>
        <w:spacing w:line="520" w:lineRule="exact"/>
        <w:ind w:firstLine="640" w:firstLineChars="200"/>
        <w:rPr>
          <w:rFonts w:hint="default" w:eastAsia="仿宋_GB2312"/>
          <w:kern w:val="0"/>
          <w:sz w:val="32"/>
          <w:szCs w:val="32"/>
          <w:lang w:val="en-US" w:eastAsia="zh-CN"/>
        </w:rPr>
      </w:pPr>
      <w:r>
        <w:rPr>
          <w:rFonts w:hint="eastAsia" w:eastAsia="仿宋_GB2312"/>
          <w:kern w:val="0"/>
          <w:sz w:val="32"/>
          <w:szCs w:val="32"/>
          <w:lang w:val="en-US" w:eastAsia="zh-CN"/>
        </w:rPr>
        <w:t>晶体渗透压测定仪应提供</w:t>
      </w:r>
      <w:r>
        <w:rPr>
          <w:rFonts w:hint="eastAsia" w:eastAsia="仿宋_GB2312"/>
          <w:kern w:val="0"/>
          <w:sz w:val="32"/>
          <w:szCs w:val="32"/>
        </w:rPr>
        <w:t>制冷模块</w:t>
      </w:r>
      <w:r>
        <w:rPr>
          <w:rFonts w:hint="eastAsia" w:eastAsia="仿宋_GB2312"/>
          <w:kern w:val="0"/>
          <w:sz w:val="32"/>
          <w:szCs w:val="32"/>
          <w:lang w:eastAsia="zh-CN"/>
        </w:rPr>
        <w:t>（</w:t>
      </w:r>
      <w:r>
        <w:rPr>
          <w:rFonts w:hint="eastAsia" w:eastAsia="仿宋_GB2312"/>
          <w:kern w:val="0"/>
          <w:sz w:val="32"/>
          <w:szCs w:val="32"/>
          <w:lang w:val="en-US" w:eastAsia="zh-CN"/>
        </w:rPr>
        <w:t>预冷时间</w:t>
      </w:r>
      <w:r>
        <w:rPr>
          <w:rFonts w:hint="eastAsia" w:eastAsia="仿宋_GB2312"/>
          <w:kern w:val="0"/>
          <w:sz w:val="32"/>
          <w:szCs w:val="32"/>
          <w:lang w:eastAsia="zh-CN"/>
        </w:rPr>
        <w:t>）</w:t>
      </w:r>
      <w:r>
        <w:rPr>
          <w:rFonts w:hint="eastAsia" w:eastAsia="仿宋_GB2312"/>
          <w:kern w:val="0"/>
          <w:sz w:val="32"/>
          <w:szCs w:val="32"/>
        </w:rPr>
        <w:t>、</w:t>
      </w:r>
      <w:r>
        <w:rPr>
          <w:rFonts w:hint="eastAsia" w:eastAsia="仿宋_GB2312"/>
          <w:kern w:val="0"/>
          <w:sz w:val="32"/>
          <w:szCs w:val="32"/>
          <w:lang w:val="en-US" w:eastAsia="zh-CN"/>
        </w:rPr>
        <w:t>扰</w:t>
      </w:r>
      <w:r>
        <w:rPr>
          <w:rFonts w:hint="eastAsia" w:eastAsia="仿宋_GB2312"/>
          <w:kern w:val="0"/>
          <w:sz w:val="32"/>
          <w:szCs w:val="32"/>
        </w:rPr>
        <w:t>动模块、测温传感器模块</w:t>
      </w:r>
      <w:r>
        <w:rPr>
          <w:rFonts w:hint="eastAsia" w:eastAsia="仿宋_GB2312"/>
          <w:kern w:val="0"/>
          <w:sz w:val="32"/>
          <w:szCs w:val="32"/>
          <w:lang w:eastAsia="zh-CN"/>
        </w:rPr>
        <w:t>（</w:t>
      </w:r>
      <w:r>
        <w:rPr>
          <w:rFonts w:hint="eastAsia" w:eastAsia="仿宋_GB2312"/>
          <w:kern w:val="0"/>
          <w:sz w:val="32"/>
          <w:szCs w:val="32"/>
          <w:lang w:val="en-US" w:eastAsia="zh-CN"/>
        </w:rPr>
        <w:t>准确度、精密度和测试时间</w:t>
      </w:r>
      <w:r>
        <w:rPr>
          <w:rFonts w:hint="eastAsia" w:eastAsia="仿宋_GB2312"/>
          <w:kern w:val="0"/>
          <w:sz w:val="32"/>
          <w:szCs w:val="32"/>
          <w:lang w:eastAsia="zh-CN"/>
        </w:rPr>
        <w:t>）</w:t>
      </w:r>
      <w:r>
        <w:rPr>
          <w:rFonts w:hint="eastAsia" w:eastAsia="仿宋_GB2312"/>
          <w:kern w:val="0"/>
          <w:sz w:val="32"/>
          <w:szCs w:val="32"/>
        </w:rPr>
        <w:t>等的功能性指标或者模块中主要元器件功能性指标的研究资料。</w:t>
      </w:r>
    </w:p>
    <w:p w14:paraId="5A81DF6E">
      <w:pPr>
        <w:spacing w:line="520" w:lineRule="exact"/>
        <w:ind w:firstLine="640" w:firstLineChars="200"/>
        <w:rPr>
          <w:rFonts w:hint="eastAsia" w:eastAsia="仿宋_GB2312"/>
          <w:kern w:val="0"/>
          <w:sz w:val="32"/>
          <w:szCs w:val="32"/>
          <w:lang w:val="en-US" w:eastAsia="zh-CN"/>
        </w:rPr>
      </w:pPr>
      <w:r>
        <w:rPr>
          <w:rFonts w:hint="eastAsia" w:eastAsia="仿宋_GB2312"/>
          <w:kern w:val="0"/>
          <w:sz w:val="32"/>
          <w:szCs w:val="32"/>
          <w:lang w:val="en-US" w:eastAsia="zh-CN"/>
        </w:rPr>
        <w:t>胶体渗透压测定仪应提供半透膜及其固定装置、参比液室、清洗系统（携带污染率）、压力传感器（压力准确度和压力精密度）等的功能性指标或者模块中主要元器件功能性指标的研究资料。还应提供加样准确度、加样重复性和准确度的研究资料，以及胶体渗透压测定仪的清洗验证资料。</w:t>
      </w:r>
    </w:p>
    <w:p w14:paraId="2240CC7C">
      <w:pPr>
        <w:spacing w:line="520" w:lineRule="exact"/>
        <w:ind w:firstLine="640" w:firstLineChars="200"/>
        <w:rPr>
          <w:rFonts w:hint="default" w:eastAsia="仿宋_GB2312"/>
          <w:kern w:val="0"/>
          <w:sz w:val="32"/>
          <w:szCs w:val="32"/>
          <w:lang w:val="en-US" w:eastAsia="zh-CN"/>
        </w:rPr>
      </w:pPr>
      <w:r>
        <w:rPr>
          <w:rFonts w:eastAsia="仿宋_GB2312"/>
          <w:kern w:val="0"/>
          <w:sz w:val="32"/>
          <w:szCs w:val="32"/>
        </w:rPr>
        <w:t>研究资料中应详细写明通过研究验证确定的分析仪性能及关键元器件信息（如元器件的名称、生产企业、型号、主要性能参数等）。</w:t>
      </w:r>
    </w:p>
    <w:p w14:paraId="684BE539">
      <w:pPr>
        <w:spacing w:line="500" w:lineRule="exact"/>
        <w:ind w:right="-67" w:rightChars="-32" w:firstLine="640" w:firstLineChars="200"/>
        <w:rPr>
          <w:rFonts w:eastAsia="仿宋_GB2312"/>
          <w:sz w:val="32"/>
          <w:szCs w:val="32"/>
        </w:rPr>
      </w:pPr>
      <w:r>
        <w:rPr>
          <w:rFonts w:hint="eastAsia" w:eastAsia="仿宋_GB2312"/>
          <w:sz w:val="32"/>
          <w:szCs w:val="32"/>
        </w:rPr>
        <w:t>3.1.2临床项目分析性能研究</w:t>
      </w:r>
    </w:p>
    <w:p w14:paraId="2ADFD71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eastAsia="仿宋_GB2312"/>
          <w:sz w:val="32"/>
          <w:szCs w:val="32"/>
        </w:rPr>
      </w:pPr>
      <w:r>
        <w:rPr>
          <w:rFonts w:hint="eastAsia" w:eastAsia="仿宋_GB2312"/>
          <w:kern w:val="0"/>
          <w:sz w:val="32"/>
          <w:szCs w:val="32"/>
        </w:rPr>
        <w:t>建议申请人综合考虑申报产品的适用范围、可检测临床样本类型，对产品可检测的所有临床样本类型进行研究</w:t>
      </w:r>
      <w:r>
        <w:rPr>
          <w:rFonts w:hint="eastAsia" w:eastAsia="仿宋_GB2312"/>
          <w:kern w:val="0"/>
          <w:sz w:val="32"/>
          <w:szCs w:val="32"/>
          <w:lang w:eastAsia="zh-CN"/>
        </w:rPr>
        <w:t>。</w:t>
      </w:r>
      <w:r>
        <w:rPr>
          <w:rFonts w:hint="eastAsia" w:eastAsia="仿宋_GB2312"/>
          <w:sz w:val="32"/>
          <w:szCs w:val="32"/>
        </w:rPr>
        <w:t>对主要性能进行系统性评估，</w:t>
      </w:r>
      <w:r>
        <w:rPr>
          <w:rFonts w:hint="eastAsia" w:eastAsia="仿宋_GB2312"/>
          <w:kern w:val="0"/>
          <w:sz w:val="32"/>
          <w:szCs w:val="32"/>
        </w:rPr>
        <w:t>至少包含准确度、线性、精密度、携带污染率等。</w:t>
      </w:r>
    </w:p>
    <w:p w14:paraId="7B828ED6">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3</w:t>
      </w:r>
      <w:r>
        <w:rPr>
          <w:rFonts w:hint="eastAsia" w:eastAsia="仿宋_GB2312"/>
          <w:kern w:val="0"/>
          <w:sz w:val="32"/>
          <w:szCs w:val="32"/>
        </w:rPr>
        <w:t>.1.</w:t>
      </w:r>
      <w:r>
        <w:rPr>
          <w:rFonts w:hint="eastAsia" w:eastAsia="仿宋_GB2312"/>
          <w:kern w:val="0"/>
          <w:sz w:val="32"/>
          <w:szCs w:val="32"/>
          <w:lang w:val="en-US" w:eastAsia="zh-CN"/>
        </w:rPr>
        <w:t>3</w:t>
      </w:r>
      <w:r>
        <w:rPr>
          <w:rFonts w:eastAsia="仿宋_GB2312"/>
          <w:kern w:val="0"/>
          <w:sz w:val="32"/>
          <w:szCs w:val="32"/>
        </w:rPr>
        <w:t>安全性研究</w:t>
      </w:r>
    </w:p>
    <w:p w14:paraId="4E940D66">
      <w:pPr>
        <w:spacing w:line="520" w:lineRule="exact"/>
        <w:ind w:firstLine="640" w:firstLineChars="200"/>
        <w:rPr>
          <w:rFonts w:eastAsia="仿宋_GB2312"/>
          <w:sz w:val="32"/>
          <w:szCs w:val="32"/>
        </w:rPr>
      </w:pPr>
      <w:r>
        <w:rPr>
          <w:rFonts w:eastAsia="仿宋_GB2312"/>
          <w:sz w:val="32"/>
          <w:szCs w:val="32"/>
        </w:rPr>
        <w:t>安全性指标的验证包括电气安全指标和电磁兼容指标两大类。具备能力的申请人可对这两类项目自行研究，并提交详细的验证资料；不具备能力的申请人可通过检验报告对上述项目进行验证，以检验报告作为该部分的验证资料。</w:t>
      </w:r>
    </w:p>
    <w:p w14:paraId="60E3D2AB">
      <w:pPr>
        <w:spacing w:line="520" w:lineRule="exact"/>
        <w:ind w:firstLine="640" w:firstLineChars="200"/>
        <w:rPr>
          <w:rFonts w:hint="eastAsia" w:eastAsia="仿宋_GB2312"/>
          <w:kern w:val="0"/>
          <w:sz w:val="32"/>
          <w:szCs w:val="32"/>
          <w:lang w:val="en-US" w:eastAsia="zh-CN"/>
        </w:rPr>
      </w:pPr>
      <w:r>
        <w:rPr>
          <w:rFonts w:hint="eastAsia" w:eastAsia="仿宋_GB2312"/>
          <w:kern w:val="0"/>
          <w:sz w:val="32"/>
          <w:szCs w:val="32"/>
          <w:lang w:val="en-US" w:eastAsia="zh-CN"/>
        </w:rPr>
        <w:t>3.1.3.1电气安全研究</w:t>
      </w:r>
    </w:p>
    <w:p w14:paraId="2E19146D">
      <w:pPr>
        <w:spacing w:line="520" w:lineRule="exact"/>
        <w:ind w:firstLine="640" w:firstLineChars="200"/>
        <w:jc w:val="both"/>
        <w:rPr>
          <w:rFonts w:hint="eastAsia" w:eastAsia="仿宋_GB2312"/>
          <w:sz w:val="32"/>
          <w:szCs w:val="32"/>
          <w:lang w:val="en-US" w:eastAsia="zh-CN"/>
        </w:rPr>
      </w:pPr>
      <w:r>
        <w:rPr>
          <w:rFonts w:hint="eastAsia" w:eastAsia="仿宋_GB2312"/>
          <w:kern w:val="0"/>
          <w:sz w:val="32"/>
          <w:szCs w:val="32"/>
          <w:lang w:val="en-US" w:eastAsia="zh-CN"/>
        </w:rPr>
        <w:t>电气安全研究应当包括GB 4793《测量、控制和实验室用电气设备安全技术规范》、GB/T 42125.1《测量、控制和实验室用电气设备的安全要求 第1部分：通用要求》、GB/T 42125.3《</w:t>
      </w:r>
      <w:r>
        <w:rPr>
          <w:rFonts w:hint="default" w:eastAsia="仿宋_GB2312"/>
          <w:kern w:val="0"/>
          <w:sz w:val="32"/>
          <w:szCs w:val="32"/>
          <w:lang w:val="en-US" w:eastAsia="zh-CN"/>
        </w:rPr>
        <w:t>测量、控制和实验室用电气设备的安全要求 第3部分：制冷设备的特殊要求</w:t>
      </w:r>
      <w:r>
        <w:rPr>
          <w:rFonts w:hint="eastAsia" w:eastAsia="仿宋_GB2312"/>
          <w:kern w:val="0"/>
          <w:sz w:val="32"/>
          <w:szCs w:val="32"/>
          <w:lang w:val="en-US" w:eastAsia="zh-CN"/>
        </w:rPr>
        <w:t>》、Y</w:t>
      </w:r>
      <w:r>
        <w:rPr>
          <w:rFonts w:hint="eastAsia" w:eastAsia="仿宋_GB2312"/>
          <w:sz w:val="32"/>
          <w:szCs w:val="32"/>
          <w:lang w:val="en-US" w:eastAsia="zh-CN"/>
        </w:rPr>
        <w:t>Y/T 0648《测量、控制和试验室用电气设备的安全要求 第2-101部分：体外诊断（IVD）医用设备的专用要求》及其他适用的国家标准和行业标准中的所有指标。</w:t>
      </w:r>
    </w:p>
    <w:p w14:paraId="6D1945B6">
      <w:pPr>
        <w:spacing w:line="52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3</w:t>
      </w:r>
      <w:r>
        <w:rPr>
          <w:rFonts w:eastAsia="仿宋_GB2312"/>
          <w:sz w:val="32"/>
          <w:szCs w:val="32"/>
        </w:rPr>
        <w:t>.1.</w:t>
      </w:r>
      <w:r>
        <w:rPr>
          <w:rFonts w:hint="eastAsia" w:eastAsia="仿宋_GB2312"/>
          <w:sz w:val="32"/>
          <w:szCs w:val="32"/>
          <w:lang w:val="en-US" w:eastAsia="zh-CN"/>
        </w:rPr>
        <w:t>3</w:t>
      </w:r>
      <w:r>
        <w:rPr>
          <w:rFonts w:eastAsia="仿宋_GB2312"/>
          <w:sz w:val="32"/>
          <w:szCs w:val="32"/>
        </w:rPr>
        <w:t>.2电磁兼容</w:t>
      </w:r>
      <w:r>
        <w:rPr>
          <w:rFonts w:hint="eastAsia" w:eastAsia="仿宋_GB2312"/>
          <w:sz w:val="32"/>
          <w:szCs w:val="32"/>
          <w:lang w:val="en-US" w:eastAsia="zh-CN"/>
        </w:rPr>
        <w:t>研究</w:t>
      </w:r>
    </w:p>
    <w:p w14:paraId="56F2A612">
      <w:pPr>
        <w:spacing w:line="52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电磁兼容研究应当包括GB/T 18268.1《测量、控制和实验室用的电设备电磁兼容性要求第1部分：通用要求》和GB/T 18268.26《测量、控制和实验室用的电设备电磁兼容性要求 第26部分：特殊要求 体外诊断（IVD）医疗设备》及其他适用的国家标准和行业标准中的所有指标。</w:t>
      </w:r>
    </w:p>
    <w:p w14:paraId="5969BDCE">
      <w:pPr>
        <w:widowControl/>
        <w:spacing w:line="520" w:lineRule="exact"/>
        <w:ind w:firstLine="640" w:firstLineChars="200"/>
        <w:rPr>
          <w:rFonts w:eastAsia="仿宋_GB2312"/>
          <w:sz w:val="32"/>
          <w:szCs w:val="32"/>
        </w:rPr>
      </w:pPr>
      <w:r>
        <w:rPr>
          <w:rFonts w:hint="eastAsia" w:eastAsia="仿宋_GB2312"/>
          <w:sz w:val="32"/>
          <w:szCs w:val="32"/>
        </w:rPr>
        <w:t>具备能力的申请人可对上述项目自行研究，并提交详细的验证资料；不具备能力的申请人可通过检验报告对上述项目进行验证，以检验报告作为该部分的验证资料。</w:t>
      </w:r>
    </w:p>
    <w:p w14:paraId="4885C210">
      <w:pPr>
        <w:adjustRightInd w:val="0"/>
        <w:snapToGrid w:val="0"/>
        <w:spacing w:line="520" w:lineRule="exact"/>
        <w:ind w:firstLine="640" w:firstLineChars="200"/>
        <w:rPr>
          <w:rFonts w:eastAsia="仿宋_GB2312"/>
          <w:kern w:val="0"/>
          <w:sz w:val="32"/>
          <w:szCs w:val="32"/>
        </w:rPr>
      </w:pPr>
      <w:r>
        <w:rPr>
          <w:rFonts w:hint="eastAsia" w:eastAsia="仿宋_GB2312"/>
          <w:kern w:val="0"/>
          <w:sz w:val="32"/>
          <w:szCs w:val="32"/>
          <w:lang w:val="en-US" w:eastAsia="zh-CN"/>
        </w:rPr>
        <w:t>3.1.4</w:t>
      </w:r>
      <w:r>
        <w:rPr>
          <w:rFonts w:eastAsia="仿宋_GB2312"/>
          <w:kern w:val="0"/>
          <w:sz w:val="32"/>
          <w:szCs w:val="32"/>
        </w:rPr>
        <w:t>环境条件对产品性能指标无显著影响的研究</w:t>
      </w:r>
    </w:p>
    <w:p w14:paraId="07C2E25C">
      <w:pPr>
        <w:adjustRightInd w:val="0"/>
        <w:snapToGrid w:val="0"/>
        <w:spacing w:line="520" w:lineRule="exact"/>
        <w:ind w:firstLine="640" w:firstLineChars="200"/>
        <w:rPr>
          <w:rFonts w:eastAsia="仿宋_GB2312"/>
          <w:sz w:val="32"/>
          <w:szCs w:val="32"/>
        </w:rPr>
      </w:pPr>
      <w:r>
        <w:rPr>
          <w:rFonts w:eastAsia="仿宋_GB2312"/>
          <w:kern w:val="0"/>
          <w:sz w:val="32"/>
          <w:szCs w:val="32"/>
        </w:rPr>
        <w:t>主要包括气候环境条件、机械环境条件、运输条件等，可参考GB/T 14710及其他适用的国际/国家标准和行业标准中的相关指标，应提交对上述项目的研究和验证资料</w:t>
      </w:r>
      <w:r>
        <w:rPr>
          <w:rFonts w:eastAsia="仿宋_GB2312"/>
          <w:sz w:val="32"/>
          <w:szCs w:val="32"/>
        </w:rPr>
        <w:t>。</w:t>
      </w:r>
    </w:p>
    <w:p w14:paraId="2BBC0FFF">
      <w:pPr>
        <w:spacing w:line="500" w:lineRule="exact"/>
        <w:ind w:right="-67" w:rightChars="-32" w:firstLine="640" w:firstLineChars="200"/>
        <w:rPr>
          <w:rFonts w:eastAsia="仿宋_GB2312"/>
          <w:sz w:val="32"/>
          <w:szCs w:val="32"/>
        </w:rPr>
      </w:pPr>
      <w:r>
        <w:rPr>
          <w:rFonts w:hint="eastAsia" w:eastAsia="仿宋_GB2312"/>
          <w:sz w:val="32"/>
          <w:szCs w:val="32"/>
        </w:rPr>
        <w:t>正常工作环境以产品标称为准，但需经相应环境试验验证。明确标识供电类型、电压。</w:t>
      </w:r>
    </w:p>
    <w:p w14:paraId="3A40CE82">
      <w:pPr>
        <w:spacing w:line="520" w:lineRule="exact"/>
        <w:ind w:firstLine="640" w:firstLineChars="200"/>
        <w:rPr>
          <w:rFonts w:eastAsia="仿宋_GB2312"/>
          <w:kern w:val="0"/>
          <w:sz w:val="32"/>
          <w:szCs w:val="32"/>
        </w:rPr>
      </w:pPr>
      <w:r>
        <w:rPr>
          <w:rFonts w:hint="eastAsia" w:eastAsia="仿宋_GB2312"/>
          <w:kern w:val="0"/>
          <w:sz w:val="32"/>
          <w:szCs w:val="32"/>
          <w:lang w:val="en-US" w:eastAsia="zh-CN"/>
        </w:rPr>
        <w:t>3</w:t>
      </w:r>
      <w:r>
        <w:rPr>
          <w:rFonts w:eastAsia="仿宋_GB2312"/>
          <w:kern w:val="0"/>
          <w:sz w:val="32"/>
          <w:szCs w:val="32"/>
        </w:rPr>
        <w:t>.2</w:t>
      </w:r>
      <w:r>
        <w:rPr>
          <w:rFonts w:hint="eastAsia" w:eastAsia="仿宋_GB2312"/>
          <w:kern w:val="0"/>
          <w:sz w:val="32"/>
          <w:szCs w:val="32"/>
          <w:lang w:val="en-US" w:eastAsia="zh-CN"/>
        </w:rPr>
        <w:t>软件</w:t>
      </w:r>
      <w:r>
        <w:rPr>
          <w:rFonts w:eastAsia="仿宋_GB2312"/>
          <w:kern w:val="0"/>
          <w:sz w:val="32"/>
          <w:szCs w:val="32"/>
        </w:rPr>
        <w:t>研究</w:t>
      </w:r>
    </w:p>
    <w:p w14:paraId="3C291B44">
      <w:pPr>
        <w:widowControl/>
        <w:spacing w:line="520" w:lineRule="exact"/>
        <w:ind w:firstLine="640" w:firstLineChars="200"/>
        <w:rPr>
          <w:rFonts w:eastAsia="仿宋_GB2312"/>
          <w:sz w:val="32"/>
          <w:szCs w:val="32"/>
        </w:rPr>
      </w:pPr>
      <w:r>
        <w:rPr>
          <w:rFonts w:hint="eastAsia" w:eastAsia="仿宋_GB2312"/>
          <w:kern w:val="0"/>
          <w:sz w:val="32"/>
          <w:szCs w:val="32"/>
        </w:rPr>
        <w:t>根据YY/T 0664的要求</w:t>
      </w:r>
      <w:r>
        <w:rPr>
          <w:rFonts w:hint="eastAsia" w:eastAsia="仿宋_GB2312"/>
          <w:sz w:val="32"/>
          <w:szCs w:val="32"/>
        </w:rPr>
        <w:t>，结合软件的预期用途、使用场景、核心功能综合判定软件的安全性级别并按照确定的安全性级别提交软件研究报告，</w:t>
      </w:r>
      <w:r>
        <w:rPr>
          <w:rFonts w:hint="eastAsia" w:eastAsia="仿宋_GB2312"/>
          <w:kern w:val="0"/>
          <w:sz w:val="32"/>
          <w:szCs w:val="32"/>
        </w:rPr>
        <w:t>软件研究报告需要覆盖全部软件组件</w:t>
      </w:r>
      <w:r>
        <w:rPr>
          <w:rFonts w:hint="eastAsia" w:eastAsia="仿宋_GB2312"/>
          <w:sz w:val="32"/>
          <w:szCs w:val="32"/>
        </w:rPr>
        <w:t>。</w:t>
      </w:r>
    </w:p>
    <w:p w14:paraId="36234843">
      <w:pPr>
        <w:widowControl/>
        <w:spacing w:line="520" w:lineRule="exact"/>
        <w:ind w:firstLine="640" w:firstLineChars="200"/>
        <w:rPr>
          <w:rFonts w:eastAsia="仿宋_GB2312"/>
          <w:sz w:val="32"/>
          <w:szCs w:val="32"/>
        </w:rPr>
      </w:pPr>
      <w:r>
        <w:rPr>
          <w:rFonts w:hint="eastAsia" w:eastAsia="仿宋_GB2312"/>
          <w:sz w:val="32"/>
          <w:szCs w:val="32"/>
        </w:rPr>
        <w:t>软件版本命名规则：明确软件完整版本全部字段和字段含义，若软件模块（含医用中间件）单独进行版本控制亦需提供其版本命名规则，并明确与软件版本命名规则的关系。软件和软件模块的版本命名规则均需与质量管理体系保持一致。</w:t>
      </w:r>
    </w:p>
    <w:p w14:paraId="7B5F4B33">
      <w:pPr>
        <w:spacing w:line="520" w:lineRule="exact"/>
        <w:ind w:firstLine="640" w:firstLineChars="200"/>
        <w:rPr>
          <w:rFonts w:eastAsia="仿宋_GB2312"/>
          <w:sz w:val="32"/>
          <w:szCs w:val="32"/>
        </w:rPr>
      </w:pPr>
      <w:r>
        <w:rPr>
          <w:rFonts w:eastAsia="仿宋_GB2312"/>
          <w:sz w:val="32"/>
          <w:szCs w:val="32"/>
        </w:rPr>
        <w:t>该产品一般均含有软件，注册申请人应依据《医疗器械软件注册审查指导原则》（2022年修订版）、《医疗器械网络安全注册审查指导原则》（2022年修订版）等要求，提交相应研究资料。</w:t>
      </w:r>
    </w:p>
    <w:p w14:paraId="74A6713B">
      <w:pPr>
        <w:spacing w:line="520" w:lineRule="exact"/>
        <w:ind w:firstLine="640" w:firstLineChars="200"/>
        <w:outlineLvl w:val="4"/>
        <w:rPr>
          <w:rFonts w:hint="eastAsia" w:eastAsia="仿宋_GB2312"/>
          <w:sz w:val="32"/>
          <w:szCs w:val="32"/>
          <w:lang w:val="en-US" w:eastAsia="zh-CN"/>
        </w:rPr>
      </w:pPr>
      <w:r>
        <w:rPr>
          <w:rFonts w:hint="eastAsia" w:eastAsia="仿宋_GB2312"/>
          <w:sz w:val="32"/>
          <w:szCs w:val="32"/>
          <w:lang w:val="en-US" w:eastAsia="zh-CN"/>
        </w:rPr>
        <w:t>3</w:t>
      </w:r>
      <w:r>
        <w:rPr>
          <w:rFonts w:eastAsia="仿宋_GB2312"/>
          <w:sz w:val="32"/>
          <w:szCs w:val="32"/>
        </w:rPr>
        <w:t>.</w:t>
      </w:r>
      <w:r>
        <w:rPr>
          <w:rFonts w:hint="eastAsia" w:eastAsia="仿宋_GB2312"/>
          <w:sz w:val="32"/>
          <w:szCs w:val="32"/>
          <w:lang w:val="en-US" w:eastAsia="zh-CN"/>
        </w:rPr>
        <w:t>2</w:t>
      </w:r>
      <w:r>
        <w:rPr>
          <w:rFonts w:eastAsia="仿宋_GB2312"/>
          <w:sz w:val="32"/>
          <w:szCs w:val="32"/>
        </w:rPr>
        <w:t>.1软件</w:t>
      </w:r>
      <w:r>
        <w:rPr>
          <w:rFonts w:hint="eastAsia" w:eastAsia="仿宋_GB2312"/>
          <w:sz w:val="32"/>
          <w:szCs w:val="32"/>
          <w:lang w:val="en-US" w:eastAsia="zh-CN"/>
        </w:rPr>
        <w:t>要求</w:t>
      </w:r>
    </w:p>
    <w:p w14:paraId="6CF9C416">
      <w:pPr>
        <w:spacing w:line="520" w:lineRule="exact"/>
        <w:ind w:firstLine="640" w:firstLineChars="200"/>
        <w:rPr>
          <w:rFonts w:eastAsia="仿宋_GB2312"/>
          <w:sz w:val="32"/>
          <w:szCs w:val="32"/>
        </w:rPr>
      </w:pPr>
      <w:r>
        <w:rPr>
          <w:rFonts w:eastAsia="仿宋_GB2312"/>
          <w:sz w:val="32"/>
          <w:szCs w:val="32"/>
        </w:rPr>
        <w:t>注册申请人在提交软件研究资料时应当提供自研软件研究报告、外部软件环境评估报告（若适用）以及GB/T 25000.51自测报告，亦可提交自检报告或检验报告代替自测报告。自研软件研究报告包括基本信息、实现过程、核心功能、结论等内容，详尽程度取决于软件安全性级别（严重、中等、轻微）。其中，基本信息包括软件标识、安全性级别、结构功能、物理拓扑、运行环境、注册历史，实现过程包括开发概况、风险管理、需求规范、生存周期、验证与确认、可追溯性分析、缺陷管理、更新历史，明确核心功能、核心算法、预期用途的对应关系。</w:t>
      </w:r>
    </w:p>
    <w:p w14:paraId="01B930F8">
      <w:pPr>
        <w:spacing w:line="520" w:lineRule="exact"/>
        <w:ind w:firstLine="640" w:firstLineChars="200"/>
        <w:outlineLvl w:val="4"/>
        <w:rPr>
          <w:rFonts w:hint="eastAsia" w:eastAsia="仿宋_GB2312"/>
          <w:sz w:val="32"/>
          <w:szCs w:val="32"/>
          <w:lang w:val="en-US" w:eastAsia="zh-CN"/>
        </w:rPr>
      </w:pPr>
      <w:r>
        <w:rPr>
          <w:rFonts w:hint="eastAsia" w:eastAsia="仿宋_GB2312"/>
          <w:sz w:val="32"/>
          <w:szCs w:val="32"/>
          <w:lang w:val="en-US" w:eastAsia="zh-CN"/>
        </w:rPr>
        <w:t>3</w:t>
      </w:r>
      <w:r>
        <w:rPr>
          <w:rFonts w:eastAsia="仿宋_GB2312"/>
          <w:sz w:val="32"/>
          <w:szCs w:val="32"/>
        </w:rPr>
        <w:t>.</w:t>
      </w:r>
      <w:r>
        <w:rPr>
          <w:rFonts w:hint="eastAsia" w:eastAsia="仿宋_GB2312"/>
          <w:sz w:val="32"/>
          <w:szCs w:val="32"/>
          <w:lang w:val="en-US" w:eastAsia="zh-CN"/>
        </w:rPr>
        <w:t>2</w:t>
      </w:r>
      <w:r>
        <w:rPr>
          <w:rFonts w:eastAsia="仿宋_GB2312"/>
          <w:sz w:val="32"/>
          <w:szCs w:val="32"/>
        </w:rPr>
        <w:t>.2网络安全</w:t>
      </w:r>
      <w:r>
        <w:rPr>
          <w:rFonts w:hint="eastAsia" w:eastAsia="仿宋_GB2312"/>
          <w:sz w:val="32"/>
          <w:szCs w:val="32"/>
          <w:lang w:val="en-US" w:eastAsia="zh-CN"/>
        </w:rPr>
        <w:t>要求</w:t>
      </w:r>
    </w:p>
    <w:p w14:paraId="42646E41">
      <w:pPr>
        <w:spacing w:line="520" w:lineRule="exact"/>
        <w:ind w:firstLine="640" w:firstLineChars="200"/>
        <w:rPr>
          <w:rFonts w:eastAsia="仿宋_GB2312"/>
          <w:sz w:val="32"/>
          <w:szCs w:val="32"/>
        </w:rPr>
      </w:pPr>
      <w:r>
        <w:rPr>
          <w:rFonts w:eastAsia="仿宋_GB2312"/>
          <w:sz w:val="32"/>
          <w:szCs w:val="32"/>
        </w:rPr>
        <w:t>具备电子数据交换、远程控制或用户访问功能的（如可通过蓝牙连接进行电子数据交换），注册申请人应提交网络安全研究资料。包括基本信息、实现过程、漏洞评估、结论等内容，详尽程度取决于软件安全性级别。其中，基本信息包括软件信息、数据架构、网络安全能力、网络安全补丁、安全软件，实现过程包括风险管理、需求规范、验证与确认、可追溯性分析、更新维护计划，漏洞评估明确已知漏洞相关信息。</w:t>
      </w:r>
    </w:p>
    <w:p w14:paraId="2CBAD277">
      <w:pPr>
        <w:widowControl/>
        <w:spacing w:line="520" w:lineRule="exact"/>
        <w:ind w:firstLine="640" w:firstLineChars="200"/>
        <w:rPr>
          <w:rFonts w:eastAsia="仿宋"/>
          <w:bCs/>
          <w:sz w:val="32"/>
          <w:szCs w:val="32"/>
        </w:rPr>
      </w:pPr>
      <w:r>
        <w:rPr>
          <w:rFonts w:hint="eastAsia" w:eastAsia="仿宋"/>
          <w:bCs/>
          <w:sz w:val="32"/>
          <w:szCs w:val="32"/>
        </w:rPr>
        <w:t>3.3可用性研究</w:t>
      </w:r>
    </w:p>
    <w:p w14:paraId="3EE5CFC3">
      <w:pPr>
        <w:widowControl/>
        <w:spacing w:line="520" w:lineRule="exact"/>
        <w:ind w:firstLine="640" w:firstLineChars="200"/>
        <w:rPr>
          <w:rFonts w:eastAsia="仿宋_GB2312"/>
          <w:sz w:val="32"/>
          <w:szCs w:val="32"/>
        </w:rPr>
      </w:pPr>
      <w:r>
        <w:rPr>
          <w:rFonts w:hint="eastAsia" w:eastAsia="仿宋"/>
          <w:bCs/>
          <w:sz w:val="32"/>
          <w:szCs w:val="32"/>
        </w:rPr>
        <w:t>参照《医疗器械可用性工程注册审查指导原则》的要求，提交使用错误评估报告。</w:t>
      </w:r>
    </w:p>
    <w:p w14:paraId="00D4CC67">
      <w:pPr>
        <w:pStyle w:val="9"/>
        <w:overflowPunct w:val="0"/>
        <w:autoSpaceDE w:val="0"/>
        <w:autoSpaceDN w:val="0"/>
        <w:spacing w:line="520" w:lineRule="exact"/>
        <w:ind w:right="210" w:firstLine="640"/>
        <w:outlineLvl w:val="3"/>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lang w:val="en-US" w:eastAsia="zh-CN"/>
        </w:rPr>
        <w:t>3</w:t>
      </w:r>
      <w:r>
        <w:rPr>
          <w:rFonts w:ascii="Times New Roman" w:hAnsi="Times New Roman" w:eastAsia="仿宋_GB2312"/>
          <w:snapToGrid w:val="0"/>
          <w:kern w:val="0"/>
          <w:sz w:val="32"/>
          <w:szCs w:val="32"/>
        </w:rPr>
        <w:t>.</w:t>
      </w:r>
      <w:r>
        <w:rPr>
          <w:rFonts w:hint="eastAsia" w:ascii="Times New Roman" w:hAnsi="Times New Roman" w:eastAsia="仿宋_GB2312"/>
          <w:snapToGrid w:val="0"/>
          <w:kern w:val="0"/>
          <w:sz w:val="32"/>
          <w:szCs w:val="32"/>
          <w:lang w:val="en-US" w:eastAsia="zh-CN"/>
        </w:rPr>
        <w:t xml:space="preserve">4 </w:t>
      </w:r>
      <w:r>
        <w:rPr>
          <w:rFonts w:ascii="Times New Roman" w:hAnsi="Times New Roman" w:eastAsia="仿宋_GB2312"/>
          <w:snapToGrid w:val="0"/>
          <w:kern w:val="0"/>
          <w:sz w:val="32"/>
          <w:szCs w:val="32"/>
        </w:rPr>
        <w:t>清洁、消毒研究</w:t>
      </w:r>
    </w:p>
    <w:p w14:paraId="255622E2">
      <w:pPr>
        <w:widowControl/>
        <w:spacing w:line="520" w:lineRule="exact"/>
        <w:ind w:firstLine="640" w:firstLineChars="200"/>
        <w:rPr>
          <w:rFonts w:eastAsia="仿宋_GB2312"/>
          <w:sz w:val="32"/>
          <w:szCs w:val="32"/>
        </w:rPr>
      </w:pPr>
      <w:r>
        <w:rPr>
          <w:rFonts w:hint="eastAsia" w:eastAsia="仿宋_GB2312"/>
          <w:sz w:val="32"/>
          <w:szCs w:val="32"/>
        </w:rPr>
        <w:t>应当明确推荐的清洁和消毒方法及确定依据，并提交验证的相关研究资料。</w:t>
      </w:r>
    </w:p>
    <w:p w14:paraId="078B97CD">
      <w:pPr>
        <w:spacing w:line="520" w:lineRule="exact"/>
        <w:ind w:firstLine="640" w:firstLineChars="200"/>
        <w:rPr>
          <w:rFonts w:hint="eastAsia" w:eastAsia="仿宋_GB2312"/>
          <w:kern w:val="0"/>
          <w:sz w:val="32"/>
          <w:szCs w:val="32"/>
          <w:lang w:val="en-US" w:eastAsia="zh-CN"/>
        </w:rPr>
      </w:pPr>
      <w:r>
        <w:rPr>
          <w:rFonts w:hint="eastAsia" w:eastAsia="仿宋_GB2312"/>
          <w:kern w:val="0"/>
          <w:sz w:val="32"/>
          <w:szCs w:val="32"/>
          <w:lang w:val="en-US" w:eastAsia="zh-CN"/>
        </w:rPr>
        <w:t>3.5稳定性研究</w:t>
      </w:r>
    </w:p>
    <w:p w14:paraId="5F125FE3">
      <w:pPr>
        <w:spacing w:line="520" w:lineRule="exact"/>
        <w:ind w:firstLine="640" w:firstLineChars="200"/>
        <w:outlineLvl w:val="4"/>
        <w:rPr>
          <w:rFonts w:eastAsia="仿宋_GB2312"/>
          <w:sz w:val="32"/>
          <w:szCs w:val="32"/>
        </w:rPr>
      </w:pPr>
      <w:r>
        <w:rPr>
          <w:rFonts w:hint="eastAsia" w:eastAsia="仿宋_GB2312"/>
          <w:sz w:val="32"/>
          <w:szCs w:val="32"/>
          <w:lang w:val="en-US" w:eastAsia="zh-CN"/>
        </w:rPr>
        <w:t>3</w:t>
      </w:r>
      <w:r>
        <w:rPr>
          <w:rFonts w:eastAsia="仿宋_GB2312"/>
          <w:sz w:val="32"/>
          <w:szCs w:val="32"/>
        </w:rPr>
        <w:t>.</w:t>
      </w:r>
      <w:r>
        <w:rPr>
          <w:rFonts w:hint="eastAsia" w:eastAsia="仿宋_GB2312"/>
          <w:sz w:val="32"/>
          <w:szCs w:val="32"/>
          <w:lang w:val="en-US" w:eastAsia="zh-CN"/>
        </w:rPr>
        <w:t>5.</w:t>
      </w:r>
      <w:r>
        <w:rPr>
          <w:rFonts w:eastAsia="仿宋_GB2312"/>
          <w:sz w:val="32"/>
          <w:szCs w:val="32"/>
        </w:rPr>
        <w:t>1使用稳定性</w:t>
      </w:r>
    </w:p>
    <w:p w14:paraId="74D1E55D">
      <w:pPr>
        <w:spacing w:line="520" w:lineRule="exact"/>
        <w:ind w:firstLine="640"/>
        <w:jc w:val="left"/>
        <w:rPr>
          <w:rFonts w:eastAsia="仿宋_GB2312"/>
          <w:sz w:val="32"/>
          <w:szCs w:val="32"/>
        </w:rPr>
      </w:pPr>
      <w:r>
        <w:rPr>
          <w:rFonts w:hint="eastAsia" w:eastAsia="仿宋_GB2312"/>
          <w:sz w:val="32"/>
          <w:szCs w:val="32"/>
          <w:lang w:val="en-US" w:eastAsia="zh-CN"/>
        </w:rPr>
        <w:t>申请人</w:t>
      </w:r>
      <w:r>
        <w:rPr>
          <w:rFonts w:hint="eastAsia" w:eastAsia="仿宋_GB2312"/>
          <w:sz w:val="32"/>
          <w:szCs w:val="32"/>
        </w:rPr>
        <w:t>参考《有源医疗器械使用期限技术审查指导原则》的要求开展研究。提供产品的使用期限的研究资料，证明在规定的使用期限内，</w:t>
      </w:r>
      <w:r>
        <w:rPr>
          <w:rFonts w:hint="eastAsia" w:eastAsia="仿宋_GB2312"/>
          <w:bCs/>
          <w:sz w:val="32"/>
          <w:szCs w:val="32"/>
        </w:rPr>
        <w:t>在正常使用、维护和校准（如适用）情况下，</w:t>
      </w:r>
      <w:r>
        <w:rPr>
          <w:rFonts w:hint="eastAsia" w:eastAsia="仿宋_GB2312"/>
          <w:sz w:val="32"/>
          <w:szCs w:val="32"/>
        </w:rPr>
        <w:t>产品的性能功能可以满足使用要求。</w:t>
      </w:r>
    </w:p>
    <w:p w14:paraId="244507D0">
      <w:pPr>
        <w:spacing w:line="520" w:lineRule="exact"/>
        <w:ind w:firstLine="640" w:firstLineChars="200"/>
        <w:outlineLvl w:val="4"/>
        <w:rPr>
          <w:rFonts w:eastAsia="仿宋_GB2312"/>
          <w:sz w:val="32"/>
          <w:szCs w:val="32"/>
        </w:rPr>
      </w:pPr>
      <w:r>
        <w:rPr>
          <w:rFonts w:hint="eastAsia" w:eastAsia="仿宋_GB2312"/>
          <w:sz w:val="32"/>
          <w:szCs w:val="32"/>
          <w:lang w:val="en-US" w:eastAsia="zh-CN"/>
        </w:rPr>
        <w:t>3.5</w:t>
      </w:r>
      <w:r>
        <w:rPr>
          <w:rFonts w:eastAsia="仿宋_GB2312"/>
          <w:sz w:val="32"/>
          <w:szCs w:val="32"/>
        </w:rPr>
        <w:t>.2运输稳定性</w:t>
      </w:r>
    </w:p>
    <w:p w14:paraId="3A72C878">
      <w:pPr>
        <w:spacing w:line="520" w:lineRule="exact"/>
        <w:ind w:firstLine="640" w:firstLineChars="200"/>
        <w:rPr>
          <w:rFonts w:eastAsia="仿宋_GB2312"/>
          <w:sz w:val="32"/>
          <w:szCs w:val="32"/>
        </w:rPr>
      </w:pPr>
      <w:r>
        <w:rPr>
          <w:rFonts w:eastAsia="仿宋_GB2312"/>
          <w:sz w:val="32"/>
          <w:szCs w:val="32"/>
        </w:rPr>
        <w:t>应当提供运输稳定性和包装研究资料，</w:t>
      </w:r>
      <w:r>
        <w:rPr>
          <w:rFonts w:hint="eastAsia" w:eastAsia="仿宋_GB2312"/>
          <w:sz w:val="32"/>
          <w:szCs w:val="32"/>
        </w:rPr>
        <w:t>可以</w:t>
      </w:r>
      <w:r>
        <w:rPr>
          <w:rFonts w:eastAsia="仿宋_GB2312"/>
          <w:sz w:val="32"/>
          <w:szCs w:val="32"/>
        </w:rPr>
        <w:t>参</w:t>
      </w:r>
      <w:r>
        <w:rPr>
          <w:rFonts w:hint="eastAsia" w:eastAsia="仿宋_GB2312"/>
          <w:sz w:val="32"/>
          <w:szCs w:val="32"/>
        </w:rPr>
        <w:t>照</w:t>
      </w:r>
      <w:r>
        <w:rPr>
          <w:rFonts w:eastAsia="仿宋_GB2312"/>
          <w:sz w:val="32"/>
          <w:szCs w:val="32"/>
        </w:rPr>
        <w:t>GB/T 14710标准的要求</w:t>
      </w:r>
      <w:r>
        <w:rPr>
          <w:rFonts w:hint="eastAsia" w:eastAsia="仿宋_GB2312"/>
          <w:sz w:val="32"/>
          <w:szCs w:val="32"/>
        </w:rPr>
        <w:t>，</w:t>
      </w:r>
      <w:r>
        <w:rPr>
          <w:rFonts w:eastAsia="仿宋_GB2312"/>
          <w:sz w:val="32"/>
          <w:szCs w:val="32"/>
        </w:rPr>
        <w:t>证明在生产企业规定的运输条件下，运输过程中的环境条件（例如：震动、振动、温度和湿度的波动）不会对医疗器械的特性和性能，包括完整性和清洁度，造成不利影响。</w:t>
      </w:r>
    </w:p>
    <w:p w14:paraId="12524822">
      <w:pPr>
        <w:widowControl/>
        <w:spacing w:line="520" w:lineRule="exact"/>
        <w:ind w:firstLine="640" w:firstLineChars="200"/>
        <w:rPr>
          <w:rFonts w:eastAsia="仿宋_GB2312"/>
          <w:sz w:val="32"/>
          <w:szCs w:val="32"/>
        </w:rPr>
      </w:pPr>
      <w:r>
        <w:rPr>
          <w:rFonts w:hint="eastAsia" w:eastAsia="仿宋_GB2312"/>
          <w:sz w:val="32"/>
          <w:szCs w:val="32"/>
        </w:rPr>
        <w:t>3.6其他安全有效性的研究资料</w:t>
      </w:r>
    </w:p>
    <w:p w14:paraId="71227CB7">
      <w:pPr>
        <w:spacing w:line="520" w:lineRule="exact"/>
        <w:ind w:firstLine="640" w:firstLineChars="200"/>
        <w:rPr>
          <w:rFonts w:eastAsia="仿宋_GB2312"/>
          <w:sz w:val="32"/>
          <w:szCs w:val="32"/>
        </w:rPr>
      </w:pPr>
      <w:r>
        <w:rPr>
          <w:rFonts w:hint="eastAsia" w:eastAsia="仿宋_GB2312"/>
          <w:sz w:val="32"/>
          <w:szCs w:val="32"/>
        </w:rPr>
        <w:t>对于计算得到的项目，申请人需说明计算依据，并提交分析性能验证资料。</w:t>
      </w:r>
    </w:p>
    <w:p w14:paraId="4D50259D">
      <w:pPr>
        <w:spacing w:line="520" w:lineRule="exact"/>
        <w:ind w:firstLine="640" w:firstLineChars="200"/>
        <w:rPr>
          <w:rFonts w:eastAsia="仿宋_GB2312"/>
          <w:sz w:val="32"/>
          <w:szCs w:val="32"/>
        </w:rPr>
      </w:pPr>
      <w:r>
        <w:rPr>
          <w:rFonts w:hint="eastAsia" w:eastAsia="仿宋_GB2312"/>
          <w:sz w:val="32"/>
          <w:szCs w:val="32"/>
          <w:lang w:val="en-US" w:eastAsia="zh-CN"/>
        </w:rPr>
        <w:t>3.7</w:t>
      </w:r>
      <w:r>
        <w:rPr>
          <w:rFonts w:eastAsia="仿宋_GB2312"/>
          <w:bCs/>
          <w:sz w:val="32"/>
          <w:szCs w:val="32"/>
        </w:rPr>
        <w:t>其他资料</w:t>
      </w:r>
    </w:p>
    <w:p w14:paraId="16BFD972">
      <w:pPr>
        <w:spacing w:line="520" w:lineRule="exact"/>
        <w:ind w:firstLine="640" w:firstLineChars="200"/>
        <w:rPr>
          <w:rFonts w:eastAsia="仿宋_GB2312"/>
          <w:kern w:val="0"/>
          <w:sz w:val="32"/>
          <w:szCs w:val="32"/>
        </w:rPr>
      </w:pPr>
      <w:r>
        <w:rPr>
          <w:rFonts w:hint="eastAsia" w:eastAsia="仿宋_GB2312"/>
          <w:kern w:val="0"/>
          <w:sz w:val="32"/>
          <w:szCs w:val="32"/>
        </w:rPr>
        <w:t>渗透压测定</w:t>
      </w:r>
      <w:r>
        <w:rPr>
          <w:rFonts w:eastAsia="仿宋_GB2312"/>
          <w:kern w:val="0"/>
          <w:sz w:val="32"/>
          <w:szCs w:val="32"/>
        </w:rPr>
        <w:t>仪</w:t>
      </w:r>
      <w:r>
        <w:rPr>
          <w:rFonts w:hint="eastAsia" w:eastAsia="仿宋_GB2312"/>
          <w:kern w:val="0"/>
          <w:sz w:val="32"/>
          <w:szCs w:val="32"/>
          <w:lang w:val="en-US" w:eastAsia="zh-CN"/>
        </w:rPr>
        <w:t>产品</w:t>
      </w:r>
      <w:r>
        <w:rPr>
          <w:rFonts w:eastAsia="仿宋_GB2312"/>
          <w:kern w:val="0"/>
          <w:sz w:val="32"/>
          <w:szCs w:val="32"/>
        </w:rPr>
        <w:t>列入《</w:t>
      </w:r>
      <w:r>
        <w:rPr>
          <w:rFonts w:eastAsia="仿宋_GB2312"/>
          <w:sz w:val="32"/>
          <w:szCs w:val="32"/>
        </w:rPr>
        <w:t>免于</w:t>
      </w:r>
      <w:r>
        <w:rPr>
          <w:rFonts w:hint="eastAsia" w:eastAsia="仿宋_GB2312"/>
          <w:sz w:val="32"/>
          <w:szCs w:val="32"/>
          <w:lang w:val="en-US" w:eastAsia="zh-CN"/>
        </w:rPr>
        <w:t>进行</w:t>
      </w:r>
      <w:r>
        <w:rPr>
          <w:rFonts w:eastAsia="仿宋_GB2312"/>
          <w:sz w:val="32"/>
          <w:szCs w:val="32"/>
        </w:rPr>
        <w:t>临床评价医疗器械目录</w:t>
      </w:r>
      <w:r>
        <w:rPr>
          <w:rFonts w:eastAsia="仿宋_GB2312"/>
          <w:kern w:val="0"/>
          <w:sz w:val="32"/>
          <w:szCs w:val="32"/>
        </w:rPr>
        <w:t>》（以下简称“目录”）</w:t>
      </w:r>
      <w:r>
        <w:rPr>
          <w:rFonts w:hint="eastAsia" w:eastAsia="仿宋_GB2312"/>
          <w:kern w:val="0"/>
          <w:sz w:val="32"/>
          <w:szCs w:val="32"/>
          <w:lang w:eastAsia="zh-CN"/>
        </w:rPr>
        <w:t>，</w:t>
      </w:r>
      <w:r>
        <w:rPr>
          <w:rFonts w:hint="eastAsia" w:eastAsia="仿宋_GB2312"/>
          <w:kern w:val="0"/>
          <w:sz w:val="32"/>
          <w:szCs w:val="32"/>
        </w:rPr>
        <w:t>申请人</w:t>
      </w:r>
      <w:r>
        <w:rPr>
          <w:rFonts w:eastAsia="仿宋_GB2312"/>
          <w:kern w:val="0"/>
          <w:sz w:val="32"/>
          <w:szCs w:val="32"/>
        </w:rPr>
        <w:t>应按照《列入免于临床评价医疗器械目录产品对比说明技术指导原则》等要求提交</w:t>
      </w:r>
      <w:r>
        <w:rPr>
          <w:rFonts w:hint="eastAsia" w:eastAsia="仿宋_GB2312"/>
          <w:kern w:val="0"/>
          <w:sz w:val="32"/>
          <w:szCs w:val="32"/>
          <w:lang w:val="en-US" w:eastAsia="zh-CN"/>
        </w:rPr>
        <w:t>相关</w:t>
      </w:r>
      <w:r>
        <w:rPr>
          <w:rFonts w:eastAsia="仿宋_GB2312"/>
          <w:kern w:val="0"/>
          <w:sz w:val="32"/>
          <w:szCs w:val="32"/>
        </w:rPr>
        <w:t>资料</w:t>
      </w:r>
      <w:r>
        <w:rPr>
          <w:rFonts w:hint="eastAsia" w:eastAsia="仿宋_GB2312"/>
          <w:kern w:val="0"/>
          <w:sz w:val="32"/>
          <w:szCs w:val="32"/>
        </w:rPr>
        <w:t>，并明确以下内容</w:t>
      </w:r>
      <w:r>
        <w:rPr>
          <w:rFonts w:eastAsia="仿宋_GB2312"/>
          <w:kern w:val="0"/>
          <w:sz w:val="32"/>
          <w:szCs w:val="32"/>
        </w:rPr>
        <w:t>。</w:t>
      </w:r>
    </w:p>
    <w:p w14:paraId="31706FA7">
      <w:pPr>
        <w:spacing w:line="520" w:lineRule="exact"/>
        <w:ind w:right="-67" w:rightChars="-32" w:firstLine="640" w:firstLineChars="200"/>
        <w:rPr>
          <w:rFonts w:eastAsia="仿宋_GB2312"/>
          <w:kern w:val="0"/>
          <w:sz w:val="32"/>
          <w:szCs w:val="32"/>
        </w:rPr>
      </w:pPr>
      <w:r>
        <w:rPr>
          <w:rFonts w:hint="eastAsia" w:eastAsia="仿宋_GB2312"/>
          <w:bCs/>
          <w:sz w:val="32"/>
          <w:szCs w:val="32"/>
          <w:lang w:val="en-US" w:eastAsia="zh-CN"/>
        </w:rPr>
        <w:t>3</w:t>
      </w:r>
      <w:r>
        <w:rPr>
          <w:rFonts w:hint="eastAsia" w:eastAsia="仿宋_GB2312"/>
          <w:bCs/>
          <w:sz w:val="32"/>
          <w:szCs w:val="32"/>
        </w:rPr>
        <w:t>.</w:t>
      </w:r>
      <w:r>
        <w:rPr>
          <w:rFonts w:hint="eastAsia" w:eastAsia="仿宋_GB2312"/>
          <w:bCs/>
          <w:sz w:val="32"/>
          <w:szCs w:val="32"/>
          <w:lang w:val="en-US" w:eastAsia="zh-CN"/>
        </w:rPr>
        <w:t>7.</w:t>
      </w:r>
      <w:r>
        <w:rPr>
          <w:rFonts w:hint="eastAsia" w:eastAsia="仿宋_GB2312"/>
          <w:bCs/>
          <w:sz w:val="32"/>
          <w:szCs w:val="32"/>
        </w:rPr>
        <w:t>1申报产品相关信息与《目录》所述内容的对比资料，</w:t>
      </w:r>
      <w:r>
        <w:rPr>
          <w:rFonts w:eastAsia="仿宋_GB2312"/>
          <w:kern w:val="0"/>
          <w:sz w:val="32"/>
          <w:szCs w:val="32"/>
        </w:rPr>
        <w:t>《目录》中的产品描述主要包括结构组成、反应原理、样本类型、被分析物等内容，申请人应着重从上述</w:t>
      </w:r>
      <w:r>
        <w:rPr>
          <w:rFonts w:hint="eastAsia" w:eastAsia="仿宋_GB2312"/>
          <w:kern w:val="0"/>
          <w:sz w:val="32"/>
          <w:szCs w:val="32"/>
        </w:rPr>
        <w:t>三个</w:t>
      </w:r>
      <w:r>
        <w:rPr>
          <w:rFonts w:eastAsia="仿宋_GB2312"/>
          <w:kern w:val="0"/>
          <w:sz w:val="32"/>
          <w:szCs w:val="32"/>
        </w:rPr>
        <w:t>方面进行对比。</w:t>
      </w:r>
    </w:p>
    <w:p w14:paraId="3AB741CB">
      <w:pPr>
        <w:spacing w:line="520" w:lineRule="exact"/>
        <w:ind w:right="-67" w:rightChars="-32" w:firstLine="640" w:firstLineChars="200"/>
        <w:rPr>
          <w:rFonts w:eastAsia="仿宋_GB2312"/>
          <w:spacing w:val="-1"/>
          <w:sz w:val="32"/>
          <w:szCs w:val="32"/>
        </w:rPr>
      </w:pPr>
      <w:r>
        <w:rPr>
          <w:rFonts w:hint="eastAsia" w:eastAsia="仿宋_GB2312"/>
          <w:bCs/>
          <w:sz w:val="32"/>
          <w:szCs w:val="32"/>
          <w:lang w:val="en-US" w:eastAsia="zh-CN"/>
        </w:rPr>
        <w:t>3.7</w:t>
      </w:r>
      <w:r>
        <w:rPr>
          <w:rFonts w:hint="eastAsia" w:eastAsia="仿宋_GB2312"/>
          <w:bCs/>
          <w:sz w:val="32"/>
          <w:szCs w:val="32"/>
        </w:rPr>
        <w:t>.2申报产品与《目录》中已获准境内注册医疗器械的对比说明，对比说明应当包括《申报产品与目录中已获准境内注册医疗器械对比表》和相应支持性资料。申请人</w:t>
      </w:r>
      <w:r>
        <w:rPr>
          <w:rFonts w:hint="eastAsia" w:eastAsia="仿宋_GB2312"/>
          <w:kern w:val="0"/>
          <w:sz w:val="32"/>
          <w:szCs w:val="32"/>
        </w:rPr>
        <w:t>应从工作原理、结构组成、主要性能要求、适用范围、使用方法等方面进行对比</w:t>
      </w:r>
      <w:r>
        <w:rPr>
          <w:rFonts w:eastAsia="仿宋_GB2312"/>
          <w:sz w:val="32"/>
          <w:szCs w:val="32"/>
        </w:rPr>
        <w:t>。申报产品与对比产品存在差异的，还应提交差异部分对安全有效性影响的分析研究资料。</w:t>
      </w:r>
    </w:p>
    <w:p w14:paraId="61AA26EE">
      <w:pPr>
        <w:spacing w:line="520" w:lineRule="exact"/>
        <w:ind w:right="-67" w:rightChars="-32" w:firstLine="640" w:firstLineChars="200"/>
        <w:rPr>
          <w:rFonts w:eastAsia="楷体_GB2312"/>
          <w:color w:val="000000" w:themeColor="text1"/>
          <w:sz w:val="32"/>
          <w:szCs w:val="32"/>
          <w14:textFill>
            <w14:solidFill>
              <w14:schemeClr w14:val="tx1"/>
            </w14:solidFill>
          </w14:textFill>
        </w:rPr>
      </w:pPr>
      <w:r>
        <w:rPr>
          <w:rFonts w:eastAsia="楷体_GB2312"/>
          <w:color w:val="000000" w:themeColor="text1"/>
          <w:sz w:val="32"/>
          <w:szCs w:val="32"/>
          <w14:textFill>
            <w14:solidFill>
              <w14:schemeClr w14:val="tx1"/>
            </w14:solidFill>
          </w14:textFill>
        </w:rPr>
        <w:t>（四）临床评价资料</w:t>
      </w:r>
    </w:p>
    <w:p w14:paraId="57A456B8">
      <w:pPr>
        <w:spacing w:line="520" w:lineRule="exact"/>
        <w:ind w:right="-67" w:rightChars="-32" w:firstLine="640" w:firstLineChars="200"/>
        <w:rPr>
          <w:rFonts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采用冰点下降法和</w:t>
      </w:r>
      <w:r>
        <w:rPr>
          <w:rFonts w:hint="eastAsia" w:eastAsia="仿宋_GB2312"/>
          <w:bCs/>
          <w:color w:val="000000" w:themeColor="text1"/>
          <w:sz w:val="32"/>
          <w:szCs w:val="32"/>
          <w:lang w:val="en-US" w:eastAsia="zh-CN"/>
          <w14:textFill>
            <w14:solidFill>
              <w14:schemeClr w14:val="tx1"/>
            </w14:solidFill>
          </w14:textFill>
        </w:rPr>
        <w:t>半透膜</w:t>
      </w:r>
      <w:r>
        <w:rPr>
          <w:rFonts w:hint="eastAsia" w:eastAsia="仿宋_GB2312"/>
          <w:bCs/>
          <w:color w:val="000000" w:themeColor="text1"/>
          <w:sz w:val="32"/>
          <w:szCs w:val="32"/>
          <w14:textFill>
            <w14:solidFill>
              <w14:schemeClr w14:val="tx1"/>
            </w14:solidFill>
          </w14:textFill>
        </w:rPr>
        <w:t>渗透法的</w:t>
      </w:r>
      <w:r>
        <w:rPr>
          <w:rFonts w:hint="eastAsia" w:eastAsia="仿宋_GB2312"/>
          <w:bCs/>
          <w:color w:val="000000" w:themeColor="text1"/>
          <w:sz w:val="32"/>
          <w:szCs w:val="32"/>
          <w:lang w:val="en-US" w:eastAsia="zh-CN"/>
          <w14:textFill>
            <w14:solidFill>
              <w14:schemeClr w14:val="tx1"/>
            </w14:solidFill>
          </w14:textFill>
        </w:rPr>
        <w:t>渗透压测定仪</w:t>
      </w:r>
      <w:r>
        <w:rPr>
          <w:rFonts w:hint="eastAsia" w:eastAsia="仿宋_GB2312"/>
          <w:bCs/>
          <w:color w:val="000000" w:themeColor="text1"/>
          <w:sz w:val="32"/>
          <w:szCs w:val="32"/>
          <w14:textFill>
            <w14:solidFill>
              <w14:schemeClr w14:val="tx1"/>
            </w14:solidFill>
          </w14:textFill>
        </w:rPr>
        <w:t>产</w:t>
      </w:r>
      <w:r>
        <w:rPr>
          <w:rFonts w:eastAsia="仿宋_GB2312"/>
          <w:bCs/>
          <w:color w:val="000000" w:themeColor="text1"/>
          <w:sz w:val="32"/>
          <w:szCs w:val="32"/>
          <w14:textFill>
            <w14:solidFill>
              <w14:schemeClr w14:val="tx1"/>
            </w14:solidFill>
          </w14:textFill>
        </w:rPr>
        <w:t>品</w:t>
      </w:r>
      <w:r>
        <w:rPr>
          <w:rFonts w:hint="eastAsia" w:eastAsia="仿宋_GB2312"/>
          <w:bCs/>
          <w:color w:val="000000" w:themeColor="text1"/>
          <w:sz w:val="32"/>
          <w:szCs w:val="32"/>
          <w:lang w:val="en-US" w:eastAsia="zh-CN"/>
          <w14:textFill>
            <w14:solidFill>
              <w14:schemeClr w14:val="tx1"/>
            </w14:solidFill>
          </w14:textFill>
        </w:rPr>
        <w:t>均已</w:t>
      </w:r>
      <w:r>
        <w:rPr>
          <w:rFonts w:eastAsia="仿宋_GB2312"/>
          <w:bCs/>
          <w:color w:val="000000" w:themeColor="text1"/>
          <w:sz w:val="32"/>
          <w:szCs w:val="32"/>
          <w14:textFill>
            <w14:solidFill>
              <w14:schemeClr w14:val="tx1"/>
            </w14:solidFill>
          </w14:textFill>
        </w:rPr>
        <w:t>列入《免于</w:t>
      </w:r>
      <w:r>
        <w:rPr>
          <w:rFonts w:hint="eastAsia" w:eastAsia="仿宋_GB2312"/>
          <w:bCs/>
          <w:color w:val="000000" w:themeColor="text1"/>
          <w:sz w:val="32"/>
          <w:szCs w:val="32"/>
          <w:lang w:val="en-US" w:eastAsia="zh-CN"/>
          <w14:textFill>
            <w14:solidFill>
              <w14:schemeClr w14:val="tx1"/>
            </w14:solidFill>
          </w14:textFill>
        </w:rPr>
        <w:t>进行</w:t>
      </w:r>
      <w:r>
        <w:rPr>
          <w:rFonts w:eastAsia="仿宋_GB2312"/>
          <w:bCs/>
          <w:color w:val="000000" w:themeColor="text1"/>
          <w:sz w:val="32"/>
          <w:szCs w:val="32"/>
          <w14:textFill>
            <w14:solidFill>
              <w14:schemeClr w14:val="tx1"/>
            </w14:solidFill>
          </w14:textFill>
        </w:rPr>
        <w:t>临床评价医疗器械目录》，申请人无需提交临床评价资料。</w:t>
      </w:r>
    </w:p>
    <w:p w14:paraId="569FBE0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对于采用新原理或结构，导致产品与已上市产品不具有等同性和可比性的产品，</w:t>
      </w:r>
      <w:r>
        <w:rPr>
          <w:rFonts w:hint="eastAsia" w:eastAsia="仿宋_GB2312"/>
          <w:bCs/>
          <w:color w:val="000000" w:themeColor="text1"/>
          <w:sz w:val="32"/>
          <w:szCs w:val="32"/>
          <w:lang w:val="en-US" w:eastAsia="zh-CN"/>
          <w14:textFill>
            <w14:solidFill>
              <w14:schemeClr w14:val="tx1"/>
            </w14:solidFill>
          </w14:textFill>
        </w:rPr>
        <w:t>或适用范围超出免临床目录范围的产品，</w:t>
      </w:r>
      <w:r>
        <w:rPr>
          <w:rFonts w:eastAsia="仿宋_GB2312"/>
          <w:bCs/>
          <w:color w:val="000000" w:themeColor="text1"/>
          <w:sz w:val="32"/>
          <w:szCs w:val="32"/>
          <w14:textFill>
            <w14:solidFill>
              <w14:schemeClr w14:val="tx1"/>
            </w14:solidFill>
          </w14:textFill>
        </w:rPr>
        <w:t>应</w:t>
      </w:r>
      <w:r>
        <w:rPr>
          <w:rFonts w:hint="eastAsia" w:eastAsia="仿宋_GB2312"/>
          <w:bCs/>
          <w:color w:val="000000" w:themeColor="text1"/>
          <w:sz w:val="32"/>
          <w:szCs w:val="32"/>
          <w:lang w:val="en-US" w:eastAsia="zh-CN"/>
          <w14:textFill>
            <w14:solidFill>
              <w14:schemeClr w14:val="tx1"/>
            </w14:solidFill>
          </w14:textFill>
        </w:rPr>
        <w:t>参考</w:t>
      </w:r>
      <w:r>
        <w:rPr>
          <w:rFonts w:hint="eastAsia" w:eastAsia="仿宋_GB2312"/>
          <w:bCs/>
          <w:color w:val="000000" w:themeColor="text1"/>
          <w:sz w:val="32"/>
          <w:szCs w:val="32"/>
          <w:lang w:eastAsia="zh-CN"/>
          <w14:textFill>
            <w14:solidFill>
              <w14:schemeClr w14:val="tx1"/>
            </w14:solidFill>
          </w14:textFill>
        </w:rPr>
        <w:t>《</w:t>
      </w:r>
      <w:r>
        <w:rPr>
          <w:rFonts w:hint="eastAsia" w:eastAsia="仿宋_GB2312"/>
          <w:bCs/>
          <w:color w:val="000000" w:themeColor="text1"/>
          <w:sz w:val="32"/>
          <w:szCs w:val="32"/>
          <w14:textFill>
            <w14:solidFill>
              <w14:schemeClr w14:val="tx1"/>
            </w14:solidFill>
          </w14:textFill>
        </w:rPr>
        <w:t>医疗器械临床评价技术指导原则</w:t>
      </w:r>
      <w:r>
        <w:rPr>
          <w:rFonts w:hint="eastAsia" w:eastAsia="仿宋_GB2312"/>
          <w:bCs/>
          <w:color w:val="000000" w:themeColor="text1"/>
          <w:sz w:val="32"/>
          <w:szCs w:val="32"/>
          <w:lang w:eastAsia="zh-CN"/>
          <w14:textFill>
            <w14:solidFill>
              <w14:schemeClr w14:val="tx1"/>
            </w14:solidFill>
          </w14:textFill>
        </w:rPr>
        <w:t>》</w:t>
      </w:r>
      <w:r>
        <w:rPr>
          <w:rFonts w:eastAsia="仿宋_GB2312"/>
          <w:bCs/>
          <w:color w:val="000000" w:themeColor="text1"/>
          <w:sz w:val="32"/>
          <w:szCs w:val="32"/>
          <w14:textFill>
            <w14:solidFill>
              <w14:schemeClr w14:val="tx1"/>
            </w14:solidFill>
          </w14:textFill>
        </w:rPr>
        <w:t>进行临床评价资料的提</w:t>
      </w:r>
      <w:r>
        <w:rPr>
          <w:rFonts w:eastAsia="仿宋_GB2312"/>
          <w:color w:val="000000" w:themeColor="text1"/>
          <w:kern w:val="0"/>
          <w:sz w:val="32"/>
          <w:szCs w:val="32"/>
          <w14:textFill>
            <w14:solidFill>
              <w14:schemeClr w14:val="tx1"/>
            </w14:solidFill>
          </w14:textFill>
        </w:rPr>
        <w:t>交。</w:t>
      </w:r>
    </w:p>
    <w:p w14:paraId="49496BE1">
      <w:pPr>
        <w:spacing w:line="520" w:lineRule="exact"/>
        <w:ind w:right="-67" w:rightChars="-32" w:firstLine="640" w:firstLineChars="200"/>
        <w:rPr>
          <w:rFonts w:eastAsia="楷体_GB2312"/>
          <w:color w:val="000000" w:themeColor="text1"/>
          <w:sz w:val="32"/>
          <w:szCs w:val="32"/>
          <w14:textFill>
            <w14:solidFill>
              <w14:schemeClr w14:val="tx1"/>
            </w14:solidFill>
          </w14:textFill>
        </w:rPr>
      </w:pPr>
      <w:r>
        <w:rPr>
          <w:rFonts w:eastAsia="楷体_GB2312"/>
          <w:color w:val="000000" w:themeColor="text1"/>
          <w:sz w:val="32"/>
          <w:szCs w:val="32"/>
          <w14:textFill>
            <w14:solidFill>
              <w14:schemeClr w14:val="tx1"/>
            </w14:solidFill>
          </w14:textFill>
        </w:rPr>
        <w:t>（五）产品说明书和标签样稿</w:t>
      </w:r>
    </w:p>
    <w:p w14:paraId="50AB014C">
      <w:pPr>
        <w:keepNext w:val="0"/>
        <w:keepLines w:val="0"/>
        <w:pageBreakBefore w:val="0"/>
        <w:widowControl w:val="0"/>
        <w:kinsoku/>
        <w:wordWrap/>
        <w:overflowPunct/>
        <w:topLinePunct w:val="0"/>
        <w:autoSpaceDE/>
        <w:autoSpaceDN/>
        <w:bidi w:val="0"/>
        <w:adjustRightInd/>
        <w:snapToGrid/>
        <w:spacing w:line="520" w:lineRule="exact"/>
        <w:ind w:right="-67" w:rightChars="-32" w:firstLine="636" w:firstLineChars="200"/>
        <w:textAlignment w:val="auto"/>
        <w:rPr>
          <w:rFonts w:hint="eastAsia" w:eastAsia="仿宋_GB2312"/>
          <w:spacing w:val="-1"/>
          <w:sz w:val="32"/>
          <w:szCs w:val="32"/>
          <w:lang w:eastAsia="zh-CN"/>
        </w:rPr>
      </w:pPr>
      <w:r>
        <w:rPr>
          <w:rFonts w:eastAsia="仿宋_GB2312"/>
          <w:spacing w:val="-1"/>
          <w:sz w:val="32"/>
          <w:szCs w:val="32"/>
        </w:rPr>
        <w:t>产品的说明书</w:t>
      </w:r>
      <w:r>
        <w:rPr>
          <w:rFonts w:hint="eastAsia" w:eastAsia="仿宋_GB2312"/>
          <w:spacing w:val="-1"/>
          <w:sz w:val="32"/>
          <w:szCs w:val="32"/>
          <w:lang w:val="en-US" w:eastAsia="zh-CN"/>
        </w:rPr>
        <w:t>和</w:t>
      </w:r>
      <w:r>
        <w:rPr>
          <w:rFonts w:eastAsia="仿宋_GB2312"/>
          <w:spacing w:val="-1"/>
          <w:sz w:val="32"/>
          <w:szCs w:val="32"/>
        </w:rPr>
        <w:t>标签的编写应符合《医疗器械说明书和标签管理规定》</w:t>
      </w:r>
      <w:r>
        <w:rPr>
          <w:rFonts w:eastAsia="仿宋_GB2312"/>
          <w:snapToGrid w:val="0"/>
          <w:kern w:val="0"/>
          <w:sz w:val="32"/>
          <w:szCs w:val="32"/>
        </w:rPr>
        <w:t>《医疗器械软件注册审查指导原则</w:t>
      </w:r>
      <w:r>
        <w:rPr>
          <w:rFonts w:eastAsia="仿宋_GB2312"/>
          <w:sz w:val="32"/>
          <w:szCs w:val="32"/>
        </w:rPr>
        <w:t>（2022年修订版）</w:t>
      </w:r>
      <w:r>
        <w:rPr>
          <w:rFonts w:eastAsia="仿宋_GB2312"/>
          <w:snapToGrid w:val="0"/>
          <w:kern w:val="0"/>
          <w:sz w:val="32"/>
          <w:szCs w:val="32"/>
        </w:rPr>
        <w:t>》和《医疗器械网络安全注册审查指导原则</w:t>
      </w:r>
      <w:r>
        <w:rPr>
          <w:rFonts w:eastAsia="仿宋_GB2312"/>
          <w:sz w:val="32"/>
          <w:szCs w:val="32"/>
        </w:rPr>
        <w:t>（2022年修订版）</w:t>
      </w:r>
      <w:r>
        <w:rPr>
          <w:rFonts w:eastAsia="仿宋_GB2312"/>
          <w:snapToGrid w:val="0"/>
          <w:kern w:val="0"/>
          <w:sz w:val="32"/>
          <w:szCs w:val="32"/>
        </w:rPr>
        <w:t>》</w:t>
      </w:r>
      <w:r>
        <w:rPr>
          <w:rFonts w:eastAsia="仿宋_GB2312"/>
          <w:spacing w:val="-1"/>
          <w:sz w:val="32"/>
          <w:szCs w:val="32"/>
        </w:rPr>
        <w:t>中</w:t>
      </w:r>
      <w:r>
        <w:rPr>
          <w:rFonts w:hint="eastAsia" w:eastAsia="仿宋_GB2312"/>
          <w:sz w:val="32"/>
          <w:szCs w:val="32"/>
        </w:rPr>
        <w:t>有关说明书和标签的规定</w:t>
      </w:r>
      <w:r>
        <w:rPr>
          <w:rFonts w:hint="eastAsia" w:eastAsia="仿宋_GB2312"/>
          <w:spacing w:val="-1"/>
          <w:sz w:val="32"/>
          <w:szCs w:val="32"/>
          <w:lang w:eastAsia="zh-CN"/>
        </w:rPr>
        <w:t>。</w:t>
      </w:r>
    </w:p>
    <w:p w14:paraId="55E499FF">
      <w:pPr>
        <w:spacing w:line="520" w:lineRule="exact"/>
        <w:ind w:right="-67" w:rightChars="-32" w:firstLine="636" w:firstLineChars="200"/>
        <w:rPr>
          <w:rFonts w:eastAsia="仿宋_GB2312"/>
          <w:spacing w:val="-1"/>
          <w:sz w:val="32"/>
          <w:szCs w:val="32"/>
        </w:rPr>
      </w:pPr>
      <w:r>
        <w:rPr>
          <w:rFonts w:eastAsia="仿宋_GB2312"/>
          <w:spacing w:val="-1"/>
          <w:sz w:val="32"/>
          <w:szCs w:val="32"/>
        </w:rPr>
        <w:t>结合产品特点</w:t>
      </w:r>
      <w:r>
        <w:rPr>
          <w:rFonts w:hint="eastAsia" w:eastAsia="仿宋_GB2312"/>
          <w:spacing w:val="-1"/>
          <w:sz w:val="32"/>
          <w:szCs w:val="32"/>
          <w:lang w:eastAsia="zh-CN"/>
        </w:rPr>
        <w:t>，</w:t>
      </w:r>
      <w:r>
        <w:rPr>
          <w:rFonts w:hint="eastAsia" w:eastAsia="仿宋_GB2312"/>
          <w:spacing w:val="-1"/>
          <w:sz w:val="32"/>
          <w:szCs w:val="32"/>
          <w:lang w:val="en-US" w:eastAsia="zh-CN"/>
        </w:rPr>
        <w:t>说明书</w:t>
      </w:r>
      <w:r>
        <w:rPr>
          <w:rFonts w:eastAsia="仿宋_GB2312"/>
          <w:spacing w:val="-1"/>
          <w:sz w:val="32"/>
          <w:szCs w:val="32"/>
        </w:rPr>
        <w:t>应</w:t>
      </w:r>
      <w:r>
        <w:rPr>
          <w:rFonts w:hint="eastAsia" w:eastAsia="仿宋_GB2312"/>
          <w:spacing w:val="-1"/>
          <w:sz w:val="32"/>
          <w:szCs w:val="32"/>
          <w:lang w:val="en-US" w:eastAsia="zh-CN"/>
        </w:rPr>
        <w:t>重点关注</w:t>
      </w:r>
      <w:r>
        <w:rPr>
          <w:rFonts w:eastAsia="仿宋_GB2312"/>
          <w:spacing w:val="-1"/>
          <w:sz w:val="32"/>
          <w:szCs w:val="32"/>
        </w:rPr>
        <w:t>以下内容：</w:t>
      </w:r>
    </w:p>
    <w:p w14:paraId="59D41DC5">
      <w:pPr>
        <w:numPr>
          <w:ilvl w:val="0"/>
          <w:numId w:val="0"/>
        </w:numPr>
        <w:spacing w:line="520" w:lineRule="exact"/>
        <w:ind w:firstLine="640" w:firstLineChars="200"/>
        <w:rPr>
          <w:rFonts w:eastAsia="仿宋_GB2312"/>
          <w:color w:val="000000" w:themeColor="text1"/>
          <w:kern w:val="0"/>
          <w:sz w:val="32"/>
          <w:szCs w:val="32"/>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1.</w:t>
      </w:r>
      <w:r>
        <w:rPr>
          <w:rFonts w:eastAsia="仿宋_GB2312"/>
          <w:color w:val="000000" w:themeColor="text1"/>
          <w:kern w:val="0"/>
          <w:sz w:val="32"/>
          <w:szCs w:val="32"/>
          <w14:textFill>
            <w14:solidFill>
              <w14:schemeClr w14:val="tx1"/>
            </w14:solidFill>
          </w14:textFill>
        </w:rPr>
        <w:t>主要结构组成</w:t>
      </w:r>
    </w:p>
    <w:p w14:paraId="1E19D3D2">
      <w:pPr>
        <w:spacing w:line="520" w:lineRule="exact"/>
        <w:ind w:firstLine="640" w:firstLineChars="200"/>
        <w:rPr>
          <w:rFonts w:eastAsia="仿宋_GB2312"/>
          <w:sz w:val="32"/>
          <w:szCs w:val="32"/>
        </w:rPr>
      </w:pPr>
      <w:r>
        <w:rPr>
          <w:rFonts w:hint="eastAsia" w:eastAsia="仿宋_GB2312"/>
          <w:sz w:val="32"/>
          <w:szCs w:val="32"/>
        </w:rPr>
        <w:t>建议以实物照片/示意图加文字的形式对</w:t>
      </w:r>
      <w:r>
        <w:rPr>
          <w:rFonts w:hint="eastAsia" w:eastAsia="仿宋_GB2312"/>
          <w:sz w:val="32"/>
          <w:szCs w:val="32"/>
          <w:lang w:val="en-US" w:eastAsia="zh-CN"/>
        </w:rPr>
        <w:t>渗透压测定仪</w:t>
      </w:r>
      <w:r>
        <w:rPr>
          <w:rFonts w:hint="eastAsia" w:eastAsia="仿宋_GB2312"/>
          <w:sz w:val="32"/>
          <w:szCs w:val="32"/>
        </w:rPr>
        <w:t>产品的整体结构进行描述，标明各主要模块的名称（应包含软件组件，并注明软件组件的名称、型号规格和发布版本）。</w:t>
      </w:r>
    </w:p>
    <w:p w14:paraId="479C2FB9">
      <w:pPr>
        <w:spacing w:line="520" w:lineRule="exact"/>
        <w:ind w:firstLine="640" w:firstLineChars="200"/>
        <w:rPr>
          <w:rFonts w:eastAsia="仿宋_GB2312"/>
          <w:sz w:val="32"/>
          <w:szCs w:val="32"/>
        </w:rPr>
      </w:pPr>
      <w:r>
        <w:rPr>
          <w:rFonts w:hint="eastAsia" w:eastAsia="仿宋_GB2312"/>
          <w:sz w:val="32"/>
          <w:szCs w:val="32"/>
        </w:rPr>
        <w:t>建议以实物照片/透视图/俯视图/剖面图加文字的形式对各主要模块逐一进行描述，标明每一主要模块的主要组成结构和主要元器件的名称，对于重要元器件或功能零部件，建议单独进行描述。</w:t>
      </w:r>
    </w:p>
    <w:p w14:paraId="243A6C52">
      <w:pPr>
        <w:spacing w:line="520" w:lineRule="exact"/>
        <w:ind w:firstLine="640" w:firstLineChars="200"/>
        <w:rPr>
          <w:rFonts w:eastAsia="仿宋_GB2312"/>
          <w:sz w:val="32"/>
          <w:szCs w:val="32"/>
        </w:rPr>
      </w:pPr>
      <w:r>
        <w:rPr>
          <w:rFonts w:hint="eastAsia" w:eastAsia="仿宋_GB2312"/>
          <w:sz w:val="32"/>
          <w:szCs w:val="32"/>
        </w:rPr>
        <w:t>建议对软件的全部功能（包含安全功能）进行描述，明确软件发布版本。重点对用户界面的整体情况、各功能窗口涉及的操作功能、通讯接口及协议进行介绍。</w:t>
      </w:r>
    </w:p>
    <w:p w14:paraId="68FC2374">
      <w:pPr>
        <w:spacing w:line="520" w:lineRule="exact"/>
        <w:ind w:firstLine="640" w:firstLineChars="200"/>
        <w:rPr>
          <w:rFonts w:eastAsia="仿宋_GB2312"/>
          <w:sz w:val="32"/>
          <w:szCs w:val="32"/>
        </w:rPr>
      </w:pPr>
      <w:r>
        <w:rPr>
          <w:rFonts w:hint="eastAsia" w:eastAsia="仿宋_GB2312"/>
          <w:sz w:val="32"/>
          <w:szCs w:val="32"/>
        </w:rPr>
        <w:t>如产品涉及医疗器械网络安全，说明书应提供网络安全说明和使用指导，明确用户访问控制机制、电子接口及其数据类型和技术特征、网络安全特征配置、数据备份与灾难恢复、运行环境等要求。</w:t>
      </w:r>
    </w:p>
    <w:p w14:paraId="5AACB24F">
      <w:pPr>
        <w:spacing w:line="520" w:lineRule="exact"/>
        <w:ind w:firstLine="640" w:firstLineChars="200"/>
        <w:rPr>
          <w:rFonts w:eastAsia="仿宋_GB2312"/>
          <w:sz w:val="32"/>
          <w:szCs w:val="32"/>
        </w:rPr>
      </w:pPr>
      <w:r>
        <w:rPr>
          <w:rFonts w:hint="eastAsia" w:eastAsia="仿宋_GB2312"/>
          <w:sz w:val="32"/>
          <w:szCs w:val="32"/>
          <w:lang w:val="en-US" w:eastAsia="zh-CN"/>
        </w:rPr>
        <w:t>2.</w:t>
      </w:r>
      <w:r>
        <w:rPr>
          <w:rFonts w:hint="eastAsia" w:eastAsia="仿宋_GB2312"/>
          <w:sz w:val="32"/>
          <w:szCs w:val="32"/>
        </w:rPr>
        <w:t>工作原理</w:t>
      </w:r>
    </w:p>
    <w:p w14:paraId="0973C221">
      <w:pPr>
        <w:numPr>
          <w:ilvl w:val="0"/>
          <w:numId w:val="0"/>
        </w:numPr>
        <w:spacing w:line="520" w:lineRule="exact"/>
        <w:ind w:firstLine="640" w:firstLineChars="200"/>
        <w:rPr>
          <w:rFonts w:eastAsia="仿宋_GB2312"/>
          <w:color w:val="000000" w:themeColor="text1"/>
          <w:kern w:val="0"/>
          <w:sz w:val="32"/>
          <w:szCs w:val="32"/>
          <w14:textFill>
            <w14:solidFill>
              <w14:schemeClr w14:val="tx1"/>
            </w14:solidFill>
          </w14:textFill>
        </w:rPr>
      </w:pPr>
      <w:r>
        <w:rPr>
          <w:rFonts w:hint="eastAsia" w:eastAsia="仿宋_GB2312"/>
          <w:sz w:val="32"/>
          <w:szCs w:val="32"/>
        </w:rPr>
        <w:t>建议对申报产品采用的工作原理进行详细描述。</w:t>
      </w:r>
    </w:p>
    <w:p w14:paraId="1ADDF8CB">
      <w:pPr>
        <w:spacing w:line="520" w:lineRule="exact"/>
        <w:ind w:firstLine="640" w:firstLineChars="200"/>
        <w:rPr>
          <w:rFonts w:eastAsia="仿宋_GB2312"/>
          <w:sz w:val="32"/>
          <w:szCs w:val="32"/>
        </w:rPr>
      </w:pPr>
      <w:r>
        <w:rPr>
          <w:rFonts w:hint="eastAsia" w:eastAsia="仿宋_GB2312"/>
          <w:color w:val="000000" w:themeColor="text1"/>
          <w:kern w:val="0"/>
          <w:sz w:val="32"/>
          <w:szCs w:val="32"/>
          <w:lang w:val="en-US" w:eastAsia="zh-CN"/>
          <w14:textFill>
            <w14:solidFill>
              <w14:schemeClr w14:val="tx1"/>
            </w14:solidFill>
          </w14:textFill>
        </w:rPr>
        <w:t>3.</w:t>
      </w:r>
      <w:r>
        <w:rPr>
          <w:rFonts w:hint="eastAsia" w:eastAsia="仿宋_GB2312"/>
          <w:sz w:val="32"/>
          <w:szCs w:val="32"/>
        </w:rPr>
        <w:t>安装和使用说明或者图示</w:t>
      </w:r>
    </w:p>
    <w:p w14:paraId="48AE789C">
      <w:pPr>
        <w:spacing w:line="520" w:lineRule="exact"/>
        <w:ind w:firstLine="640" w:firstLineChars="200"/>
        <w:rPr>
          <w:rFonts w:eastAsia="仿宋_GB2312"/>
          <w:sz w:val="32"/>
          <w:szCs w:val="32"/>
        </w:rPr>
      </w:pPr>
      <w:r>
        <w:rPr>
          <w:rFonts w:hint="eastAsia" w:eastAsia="仿宋_GB2312"/>
          <w:sz w:val="32"/>
          <w:szCs w:val="32"/>
        </w:rPr>
        <w:t>建议包括：</w:t>
      </w:r>
      <w:r>
        <w:rPr>
          <w:rFonts w:hint="eastAsia" w:eastAsia="仿宋_GB2312"/>
          <w:sz w:val="32"/>
          <w:szCs w:val="32"/>
          <w:lang w:val="en-US" w:eastAsia="zh-CN"/>
        </w:rPr>
        <w:t>渗透压测定仪</w:t>
      </w:r>
      <w:r>
        <w:rPr>
          <w:rFonts w:hint="eastAsia" w:eastAsia="仿宋_GB2312"/>
          <w:sz w:val="32"/>
          <w:szCs w:val="32"/>
        </w:rPr>
        <w:t>产品安装说明及技术图、线路图；产品正确安装所必须的环境条件及鉴别是否正确安装的技术信息；其他特殊安装要求等。</w:t>
      </w:r>
    </w:p>
    <w:p w14:paraId="5109EBC9">
      <w:pPr>
        <w:spacing w:line="520" w:lineRule="exact"/>
        <w:ind w:firstLine="640" w:firstLineChars="200"/>
        <w:rPr>
          <w:rFonts w:eastAsia="仿宋_GB2312"/>
          <w:sz w:val="32"/>
          <w:szCs w:val="32"/>
        </w:rPr>
      </w:pPr>
      <w:r>
        <w:rPr>
          <w:rFonts w:hint="eastAsia" w:eastAsia="仿宋_GB2312"/>
          <w:sz w:val="32"/>
          <w:szCs w:val="32"/>
        </w:rPr>
        <w:t>建议以图示加文字的形式详细描述具体操作方法，包括定标、质控、检测、维护、样本前处理和储存要求、检测程序、结果传输和打印等步骤。显示屏上用户界面如何操作应有详细的图示和文字描述。</w:t>
      </w:r>
    </w:p>
    <w:p w14:paraId="28669FFB">
      <w:pPr>
        <w:spacing w:line="520" w:lineRule="exact"/>
        <w:ind w:firstLine="640" w:firstLineChars="200"/>
        <w:rPr>
          <w:rFonts w:eastAsia="仿宋_GB2312"/>
          <w:sz w:val="32"/>
          <w:szCs w:val="32"/>
        </w:rPr>
      </w:pPr>
      <w:r>
        <w:rPr>
          <w:rFonts w:hint="eastAsia" w:eastAsia="仿宋_GB2312"/>
          <w:sz w:val="32"/>
          <w:szCs w:val="32"/>
          <w:lang w:val="en-US" w:eastAsia="zh-CN"/>
        </w:rPr>
        <w:t>4.</w:t>
      </w:r>
      <w:r>
        <w:rPr>
          <w:rFonts w:hint="eastAsia" w:eastAsia="仿宋_GB2312"/>
          <w:sz w:val="32"/>
          <w:szCs w:val="32"/>
        </w:rPr>
        <w:t>维护和保养</w:t>
      </w:r>
    </w:p>
    <w:p w14:paraId="6318951F">
      <w:pPr>
        <w:spacing w:line="520" w:lineRule="exact"/>
        <w:ind w:firstLine="640" w:firstLineChars="200"/>
        <w:rPr>
          <w:rFonts w:hint="eastAsia" w:eastAsia="仿宋_GB2312"/>
          <w:sz w:val="32"/>
          <w:szCs w:val="32"/>
        </w:rPr>
      </w:pPr>
      <w:r>
        <w:rPr>
          <w:rFonts w:hint="eastAsia" w:eastAsia="仿宋_GB2312"/>
          <w:sz w:val="32"/>
          <w:szCs w:val="32"/>
        </w:rPr>
        <w:t>建议以文字加图示的方式对使用者能够进行的维护保养措施，包括不同周期（如每日、每周、每月）维护项目和方法。重点零部件维护的周期和方法可详细描述。</w:t>
      </w:r>
    </w:p>
    <w:p w14:paraId="539DA547">
      <w:pPr>
        <w:spacing w:line="520" w:lineRule="exact"/>
        <w:ind w:firstLine="640" w:firstLineChars="200"/>
        <w:rPr>
          <w:rFonts w:eastAsia="仿宋_GB2312"/>
          <w:sz w:val="32"/>
          <w:szCs w:val="32"/>
        </w:rPr>
      </w:pPr>
      <w:r>
        <w:rPr>
          <w:rFonts w:hint="eastAsia" w:eastAsia="仿宋_GB2312"/>
          <w:sz w:val="32"/>
          <w:szCs w:val="32"/>
        </w:rPr>
        <w:t>建议以列表方式对申报产品正常使用过程中可能出现的可由使用者自行排除的故障进行详细描述，应当至少写明故障的表现、可能原因、建议的处理方式。</w:t>
      </w:r>
    </w:p>
    <w:p w14:paraId="0A91ADBD">
      <w:pPr>
        <w:spacing w:line="520" w:lineRule="exact"/>
        <w:ind w:firstLine="640" w:firstLineChars="200"/>
        <w:rPr>
          <w:rFonts w:eastAsia="仿宋_GB2312"/>
          <w:sz w:val="32"/>
          <w:szCs w:val="32"/>
        </w:rPr>
      </w:pPr>
      <w:r>
        <w:rPr>
          <w:rFonts w:hint="eastAsia" w:eastAsia="仿宋_GB2312"/>
          <w:sz w:val="32"/>
          <w:szCs w:val="32"/>
        </w:rPr>
        <w:t>建议在列明可由使用者自行排除的故障基础上，加注以下内容：当仪器出现故障，但显示的错误代码不在上表内，应立即停止操作，并联系客服工程师。</w:t>
      </w:r>
    </w:p>
    <w:p w14:paraId="575C1E27">
      <w:pPr>
        <w:numPr>
          <w:ilvl w:val="0"/>
          <w:numId w:val="0"/>
        </w:numPr>
        <w:spacing w:line="520" w:lineRule="exact"/>
        <w:ind w:firstLine="640" w:firstLineChars="200"/>
        <w:rPr>
          <w:rFonts w:hint="eastAsia" w:eastAsia="仿宋_GB2312"/>
          <w:sz w:val="24"/>
          <w:szCs w:val="24"/>
          <w:lang w:val="en-US" w:eastAsia="zh-CN"/>
        </w:rPr>
      </w:pPr>
      <w:r>
        <w:rPr>
          <w:rFonts w:hint="eastAsia" w:eastAsia="仿宋_GB2312"/>
          <w:sz w:val="32"/>
          <w:szCs w:val="32"/>
          <w:lang w:val="en-US" w:eastAsia="zh-CN"/>
        </w:rPr>
        <w:t>5.注意事项</w:t>
      </w:r>
    </w:p>
    <w:p w14:paraId="03CE5975">
      <w:pPr>
        <w:numPr>
          <w:ilvl w:val="0"/>
          <w:numId w:val="0"/>
        </w:numPr>
        <w:spacing w:line="520" w:lineRule="exact"/>
        <w:ind w:firstLine="640" w:firstLineChars="200"/>
        <w:rPr>
          <w:rFonts w:hint="eastAsia"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5.1晶体渗透压测定仪：</w:t>
      </w:r>
    </w:p>
    <w:p w14:paraId="3A2EF5BB">
      <w:p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5.1.1应提供最终渗透压测定值计算公式的来源及出处。</w:t>
      </w:r>
    </w:p>
    <w:p w14:paraId="2651A5F0">
      <w:p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5.1.2注明样本存放装置为一次性使用。</w:t>
      </w:r>
    </w:p>
    <w:p w14:paraId="0D42C90E">
      <w:p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5.1.3关注仪器校准频次、标准液的配比等。</w:t>
      </w:r>
    </w:p>
    <w:p w14:paraId="66642F19">
      <w:pPr>
        <w:numPr>
          <w:ilvl w:val="0"/>
          <w:numId w:val="0"/>
        </w:numPr>
        <w:spacing w:line="520" w:lineRule="exact"/>
        <w:ind w:firstLine="640" w:firstLineChars="200"/>
        <w:rPr>
          <w:rFonts w:hint="eastAsia"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5.2胶体渗透压测定仪：</w:t>
      </w:r>
    </w:p>
    <w:p w14:paraId="091A0897">
      <w:p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5.2.1注明半透膜在不使用的情况下，应使其保持湿润状态。</w:t>
      </w:r>
    </w:p>
    <w:p w14:paraId="0F137426">
      <w:pPr>
        <w:spacing w:line="520" w:lineRule="exact"/>
        <w:ind w:firstLine="640" w:firstLineChars="200"/>
        <w:rPr>
          <w:rFonts w:hint="eastAsia"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5.2.2注明半透膜应根据其使用情况定期更换。</w:t>
      </w:r>
    </w:p>
    <w:p w14:paraId="5311CAFB">
      <w:p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5.2.3注明样品仓每次测试前需要清洗，清洗完应立即注样；二次加样前，确保上次样本已经全部抽走。</w:t>
      </w:r>
    </w:p>
    <w:p w14:paraId="76629B5E">
      <w:p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5.2.4明确渗透压测定仪器测试样本前，仪器应进行校准。</w:t>
      </w:r>
    </w:p>
    <w:p w14:paraId="2F41B550">
      <w:pPr>
        <w:numPr>
          <w:ilvl w:val="0"/>
          <w:numId w:val="0"/>
        </w:numPr>
        <w:spacing w:line="520" w:lineRule="exact"/>
        <w:ind w:firstLine="640" w:firstLineChars="200"/>
        <w:rPr>
          <w:rFonts w:hint="default" w:eastAsia="仿宋_GB2312"/>
          <w:color w:val="000000" w:themeColor="text1"/>
          <w:kern w:val="0"/>
          <w:sz w:val="32"/>
          <w:szCs w:val="32"/>
          <w:lang w:val="en-US" w:eastAsia="zh-CN"/>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6.其他</w:t>
      </w:r>
    </w:p>
    <w:p w14:paraId="10548357">
      <w:pPr>
        <w:numPr>
          <w:ilvl w:val="0"/>
          <w:numId w:val="0"/>
        </w:numPr>
        <w:spacing w:line="520" w:lineRule="exact"/>
        <w:ind w:firstLine="640" w:firstLineChars="200"/>
        <w:rPr>
          <w:rFonts w:eastAsia="仿宋_GB2312"/>
          <w:color w:val="000000" w:themeColor="text1"/>
          <w:kern w:val="0"/>
          <w:sz w:val="32"/>
          <w:szCs w:val="32"/>
          <w14:textFill>
            <w14:solidFill>
              <w14:schemeClr w14:val="tx1"/>
            </w14:solidFill>
          </w14:textFill>
        </w:rPr>
      </w:pPr>
      <w:r>
        <w:rPr>
          <w:rFonts w:hint="eastAsia" w:eastAsia="仿宋_GB2312"/>
          <w:color w:val="000000" w:themeColor="text1"/>
          <w:kern w:val="0"/>
          <w:sz w:val="32"/>
          <w:szCs w:val="32"/>
          <w:lang w:val="en-US" w:eastAsia="zh-CN"/>
          <w14:textFill>
            <w14:solidFill>
              <w14:schemeClr w14:val="tx1"/>
            </w14:solidFill>
          </w14:textFill>
        </w:rPr>
        <w:t>产品说明书</w:t>
      </w:r>
      <w:r>
        <w:rPr>
          <w:rFonts w:eastAsia="仿宋_GB2312"/>
          <w:color w:val="000000" w:themeColor="text1"/>
          <w:kern w:val="0"/>
          <w:sz w:val="32"/>
          <w:szCs w:val="32"/>
          <w14:textFill>
            <w14:solidFill>
              <w14:schemeClr w14:val="tx1"/>
            </w14:solidFill>
          </w14:textFill>
        </w:rPr>
        <w:t>中详细内容可能因申请人和申报产品的不同而有所区别，或者某些项目的详细内容可能记载于其他文件（如维修保养手册）中，此种情况下，申请人应当在提交产品说明书时另附文件予以说明。</w:t>
      </w:r>
    </w:p>
    <w:p w14:paraId="153F6D2F">
      <w:pPr>
        <w:spacing w:line="520" w:lineRule="exact"/>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产品说明书的内容均应有明确的来源，与综述资料、研究资料等注册申报资料的内容保持一致。进口产品的原文说明书如缺少上述项目中的某些内容，应当在产品中文说明书中予以增加，涉及技术内容且前述注册申报资料中未包含的，建议提交相应验证资料。</w:t>
      </w:r>
    </w:p>
    <w:p w14:paraId="54463BF0">
      <w:pPr>
        <w:spacing w:line="520" w:lineRule="exact"/>
        <w:ind w:right="-67" w:rightChars="-32" w:firstLine="640" w:firstLineChars="200"/>
        <w:rPr>
          <w:rFonts w:eastAsia="楷体_GB2312"/>
          <w:color w:val="000000" w:themeColor="text1"/>
          <w:sz w:val="32"/>
          <w:szCs w:val="32"/>
          <w14:textFill>
            <w14:solidFill>
              <w14:schemeClr w14:val="tx1"/>
            </w14:solidFill>
          </w14:textFill>
        </w:rPr>
      </w:pPr>
      <w:r>
        <w:rPr>
          <w:rFonts w:eastAsia="楷体_GB2312"/>
          <w:color w:val="000000" w:themeColor="text1"/>
          <w:sz w:val="32"/>
          <w:szCs w:val="32"/>
          <w14:textFill>
            <w14:solidFill>
              <w14:schemeClr w14:val="tx1"/>
            </w14:solidFill>
          </w14:textFill>
        </w:rPr>
        <w:t>（六）质量管理体系文件</w:t>
      </w:r>
    </w:p>
    <w:p w14:paraId="3CD23028">
      <w:pPr>
        <w:keepNext w:val="0"/>
        <w:keepLines w:val="0"/>
        <w:pageBreakBefore w:val="0"/>
        <w:tabs>
          <w:tab w:val="left" w:pos="8040"/>
        </w:tabs>
        <w:kinsoku/>
        <w:wordWrap/>
        <w:overflowPunct/>
        <w:topLinePunct w:val="0"/>
        <w:autoSpaceDE/>
        <w:autoSpaceDN/>
        <w:bidi w:val="0"/>
        <w:adjustRightInd w:val="0"/>
        <w:snapToGrid w:val="0"/>
        <w:spacing w:line="520" w:lineRule="exact"/>
        <w:ind w:firstLine="640" w:firstLineChars="200"/>
        <w:textAlignment w:val="auto"/>
        <w:rPr>
          <w:rFonts w:eastAsia="仿宋_GB2312"/>
          <w:sz w:val="32"/>
          <w:szCs w:val="32"/>
        </w:rPr>
      </w:pPr>
      <w:r>
        <w:rPr>
          <w:rFonts w:eastAsia="仿宋_GB2312"/>
          <w:sz w:val="32"/>
          <w:szCs w:val="32"/>
        </w:rPr>
        <w:t>质量管理体系文件主要包括综述、生产制造信息、质量管理体系程序、管理职责程序、资源管理程序、产品实现程序、质量管理体系的测量、分析和改进程序、其他质量体系程序信息、质量管理体系核查信息等内容，应符合《医疗器械注册与备案管理办法》和《关于公布医疗器械注册申报资料要求和批准证明文件格式的公告》的相关要求。</w:t>
      </w:r>
    </w:p>
    <w:p w14:paraId="43D3C61B">
      <w:pPr>
        <w:pStyle w:val="10"/>
        <w:spacing w:line="520" w:lineRule="exact"/>
        <w:ind w:firstLine="610" w:firstLineChars="0"/>
        <w:rPr>
          <w:rFonts w:hint="eastAsia" w:ascii="Times New Roman" w:hAnsi="Times New Roman" w:eastAsia="黑体" w:cs="黑体"/>
          <w:sz w:val="32"/>
        </w:rPr>
      </w:pPr>
      <w:r>
        <w:rPr>
          <w:rFonts w:hint="eastAsia" w:eastAsia="黑体" w:cs="黑体"/>
          <w:sz w:val="32"/>
          <w:lang w:val="en-US" w:eastAsia="zh-CN"/>
        </w:rPr>
        <w:t>三</w:t>
      </w:r>
      <w:r>
        <w:rPr>
          <w:rFonts w:hint="eastAsia" w:ascii="Times New Roman" w:hAnsi="Times New Roman" w:eastAsia="黑体" w:cs="黑体"/>
          <w:sz w:val="32"/>
          <w:lang w:val="en-US" w:eastAsia="zh-CN"/>
        </w:rPr>
        <w:t>、</w:t>
      </w:r>
      <w:r>
        <w:rPr>
          <w:rFonts w:hint="eastAsia" w:ascii="Times New Roman" w:hAnsi="Times New Roman" w:eastAsia="黑体" w:cs="黑体"/>
          <w:sz w:val="32"/>
        </w:rPr>
        <w:t>参考文献</w:t>
      </w:r>
    </w:p>
    <w:p w14:paraId="2E63C20A">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[1]中华人民共和国国务院.医疗器械监督管理条例</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中华人民共和国国务院令第739号[Z].</w:t>
      </w:r>
    </w:p>
    <w:p w14:paraId="4417D75E">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[2]国家市场监督管理总局</w:t>
      </w:r>
      <w:r>
        <w:rPr>
          <w:rFonts w:hint="eastAsia" w:eastAsia="仿宋_GB2312" w:cs="Times New Roman"/>
          <w:bCs/>
          <w:sz w:val="32"/>
          <w:szCs w:val="32"/>
          <w:lang w:val="en-US" w:eastAsia="zh-CN"/>
        </w:rPr>
        <w:t>.</w:t>
      </w:r>
      <w:r>
        <w:rPr>
          <w:rFonts w:hint="eastAsia" w:ascii="Times New Roman" w:hAnsi="Times New Roman" w:eastAsia="仿宋_GB2312" w:cs="Times New Roman"/>
          <w:bCs/>
          <w:sz w:val="32"/>
          <w:szCs w:val="32"/>
        </w:rPr>
        <w:t>医疗器械注册与备案管理办法</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国家市场监督管理总局令第47号[Z].</w:t>
      </w:r>
    </w:p>
    <w:p w14:paraId="61AE13E7">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[3]国家药品监督管理局.关于公布医疗器械注册申报资料要求和批准证明文件格式的公告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国家药品监督管理局公告2021年第121号[Z].</w:t>
      </w:r>
    </w:p>
    <w:p w14:paraId="6E3E6E31">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[4]国家药品监督管理局.医疗器械注册自检管理规定</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国家药品监督管理局公告2021年第126号[Z].</w:t>
      </w:r>
    </w:p>
    <w:p w14:paraId="6C162F81">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[5]国家药品监督管理局.医疗器械说明书和标签管理规定</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国家食品药品监督管理总局令第6号[Z].</w:t>
      </w:r>
    </w:p>
    <w:p w14:paraId="2A2962AC">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[6]国家药品监督管理局.医疗器械通用名称命名规则</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（国家食品药品监督管理总局令第19号）[Z].</w:t>
      </w:r>
    </w:p>
    <w:p w14:paraId="1BBDD198">
      <w:pPr>
        <w:numPr>
          <w:ilvl w:val="0"/>
          <w:numId w:val="0"/>
        </w:num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w:t>
      </w:r>
      <w:r>
        <w:rPr>
          <w:rFonts w:hint="eastAsia" w:eastAsia="仿宋_GB2312" w:cs="Times New Roman"/>
          <w:bCs/>
          <w:sz w:val="32"/>
          <w:szCs w:val="32"/>
          <w:lang w:val="en-US" w:eastAsia="zh-CN"/>
        </w:rPr>
        <w:t>7</w:t>
      </w:r>
      <w:r>
        <w:rPr>
          <w:rFonts w:hint="eastAsia" w:ascii="Times New Roman" w:hAnsi="Times New Roman" w:eastAsia="仿宋_GB2312" w:cs="Times New Roman"/>
          <w:bCs/>
          <w:sz w:val="32"/>
          <w:szCs w:val="32"/>
        </w:rPr>
        <w:t>]</w:t>
      </w:r>
      <w:r>
        <w:rPr>
          <w:rFonts w:hint="eastAsia" w:eastAsia="仿宋_GB2312"/>
          <w:sz w:val="32"/>
          <w:szCs w:val="32"/>
        </w:rPr>
        <w:t>国家食品药品监督管理局.医疗器械注册单元划分指导原则</w:t>
      </w:r>
      <w:r>
        <w:rPr>
          <w:rFonts w:hint="eastAsia" w:eastAsia="仿宋_GB2312" w:cs="Times New Roman"/>
          <w:bCs/>
          <w:sz w:val="32"/>
          <w:szCs w:val="32"/>
          <w:lang w:eastAsia="zh-CN"/>
        </w:rPr>
        <w:t>：</w:t>
      </w:r>
      <w:r>
        <w:rPr>
          <w:rFonts w:hint="eastAsia" w:eastAsia="仿宋_GB2312"/>
          <w:sz w:val="32"/>
          <w:szCs w:val="32"/>
        </w:rPr>
        <w:t>总局关于发布医疗器械注册单元划分指导原则的通告2017年第187号[Z].</w:t>
      </w:r>
    </w:p>
    <w:p w14:paraId="10BB2F3D">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w:t>
      </w:r>
      <w:r>
        <w:rPr>
          <w:rFonts w:hint="eastAsia" w:eastAsia="仿宋_GB2312" w:cs="Times New Roman"/>
          <w:bCs/>
          <w:sz w:val="32"/>
          <w:szCs w:val="32"/>
          <w:lang w:val="en-US" w:eastAsia="zh-CN"/>
        </w:rPr>
        <w:t>8</w:t>
      </w:r>
      <w:r>
        <w:rPr>
          <w:rFonts w:hint="eastAsia" w:ascii="Times New Roman" w:hAnsi="Times New Roman" w:eastAsia="仿宋_GB2312" w:cs="Times New Roman"/>
          <w:bCs/>
          <w:sz w:val="32"/>
          <w:szCs w:val="32"/>
        </w:rPr>
        <w:t>]国家药品监督管理局.总局关于发布医疗器械分类目录的公告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国家食品药品监督管理总局公告2017年第104号[Z].</w:t>
      </w:r>
    </w:p>
    <w:p w14:paraId="780FE6F6">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w:t>
      </w:r>
      <w:r>
        <w:rPr>
          <w:rFonts w:hint="eastAsia" w:eastAsia="仿宋_GB2312" w:cs="Times New Roman"/>
          <w:bCs/>
          <w:sz w:val="32"/>
          <w:szCs w:val="32"/>
          <w:lang w:val="en-US" w:eastAsia="zh-CN"/>
        </w:rPr>
        <w:t>9</w:t>
      </w:r>
      <w:r>
        <w:rPr>
          <w:rFonts w:hint="eastAsia" w:ascii="Times New Roman" w:hAnsi="Times New Roman" w:eastAsia="仿宋_GB2312" w:cs="Times New Roman"/>
          <w:bCs/>
          <w:sz w:val="32"/>
          <w:szCs w:val="32"/>
        </w:rPr>
        <w:t>]国家药品监督管理局.国家药监局关于发布医疗器械产品技术要求编写指导原则的通告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国家药品监督管理局通告2022年第8号[Z].</w:t>
      </w:r>
    </w:p>
    <w:p w14:paraId="151C673A">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w:t>
      </w:r>
      <w:r>
        <w:rPr>
          <w:rFonts w:hint="eastAsia" w:eastAsia="仿宋_GB2312" w:cs="Times New Roman"/>
          <w:bCs/>
          <w:sz w:val="32"/>
          <w:szCs w:val="32"/>
          <w:lang w:val="en-US" w:eastAsia="zh-CN"/>
        </w:rPr>
        <w:t>10</w:t>
      </w:r>
      <w:r>
        <w:rPr>
          <w:rFonts w:hint="eastAsia" w:ascii="Times New Roman" w:hAnsi="Times New Roman" w:eastAsia="仿宋_GB2312" w:cs="Times New Roman"/>
          <w:bCs/>
          <w:sz w:val="32"/>
          <w:szCs w:val="32"/>
        </w:rPr>
        <w:t>]国家药品监督管理局.国家药监局器审中心关于发布医疗器械软件注册审查指导原则（2022年修订版）的通告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国家药品监督管理局医疗器械技术审评中心通告2022年第9号[Z].</w:t>
      </w:r>
    </w:p>
    <w:p w14:paraId="7DB0D949">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w:t>
      </w:r>
      <w:r>
        <w:rPr>
          <w:rFonts w:hint="eastAsia" w:eastAsia="仿宋_GB2312" w:cs="Times New Roman"/>
          <w:bCs/>
          <w:sz w:val="32"/>
          <w:szCs w:val="32"/>
          <w:lang w:val="en-US" w:eastAsia="zh-CN"/>
        </w:rPr>
        <w:t>1</w:t>
      </w:r>
      <w:r>
        <w:rPr>
          <w:rFonts w:hint="eastAsia" w:ascii="Times New Roman" w:hAnsi="Times New Roman" w:eastAsia="仿宋_GB2312" w:cs="Times New Roman"/>
          <w:bCs/>
          <w:sz w:val="32"/>
          <w:szCs w:val="32"/>
        </w:rPr>
        <w:t>]国家药品监督管理局医疗器械技术审评中心.国家药监局器审中心关于发布医疗器械网络安全注册审查指导原则（2022年修订版）的通告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国家药品监督管理局医疗器械技术审评中心通告2022年第7号[Z].</w:t>
      </w:r>
    </w:p>
    <w:p w14:paraId="048CAEB9">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w:t>
      </w:r>
      <w:r>
        <w:rPr>
          <w:rFonts w:hint="eastAsia" w:eastAsia="仿宋_GB2312" w:cs="Times New Roman"/>
          <w:bCs/>
          <w:sz w:val="32"/>
          <w:szCs w:val="32"/>
          <w:lang w:val="en-US" w:eastAsia="zh-CN"/>
        </w:rPr>
        <w:t>2</w:t>
      </w:r>
      <w:r>
        <w:rPr>
          <w:rFonts w:hint="eastAsia" w:ascii="Times New Roman" w:hAnsi="Times New Roman" w:eastAsia="仿宋_GB2312" w:cs="Times New Roman"/>
          <w:bCs/>
          <w:sz w:val="32"/>
          <w:szCs w:val="32"/>
        </w:rPr>
        <w:t>]国家药品监督管理局.关于发布有源医疗器械使用期限注册技术审查指导原则的通告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国家药品监督管理局通告2019年第23号[Z].</w:t>
      </w:r>
    </w:p>
    <w:p w14:paraId="2417A395">
      <w:pPr>
        <w:spacing w:line="520" w:lineRule="exact"/>
        <w:ind w:right="-67" w:rightChars="-32"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w:t>
      </w:r>
      <w:r>
        <w:rPr>
          <w:rFonts w:hint="eastAsia" w:eastAsia="仿宋_GB2312" w:cs="Times New Roman"/>
          <w:bCs/>
          <w:sz w:val="32"/>
          <w:szCs w:val="32"/>
          <w:lang w:val="en-US" w:eastAsia="zh-CN"/>
        </w:rPr>
        <w:t>3</w:t>
      </w:r>
      <w:r>
        <w:rPr>
          <w:rFonts w:hint="eastAsia" w:ascii="Times New Roman" w:hAnsi="Times New Roman" w:eastAsia="仿宋_GB2312" w:cs="Times New Roman"/>
          <w:bCs/>
          <w:sz w:val="32"/>
          <w:szCs w:val="32"/>
        </w:rPr>
        <w:t>]国家药品监督管理局.国家药监局关于发布免于临床评价医疗器械目录的通告</w:t>
      </w:r>
      <w:r>
        <w:rPr>
          <w:rFonts w:hint="eastAsia" w:eastAsia="仿宋_GB2312" w:cs="Times New Roman"/>
          <w:bCs/>
          <w:sz w:val="32"/>
          <w:szCs w:val="32"/>
          <w:lang w:eastAsia="zh-CN"/>
        </w:rPr>
        <w:t>：</w:t>
      </w:r>
      <w:r>
        <w:rPr>
          <w:rFonts w:hint="eastAsia" w:ascii="Times New Roman" w:hAnsi="Times New Roman" w:eastAsia="仿宋_GB2312" w:cs="Times New Roman"/>
          <w:bCs/>
          <w:sz w:val="32"/>
          <w:szCs w:val="32"/>
        </w:rPr>
        <w:t>国家药品监督管理局通告202</w:t>
      </w:r>
      <w:r>
        <w:rPr>
          <w:rFonts w:hint="eastAsia" w:ascii="Times New Roman" w:hAnsi="Times New Roman" w:eastAsia="仿宋_GB2312" w:cs="Times New Roman"/>
          <w:bCs/>
          <w:sz w:val="32"/>
          <w:szCs w:val="32"/>
          <w:lang w:val="en-US" w:eastAsia="zh-CN"/>
        </w:rPr>
        <w:t>5</w:t>
      </w:r>
      <w:r>
        <w:rPr>
          <w:rFonts w:hint="eastAsia" w:ascii="Times New Roman" w:hAnsi="Times New Roman" w:eastAsia="仿宋_GB2312" w:cs="Times New Roman"/>
          <w:bCs/>
          <w:sz w:val="32"/>
          <w:szCs w:val="32"/>
        </w:rPr>
        <w:t>年第</w:t>
      </w:r>
      <w:r>
        <w:rPr>
          <w:rFonts w:hint="eastAsia" w:ascii="Times New Roman" w:hAnsi="Times New Roman" w:eastAsia="仿宋_GB2312" w:cs="Times New Roman"/>
          <w:bCs/>
          <w:sz w:val="32"/>
          <w:szCs w:val="32"/>
          <w:lang w:val="en-US" w:eastAsia="zh-CN"/>
        </w:rPr>
        <w:t>19</w:t>
      </w:r>
      <w:r>
        <w:rPr>
          <w:rFonts w:hint="eastAsia" w:ascii="Times New Roman" w:hAnsi="Times New Roman" w:eastAsia="仿宋_GB2312" w:cs="Times New Roman"/>
          <w:bCs/>
          <w:sz w:val="32"/>
          <w:szCs w:val="32"/>
        </w:rPr>
        <w:t>号[Z].</w:t>
      </w:r>
    </w:p>
    <w:p w14:paraId="323E7919">
      <w:pPr>
        <w:overflowPunct w:val="0"/>
        <w:spacing w:line="52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lang w:val="en-US" w:eastAsia="zh-CN"/>
        </w:rPr>
        <w:t>4</w:t>
      </w:r>
      <w:r>
        <w:rPr>
          <w:rFonts w:eastAsia="仿宋_GB2312"/>
          <w:sz w:val="32"/>
          <w:szCs w:val="32"/>
        </w:rPr>
        <w:t>]GB/T 42062-2022,医疗器械 风险管理对医疗器械的应用[S].</w:t>
      </w:r>
    </w:p>
    <w:p w14:paraId="243EADF7">
      <w:pPr>
        <w:numPr>
          <w:ilvl w:val="0"/>
          <w:numId w:val="0"/>
        </w:numPr>
        <w:spacing w:line="520" w:lineRule="exact"/>
        <w:ind w:right="-67" w:rightChars="-32" w:firstLine="640" w:firstLineChars="200"/>
        <w:rPr>
          <w:rFonts w:eastAsia="仿宋_GB2312"/>
          <w:sz w:val="32"/>
          <w:szCs w:val="32"/>
        </w:rPr>
      </w:pPr>
      <w:r>
        <w:rPr>
          <w:rFonts w:eastAsia="仿宋_GB2312"/>
          <w:sz w:val="32"/>
          <w:szCs w:val="32"/>
        </w:rPr>
        <w:t>[1</w:t>
      </w:r>
      <w:r>
        <w:rPr>
          <w:rFonts w:hint="eastAsia" w:eastAsia="仿宋_GB2312"/>
          <w:sz w:val="32"/>
          <w:szCs w:val="32"/>
          <w:lang w:val="en-US" w:eastAsia="zh-CN"/>
        </w:rPr>
        <w:t>5</w:t>
      </w:r>
      <w:r>
        <w:rPr>
          <w:rFonts w:eastAsia="仿宋_GB2312"/>
          <w:sz w:val="32"/>
          <w:szCs w:val="32"/>
        </w:rPr>
        <w:t>]</w:t>
      </w:r>
      <w:r>
        <w:rPr>
          <w:rFonts w:hint="eastAsia" w:eastAsia="仿宋_GB2312"/>
          <w:sz w:val="32"/>
          <w:szCs w:val="32"/>
        </w:rPr>
        <w:t>GB 4793-2024，测量、控制和实验室用电气设备安全技术规范[S].</w:t>
      </w:r>
    </w:p>
    <w:p w14:paraId="5817C732">
      <w:pPr>
        <w:numPr>
          <w:ilvl w:val="0"/>
          <w:numId w:val="0"/>
        </w:numPr>
        <w:spacing w:line="520" w:lineRule="exact"/>
        <w:ind w:right="-67" w:rightChars="-32" w:firstLine="640" w:firstLineChars="200"/>
        <w:rPr>
          <w:rFonts w:eastAsia="仿宋_GB2312"/>
          <w:sz w:val="32"/>
          <w:szCs w:val="32"/>
        </w:rPr>
      </w:pPr>
      <w:r>
        <w:rPr>
          <w:rFonts w:hint="eastAsia" w:eastAsia="仿宋_GB2312"/>
          <w:sz w:val="32"/>
          <w:szCs w:val="32"/>
        </w:rPr>
        <w:t>[1</w:t>
      </w:r>
      <w:r>
        <w:rPr>
          <w:rFonts w:hint="eastAsia" w:eastAsia="仿宋_GB2312"/>
          <w:sz w:val="32"/>
          <w:szCs w:val="32"/>
          <w:lang w:val="en-US" w:eastAsia="zh-CN"/>
        </w:rPr>
        <w:t>6</w:t>
      </w:r>
      <w:r>
        <w:rPr>
          <w:rFonts w:hint="eastAsia" w:eastAsia="仿宋_GB2312"/>
          <w:sz w:val="32"/>
          <w:szCs w:val="32"/>
        </w:rPr>
        <w:t>]YY/T</w:t>
      </w:r>
      <w:r>
        <w:rPr>
          <w:rFonts w:hint="eastAsia" w:eastAsia="仿宋_GB2312"/>
          <w:sz w:val="32"/>
          <w:szCs w:val="32"/>
          <w:lang w:val="en-US" w:eastAsia="zh-CN"/>
        </w:rPr>
        <w:t xml:space="preserve"> </w:t>
      </w:r>
      <w:r>
        <w:rPr>
          <w:rFonts w:hint="eastAsia" w:eastAsia="仿宋_GB2312"/>
          <w:sz w:val="32"/>
          <w:szCs w:val="32"/>
        </w:rPr>
        <w:t>0648-2025，测量、控制和实验室用电气设备的安全要求 第2-101部分：体外诊断（IVD）医用设备的专用要求[S].</w:t>
      </w:r>
    </w:p>
    <w:p w14:paraId="53952398">
      <w:pPr>
        <w:numPr>
          <w:ilvl w:val="0"/>
          <w:numId w:val="0"/>
        </w:numPr>
        <w:spacing w:line="520" w:lineRule="exact"/>
        <w:ind w:right="-67" w:rightChars="-32" w:firstLine="640" w:firstLineChars="200"/>
        <w:rPr>
          <w:rFonts w:eastAsia="仿宋_GB2312"/>
          <w:sz w:val="32"/>
          <w:szCs w:val="32"/>
        </w:rPr>
      </w:pPr>
      <w:r>
        <w:rPr>
          <w:rFonts w:eastAsia="仿宋_GB2312"/>
          <w:sz w:val="32"/>
          <w:szCs w:val="32"/>
        </w:rPr>
        <w:t>[1</w:t>
      </w:r>
      <w:r>
        <w:rPr>
          <w:rFonts w:hint="eastAsia" w:eastAsia="仿宋_GB2312"/>
          <w:sz w:val="32"/>
          <w:szCs w:val="32"/>
          <w:lang w:val="en-US" w:eastAsia="zh-CN"/>
        </w:rPr>
        <w:t>7</w:t>
      </w:r>
      <w:r>
        <w:rPr>
          <w:rFonts w:eastAsia="仿宋_GB2312"/>
          <w:sz w:val="32"/>
          <w:szCs w:val="32"/>
        </w:rPr>
        <w:t>]</w:t>
      </w:r>
      <w:r>
        <w:rPr>
          <w:rFonts w:hint="eastAsia" w:eastAsia="仿宋_GB2312"/>
          <w:sz w:val="32"/>
          <w:szCs w:val="32"/>
        </w:rPr>
        <w:t>GB/T 14710-2009,医用电器环境要求及试验方法[S].</w:t>
      </w:r>
    </w:p>
    <w:p w14:paraId="62EAF039">
      <w:pPr>
        <w:numPr>
          <w:ilvl w:val="0"/>
          <w:numId w:val="0"/>
        </w:numPr>
        <w:spacing w:line="520" w:lineRule="exact"/>
        <w:ind w:right="-67" w:rightChars="-32" w:firstLine="640" w:firstLineChars="200"/>
        <w:rPr>
          <w:rFonts w:eastAsia="仿宋_GB2312"/>
          <w:sz w:val="32"/>
          <w:szCs w:val="32"/>
        </w:rPr>
      </w:pPr>
      <w:r>
        <w:rPr>
          <w:rFonts w:eastAsia="仿宋_GB2312"/>
          <w:sz w:val="32"/>
          <w:szCs w:val="32"/>
        </w:rPr>
        <w:t>[1</w:t>
      </w:r>
      <w:r>
        <w:rPr>
          <w:rFonts w:hint="eastAsia" w:eastAsia="仿宋_GB2312"/>
          <w:sz w:val="32"/>
          <w:szCs w:val="32"/>
          <w:lang w:val="en-US" w:eastAsia="zh-CN"/>
        </w:rPr>
        <w:t>8</w:t>
      </w:r>
      <w:r>
        <w:rPr>
          <w:rFonts w:eastAsia="仿宋_GB2312"/>
          <w:sz w:val="32"/>
          <w:szCs w:val="32"/>
        </w:rPr>
        <w:t>]</w:t>
      </w:r>
      <w:r>
        <w:rPr>
          <w:rFonts w:hint="eastAsia" w:eastAsia="仿宋_GB2312"/>
          <w:sz w:val="32"/>
          <w:szCs w:val="32"/>
        </w:rPr>
        <w:t>GB/T 18268.1-20</w:t>
      </w:r>
      <w:r>
        <w:rPr>
          <w:rFonts w:hint="eastAsia" w:eastAsia="仿宋_GB2312"/>
          <w:sz w:val="32"/>
          <w:szCs w:val="32"/>
          <w:lang w:val="en-US" w:eastAsia="zh-CN"/>
        </w:rPr>
        <w:t>25</w:t>
      </w:r>
      <w:r>
        <w:rPr>
          <w:rFonts w:hint="eastAsia" w:eastAsia="仿宋_GB2312"/>
          <w:sz w:val="32"/>
          <w:szCs w:val="32"/>
          <w:lang w:eastAsia="zh-CN"/>
        </w:rPr>
        <w:t>，</w:t>
      </w:r>
      <w:r>
        <w:rPr>
          <w:rFonts w:hint="eastAsia" w:eastAsia="仿宋_GB2312"/>
          <w:sz w:val="32"/>
          <w:szCs w:val="32"/>
        </w:rPr>
        <w:t>测量、控制和实验室用的电设备 电磁兼容性要求 第1部分：通用要求[S].</w:t>
      </w:r>
    </w:p>
    <w:p w14:paraId="7139CF81">
      <w:pPr>
        <w:numPr>
          <w:ilvl w:val="0"/>
          <w:numId w:val="0"/>
        </w:numPr>
        <w:spacing w:line="520" w:lineRule="exact"/>
        <w:ind w:right="-67" w:rightChars="-32" w:firstLine="640" w:firstLineChars="200"/>
        <w:rPr>
          <w:rFonts w:hint="eastAsia" w:eastAsia="仿宋_GB2312"/>
          <w:sz w:val="32"/>
          <w:szCs w:val="32"/>
        </w:rPr>
      </w:pPr>
      <w:r>
        <w:rPr>
          <w:rFonts w:eastAsia="仿宋_GB2312"/>
          <w:sz w:val="32"/>
          <w:szCs w:val="32"/>
        </w:rPr>
        <w:t>[1</w:t>
      </w:r>
      <w:r>
        <w:rPr>
          <w:rFonts w:hint="eastAsia" w:eastAsia="仿宋_GB2312"/>
          <w:sz w:val="32"/>
          <w:szCs w:val="32"/>
          <w:lang w:val="en-US" w:eastAsia="zh-CN"/>
        </w:rPr>
        <w:t>9</w:t>
      </w:r>
      <w:r>
        <w:rPr>
          <w:rFonts w:eastAsia="仿宋_GB2312"/>
          <w:sz w:val="32"/>
          <w:szCs w:val="32"/>
        </w:rPr>
        <w:t>]</w:t>
      </w:r>
      <w:r>
        <w:rPr>
          <w:rFonts w:hint="eastAsia" w:eastAsia="仿宋_GB2312"/>
          <w:sz w:val="32"/>
          <w:szCs w:val="32"/>
        </w:rPr>
        <w:t>GB/T 18268.26-2010</w:t>
      </w:r>
      <w:r>
        <w:rPr>
          <w:rFonts w:hint="eastAsia" w:eastAsia="仿宋_GB2312"/>
          <w:sz w:val="32"/>
          <w:szCs w:val="32"/>
          <w:lang w:eastAsia="zh-CN"/>
        </w:rPr>
        <w:t>，</w:t>
      </w:r>
      <w:r>
        <w:rPr>
          <w:rFonts w:hint="eastAsia" w:eastAsia="仿宋_GB2312"/>
          <w:sz w:val="32"/>
          <w:szCs w:val="32"/>
        </w:rPr>
        <w:t>测量、控制和实验室用的电设备 电磁兼容性要求 第26部分：特殊要求 体外诊断（IVD）医疗设备[S].</w:t>
      </w:r>
    </w:p>
    <w:p w14:paraId="7C28C754">
      <w:pPr>
        <w:numPr>
          <w:ilvl w:val="0"/>
          <w:numId w:val="0"/>
        </w:numPr>
        <w:spacing w:line="520" w:lineRule="exact"/>
        <w:ind w:right="-67" w:rightChars="-32" w:firstLine="640" w:firstLineChars="200"/>
      </w:pPr>
      <w:r>
        <w:rPr>
          <w:rFonts w:eastAsia="仿宋_GB2312"/>
          <w:sz w:val="32"/>
          <w:szCs w:val="32"/>
        </w:rPr>
        <w:t>[</w:t>
      </w:r>
      <w:r>
        <w:rPr>
          <w:rFonts w:hint="eastAsia" w:eastAsia="仿宋_GB2312"/>
          <w:sz w:val="32"/>
          <w:szCs w:val="32"/>
          <w:lang w:val="en-US" w:eastAsia="zh-CN"/>
        </w:rPr>
        <w:t>20</w:t>
      </w:r>
      <w:r>
        <w:rPr>
          <w:rFonts w:eastAsia="仿宋_GB2312"/>
          <w:sz w:val="32"/>
          <w:szCs w:val="32"/>
        </w:rPr>
        <w:t>]</w:t>
      </w:r>
      <w:r>
        <w:rPr>
          <w:rFonts w:hint="eastAsia" w:eastAsia="仿宋_GB2312"/>
          <w:sz w:val="32"/>
          <w:szCs w:val="32"/>
        </w:rPr>
        <w:t>GB/T 42125.1-2024，测量、控制和实验室用电气设备的安全要求 第1部分：通用要求[S].</w:t>
      </w:r>
      <w:bookmarkStart w:id="0" w:name="_GoBack"/>
      <w:bookmarkEnd w:id="0"/>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MS Shell Dlg">
    <w:altName w:val="苹方-简"/>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1002AFF" w:usb1="C0000002" w:usb2="00000008" w:usb3="00000000" w:csb0="200101FF" w:csb1="20280000"/>
  </w:font>
  <w:font w:name="Segoe UI">
    <w:altName w:val="苹方-简"/>
    <w:panose1 w:val="020B0502040204020203"/>
    <w:charset w:val="00"/>
    <w:family w:val="auto"/>
    <w:pitch w:val="default"/>
    <w:sig w:usb0="00000000" w:usb1="00000000"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仿宋">
    <w:altName w:val="仿宋-简"/>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宋体-简">
    <w:panose1 w:val="02010800040101010101"/>
    <w:charset w:val="86"/>
    <w:family w:val="auto"/>
    <w:pitch w:val="default"/>
    <w:sig w:usb0="00000001" w:usb1="080F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楷体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04336"/>
    <w:rsid w:val="00F22F9D"/>
    <w:rsid w:val="00FC3E1B"/>
    <w:rsid w:val="01076431"/>
    <w:rsid w:val="01161381"/>
    <w:rsid w:val="015B3238"/>
    <w:rsid w:val="019404F8"/>
    <w:rsid w:val="01E50D53"/>
    <w:rsid w:val="02201D8C"/>
    <w:rsid w:val="026259A2"/>
    <w:rsid w:val="02685C0C"/>
    <w:rsid w:val="02711490"/>
    <w:rsid w:val="029F7154"/>
    <w:rsid w:val="03A03184"/>
    <w:rsid w:val="03F7698E"/>
    <w:rsid w:val="041D7351"/>
    <w:rsid w:val="045D4134"/>
    <w:rsid w:val="05EA6938"/>
    <w:rsid w:val="06662404"/>
    <w:rsid w:val="06823015"/>
    <w:rsid w:val="0750320D"/>
    <w:rsid w:val="07612C2A"/>
    <w:rsid w:val="07CC1A54"/>
    <w:rsid w:val="080A1514"/>
    <w:rsid w:val="088A4403"/>
    <w:rsid w:val="08F8085F"/>
    <w:rsid w:val="093F51ED"/>
    <w:rsid w:val="094E71DE"/>
    <w:rsid w:val="09722ECD"/>
    <w:rsid w:val="09C53944"/>
    <w:rsid w:val="09FE6E56"/>
    <w:rsid w:val="0A6071C9"/>
    <w:rsid w:val="0ADB42E0"/>
    <w:rsid w:val="0B035432"/>
    <w:rsid w:val="0B5A4560"/>
    <w:rsid w:val="0BD22349"/>
    <w:rsid w:val="0BEA3FD0"/>
    <w:rsid w:val="0CB64F56"/>
    <w:rsid w:val="0CF3535D"/>
    <w:rsid w:val="0D101DAB"/>
    <w:rsid w:val="0DFE5677"/>
    <w:rsid w:val="0E4B734D"/>
    <w:rsid w:val="0ED71A24"/>
    <w:rsid w:val="0F023330"/>
    <w:rsid w:val="0F182768"/>
    <w:rsid w:val="0F1F345E"/>
    <w:rsid w:val="0F220EF1"/>
    <w:rsid w:val="0F557518"/>
    <w:rsid w:val="0F751605"/>
    <w:rsid w:val="0F8A71DA"/>
    <w:rsid w:val="0FB32491"/>
    <w:rsid w:val="100E1E83"/>
    <w:rsid w:val="103435D2"/>
    <w:rsid w:val="1081433D"/>
    <w:rsid w:val="1122342A"/>
    <w:rsid w:val="11DF30C9"/>
    <w:rsid w:val="11FE40AE"/>
    <w:rsid w:val="122F6829"/>
    <w:rsid w:val="12B46304"/>
    <w:rsid w:val="12C02EFB"/>
    <w:rsid w:val="12EC0194"/>
    <w:rsid w:val="12F77E21"/>
    <w:rsid w:val="13901C58"/>
    <w:rsid w:val="13D02503"/>
    <w:rsid w:val="141A2ADF"/>
    <w:rsid w:val="14B44CE1"/>
    <w:rsid w:val="15455939"/>
    <w:rsid w:val="156758B0"/>
    <w:rsid w:val="16AD3796"/>
    <w:rsid w:val="16DC04A9"/>
    <w:rsid w:val="1720665E"/>
    <w:rsid w:val="17A27073"/>
    <w:rsid w:val="18226406"/>
    <w:rsid w:val="188350F6"/>
    <w:rsid w:val="18932A3E"/>
    <w:rsid w:val="195C14A3"/>
    <w:rsid w:val="195E2156"/>
    <w:rsid w:val="19C77265"/>
    <w:rsid w:val="1A023DF9"/>
    <w:rsid w:val="1A6C3968"/>
    <w:rsid w:val="1A756CC1"/>
    <w:rsid w:val="1AAB63FB"/>
    <w:rsid w:val="1B3C333B"/>
    <w:rsid w:val="1BA710FC"/>
    <w:rsid w:val="1C511779"/>
    <w:rsid w:val="1D5367D1"/>
    <w:rsid w:val="1E786D7F"/>
    <w:rsid w:val="1E7A02E0"/>
    <w:rsid w:val="1E851DDC"/>
    <w:rsid w:val="1E8C45D9"/>
    <w:rsid w:val="1F5C3068"/>
    <w:rsid w:val="1F6B7EA6"/>
    <w:rsid w:val="20262C2B"/>
    <w:rsid w:val="204333BD"/>
    <w:rsid w:val="20C809B5"/>
    <w:rsid w:val="20D34741"/>
    <w:rsid w:val="20FF5536"/>
    <w:rsid w:val="21325274"/>
    <w:rsid w:val="21535882"/>
    <w:rsid w:val="21611D4D"/>
    <w:rsid w:val="217A2E0F"/>
    <w:rsid w:val="21837F15"/>
    <w:rsid w:val="219F4623"/>
    <w:rsid w:val="21E64000"/>
    <w:rsid w:val="22993768"/>
    <w:rsid w:val="23D5257E"/>
    <w:rsid w:val="23DC3F05"/>
    <w:rsid w:val="23F21382"/>
    <w:rsid w:val="24066BDB"/>
    <w:rsid w:val="2410720B"/>
    <w:rsid w:val="24BB1774"/>
    <w:rsid w:val="24F5112A"/>
    <w:rsid w:val="25085D9B"/>
    <w:rsid w:val="251371A5"/>
    <w:rsid w:val="25A46A51"/>
    <w:rsid w:val="25E60A73"/>
    <w:rsid w:val="25ED558C"/>
    <w:rsid w:val="26543C2E"/>
    <w:rsid w:val="2660355C"/>
    <w:rsid w:val="269009DE"/>
    <w:rsid w:val="269229A8"/>
    <w:rsid w:val="269843C1"/>
    <w:rsid w:val="26BC17D3"/>
    <w:rsid w:val="26FA360A"/>
    <w:rsid w:val="26FA4A89"/>
    <w:rsid w:val="270D43CE"/>
    <w:rsid w:val="27751E74"/>
    <w:rsid w:val="27F07B94"/>
    <w:rsid w:val="28CE644C"/>
    <w:rsid w:val="28D76D98"/>
    <w:rsid w:val="29EF4A68"/>
    <w:rsid w:val="2A257690"/>
    <w:rsid w:val="2A550069"/>
    <w:rsid w:val="2A581813"/>
    <w:rsid w:val="2A8F792B"/>
    <w:rsid w:val="2BCC5C8E"/>
    <w:rsid w:val="2C3A5674"/>
    <w:rsid w:val="2C7C350C"/>
    <w:rsid w:val="2C8E72AF"/>
    <w:rsid w:val="2CA54B39"/>
    <w:rsid w:val="2CB9203F"/>
    <w:rsid w:val="2D1E6D44"/>
    <w:rsid w:val="2D5C0F74"/>
    <w:rsid w:val="2DF14458"/>
    <w:rsid w:val="2DFF1297"/>
    <w:rsid w:val="2E5D564A"/>
    <w:rsid w:val="2E6C5630"/>
    <w:rsid w:val="2E7B539D"/>
    <w:rsid w:val="2EB3775B"/>
    <w:rsid w:val="2ED718A0"/>
    <w:rsid w:val="2EEF6BEA"/>
    <w:rsid w:val="2F4A3E20"/>
    <w:rsid w:val="2F7D6077"/>
    <w:rsid w:val="305E63A5"/>
    <w:rsid w:val="30BD6874"/>
    <w:rsid w:val="30C414E9"/>
    <w:rsid w:val="30C826CD"/>
    <w:rsid w:val="30E05312"/>
    <w:rsid w:val="30E24813"/>
    <w:rsid w:val="30F77FD8"/>
    <w:rsid w:val="310978EF"/>
    <w:rsid w:val="312B5ED3"/>
    <w:rsid w:val="3172281F"/>
    <w:rsid w:val="31A0004C"/>
    <w:rsid w:val="31B007AC"/>
    <w:rsid w:val="31D420C7"/>
    <w:rsid w:val="31D73965"/>
    <w:rsid w:val="324F79A0"/>
    <w:rsid w:val="3251489B"/>
    <w:rsid w:val="32747406"/>
    <w:rsid w:val="327F2033"/>
    <w:rsid w:val="33260355"/>
    <w:rsid w:val="338B331E"/>
    <w:rsid w:val="33EF129B"/>
    <w:rsid w:val="343B467F"/>
    <w:rsid w:val="351C1704"/>
    <w:rsid w:val="35845BB2"/>
    <w:rsid w:val="3589541E"/>
    <w:rsid w:val="35CB37E1"/>
    <w:rsid w:val="36A52284"/>
    <w:rsid w:val="36A77DAA"/>
    <w:rsid w:val="374E46CA"/>
    <w:rsid w:val="37977E1F"/>
    <w:rsid w:val="37A3713E"/>
    <w:rsid w:val="3805122C"/>
    <w:rsid w:val="38367638"/>
    <w:rsid w:val="39875C71"/>
    <w:rsid w:val="3A1E4827"/>
    <w:rsid w:val="3A2814E9"/>
    <w:rsid w:val="3A3A0F35"/>
    <w:rsid w:val="3AFB2473"/>
    <w:rsid w:val="3C1E28BD"/>
    <w:rsid w:val="3C3F2833"/>
    <w:rsid w:val="3C4745DC"/>
    <w:rsid w:val="3CA07C16"/>
    <w:rsid w:val="3CFBFAD3"/>
    <w:rsid w:val="3D566E05"/>
    <w:rsid w:val="3D5B369C"/>
    <w:rsid w:val="3D9D1F07"/>
    <w:rsid w:val="3DB8289D"/>
    <w:rsid w:val="3E005C0B"/>
    <w:rsid w:val="3E8D598A"/>
    <w:rsid w:val="3EA3354D"/>
    <w:rsid w:val="3EC3774B"/>
    <w:rsid w:val="3FD37E62"/>
    <w:rsid w:val="401714BE"/>
    <w:rsid w:val="40A07DEE"/>
    <w:rsid w:val="40FE2CBD"/>
    <w:rsid w:val="41200E85"/>
    <w:rsid w:val="41232723"/>
    <w:rsid w:val="41CC4B69"/>
    <w:rsid w:val="42B86E9B"/>
    <w:rsid w:val="431762B8"/>
    <w:rsid w:val="437D3FEF"/>
    <w:rsid w:val="43B36C40"/>
    <w:rsid w:val="445A1C5E"/>
    <w:rsid w:val="448D53B8"/>
    <w:rsid w:val="44E835A9"/>
    <w:rsid w:val="45A51959"/>
    <w:rsid w:val="461646C7"/>
    <w:rsid w:val="465513E0"/>
    <w:rsid w:val="468B4FF2"/>
    <w:rsid w:val="46F34946"/>
    <w:rsid w:val="46F81F5C"/>
    <w:rsid w:val="471072A6"/>
    <w:rsid w:val="474B6403"/>
    <w:rsid w:val="47500453"/>
    <w:rsid w:val="475E7DF6"/>
    <w:rsid w:val="47BB1907"/>
    <w:rsid w:val="47CF0F0F"/>
    <w:rsid w:val="47FA5867"/>
    <w:rsid w:val="48345216"/>
    <w:rsid w:val="487822B6"/>
    <w:rsid w:val="48E71577"/>
    <w:rsid w:val="48EB116D"/>
    <w:rsid w:val="491D3EFC"/>
    <w:rsid w:val="49470F79"/>
    <w:rsid w:val="49494CF1"/>
    <w:rsid w:val="4A62250E"/>
    <w:rsid w:val="4A9B77CE"/>
    <w:rsid w:val="4ABA6F52"/>
    <w:rsid w:val="4AE132A6"/>
    <w:rsid w:val="4AE64EED"/>
    <w:rsid w:val="4C9F6691"/>
    <w:rsid w:val="4CD3679A"/>
    <w:rsid w:val="4CF338F1"/>
    <w:rsid w:val="4DA33A8A"/>
    <w:rsid w:val="4DBD6297"/>
    <w:rsid w:val="4DE26957"/>
    <w:rsid w:val="4DF711BF"/>
    <w:rsid w:val="4E6920B3"/>
    <w:rsid w:val="4EE6341B"/>
    <w:rsid w:val="4F587A3C"/>
    <w:rsid w:val="4F876573"/>
    <w:rsid w:val="5012408F"/>
    <w:rsid w:val="50CA73A0"/>
    <w:rsid w:val="50F47C38"/>
    <w:rsid w:val="514254F0"/>
    <w:rsid w:val="52B64F3A"/>
    <w:rsid w:val="52FC2DD4"/>
    <w:rsid w:val="52FC4B82"/>
    <w:rsid w:val="530D168E"/>
    <w:rsid w:val="53332C9A"/>
    <w:rsid w:val="534907F0"/>
    <w:rsid w:val="53902F85"/>
    <w:rsid w:val="53A05E55"/>
    <w:rsid w:val="53F266B1"/>
    <w:rsid w:val="5423326E"/>
    <w:rsid w:val="543C5B7E"/>
    <w:rsid w:val="555313D1"/>
    <w:rsid w:val="55691C72"/>
    <w:rsid w:val="556A2277"/>
    <w:rsid w:val="5573455E"/>
    <w:rsid w:val="55A25EB5"/>
    <w:rsid w:val="55F52488"/>
    <w:rsid w:val="562731F0"/>
    <w:rsid w:val="5684380C"/>
    <w:rsid w:val="57BF2D4E"/>
    <w:rsid w:val="57DD4F82"/>
    <w:rsid w:val="58AD704A"/>
    <w:rsid w:val="59123351"/>
    <w:rsid w:val="5955311B"/>
    <w:rsid w:val="59BE0DE3"/>
    <w:rsid w:val="5A33357F"/>
    <w:rsid w:val="5A3A7F15"/>
    <w:rsid w:val="5B3524F6"/>
    <w:rsid w:val="5B415A2D"/>
    <w:rsid w:val="5B5C4D58"/>
    <w:rsid w:val="5BDE12E9"/>
    <w:rsid w:val="5C853E3A"/>
    <w:rsid w:val="5CB62246"/>
    <w:rsid w:val="5CFA4828"/>
    <w:rsid w:val="5DC0337C"/>
    <w:rsid w:val="5DE80B25"/>
    <w:rsid w:val="5E6A3173"/>
    <w:rsid w:val="5E9F5687"/>
    <w:rsid w:val="5EA471D4"/>
    <w:rsid w:val="5ED428AD"/>
    <w:rsid w:val="600A4823"/>
    <w:rsid w:val="601B6F8F"/>
    <w:rsid w:val="60471B32"/>
    <w:rsid w:val="60AD5CAC"/>
    <w:rsid w:val="61AB60F1"/>
    <w:rsid w:val="61B2747F"/>
    <w:rsid w:val="625A2866"/>
    <w:rsid w:val="62EE6537"/>
    <w:rsid w:val="632807B9"/>
    <w:rsid w:val="638B6F77"/>
    <w:rsid w:val="6418303F"/>
    <w:rsid w:val="64405216"/>
    <w:rsid w:val="64706357"/>
    <w:rsid w:val="6470717E"/>
    <w:rsid w:val="649E3CEB"/>
    <w:rsid w:val="65702E36"/>
    <w:rsid w:val="661A1A97"/>
    <w:rsid w:val="661F061E"/>
    <w:rsid w:val="6626043C"/>
    <w:rsid w:val="66754F1F"/>
    <w:rsid w:val="66772A46"/>
    <w:rsid w:val="669E4476"/>
    <w:rsid w:val="66B45A48"/>
    <w:rsid w:val="66CD08B8"/>
    <w:rsid w:val="66DA3FFA"/>
    <w:rsid w:val="674E19F8"/>
    <w:rsid w:val="676E3E49"/>
    <w:rsid w:val="67862220"/>
    <w:rsid w:val="67B2192C"/>
    <w:rsid w:val="67CC5B90"/>
    <w:rsid w:val="67CE0D8B"/>
    <w:rsid w:val="68923B67"/>
    <w:rsid w:val="689C6793"/>
    <w:rsid w:val="68AA773C"/>
    <w:rsid w:val="68DE4FFE"/>
    <w:rsid w:val="692402A2"/>
    <w:rsid w:val="6A0C7949"/>
    <w:rsid w:val="6A6B28C1"/>
    <w:rsid w:val="6A902328"/>
    <w:rsid w:val="6AFD6E17"/>
    <w:rsid w:val="6B431766"/>
    <w:rsid w:val="6B7441D2"/>
    <w:rsid w:val="6BA50055"/>
    <w:rsid w:val="6BCC7390"/>
    <w:rsid w:val="6C0D736A"/>
    <w:rsid w:val="6C101972"/>
    <w:rsid w:val="6C270A6A"/>
    <w:rsid w:val="6CAA5C57"/>
    <w:rsid w:val="6D280E7F"/>
    <w:rsid w:val="6D793547"/>
    <w:rsid w:val="6DA06D26"/>
    <w:rsid w:val="6DAD4F9F"/>
    <w:rsid w:val="6E4C301C"/>
    <w:rsid w:val="6E82642B"/>
    <w:rsid w:val="6EE3511C"/>
    <w:rsid w:val="6F6F4C02"/>
    <w:rsid w:val="6F8E7278"/>
    <w:rsid w:val="6FA11B1E"/>
    <w:rsid w:val="6FB7647C"/>
    <w:rsid w:val="705B6F34"/>
    <w:rsid w:val="708B7819"/>
    <w:rsid w:val="70FB13E9"/>
    <w:rsid w:val="7119421C"/>
    <w:rsid w:val="71AD0C8B"/>
    <w:rsid w:val="71BC5BB9"/>
    <w:rsid w:val="71DB032D"/>
    <w:rsid w:val="71ED1E0E"/>
    <w:rsid w:val="72532C9F"/>
    <w:rsid w:val="738642C8"/>
    <w:rsid w:val="73A3131E"/>
    <w:rsid w:val="73A547E4"/>
    <w:rsid w:val="73B01345"/>
    <w:rsid w:val="73B442F7"/>
    <w:rsid w:val="73D72D76"/>
    <w:rsid w:val="73F64E8C"/>
    <w:rsid w:val="74033B6B"/>
    <w:rsid w:val="7447614D"/>
    <w:rsid w:val="750758DC"/>
    <w:rsid w:val="754B3A1B"/>
    <w:rsid w:val="7553467E"/>
    <w:rsid w:val="759A22AD"/>
    <w:rsid w:val="75F401A9"/>
    <w:rsid w:val="766D79C1"/>
    <w:rsid w:val="768C42EB"/>
    <w:rsid w:val="76F36118"/>
    <w:rsid w:val="774626EC"/>
    <w:rsid w:val="776A184D"/>
    <w:rsid w:val="77EB4BA3"/>
    <w:rsid w:val="78014865"/>
    <w:rsid w:val="78874D6A"/>
    <w:rsid w:val="79153F55"/>
    <w:rsid w:val="79617B51"/>
    <w:rsid w:val="797C23F5"/>
    <w:rsid w:val="79876FEC"/>
    <w:rsid w:val="79A11135"/>
    <w:rsid w:val="79B7342D"/>
    <w:rsid w:val="7A260216"/>
    <w:rsid w:val="7A5E7D4D"/>
    <w:rsid w:val="7AE91A01"/>
    <w:rsid w:val="7B1B3108"/>
    <w:rsid w:val="7B6C46EB"/>
    <w:rsid w:val="7C194F23"/>
    <w:rsid w:val="7C656029"/>
    <w:rsid w:val="7C931AAC"/>
    <w:rsid w:val="7CEC3EC6"/>
    <w:rsid w:val="7CF36E72"/>
    <w:rsid w:val="7D0E6731"/>
    <w:rsid w:val="7D0F3580"/>
    <w:rsid w:val="7D586CD5"/>
    <w:rsid w:val="7D72364A"/>
    <w:rsid w:val="7D7725AD"/>
    <w:rsid w:val="7D8201F6"/>
    <w:rsid w:val="7D847ACA"/>
    <w:rsid w:val="7DCE6F97"/>
    <w:rsid w:val="7E27473E"/>
    <w:rsid w:val="7E320D2E"/>
    <w:rsid w:val="7E8F2BCB"/>
    <w:rsid w:val="7E971A7F"/>
    <w:rsid w:val="7F7B4EFD"/>
    <w:rsid w:val="FB7FE7E6"/>
    <w:rsid w:val="FEDFA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unhideWhenUsed/>
    <w:qFormat/>
    <w:uiPriority w:val="99"/>
    <w:rPr>
      <w:sz w:val="24"/>
    </w:rPr>
  </w:style>
  <w:style w:type="paragraph" w:customStyle="1" w:styleId="8">
    <w:name w:val="王奕，内文"/>
    <w:basedOn w:val="5"/>
    <w:qFormat/>
    <w:uiPriority w:val="0"/>
    <w:pPr>
      <w:widowControl/>
      <w:spacing w:line="360" w:lineRule="auto"/>
      <w:ind w:firstLine="200" w:firstLineChars="200"/>
    </w:pPr>
    <w:rPr>
      <w:rFonts w:cs="MS Shell Dlg"/>
      <w:color w:val="000000"/>
      <w:kern w:val="0"/>
    </w:rPr>
  </w:style>
  <w:style w:type="paragraph" w:styleId="9">
    <w:name w:val="List Paragraph"/>
    <w:basedOn w:val="1"/>
    <w:qFormat/>
    <w:uiPriority w:val="99"/>
    <w:pPr>
      <w:ind w:firstLine="420" w:firstLineChars="200"/>
    </w:pPr>
    <w:rPr>
      <w:rFonts w:ascii="Calibri" w:hAnsi="Calibri"/>
      <w:szCs w:val="22"/>
    </w:rPr>
  </w:style>
  <w:style w:type="paragraph" w:customStyle="1" w:styleId="10">
    <w:name w:val="_Style 11"/>
    <w:basedOn w:val="1"/>
    <w:next w:val="9"/>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8697</Words>
  <Characters>9105</Characters>
  <Lines>0</Lines>
  <Paragraphs>0</Paragraphs>
  <TotalTime>17</TotalTime>
  <ScaleCrop>false</ScaleCrop>
  <LinksUpToDate>false</LinksUpToDate>
  <CharactersWithSpaces>9138</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2026-03-24T09:32:00Z</dcterms:created>
  <dc:creator>Administrator</dc:creator>
  <cp:lastModifiedBy>王朝壹</cp:lastModifiedBy>
  <dcterms:modified xsi:type="dcterms:W3CDTF">2026-07-27T12:40:55Z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KSOTemplateDocerSaveRecord">
    <vt:lpwstr>eyJoZGlkIjoiZDg5ZDQ5OTYyMjJkZWE2NjMwOTgzMTM4NjQ2YWYzOTgiLCJ1c2VySWQiOiIzMjA1NTUxNjUifQ==</vt:lpwstr>
  </property>
  <property fmtid="{D5CDD505-2E9C-101B-9397-08002B2CF9AE}" pid="4" name="ICV">
    <vt:lpwstr>58A2A7CAD1C64ACDBB6BB07ADF05D20C_12</vt:lpwstr>
  </property>
</Properties>
</file>