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2E9108">
      <w:pPr>
        <w:widowControl w:val="0"/>
        <w:spacing w:line="520" w:lineRule="exact"/>
        <w:jc w:val="center"/>
        <w:rPr>
          <w:rFonts w:eastAsia="方正小标宋简体"/>
          <w:bCs/>
          <w:sz w:val="44"/>
          <w:szCs w:val="44"/>
        </w:rPr>
      </w:pPr>
      <w:r>
        <w:rPr>
          <w:rFonts w:hint="eastAsia" w:eastAsia="方正小标宋简体"/>
          <w:bCs/>
          <w:sz w:val="44"/>
          <w:szCs w:val="44"/>
        </w:rPr>
        <w:t>除颤电极</w:t>
      </w:r>
      <w:r>
        <w:rPr>
          <w:rFonts w:eastAsia="方正小标宋简体"/>
          <w:bCs/>
          <w:sz w:val="44"/>
          <w:szCs w:val="44"/>
        </w:rPr>
        <w:t>注册审查指导原则</w:t>
      </w:r>
    </w:p>
    <w:p w14:paraId="3E559FDD">
      <w:pPr>
        <w:widowControl w:val="0"/>
        <w:spacing w:line="520" w:lineRule="exact"/>
        <w:jc w:val="center"/>
        <w:rPr>
          <w:rFonts w:eastAsia="方正小标宋简体"/>
          <w:bCs/>
          <w:sz w:val="44"/>
          <w:szCs w:val="44"/>
        </w:rPr>
      </w:pPr>
      <w:r>
        <w:rPr>
          <w:rFonts w:hint="eastAsia" w:eastAsia="方正小标宋简体"/>
          <w:bCs/>
          <w:sz w:val="44"/>
          <w:szCs w:val="44"/>
        </w:rPr>
        <w:t>（征求意见稿）</w:t>
      </w:r>
    </w:p>
    <w:p w14:paraId="5DA24859">
      <w:pPr>
        <w:widowControl w:val="0"/>
        <w:spacing w:line="520" w:lineRule="exact"/>
        <w:ind w:firstLine="640"/>
        <w:jc w:val="center"/>
        <w:rPr>
          <w:rFonts w:eastAsia="方正小标宋简体"/>
          <w:spacing w:val="-6"/>
          <w:sz w:val="44"/>
          <w:szCs w:val="44"/>
        </w:rPr>
      </w:pPr>
    </w:p>
    <w:p w14:paraId="77428A54">
      <w:pPr>
        <w:spacing w:line="520" w:lineRule="exact"/>
        <w:ind w:firstLine="640" w:firstLineChars="200"/>
      </w:pPr>
      <w:r>
        <w:t>本指导原则旨在指导注册申请人对</w:t>
      </w:r>
      <w:r>
        <w:rPr>
          <w:rFonts w:hint="eastAsia"/>
        </w:rPr>
        <w:t>除颤电极</w:t>
      </w:r>
      <w:r>
        <w:t>注册申报资料的准备及撰写，同时也为技术审评部门审查注册申报资料提供参考。</w:t>
      </w:r>
    </w:p>
    <w:p w14:paraId="087B88AC">
      <w:pPr>
        <w:spacing w:line="520" w:lineRule="exact"/>
        <w:ind w:firstLine="640" w:firstLineChars="200"/>
      </w:pPr>
      <w:r>
        <w:t>本指导原则是对</w:t>
      </w:r>
      <w:r>
        <w:rPr>
          <w:rFonts w:hint="eastAsia"/>
        </w:rPr>
        <w:t>除颤电极</w:t>
      </w:r>
      <w:r>
        <w:t>的一般要求，申请人应依据产品的具体特性确定其中内容是否适用。若不适用，需具体阐述理由及相应的科学依据，并依据产品的具体特性对注册申报资料的内容进行充实和细化。</w:t>
      </w:r>
    </w:p>
    <w:p w14:paraId="2993931F">
      <w:pPr>
        <w:spacing w:line="520" w:lineRule="exact"/>
        <w:ind w:firstLine="640" w:firstLineChars="200"/>
      </w:pPr>
      <w:r>
        <w:t>本指导原则是供注册申请人和技术审评人员使用的指导性文件，但不包括审评审批所涉及的行政事项，亦不作为法规强制执行，应在遵循相关法规的前提下使用本指导原则。如果有能够满足相关法规要求的其他方法，也可以采用，但是需要提供详细的研究资料和验证资料。</w:t>
      </w:r>
    </w:p>
    <w:p w14:paraId="3A0480D2">
      <w:pPr>
        <w:spacing w:line="520" w:lineRule="exact"/>
        <w:ind w:firstLine="640" w:firstLineChars="200"/>
      </w:pPr>
      <w:r>
        <w:t>本指导原则是在现行法规和标准体系以及当前认知水平下制定，随着法规和标准的不断完善，以及科学技术的不断发展，相关内容也将适时进行调整。</w:t>
      </w:r>
    </w:p>
    <w:p w14:paraId="52F00156">
      <w:pPr>
        <w:pStyle w:val="2"/>
        <w:widowControl w:val="0"/>
        <w:ind w:firstLine="640"/>
      </w:pPr>
      <w:r>
        <w:t>一、适用范围</w:t>
      </w:r>
    </w:p>
    <w:p w14:paraId="1C9310D2">
      <w:pPr>
        <w:spacing w:line="520" w:lineRule="exact"/>
        <w:ind w:firstLine="640" w:firstLineChars="200"/>
      </w:pPr>
      <w:r>
        <w:t>本指导原则适用于《医疗器械分类目录》中分类编码为</w:t>
      </w:r>
      <w:r>
        <w:rPr>
          <w:rFonts w:hint="eastAsia"/>
        </w:rPr>
        <w:t>08-05-12，</w:t>
      </w:r>
      <w:r>
        <w:t>按第Ⅱ类医疗器械管理的</w:t>
      </w:r>
      <w:r>
        <w:rPr>
          <w:rFonts w:hint="eastAsia"/>
        </w:rPr>
        <w:t>除颤电极</w:t>
      </w:r>
      <w:r>
        <w:rPr>
          <w:color w:val="FF0000"/>
        </w:rPr>
        <w:t>，</w:t>
      </w:r>
    </w:p>
    <w:p w14:paraId="01053DC9">
      <w:pPr>
        <w:spacing w:line="520" w:lineRule="exact"/>
        <w:ind w:firstLine="640" w:firstLineChars="200"/>
        <w:rPr>
          <w:color w:val="FF0000"/>
        </w:rPr>
      </w:pPr>
      <w:r>
        <w:rPr>
          <w:rFonts w:hint="eastAsia"/>
          <w:color w:val="FF0000"/>
        </w:rPr>
        <w:t>本指导原则不适用的产品范围包括：</w:t>
      </w:r>
    </w:p>
    <w:p w14:paraId="1EF3B3AC">
      <w:pPr>
        <w:spacing w:line="520" w:lineRule="exact"/>
        <w:ind w:firstLine="640" w:firstLineChars="200"/>
      </w:pPr>
      <w:r>
        <w:rPr>
          <w:rFonts w:hint="eastAsia"/>
        </w:rPr>
        <w:t>1.</w:t>
      </w:r>
      <w:r>
        <w:t>活性电极、针状电极</w:t>
      </w:r>
      <w:r>
        <w:rPr>
          <w:rFonts w:hint="eastAsia"/>
        </w:rPr>
        <w:t>。</w:t>
      </w:r>
    </w:p>
    <w:p w14:paraId="427A03E9">
      <w:pPr>
        <w:spacing w:line="520" w:lineRule="exact"/>
        <w:ind w:firstLine="640" w:firstLineChars="200"/>
      </w:pPr>
      <w:r>
        <w:rPr>
          <w:rFonts w:hint="eastAsia"/>
        </w:rPr>
        <w:t>2.不使用导电介质的干电极。</w:t>
      </w:r>
    </w:p>
    <w:p w14:paraId="0938D23C">
      <w:pPr>
        <w:spacing w:line="520" w:lineRule="exact"/>
        <w:ind w:firstLine="640" w:firstLineChars="200"/>
      </w:pPr>
      <w:r>
        <w:rPr>
          <w:rFonts w:hint="eastAsia"/>
        </w:rPr>
        <w:t>3.可用于磁共振环境的电极。</w:t>
      </w:r>
    </w:p>
    <w:p w14:paraId="705277B4">
      <w:pPr>
        <w:spacing w:line="520" w:lineRule="exact"/>
        <w:ind w:firstLine="640" w:firstLineChars="200"/>
      </w:pPr>
      <w:r>
        <w:rPr>
          <w:rFonts w:hint="eastAsia"/>
        </w:rPr>
        <w:t>4.仅用来</w:t>
      </w:r>
      <w:r>
        <w:t>测量生理信号的电极。</w:t>
      </w:r>
    </w:p>
    <w:p w14:paraId="4893EA59">
      <w:pPr>
        <w:spacing w:line="520" w:lineRule="exact"/>
        <w:ind w:firstLine="640" w:firstLineChars="200"/>
      </w:pPr>
      <w:r>
        <w:rPr>
          <w:rFonts w:hint="eastAsia"/>
        </w:rPr>
        <w:t>5.板状结构的除颤电极。</w:t>
      </w:r>
    </w:p>
    <w:p w14:paraId="27C0FBA7">
      <w:pPr>
        <w:pStyle w:val="2"/>
        <w:widowControl w:val="0"/>
        <w:ind w:firstLine="640"/>
      </w:pPr>
      <w:r>
        <w:t>二、注册审查要点</w:t>
      </w:r>
    </w:p>
    <w:p w14:paraId="1F26A930">
      <w:pPr>
        <w:pStyle w:val="3"/>
        <w:widowControl w:val="0"/>
        <w:numPr>
          <w:ilvl w:val="255"/>
          <w:numId w:val="0"/>
        </w:numPr>
        <w:ind w:firstLine="640" w:firstLineChars="200"/>
        <w:rPr>
          <w:rFonts w:ascii="Times New Roman" w:hAnsi="Times New Roman"/>
          <w:bCs w:val="0"/>
        </w:rPr>
      </w:pPr>
      <w:r>
        <w:rPr>
          <w:rFonts w:ascii="Times New Roman" w:hAnsi="Times New Roman"/>
          <w:bCs w:val="0"/>
        </w:rPr>
        <w:t>（一）监管信</w:t>
      </w:r>
      <w:r>
        <w:rPr>
          <w:rFonts w:hint="eastAsia" w:ascii="Times New Roman" w:hAnsi="Times New Roman"/>
          <w:bCs w:val="0"/>
        </w:rPr>
        <w:t>息</w:t>
      </w:r>
    </w:p>
    <w:p w14:paraId="4F700D34">
      <w:pPr>
        <w:spacing w:line="520" w:lineRule="exact"/>
        <w:ind w:firstLine="640" w:firstLineChars="200"/>
        <w:rPr>
          <w:szCs w:val="32"/>
        </w:rPr>
      </w:pPr>
      <w:r>
        <w:rPr>
          <w:szCs w:val="32"/>
        </w:rPr>
        <w:t>注册申请人应提供产品名称、管理类别、分类编码、型号规格、产品组成、适用范围等信息。</w:t>
      </w:r>
    </w:p>
    <w:p w14:paraId="066E4A32">
      <w:pPr>
        <w:pStyle w:val="4"/>
        <w:widowControl w:val="0"/>
        <w:ind w:firstLine="640" w:firstLineChars="200"/>
      </w:pPr>
      <w:r>
        <w:rPr>
          <w:rFonts w:ascii="Times New Roman"/>
          <w:bCs w:val="0"/>
        </w:rPr>
        <w:t>1.</w:t>
      </w:r>
      <w:r>
        <w:rPr>
          <w:rFonts w:hint="eastAsia" w:ascii="Times New Roman"/>
          <w:bCs w:val="0"/>
        </w:rPr>
        <w:t>产品名称</w:t>
      </w:r>
    </w:p>
    <w:p w14:paraId="594FE62A">
      <w:pPr>
        <w:overflowPunct w:val="0"/>
        <w:spacing w:line="520" w:lineRule="exact"/>
        <w:ind w:firstLine="640" w:firstLineChars="200"/>
        <w:rPr>
          <w:szCs w:val="32"/>
        </w:rPr>
      </w:pPr>
      <w:r>
        <w:rPr>
          <w:szCs w:val="32"/>
        </w:rPr>
        <w:t>应描述产品名称的确定依据。</w:t>
      </w:r>
      <w:r>
        <w:rPr>
          <w:rFonts w:hint="eastAsia"/>
          <w:szCs w:val="28"/>
        </w:rPr>
        <w:t>产品的命名应符合《医疗器械分类目录》、《医疗器械通用名称命名规则》、《呼吸、麻醉和急救器械通用名称命名指导原则》和相关法规、规范性文件的要求。</w:t>
      </w:r>
    </w:p>
    <w:p w14:paraId="7DA6078A">
      <w:pPr>
        <w:spacing w:line="520" w:lineRule="exact"/>
        <w:ind w:firstLine="640" w:firstLineChars="200"/>
        <w:rPr>
          <w:szCs w:val="32"/>
        </w:rPr>
      </w:pPr>
      <w:r>
        <w:rPr>
          <w:szCs w:val="32"/>
        </w:rPr>
        <w:t>产品名称举例：</w:t>
      </w:r>
      <w:r>
        <w:rPr>
          <w:rFonts w:hint="eastAsia"/>
          <w:szCs w:val="32"/>
        </w:rPr>
        <w:t>一次性使用体外除颤电极片、除颤电极</w:t>
      </w:r>
      <w:r>
        <w:rPr>
          <w:szCs w:val="32"/>
        </w:rPr>
        <w:t>。</w:t>
      </w:r>
    </w:p>
    <w:p w14:paraId="484B6FEF">
      <w:pPr>
        <w:pStyle w:val="4"/>
        <w:widowControl w:val="0"/>
        <w:ind w:firstLine="640" w:firstLineChars="200"/>
        <w:rPr>
          <w:rFonts w:ascii="Times New Roman"/>
          <w:bCs w:val="0"/>
        </w:rPr>
      </w:pPr>
      <w:r>
        <w:rPr>
          <w:rFonts w:hint="eastAsia" w:ascii="Times New Roman"/>
          <w:bCs w:val="0"/>
        </w:rPr>
        <w:t>2</w:t>
      </w:r>
      <w:r>
        <w:rPr>
          <w:rFonts w:ascii="Times New Roman"/>
          <w:bCs w:val="0"/>
        </w:rPr>
        <w:t>.注册单元划分</w:t>
      </w:r>
      <w:r>
        <w:rPr>
          <w:rFonts w:hint="eastAsia" w:ascii="Times New Roman"/>
          <w:bCs w:val="0"/>
        </w:rPr>
        <w:t>的原则和实例</w:t>
      </w:r>
    </w:p>
    <w:p w14:paraId="6C761F6C">
      <w:pPr>
        <w:spacing w:line="520" w:lineRule="exact"/>
        <w:ind w:firstLine="640" w:firstLineChars="200"/>
        <w:rPr>
          <w:rFonts w:hint="eastAsia"/>
          <w:szCs w:val="32"/>
        </w:rPr>
      </w:pPr>
      <w:r>
        <w:rPr>
          <w:szCs w:val="32"/>
        </w:rPr>
        <w:t>医疗器械注册单元原则上以产品的技术原理、结构组成、性能指标和适用范围为划分依据</w:t>
      </w:r>
      <w:r>
        <w:rPr>
          <w:rFonts w:hint="eastAsia"/>
          <w:szCs w:val="32"/>
        </w:rPr>
        <w:t>。举例：</w:t>
      </w:r>
      <w:r>
        <w:t>不同凝胶配方的电极片（例如含药或不含药），划分不同注册单元。</w:t>
      </w:r>
    </w:p>
    <w:p w14:paraId="5FD1EDCB">
      <w:pPr>
        <w:pStyle w:val="4"/>
        <w:widowControl w:val="0"/>
        <w:ind w:firstLine="640" w:firstLineChars="200"/>
        <w:rPr>
          <w:bCs w:val="0"/>
        </w:rPr>
      </w:pPr>
      <w:r>
        <w:rPr>
          <w:rFonts w:ascii="Times New Roman"/>
          <w:bCs w:val="0"/>
        </w:rPr>
        <w:t>3.</w:t>
      </w:r>
      <w:r>
        <w:rPr>
          <w:rFonts w:hint="eastAsia" w:ascii="Times New Roman"/>
          <w:bCs w:val="0"/>
        </w:rPr>
        <w:t>产品列表</w:t>
      </w:r>
    </w:p>
    <w:p w14:paraId="3ABD311E">
      <w:pPr>
        <w:widowControl w:val="0"/>
        <w:spacing w:line="520" w:lineRule="exact"/>
        <w:ind w:firstLine="640"/>
        <w:rPr>
          <w:szCs w:val="32"/>
        </w:rPr>
      </w:pPr>
      <w:r>
        <w:rPr>
          <w:szCs w:val="32"/>
        </w:rPr>
        <w:t>以表格形式列出拟申报产品的型号、规格、结构及组成、附件，以及每个型号规格的标识（如型号或部件的编号，器械唯一标识等）和描述说明（如尺寸、</w:t>
      </w:r>
      <w:r>
        <w:rPr>
          <w:rFonts w:hint="eastAsia"/>
          <w:szCs w:val="32"/>
        </w:rPr>
        <w:t>接头形式、</w:t>
      </w:r>
      <w:r>
        <w:rPr>
          <w:szCs w:val="32"/>
        </w:rPr>
        <w:t>材质等）。</w:t>
      </w:r>
    </w:p>
    <w:p w14:paraId="6661A328">
      <w:pPr>
        <w:pStyle w:val="3"/>
        <w:widowControl w:val="0"/>
        <w:numPr>
          <w:ilvl w:val="255"/>
          <w:numId w:val="0"/>
        </w:numPr>
        <w:ind w:firstLine="640" w:firstLineChars="200"/>
        <w:rPr>
          <w:rFonts w:ascii="Times New Roman" w:hAnsi="Times New Roman"/>
          <w:bCs w:val="0"/>
        </w:rPr>
      </w:pPr>
      <w:r>
        <w:rPr>
          <w:rFonts w:ascii="Times New Roman" w:hAnsi="Times New Roman"/>
          <w:bCs w:val="0"/>
        </w:rPr>
        <w:t>（二）综述资料</w:t>
      </w:r>
    </w:p>
    <w:p w14:paraId="7642BFF4">
      <w:pPr>
        <w:pStyle w:val="4"/>
        <w:widowControl w:val="0"/>
        <w:ind w:firstLine="640" w:firstLineChars="200"/>
      </w:pPr>
      <w:r>
        <w:rPr>
          <w:rFonts w:ascii="Times New Roman"/>
        </w:rPr>
        <w:t>1.</w:t>
      </w:r>
      <w:r>
        <w:rPr>
          <w:rFonts w:hint="eastAsia" w:ascii="Times New Roman"/>
        </w:rPr>
        <w:t>概述</w:t>
      </w:r>
    </w:p>
    <w:p w14:paraId="6BA264D2">
      <w:pPr>
        <w:widowControl w:val="0"/>
        <w:spacing w:line="520" w:lineRule="exact"/>
        <w:ind w:firstLine="640"/>
        <w:rPr>
          <w:szCs w:val="32"/>
        </w:rPr>
      </w:pPr>
      <w:r>
        <w:rPr>
          <w:szCs w:val="32"/>
        </w:rPr>
        <w:t>注册申请人应描述申报产品的名称及确定依据、管理类别、适用范围。若适用，申请人需要提供申报产品的背景信息概述。</w:t>
      </w:r>
    </w:p>
    <w:p w14:paraId="13BB0388">
      <w:pPr>
        <w:pStyle w:val="4"/>
        <w:widowControl w:val="0"/>
        <w:ind w:firstLine="640" w:firstLineChars="200"/>
      </w:pPr>
      <w:r>
        <w:rPr>
          <w:rFonts w:ascii="Times New Roman"/>
        </w:rPr>
        <w:t>2.</w:t>
      </w:r>
      <w:r>
        <w:rPr>
          <w:rFonts w:hint="eastAsia" w:ascii="Times New Roman"/>
        </w:rPr>
        <w:t>产品描述</w:t>
      </w:r>
    </w:p>
    <w:p w14:paraId="0F615020">
      <w:pPr>
        <w:spacing w:line="520" w:lineRule="exact"/>
        <w:ind w:firstLine="640" w:firstLineChars="200"/>
        <w:rPr>
          <w:szCs w:val="32"/>
        </w:rPr>
      </w:pPr>
      <w:r>
        <w:rPr>
          <w:rFonts w:hint="eastAsia"/>
          <w:szCs w:val="32"/>
        </w:rPr>
        <w:t>2.1工作原理</w:t>
      </w:r>
    </w:p>
    <w:p w14:paraId="6C747B9E">
      <w:pPr>
        <w:spacing w:line="520" w:lineRule="exact"/>
        <w:ind w:firstLine="640" w:firstLineChars="200"/>
        <w:rPr>
          <w:rFonts w:hint="eastAsia"/>
          <w:szCs w:val="32"/>
        </w:rPr>
      </w:pPr>
      <w:r>
        <w:rPr>
          <w:rFonts w:hint="eastAsia"/>
          <w:szCs w:val="32"/>
        </w:rPr>
        <w:t>除颤电极利用一次性导电粘合界面，建立低阻抗、高可靠性的</w:t>
      </w:r>
      <w:r>
        <w:rPr>
          <w:rFonts w:hint="eastAsia"/>
          <w:b/>
          <w:bCs/>
          <w:szCs w:val="32"/>
        </w:rPr>
        <w:t>经胸电流通路</w:t>
      </w:r>
      <w:r>
        <w:rPr>
          <w:rFonts w:hint="eastAsia"/>
          <w:szCs w:val="32"/>
        </w:rPr>
        <w:t>，从而将除颤仪上的高压电能高效、安全地传递至心脏。除颤电极片还能感知人体体表的生理电信号，持续检测心电波形；通过电极片发送高频低电流测试信号，</w:t>
      </w:r>
      <w:r>
        <w:rPr>
          <w:rFonts w:hint="eastAsia"/>
          <w:highlight w:val="green"/>
        </w:rPr>
        <w:t>测量</w:t>
      </w:r>
      <w:bookmarkStart w:id="1" w:name="_GoBack"/>
      <w:bookmarkEnd w:id="1"/>
      <w:r>
        <w:rPr>
          <w:rFonts w:hint="eastAsia"/>
          <w:highlight w:val="green"/>
        </w:rPr>
        <w:t>两电极片间的实时经胸阻抗</w:t>
      </w:r>
      <w:r>
        <w:rPr>
          <w:rFonts w:hint="eastAsia"/>
          <w:szCs w:val="32"/>
        </w:rPr>
        <w:t>。</w:t>
      </w:r>
    </w:p>
    <w:p w14:paraId="7C35A593">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eastAsia="仿宋_GB2312"/>
          <w:szCs w:val="32"/>
          <w:lang w:eastAsia="zh-CN"/>
        </w:rPr>
      </w:pPr>
      <w:r>
        <w:rPr>
          <w:rFonts w:hint="eastAsia" w:eastAsia="仿宋_GB2312"/>
          <w:szCs w:val="32"/>
          <w:lang w:eastAsia="zh-CN"/>
        </w:rPr>
        <w:drawing>
          <wp:inline distT="0" distB="0" distL="114300" distR="114300">
            <wp:extent cx="4857750" cy="2019300"/>
            <wp:effectExtent l="0" t="0" r="0" b="0"/>
            <wp:docPr id="5" name="图片 5" descr="b234eb92d82a715dc1027705fb3cf5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b234eb92d82a715dc1027705fb3cf5de"/>
                    <pic:cNvPicPr>
                      <a:picLocks noChangeAspect="1"/>
                    </pic:cNvPicPr>
                  </pic:nvPicPr>
                  <pic:blipFill>
                    <a:blip r:embed="rId10"/>
                    <a:stretch>
                      <a:fillRect/>
                    </a:stretch>
                  </pic:blipFill>
                  <pic:spPr>
                    <a:xfrm>
                      <a:off x="0" y="0"/>
                      <a:ext cx="4857750" cy="2019300"/>
                    </a:xfrm>
                    <a:prstGeom prst="rect">
                      <a:avLst/>
                    </a:prstGeom>
                  </pic:spPr>
                </pic:pic>
              </a:graphicData>
            </a:graphic>
          </wp:inline>
        </w:drawing>
      </w:r>
    </w:p>
    <w:p w14:paraId="2411DB1A">
      <w:pPr>
        <w:spacing w:line="520" w:lineRule="exact"/>
        <w:ind w:firstLine="640" w:firstLineChars="200"/>
        <w:rPr>
          <w:szCs w:val="32"/>
        </w:rPr>
      </w:pPr>
      <w:r>
        <w:rPr>
          <w:rFonts w:hint="eastAsia"/>
          <w:szCs w:val="32"/>
        </w:rPr>
        <w:t>2.2结构及组成</w:t>
      </w:r>
    </w:p>
    <w:p w14:paraId="734A2CCC">
      <w:pPr>
        <w:spacing w:line="520" w:lineRule="exact"/>
        <w:ind w:firstLine="640" w:firstLineChars="200"/>
        <w:rPr>
          <w:szCs w:val="32"/>
        </w:rPr>
      </w:pPr>
      <w:r>
        <w:rPr>
          <w:rFonts w:hint="eastAsia"/>
          <w:szCs w:val="32"/>
        </w:rPr>
        <w:t>除颤电极是与除颤器连接进行体外除颤的电极，由基衬材料、导电基板、导电凝胶、防粘膜、连接导线等组成。基衬材料由高分子泡棉、薄膜或无纺布等加涂压敏胶制成；导电基板由金属箔、碳膜或导电油墨制成；导电凝胶由聚合物网络、导电盐、水、多元醇等制成。</w:t>
      </w:r>
    </w:p>
    <w:p w14:paraId="453894D4">
      <w:pPr>
        <w:spacing w:line="520" w:lineRule="exact"/>
        <w:ind w:firstLine="640" w:firstLineChars="200"/>
        <w:rPr>
          <w:szCs w:val="32"/>
        </w:rPr>
      </w:pPr>
    </w:p>
    <w:p w14:paraId="2EB11B77">
      <w:pPr>
        <w:spacing w:line="520" w:lineRule="exact"/>
        <w:ind w:firstLine="640" w:firstLineChars="200"/>
        <w:rPr>
          <w:szCs w:val="32"/>
        </w:rPr>
      </w:pPr>
      <w:r>
        <w:drawing>
          <wp:anchor distT="0" distB="0" distL="114300" distR="114300" simplePos="0" relativeHeight="251659264" behindDoc="0" locked="0" layoutInCell="1" allowOverlap="1">
            <wp:simplePos x="0" y="0"/>
            <wp:positionH relativeFrom="column">
              <wp:posOffset>1701800</wp:posOffset>
            </wp:positionH>
            <wp:positionV relativeFrom="paragraph">
              <wp:posOffset>34290</wp:posOffset>
            </wp:positionV>
            <wp:extent cx="1882775" cy="1431290"/>
            <wp:effectExtent l="0" t="0" r="3810"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882624" cy="1431235"/>
                    </a:xfrm>
                    <a:prstGeom prst="rect">
                      <a:avLst/>
                    </a:prstGeom>
                  </pic:spPr>
                </pic:pic>
              </a:graphicData>
            </a:graphic>
          </wp:anchor>
        </w:drawing>
      </w:r>
    </w:p>
    <w:p w14:paraId="1BE4FC05">
      <w:pPr>
        <w:spacing w:line="520" w:lineRule="exact"/>
        <w:ind w:firstLine="640" w:firstLineChars="200"/>
        <w:rPr>
          <w:szCs w:val="32"/>
        </w:rPr>
      </w:pPr>
    </w:p>
    <w:p w14:paraId="492F40CE">
      <w:pPr>
        <w:spacing w:line="520" w:lineRule="exact"/>
        <w:jc w:val="center"/>
        <w:rPr>
          <w:rFonts w:eastAsia="黑体"/>
          <w:sz w:val="28"/>
          <w:szCs w:val="32"/>
        </w:rPr>
      </w:pPr>
    </w:p>
    <w:p w14:paraId="4CD288CC">
      <w:pPr>
        <w:spacing w:line="520" w:lineRule="exact"/>
        <w:jc w:val="center"/>
        <w:rPr>
          <w:rFonts w:eastAsia="黑体"/>
          <w:sz w:val="28"/>
          <w:szCs w:val="32"/>
        </w:rPr>
      </w:pPr>
    </w:p>
    <w:p w14:paraId="13FE1304">
      <w:pPr>
        <w:spacing w:line="520" w:lineRule="exact"/>
        <w:jc w:val="center"/>
        <w:rPr>
          <w:rFonts w:eastAsia="黑体"/>
          <w:sz w:val="28"/>
          <w:szCs w:val="32"/>
        </w:rPr>
      </w:pPr>
    </w:p>
    <w:p w14:paraId="3317BB9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黑体"/>
          <w:sz w:val="28"/>
          <w:szCs w:val="32"/>
          <w:lang w:eastAsia="zh-CN"/>
        </w:rPr>
      </w:pPr>
      <w:r>
        <w:rPr>
          <w:rFonts w:hint="eastAsia" w:eastAsia="黑体"/>
          <w:sz w:val="28"/>
          <w:szCs w:val="32"/>
          <w:lang w:eastAsia="zh-CN"/>
        </w:rPr>
        <w:drawing>
          <wp:inline distT="0" distB="0" distL="114300" distR="114300">
            <wp:extent cx="2249805" cy="1500505"/>
            <wp:effectExtent l="0" t="0" r="17145" b="4445"/>
            <wp:docPr id="4" name="图片 4" descr="f3889adaf36c1d63fcc973f615e99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3889adaf36c1d63fcc973f615e99725"/>
                    <pic:cNvPicPr>
                      <a:picLocks noChangeAspect="1"/>
                    </pic:cNvPicPr>
                  </pic:nvPicPr>
                  <pic:blipFill>
                    <a:blip r:embed="rId12"/>
                    <a:stretch>
                      <a:fillRect/>
                    </a:stretch>
                  </pic:blipFill>
                  <pic:spPr>
                    <a:xfrm>
                      <a:off x="0" y="0"/>
                      <a:ext cx="2249805" cy="1500505"/>
                    </a:xfrm>
                    <a:prstGeom prst="rect">
                      <a:avLst/>
                    </a:prstGeom>
                  </pic:spPr>
                </pic:pic>
              </a:graphicData>
            </a:graphic>
          </wp:inline>
        </w:drawing>
      </w:r>
    </w:p>
    <w:p w14:paraId="77F6C60B">
      <w:pPr>
        <w:jc w:val="center"/>
        <w:rPr>
          <w:rFonts w:eastAsia="黑体"/>
          <w:sz w:val="28"/>
          <w:szCs w:val="32"/>
        </w:rPr>
      </w:pPr>
      <w:r>
        <w:rPr>
          <w:rFonts w:hint="eastAsia" w:eastAsia="黑体"/>
          <w:sz w:val="28"/>
          <w:szCs w:val="32"/>
        </w:rPr>
        <w:t>除颤电极</w:t>
      </w:r>
      <w:r>
        <w:rPr>
          <w:rFonts w:eastAsia="黑体"/>
          <w:sz w:val="28"/>
          <w:szCs w:val="32"/>
        </w:rPr>
        <w:t>结构示例图</w:t>
      </w:r>
    </w:p>
    <w:p w14:paraId="694B6B3D">
      <w:pPr>
        <w:spacing w:line="520" w:lineRule="exact"/>
        <w:rPr>
          <w:sz w:val="28"/>
          <w:szCs w:val="32"/>
        </w:rPr>
      </w:pPr>
      <w:r>
        <w:rPr>
          <w:rFonts w:hint="eastAsia"/>
          <w:sz w:val="28"/>
          <w:szCs w:val="32"/>
        </w:rPr>
        <w:t>1</w:t>
      </w:r>
      <w:r>
        <w:rPr>
          <w:sz w:val="28"/>
          <w:szCs w:val="32"/>
        </w:rPr>
        <w:t>）</w:t>
      </w:r>
      <w:r>
        <w:rPr>
          <w:rFonts w:hint="eastAsia"/>
          <w:sz w:val="28"/>
          <w:szCs w:val="32"/>
        </w:rPr>
        <w:t>连接导线，2）基衬材料</w:t>
      </w:r>
      <w:r>
        <w:rPr>
          <w:sz w:val="28"/>
          <w:szCs w:val="32"/>
        </w:rPr>
        <w:t>，</w:t>
      </w:r>
      <w:r>
        <w:rPr>
          <w:rFonts w:hint="eastAsia"/>
          <w:sz w:val="28"/>
          <w:szCs w:val="32"/>
        </w:rPr>
        <w:t>3</w:t>
      </w:r>
      <w:r>
        <w:rPr>
          <w:sz w:val="28"/>
          <w:szCs w:val="32"/>
        </w:rPr>
        <w:t>）</w:t>
      </w:r>
      <w:r>
        <w:rPr>
          <w:rFonts w:hint="eastAsia"/>
          <w:sz w:val="28"/>
          <w:szCs w:val="32"/>
        </w:rPr>
        <w:t>导电基板</w:t>
      </w:r>
      <w:r>
        <w:rPr>
          <w:sz w:val="28"/>
          <w:szCs w:val="32"/>
        </w:rPr>
        <w:t>，</w:t>
      </w:r>
      <w:r>
        <w:rPr>
          <w:rFonts w:hint="eastAsia"/>
          <w:sz w:val="28"/>
          <w:szCs w:val="32"/>
        </w:rPr>
        <w:t>4</w:t>
      </w:r>
      <w:r>
        <w:rPr>
          <w:sz w:val="28"/>
          <w:szCs w:val="32"/>
        </w:rPr>
        <w:t>）</w:t>
      </w:r>
      <w:r>
        <w:rPr>
          <w:rFonts w:hint="eastAsia"/>
          <w:sz w:val="28"/>
          <w:szCs w:val="32"/>
        </w:rPr>
        <w:t>导电凝胶</w:t>
      </w:r>
      <w:r>
        <w:rPr>
          <w:sz w:val="28"/>
          <w:szCs w:val="32"/>
        </w:rPr>
        <w:t>，</w:t>
      </w:r>
      <w:r>
        <w:rPr>
          <w:rFonts w:hint="eastAsia"/>
          <w:sz w:val="28"/>
          <w:szCs w:val="32"/>
        </w:rPr>
        <w:t>5</w:t>
      </w:r>
      <w:r>
        <w:rPr>
          <w:sz w:val="28"/>
          <w:szCs w:val="32"/>
        </w:rPr>
        <w:t>）</w:t>
      </w:r>
      <w:r>
        <w:rPr>
          <w:rFonts w:hint="eastAsia"/>
          <w:sz w:val="28"/>
          <w:szCs w:val="32"/>
        </w:rPr>
        <w:t>防粘膜</w:t>
      </w:r>
      <w:r>
        <w:rPr>
          <w:sz w:val="28"/>
          <w:szCs w:val="32"/>
        </w:rPr>
        <w:t>。</w:t>
      </w:r>
    </w:p>
    <w:p w14:paraId="26F82036">
      <w:pPr>
        <w:widowControl w:val="0"/>
        <w:spacing w:line="520" w:lineRule="exact"/>
        <w:ind w:firstLine="640"/>
        <w:rPr>
          <w:szCs w:val="32"/>
        </w:rPr>
      </w:pPr>
      <w:r>
        <w:rPr>
          <w:rFonts w:hint="eastAsia"/>
          <w:szCs w:val="32"/>
        </w:rPr>
        <w:t>2</w:t>
      </w:r>
      <w:r>
        <w:rPr>
          <w:szCs w:val="32"/>
        </w:rPr>
        <w:t>.3型号规格</w:t>
      </w:r>
    </w:p>
    <w:p w14:paraId="1031E765">
      <w:pPr>
        <w:spacing w:line="520" w:lineRule="exact"/>
        <w:ind w:firstLine="640" w:firstLineChars="200"/>
      </w:pPr>
      <w:r>
        <w:rPr>
          <w:szCs w:val="32"/>
        </w:rPr>
        <w:t>对于存在多种型号规格的产品，应当明确各型号规格的区别。应当采用对比表或带有说明性文字的图片、图表，描述各种型号规格的结构组成、材料、功能、产品特征和技术参数等内容。</w:t>
      </w:r>
    </w:p>
    <w:p w14:paraId="6B2ABB38">
      <w:pPr>
        <w:widowControl w:val="0"/>
        <w:spacing w:line="520" w:lineRule="exact"/>
        <w:ind w:firstLine="640"/>
      </w:pPr>
      <w:r>
        <w:rPr>
          <w:rFonts w:hint="eastAsia"/>
        </w:rPr>
        <w:t>2.4包装说明</w:t>
      </w:r>
    </w:p>
    <w:p w14:paraId="57932515">
      <w:pPr>
        <w:widowControl w:val="0"/>
        <w:spacing w:line="520" w:lineRule="exact"/>
        <w:ind w:firstLine="640"/>
      </w:pPr>
      <w:r>
        <w:rPr>
          <w:szCs w:val="32"/>
        </w:rPr>
        <w:t>应说明所有产品组成的包装信息。</w:t>
      </w:r>
      <w:r>
        <w:rPr>
          <w:rFonts w:hint="eastAsia"/>
          <w:szCs w:val="32"/>
        </w:rPr>
        <w:t>除颤电极若无菌提供，</w:t>
      </w:r>
      <w:r>
        <w:rPr>
          <w:szCs w:val="32"/>
        </w:rPr>
        <w:t>应当说明其无菌屏障系统的信息；</w:t>
      </w:r>
      <w:r>
        <w:rPr>
          <w:rFonts w:hint="eastAsia"/>
          <w:szCs w:val="32"/>
        </w:rPr>
        <w:t>若</w:t>
      </w:r>
      <w:r>
        <w:rPr>
          <w:szCs w:val="32"/>
        </w:rPr>
        <w:t>有微生物限度要求，应当说明保持其微生物限度的包装信息。应说明如何确保最终使用者可清晰地辨识包装的完整性。</w:t>
      </w:r>
    </w:p>
    <w:p w14:paraId="170D0182">
      <w:pPr>
        <w:widowControl w:val="0"/>
        <w:spacing w:line="520" w:lineRule="exact"/>
        <w:ind w:firstLine="640"/>
      </w:pPr>
      <w:r>
        <w:rPr>
          <w:rFonts w:hint="eastAsia"/>
        </w:rPr>
        <w:t>2.5</w:t>
      </w:r>
      <w:r>
        <w:t>研发历程</w:t>
      </w:r>
    </w:p>
    <w:p w14:paraId="36684BFC">
      <w:pPr>
        <w:widowControl w:val="0"/>
        <w:spacing w:line="520" w:lineRule="exact"/>
        <w:ind w:firstLine="640"/>
        <w:rPr>
          <w:bCs/>
          <w:szCs w:val="32"/>
        </w:rPr>
      </w:pPr>
      <w:r>
        <w:rPr>
          <w:bCs/>
          <w:szCs w:val="32"/>
        </w:rPr>
        <w:t>阐述申请注册产品的研发背景和目的。如有参考的同类产品或前代产品，应当提供同类产品或前代产品的信息，并说明选择其作为研发参考的原因。</w:t>
      </w:r>
    </w:p>
    <w:p w14:paraId="1CFBE6B8">
      <w:pPr>
        <w:widowControl w:val="0"/>
        <w:spacing w:line="520" w:lineRule="exact"/>
        <w:ind w:firstLine="640"/>
        <w:rPr>
          <w:bCs/>
        </w:rPr>
      </w:pPr>
      <w:r>
        <w:rPr>
          <w:rFonts w:hint="eastAsia"/>
          <w:bCs/>
        </w:rPr>
        <w:t>2.6与同类和</w:t>
      </w:r>
      <w:r>
        <w:rPr>
          <w:bCs/>
        </w:rPr>
        <w:t>/</w:t>
      </w:r>
      <w:r>
        <w:rPr>
          <w:rFonts w:hint="eastAsia"/>
          <w:bCs/>
        </w:rPr>
        <w:t>或前代产品的参考和比较</w:t>
      </w:r>
    </w:p>
    <w:p w14:paraId="7B669D04">
      <w:pPr>
        <w:widowControl w:val="0"/>
        <w:spacing w:line="520" w:lineRule="exact"/>
        <w:ind w:firstLine="640"/>
      </w:pPr>
      <w:r>
        <w:rPr>
          <w:rFonts w:hint="eastAsia"/>
          <w:bCs/>
        </w:rPr>
        <w:t>列表比较说明申报产品与同类产品和</w:t>
      </w:r>
      <w:r>
        <w:rPr>
          <w:bCs/>
        </w:rPr>
        <w:t>/</w:t>
      </w:r>
      <w:r>
        <w:rPr>
          <w:rFonts w:hint="eastAsia"/>
          <w:bCs/>
        </w:rPr>
        <w:t>或前代产品在工作原理、结构组成、制造材料、性能指标、作用方式，以及适用范围等方面的异同。</w:t>
      </w:r>
    </w:p>
    <w:p w14:paraId="163F5245">
      <w:pPr>
        <w:pStyle w:val="4"/>
        <w:widowControl w:val="0"/>
        <w:ind w:firstLine="640" w:firstLineChars="200"/>
        <w:rPr>
          <w:rFonts w:ascii="Times New Roman"/>
        </w:rPr>
      </w:pPr>
      <w:r>
        <w:rPr>
          <w:rFonts w:hint="eastAsia" w:ascii="Times New Roman"/>
          <w:bCs w:val="0"/>
        </w:rPr>
        <w:t>3</w:t>
      </w:r>
      <w:r>
        <w:rPr>
          <w:rFonts w:ascii="Times New Roman"/>
          <w:bCs w:val="0"/>
          <w:szCs w:val="20"/>
        </w:rPr>
        <w:t>.</w:t>
      </w:r>
      <w:r>
        <w:rPr>
          <w:rFonts w:ascii="Times New Roman"/>
        </w:rPr>
        <w:t>适用范围和禁忌证</w:t>
      </w:r>
    </w:p>
    <w:p w14:paraId="0D6B6370">
      <w:pPr>
        <w:spacing w:line="520" w:lineRule="exact"/>
        <w:ind w:firstLine="640" w:firstLineChars="200"/>
        <w:rPr>
          <w:szCs w:val="28"/>
        </w:rPr>
      </w:pPr>
      <w:bookmarkStart w:id="0" w:name="_Toc433873349"/>
      <w:r>
        <w:rPr>
          <w:rFonts w:hint="eastAsia"/>
          <w:szCs w:val="28"/>
        </w:rPr>
        <w:t>3.1适用范围</w:t>
      </w:r>
    </w:p>
    <w:p w14:paraId="7ECB3A56">
      <w:pPr>
        <w:spacing w:line="520" w:lineRule="exact"/>
        <w:ind w:firstLine="640" w:firstLineChars="200"/>
        <w:rPr>
          <w:bCs/>
          <w:szCs w:val="30"/>
        </w:rPr>
      </w:pPr>
      <w:r>
        <w:rPr>
          <w:bCs/>
          <w:szCs w:val="30"/>
        </w:rPr>
        <w:t>适用范围的表述需客观、清晰，使用有明确定义或行业公认的术语或名词，说明预期与其</w:t>
      </w:r>
      <w:r>
        <w:rPr>
          <w:rFonts w:hint="eastAsia"/>
          <w:bCs/>
          <w:szCs w:val="30"/>
        </w:rPr>
        <w:t>配合</w:t>
      </w:r>
      <w:r>
        <w:rPr>
          <w:bCs/>
          <w:szCs w:val="30"/>
        </w:rPr>
        <w:t>使用的器械。</w:t>
      </w:r>
      <w:r>
        <w:rPr>
          <w:rFonts w:hint="eastAsia"/>
          <w:bCs/>
          <w:szCs w:val="30"/>
        </w:rPr>
        <w:t>例如：通过与除颤器连接进行体外除颤。</w:t>
      </w:r>
    </w:p>
    <w:p w14:paraId="6B4BFB3D">
      <w:pPr>
        <w:spacing w:line="520" w:lineRule="exact"/>
        <w:ind w:firstLine="640" w:firstLineChars="200"/>
        <w:rPr>
          <w:szCs w:val="32"/>
        </w:rPr>
      </w:pPr>
      <w:r>
        <w:rPr>
          <w:rFonts w:hint="eastAsia"/>
          <w:szCs w:val="32"/>
        </w:rPr>
        <w:t>3.2预期使用环境</w:t>
      </w:r>
    </w:p>
    <w:p w14:paraId="15AA1C5B">
      <w:pPr>
        <w:spacing w:line="520" w:lineRule="exact"/>
        <w:ind w:firstLine="640" w:firstLineChars="200"/>
        <w:rPr>
          <w:szCs w:val="32"/>
        </w:rPr>
      </w:pPr>
      <w:r>
        <w:rPr>
          <w:rFonts w:hint="eastAsia"/>
          <w:szCs w:val="32"/>
        </w:rPr>
        <w:t>该产品预期使用</w:t>
      </w:r>
      <w:r>
        <w:rPr>
          <w:rFonts w:hint="eastAsia"/>
          <w:szCs w:val="32"/>
          <w:lang w:val="en-GB"/>
        </w:rPr>
        <w:t>于</w:t>
      </w:r>
      <w:r>
        <w:rPr>
          <w:rFonts w:hint="eastAsia"/>
          <w:szCs w:val="32"/>
        </w:rPr>
        <w:t>医疗机构、公共场合、救护车、飞机等急救环境。</w:t>
      </w:r>
    </w:p>
    <w:p w14:paraId="4BB99D02">
      <w:pPr>
        <w:spacing w:line="520" w:lineRule="exact"/>
        <w:ind w:firstLine="640" w:firstLineChars="200"/>
        <w:rPr>
          <w:szCs w:val="32"/>
        </w:rPr>
      </w:pPr>
      <w:r>
        <w:rPr>
          <w:rFonts w:hint="eastAsia"/>
          <w:szCs w:val="32"/>
        </w:rPr>
        <w:t>明确可能影响其安全性和有效性的环境条件，如温度、湿度、压力、移动、振动、海拔等。</w:t>
      </w:r>
    </w:p>
    <w:p w14:paraId="5DABE3C1">
      <w:pPr>
        <w:spacing w:line="520" w:lineRule="exact"/>
        <w:ind w:firstLine="640" w:firstLineChars="200"/>
        <w:rPr>
          <w:szCs w:val="32"/>
        </w:rPr>
      </w:pPr>
      <w:r>
        <w:rPr>
          <w:rFonts w:hint="eastAsia"/>
          <w:szCs w:val="32"/>
        </w:rPr>
        <w:t>3.3适用人群</w:t>
      </w:r>
    </w:p>
    <w:p w14:paraId="5CC7586A">
      <w:pPr>
        <w:spacing w:line="520" w:lineRule="exact"/>
        <w:ind w:firstLine="640" w:firstLineChars="200"/>
        <w:rPr>
          <w:szCs w:val="32"/>
        </w:rPr>
      </w:pPr>
      <w:r>
        <w:rPr>
          <w:rFonts w:hint="eastAsia"/>
          <w:szCs w:val="32"/>
        </w:rPr>
        <w:t>明确目标患者人群的信息。</w:t>
      </w:r>
    </w:p>
    <w:p w14:paraId="19E54062">
      <w:pPr>
        <w:spacing w:line="520" w:lineRule="exact"/>
        <w:ind w:firstLine="640" w:firstLineChars="200"/>
        <w:rPr>
          <w:szCs w:val="32"/>
        </w:rPr>
      </w:pPr>
      <w:r>
        <w:rPr>
          <w:rFonts w:hint="eastAsia"/>
          <w:szCs w:val="32"/>
        </w:rPr>
        <w:t>体外除颤：适用于无呼吸和无脉搏的室颤以及室速病人，其中同步复律用于终止房颤。</w:t>
      </w:r>
    </w:p>
    <w:p w14:paraId="5476DC4B">
      <w:pPr>
        <w:spacing w:line="520" w:lineRule="exact"/>
        <w:ind w:firstLine="640" w:firstLineChars="200"/>
        <w:rPr>
          <w:szCs w:val="32"/>
        </w:rPr>
      </w:pPr>
      <w:r>
        <w:rPr>
          <w:rFonts w:hint="eastAsia"/>
          <w:szCs w:val="32"/>
        </w:rPr>
        <w:t>半自动体外除颤：适用于同时具有以下情况的病人：无意识、无呼吸、无脉搏</w:t>
      </w:r>
    </w:p>
    <w:p w14:paraId="444B4176">
      <w:pPr>
        <w:spacing w:line="520" w:lineRule="exact"/>
        <w:ind w:firstLine="640" w:firstLineChars="200"/>
        <w:rPr>
          <w:szCs w:val="32"/>
        </w:rPr>
      </w:pPr>
      <w:r>
        <w:rPr>
          <w:rFonts w:hint="eastAsia"/>
          <w:szCs w:val="32"/>
        </w:rPr>
        <w:t>3.4</w:t>
      </w:r>
      <w:r>
        <w:rPr>
          <w:szCs w:val="32"/>
        </w:rPr>
        <w:t>禁忌</w:t>
      </w:r>
      <w:r>
        <w:rPr>
          <w:rFonts w:hint="eastAsia"/>
          <w:szCs w:val="32"/>
        </w:rPr>
        <w:t>证</w:t>
      </w:r>
    </w:p>
    <w:p w14:paraId="4B2E6DA1">
      <w:pPr>
        <w:spacing w:line="520" w:lineRule="exact"/>
        <w:ind w:firstLine="640" w:firstLineChars="200"/>
        <w:rPr>
          <w:szCs w:val="32"/>
        </w:rPr>
      </w:pPr>
      <w:r>
        <w:rPr>
          <w:rFonts w:hint="eastAsia"/>
          <w:szCs w:val="32"/>
        </w:rPr>
        <w:t>应当说明该产品禁忌应用的特定人群、疾病种类等，如：</w:t>
      </w:r>
      <w:r>
        <w:rPr>
          <w:szCs w:val="32"/>
        </w:rPr>
        <w:t>皮肤破损、对电极材质过敏者。</w:t>
      </w:r>
      <w:r>
        <w:rPr>
          <w:rFonts w:hint="eastAsia"/>
          <w:szCs w:val="32"/>
        </w:rPr>
        <w:t xml:space="preserve">   </w:t>
      </w:r>
    </w:p>
    <w:p w14:paraId="49C55731">
      <w:pPr>
        <w:pStyle w:val="4"/>
        <w:widowControl w:val="0"/>
        <w:ind w:firstLine="640" w:firstLineChars="200"/>
      </w:pPr>
      <w:r>
        <w:rPr>
          <w:rFonts w:ascii="Times New Roman"/>
        </w:rPr>
        <w:t>4.</w:t>
      </w:r>
      <w:r>
        <w:rPr>
          <w:rFonts w:hint="eastAsia" w:ascii="Times New Roman"/>
        </w:rPr>
        <w:t>产品的不良事件历史记录</w:t>
      </w:r>
    </w:p>
    <w:p w14:paraId="25AD7080">
      <w:pPr>
        <w:spacing w:line="520" w:lineRule="exact"/>
        <w:ind w:firstLine="640" w:firstLineChars="200"/>
        <w:rPr>
          <w:szCs w:val="32"/>
        </w:rPr>
      </w:pPr>
      <w:r>
        <w:rPr>
          <w:rFonts w:hint="eastAsia"/>
          <w:szCs w:val="32"/>
        </w:rPr>
        <w:t>注册申请人应关注并收集同类产品以及申报产品注册周期内的不良事件历史记录，可通过各国监管机构发布的不良事件资料库中查询相应不良事件数据。可以选择产品名称为方向开展医疗器械不良事件查询，通过在已选择的数据库的检索页面输入预期要进行查询的医疗器械产品名称，通过限制检索时间进行相关产品不良事件信息收集。</w:t>
      </w:r>
    </w:p>
    <w:p w14:paraId="161A093A">
      <w:pPr>
        <w:spacing w:line="520" w:lineRule="exact"/>
        <w:ind w:firstLine="640" w:firstLineChars="200"/>
        <w:rPr>
          <w:szCs w:val="32"/>
        </w:rPr>
      </w:pPr>
      <w:r>
        <w:rPr>
          <w:rFonts w:hint="eastAsia"/>
          <w:szCs w:val="32"/>
        </w:rPr>
        <w:t>可以检索公开发布的不良事件信息如下：</w:t>
      </w:r>
    </w:p>
    <w:p w14:paraId="7FD3A117">
      <w:pPr>
        <w:spacing w:line="520" w:lineRule="exact"/>
        <w:ind w:firstLine="640" w:firstLineChars="200"/>
        <w:rPr>
          <w:szCs w:val="32"/>
        </w:rPr>
      </w:pPr>
      <w:r>
        <w:rPr>
          <w:rFonts w:hint="eastAsia"/>
          <w:szCs w:val="32"/>
        </w:rPr>
        <w:t>4.1国家药品不良反应监测中心发布的“医疗器械不良事件信息通报”及“医疗器械警戒快讯”。</w:t>
      </w:r>
    </w:p>
    <w:p w14:paraId="62B4EFE2">
      <w:pPr>
        <w:spacing w:line="520" w:lineRule="exact"/>
        <w:ind w:firstLine="640" w:firstLineChars="200"/>
        <w:rPr>
          <w:szCs w:val="32"/>
        </w:rPr>
      </w:pPr>
      <w:r>
        <w:rPr>
          <w:rFonts w:hint="eastAsia"/>
          <w:szCs w:val="32"/>
        </w:rPr>
        <w:t>4.2美国不良事件查询数据库MAUDE、召回查询数据库Recall及按年份查询警告信（warning letter）。</w:t>
      </w:r>
    </w:p>
    <w:p w14:paraId="46AF3A52">
      <w:pPr>
        <w:spacing w:line="520" w:lineRule="exact"/>
        <w:ind w:firstLine="640" w:firstLineChars="200"/>
        <w:rPr>
          <w:szCs w:val="32"/>
        </w:rPr>
      </w:pPr>
      <w:r>
        <w:rPr>
          <w:rFonts w:hint="eastAsia"/>
          <w:szCs w:val="32"/>
        </w:rPr>
        <w:t>4.3英国医疗器械警报（MHRA）。</w:t>
      </w:r>
    </w:p>
    <w:p w14:paraId="279AB823">
      <w:pPr>
        <w:spacing w:line="520" w:lineRule="exact"/>
        <w:ind w:firstLine="640" w:firstLineChars="200"/>
        <w:rPr>
          <w:szCs w:val="32"/>
        </w:rPr>
      </w:pPr>
      <w:r>
        <w:rPr>
          <w:rFonts w:hint="eastAsia"/>
          <w:szCs w:val="32"/>
        </w:rPr>
        <w:t>4.4加拿大召回与警戒（Search recalls and safety alerts）。</w:t>
      </w:r>
    </w:p>
    <w:p w14:paraId="3920E314">
      <w:pPr>
        <w:spacing w:line="520" w:lineRule="exact"/>
        <w:ind w:firstLine="640" w:firstLineChars="200"/>
        <w:rPr>
          <w:szCs w:val="32"/>
        </w:rPr>
      </w:pPr>
      <w:r>
        <w:rPr>
          <w:rFonts w:hint="eastAsia"/>
          <w:szCs w:val="32"/>
        </w:rPr>
        <w:t>4.5澳大利亚TGA不良事件（Database of Adverse Event Notifications - medical devices）、召回（System for Australian Recall Actions）及警戒（All alerts）。</w:t>
      </w:r>
    </w:p>
    <w:p w14:paraId="122D288D">
      <w:pPr>
        <w:spacing w:line="520" w:lineRule="exact"/>
        <w:ind w:firstLine="640" w:firstLineChars="200"/>
        <w:rPr>
          <w:szCs w:val="32"/>
        </w:rPr>
      </w:pPr>
      <w:r>
        <w:rPr>
          <w:rFonts w:hint="eastAsia"/>
          <w:szCs w:val="32"/>
        </w:rPr>
        <w:t>4.6日本PMDA。</w:t>
      </w:r>
    </w:p>
    <w:p w14:paraId="1EE6C96A">
      <w:pPr>
        <w:spacing w:line="520" w:lineRule="exact"/>
        <w:ind w:firstLine="640" w:firstLineChars="200"/>
      </w:pPr>
      <w:r>
        <w:rPr>
          <w:rFonts w:hint="eastAsia"/>
          <w:szCs w:val="32"/>
        </w:rPr>
        <w:t>4.7德国BfArM。</w:t>
      </w:r>
    </w:p>
    <w:p w14:paraId="2717EA05">
      <w:pPr>
        <w:pStyle w:val="3"/>
        <w:widowControl w:val="0"/>
        <w:ind w:firstLine="640"/>
        <w:rPr>
          <w:rFonts w:ascii="Times New Roman" w:hAnsi="Times New Roman"/>
          <w:bCs w:val="0"/>
        </w:rPr>
      </w:pPr>
      <w:r>
        <w:rPr>
          <w:rFonts w:ascii="Times New Roman" w:hAnsi="Times New Roman"/>
          <w:bCs w:val="0"/>
        </w:rPr>
        <w:t>（三）非临床资料</w:t>
      </w:r>
    </w:p>
    <w:p w14:paraId="595CB8F7">
      <w:pPr>
        <w:widowControl w:val="0"/>
        <w:spacing w:line="520" w:lineRule="exact"/>
        <w:ind w:firstLine="640" w:firstLineChars="200"/>
        <w:outlineLvl w:val="2"/>
        <w:rPr>
          <w:szCs w:val="32"/>
        </w:rPr>
      </w:pPr>
      <w:r>
        <w:rPr>
          <w:rFonts w:hint="eastAsia"/>
          <w:szCs w:val="32"/>
        </w:rPr>
        <w:t>1.风险管理资料</w:t>
      </w:r>
    </w:p>
    <w:p w14:paraId="3C6EFD6E">
      <w:pPr>
        <w:spacing w:line="520" w:lineRule="exact"/>
        <w:ind w:firstLine="640" w:firstLineChars="200"/>
        <w:rPr>
          <w:szCs w:val="32"/>
          <w:lang w:val="zh-CN"/>
        </w:rPr>
      </w:pPr>
      <w:r>
        <w:rPr>
          <w:rFonts w:hint="eastAsia"/>
          <w:szCs w:val="32"/>
        </w:rPr>
        <w:t>注册申请人应对产品全生命周期实施风险管理，参考GB/T 42062，</w:t>
      </w:r>
      <w:r>
        <w:rPr>
          <w:rFonts w:hint="eastAsia"/>
          <w:szCs w:val="32"/>
          <w:lang w:val="zh-CN"/>
        </w:rPr>
        <w:t>提供产品风险管理报告。</w:t>
      </w:r>
    </w:p>
    <w:p w14:paraId="7500910D">
      <w:pPr>
        <w:spacing w:line="520" w:lineRule="exact"/>
        <w:ind w:firstLine="640" w:firstLineChars="200"/>
        <w:rPr>
          <w:bCs/>
          <w:iCs/>
          <w:szCs w:val="28"/>
        </w:rPr>
      </w:pPr>
      <w:r>
        <w:rPr>
          <w:rFonts w:hint="eastAsia"/>
          <w:bCs/>
          <w:iCs/>
          <w:szCs w:val="28"/>
        </w:rPr>
        <w:t>参考GB/T 42062标准、适用的安全标准（如GB 9706.1、GB 9706.204等）及规范性文件，结合产品自身设计特点、临床用途及使用场景，充分识别与安全有关的特征，进行风险分析、评价及控制。风险控制的方案与实施、综合剩余风险的评价可参考GB/T 42062标准第7、第8章的相关要求。应确保各风险的可追溯性，提供各风险及综合剩余风险的可接受准则，确认各风险及综合剩余风险可接受。产品的主要危险见附表5-1。</w:t>
      </w:r>
    </w:p>
    <w:bookmarkEnd w:id="0"/>
    <w:p w14:paraId="2A0DD36C">
      <w:pPr>
        <w:widowControl w:val="0"/>
        <w:spacing w:line="520" w:lineRule="exact"/>
        <w:ind w:firstLine="640" w:firstLineChars="200"/>
        <w:outlineLvl w:val="2"/>
        <w:rPr>
          <w:szCs w:val="32"/>
        </w:rPr>
      </w:pPr>
      <w:r>
        <w:rPr>
          <w:rFonts w:hint="eastAsia"/>
          <w:szCs w:val="32"/>
        </w:rPr>
        <w:t>2.医疗器械安全和性能基本原则清单</w:t>
      </w:r>
    </w:p>
    <w:p w14:paraId="218404C5">
      <w:pPr>
        <w:spacing w:line="520" w:lineRule="exact"/>
        <w:ind w:firstLine="640" w:firstLineChars="200"/>
        <w:rPr>
          <w:szCs w:val="32"/>
        </w:rPr>
      </w:pPr>
      <w:r>
        <w:rPr>
          <w:rFonts w:hint="eastAsia"/>
          <w:szCs w:val="32"/>
        </w:rPr>
        <w:t>说明申报产品符合《医疗器械安全和性能基本原则清单》各项适用要求所采用的方法，以及证明其符合性的文件。对于《医疗器械安全和性能基本原则清单》中不适用的各项要求，应当说明理由。</w:t>
      </w:r>
    </w:p>
    <w:p w14:paraId="653CC05C">
      <w:pPr>
        <w:spacing w:line="520" w:lineRule="exact"/>
        <w:ind w:firstLine="640" w:firstLineChars="200"/>
        <w:rPr>
          <w:szCs w:val="32"/>
        </w:rPr>
      </w:pPr>
      <w:r>
        <w:rPr>
          <w:rFonts w:hint="eastAsia"/>
          <w:szCs w:val="32"/>
        </w:rPr>
        <w:t>对于包含在产品注册申报资料中的文件，应当说明其在申报资料中的具体位置；对于未包含在产品注册申报资料中的文件，应当注明该证据文件名称及其在质量管理体系文件中的编号备查。</w:t>
      </w:r>
    </w:p>
    <w:p w14:paraId="43E33D6E">
      <w:pPr>
        <w:widowControl w:val="0"/>
        <w:spacing w:line="520" w:lineRule="exact"/>
        <w:ind w:firstLine="640" w:firstLineChars="200"/>
        <w:outlineLvl w:val="2"/>
        <w:rPr>
          <w:szCs w:val="32"/>
        </w:rPr>
      </w:pPr>
      <w:r>
        <w:rPr>
          <w:rFonts w:hint="eastAsia"/>
          <w:szCs w:val="32"/>
        </w:rPr>
        <w:t>3</w:t>
      </w:r>
      <w:r>
        <w:rPr>
          <w:szCs w:val="32"/>
        </w:rPr>
        <w:t>.产品技术要求及检验报告</w:t>
      </w:r>
    </w:p>
    <w:p w14:paraId="33A01D78">
      <w:pPr>
        <w:spacing w:line="520" w:lineRule="exact"/>
        <w:ind w:firstLine="640" w:firstLineChars="200"/>
        <w:rPr>
          <w:szCs w:val="32"/>
        </w:rPr>
      </w:pPr>
      <w:r>
        <w:rPr>
          <w:rFonts w:hint="eastAsia"/>
          <w:szCs w:val="32"/>
        </w:rPr>
        <w:t>3.1申报产品适用标准情况</w:t>
      </w:r>
    </w:p>
    <w:p w14:paraId="6D587DCB">
      <w:pPr>
        <w:spacing w:line="520" w:lineRule="exact"/>
        <w:ind w:firstLine="640" w:firstLineChars="200"/>
        <w:rPr>
          <w:szCs w:val="32"/>
        </w:rPr>
      </w:pPr>
      <w:r>
        <w:rPr>
          <w:rFonts w:hint="eastAsia"/>
          <w:szCs w:val="32"/>
        </w:rPr>
        <w:t>申报产品应当符合适用的强制性标准。对于强制性行业标准，若申报产品结构特征、预期用途、使用方式等与强制性标准的适用范围不一致，申请人应当提出不适用强制性标准的说明，并提供经验证的证明性资料。</w:t>
      </w:r>
    </w:p>
    <w:p w14:paraId="4062A893">
      <w:pPr>
        <w:spacing w:line="520" w:lineRule="exact"/>
        <w:ind w:firstLine="640" w:firstLineChars="200"/>
        <w:rPr>
          <w:szCs w:val="32"/>
        </w:rPr>
      </w:pPr>
      <w:r>
        <w:rPr>
          <w:rFonts w:hint="eastAsia"/>
          <w:szCs w:val="32"/>
        </w:rPr>
        <w:t>3.1</w:t>
      </w:r>
      <w:r>
        <w:rPr>
          <w:szCs w:val="32"/>
        </w:rPr>
        <w:t>产品技术要求</w:t>
      </w:r>
    </w:p>
    <w:p w14:paraId="094746D5">
      <w:pPr>
        <w:spacing w:line="520" w:lineRule="exact"/>
        <w:ind w:firstLine="640" w:firstLineChars="200"/>
        <w:rPr>
          <w:szCs w:val="32"/>
        </w:rPr>
      </w:pPr>
      <w:r>
        <w:rPr>
          <w:rFonts w:hint="eastAsia"/>
          <w:szCs w:val="32"/>
        </w:rPr>
        <w:t>产品技术要求的编制需符合《医疗器械产品技术要求编写指导原则》的要求。</w:t>
      </w:r>
      <w:r>
        <w:rPr>
          <w:szCs w:val="32"/>
        </w:rPr>
        <w:t>本条款给出</w:t>
      </w:r>
      <w:r>
        <w:rPr>
          <w:rFonts w:hint="eastAsia"/>
          <w:szCs w:val="32"/>
        </w:rPr>
        <w:t>产品</w:t>
      </w:r>
      <w:r>
        <w:rPr>
          <w:szCs w:val="32"/>
        </w:rPr>
        <w:t>需要</w:t>
      </w:r>
      <w:r>
        <w:rPr>
          <w:rFonts w:hint="eastAsia"/>
          <w:szCs w:val="32"/>
        </w:rPr>
        <w:t>满足</w:t>
      </w:r>
      <w:r>
        <w:rPr>
          <w:szCs w:val="32"/>
        </w:rPr>
        <w:t>的</w:t>
      </w:r>
      <w:r>
        <w:rPr>
          <w:rFonts w:hint="eastAsia"/>
          <w:szCs w:val="32"/>
        </w:rPr>
        <w:t>主要</w:t>
      </w:r>
      <w:r>
        <w:rPr>
          <w:szCs w:val="32"/>
        </w:rPr>
        <w:t>性能指标</w:t>
      </w:r>
      <w:r>
        <w:rPr>
          <w:rFonts w:hint="eastAsia"/>
          <w:szCs w:val="32"/>
        </w:rPr>
        <w:t>。注册申请人应</w:t>
      </w:r>
      <w:r>
        <w:rPr>
          <w:szCs w:val="32"/>
        </w:rPr>
        <w:t>参考相应的国家标准、行业标准，根据产品</w:t>
      </w:r>
      <w:r>
        <w:rPr>
          <w:rFonts w:hint="eastAsia"/>
          <w:szCs w:val="32"/>
        </w:rPr>
        <w:t>自身</w:t>
      </w:r>
      <w:r>
        <w:rPr>
          <w:szCs w:val="32"/>
        </w:rPr>
        <w:t>的技术特点制定相应的</w:t>
      </w:r>
      <w:r>
        <w:rPr>
          <w:rFonts w:hint="eastAsia"/>
          <w:szCs w:val="32"/>
        </w:rPr>
        <w:t>要求</w:t>
      </w:r>
      <w:r>
        <w:rPr>
          <w:szCs w:val="32"/>
        </w:rPr>
        <w:t>。</w:t>
      </w:r>
      <w:r>
        <w:rPr>
          <w:rFonts w:hint="eastAsia"/>
          <w:szCs w:val="32"/>
        </w:rPr>
        <w:t>对于</w:t>
      </w:r>
      <w:r>
        <w:rPr>
          <w:szCs w:val="32"/>
        </w:rPr>
        <w:t>国家标准、行业标准</w:t>
      </w:r>
      <w:r>
        <w:rPr>
          <w:rFonts w:hint="eastAsia"/>
          <w:szCs w:val="32"/>
        </w:rPr>
        <w:t>中</w:t>
      </w:r>
      <w:r>
        <w:rPr>
          <w:szCs w:val="32"/>
        </w:rPr>
        <w:t>不适用条款，</w:t>
      </w:r>
      <w:r>
        <w:rPr>
          <w:rFonts w:hint="eastAsia"/>
          <w:szCs w:val="32"/>
        </w:rPr>
        <w:t>注册申请人应</w:t>
      </w:r>
      <w:r>
        <w:rPr>
          <w:szCs w:val="32"/>
        </w:rPr>
        <w:t>在研究资料的产品性能研究中说明不适用的理由。</w:t>
      </w:r>
    </w:p>
    <w:p w14:paraId="517D612D">
      <w:pPr>
        <w:spacing w:line="520" w:lineRule="exact"/>
        <w:ind w:firstLine="640" w:firstLineChars="200"/>
        <w:rPr>
          <w:szCs w:val="32"/>
        </w:rPr>
      </w:pPr>
      <w:r>
        <w:rPr>
          <w:rFonts w:hint="eastAsia"/>
          <w:szCs w:val="32"/>
        </w:rPr>
        <w:t>产品主要性能指标：</w:t>
      </w:r>
    </w:p>
    <w:p w14:paraId="4E750220">
      <w:pPr>
        <w:spacing w:line="520" w:lineRule="exact"/>
        <w:ind w:firstLine="640" w:firstLineChars="200"/>
        <w:rPr>
          <w:szCs w:val="32"/>
        </w:rPr>
      </w:pPr>
      <w:r>
        <w:rPr>
          <w:rFonts w:hint="eastAsia"/>
          <w:szCs w:val="32"/>
        </w:rPr>
        <w:t>3.1.1</w:t>
      </w:r>
      <w:r>
        <w:rPr>
          <w:szCs w:val="32"/>
        </w:rPr>
        <w:t>外观：应整齐、清洁，无异物。</w:t>
      </w:r>
    </w:p>
    <w:p w14:paraId="25B205F9">
      <w:pPr>
        <w:spacing w:line="520" w:lineRule="exact"/>
        <w:ind w:firstLine="640" w:firstLineChars="200"/>
        <w:rPr>
          <w:szCs w:val="32"/>
        </w:rPr>
      </w:pPr>
      <w:r>
        <w:rPr>
          <w:rFonts w:hint="eastAsia"/>
          <w:szCs w:val="32"/>
        </w:rPr>
        <w:t>3.1.</w:t>
      </w:r>
      <w:r>
        <w:rPr>
          <w:szCs w:val="32"/>
        </w:rPr>
        <w:t>2尺寸：电极尺寸（外径或高度、宽度</w:t>
      </w:r>
      <w:r>
        <w:rPr>
          <w:rFonts w:hint="eastAsia"/>
          <w:szCs w:val="32"/>
        </w:rPr>
        <w:t>、有效面积</w:t>
      </w:r>
      <w:r>
        <w:rPr>
          <w:szCs w:val="32"/>
        </w:rPr>
        <w:t>），线缆长度</w:t>
      </w:r>
      <w:r>
        <w:rPr>
          <w:rFonts w:hint="eastAsia"/>
          <w:szCs w:val="32"/>
        </w:rPr>
        <w:t>。</w:t>
      </w:r>
    </w:p>
    <w:p w14:paraId="0E6341A2">
      <w:pPr>
        <w:spacing w:line="520" w:lineRule="exact"/>
        <w:ind w:firstLine="640" w:firstLineChars="200"/>
        <w:rPr>
          <w:szCs w:val="32"/>
        </w:rPr>
      </w:pPr>
      <w:r>
        <w:rPr>
          <w:szCs w:val="32"/>
        </w:rPr>
        <w:t>由</w:t>
      </w:r>
      <w:r>
        <w:rPr>
          <w:rFonts w:hint="eastAsia"/>
          <w:szCs w:val="32"/>
        </w:rPr>
        <w:t>申请人</w:t>
      </w:r>
      <w:r>
        <w:rPr>
          <w:szCs w:val="32"/>
        </w:rPr>
        <w:t>根据实际产品具体编写。</w:t>
      </w:r>
    </w:p>
    <w:p w14:paraId="10A987AA">
      <w:pPr>
        <w:spacing w:line="520" w:lineRule="exact"/>
        <w:ind w:firstLine="640" w:firstLineChars="200"/>
        <w:rPr>
          <w:szCs w:val="32"/>
        </w:rPr>
      </w:pPr>
      <w:r>
        <w:rPr>
          <w:rFonts w:hint="eastAsia"/>
          <w:szCs w:val="32"/>
        </w:rPr>
        <w:t>3.1.</w:t>
      </w:r>
      <w:r>
        <w:rPr>
          <w:szCs w:val="32"/>
        </w:rPr>
        <w:t>3电极导线两段连接处牢固度</w:t>
      </w:r>
    </w:p>
    <w:p w14:paraId="69C3D6DC">
      <w:pPr>
        <w:spacing w:line="520" w:lineRule="exact"/>
        <w:ind w:firstLine="640" w:firstLineChars="200"/>
        <w:rPr>
          <w:szCs w:val="32"/>
        </w:rPr>
      </w:pPr>
      <w:r>
        <w:rPr>
          <w:szCs w:val="32"/>
        </w:rPr>
        <w:t>由</w:t>
      </w:r>
      <w:r>
        <w:rPr>
          <w:b/>
          <w:bCs/>
          <w:szCs w:val="32"/>
        </w:rPr>
        <w:t>生产企业</w:t>
      </w:r>
      <w:r>
        <w:rPr>
          <w:szCs w:val="32"/>
        </w:rPr>
        <w:t>根据实际产品具体编写。</w:t>
      </w:r>
    </w:p>
    <w:p w14:paraId="5CD5A63B">
      <w:pPr>
        <w:spacing w:line="520" w:lineRule="exact"/>
        <w:ind w:firstLine="640" w:firstLineChars="200"/>
        <w:rPr>
          <w:szCs w:val="32"/>
        </w:rPr>
      </w:pPr>
      <w:r>
        <w:rPr>
          <w:rFonts w:hint="eastAsia"/>
          <w:szCs w:val="32"/>
        </w:rPr>
        <w:t>3.1.</w:t>
      </w:r>
      <w:r>
        <w:rPr>
          <w:szCs w:val="32"/>
        </w:rPr>
        <w:t>4电气性能</w:t>
      </w:r>
    </w:p>
    <w:p w14:paraId="1315AD1E">
      <w:pPr>
        <w:spacing w:line="520" w:lineRule="exact"/>
        <w:ind w:firstLine="640" w:firstLineChars="200"/>
        <w:rPr>
          <w:szCs w:val="32"/>
          <w:highlight w:val="yellow"/>
        </w:rPr>
      </w:pPr>
      <w:r>
        <w:rPr>
          <w:rFonts w:hint="eastAsia"/>
          <w:szCs w:val="32"/>
        </w:rPr>
        <w:t>3.1.4.1应参考GB 9706.204的要求</w:t>
      </w:r>
      <w:r>
        <w:rPr>
          <w:szCs w:val="32"/>
        </w:rPr>
        <w:t>。</w:t>
      </w:r>
      <w:r>
        <w:rPr>
          <w:rFonts w:hint="eastAsia"/>
          <w:szCs w:val="32"/>
        </w:rPr>
        <w:t>除颤电极</w:t>
      </w:r>
      <w:r>
        <w:rPr>
          <w:szCs w:val="32"/>
        </w:rPr>
        <w:t>的电气</w:t>
      </w:r>
      <w:r>
        <w:rPr>
          <w:rFonts w:hint="eastAsia"/>
          <w:szCs w:val="32"/>
        </w:rPr>
        <w:t>性能要求应至少包括AC小信号</w:t>
      </w:r>
      <w:r>
        <w:rPr>
          <w:szCs w:val="32"/>
        </w:rPr>
        <w:t>阻抗</w:t>
      </w:r>
      <w:r>
        <w:rPr>
          <w:rFonts w:hint="eastAsia"/>
          <w:szCs w:val="32"/>
        </w:rPr>
        <w:t>、AC大信号阻抗、</w:t>
      </w:r>
      <w:r>
        <w:rPr>
          <w:szCs w:val="32"/>
        </w:rPr>
        <w:t>除颤恢复</w:t>
      </w:r>
      <w:r>
        <w:rPr>
          <w:rFonts w:hint="eastAsia"/>
          <w:szCs w:val="32"/>
        </w:rPr>
        <w:t>、直流失调电压；若除颤电极片支持体外起搏，则应至少包括</w:t>
      </w:r>
      <w:r>
        <w:rPr>
          <w:szCs w:val="32"/>
        </w:rPr>
        <w:t>最大起搏电流以及最大起搏速率起搏60min</w:t>
      </w:r>
      <w:r>
        <w:rPr>
          <w:rFonts w:hint="eastAsia"/>
          <w:szCs w:val="32"/>
        </w:rPr>
        <w:t>后的AC小信号阻抗</w:t>
      </w:r>
      <w:r>
        <w:rPr>
          <w:szCs w:val="32"/>
        </w:rPr>
        <w:t>阻抗</w:t>
      </w:r>
      <w:r>
        <w:rPr>
          <w:rFonts w:hint="eastAsia"/>
          <w:szCs w:val="32"/>
        </w:rPr>
        <w:t>、AC大信号阻抗、</w:t>
      </w:r>
      <w:r>
        <w:rPr>
          <w:szCs w:val="32"/>
        </w:rPr>
        <w:t>除颤恢复</w:t>
      </w:r>
      <w:r>
        <w:rPr>
          <w:rFonts w:hint="eastAsia"/>
          <w:szCs w:val="32"/>
        </w:rPr>
        <w:t>、直流失调电压；还应至少包含</w:t>
      </w:r>
      <w:r>
        <w:rPr>
          <w:szCs w:val="32"/>
        </w:rPr>
        <w:t>预连接导线的安全性</w:t>
      </w:r>
      <w:r>
        <w:rPr>
          <w:rFonts w:hint="eastAsia"/>
          <w:szCs w:val="32"/>
        </w:rPr>
        <w:t>（如适用）。</w:t>
      </w:r>
    </w:p>
    <w:p w14:paraId="5EB9E95A">
      <w:pPr>
        <w:spacing w:line="520" w:lineRule="exact"/>
        <w:ind w:firstLine="640" w:firstLineChars="200"/>
        <w:rPr>
          <w:spacing w:val="-4"/>
          <w:szCs w:val="32"/>
        </w:rPr>
      </w:pPr>
      <w:r>
        <w:rPr>
          <w:rFonts w:hint="eastAsia"/>
          <w:szCs w:val="32"/>
        </w:rPr>
        <w:t>3.1.4.2</w:t>
      </w:r>
      <w:r>
        <w:rPr>
          <w:spacing w:val="-4"/>
          <w:szCs w:val="32"/>
        </w:rPr>
        <w:t>预连接导线阻抗</w:t>
      </w:r>
    </w:p>
    <w:p w14:paraId="6053B855">
      <w:pPr>
        <w:spacing w:line="520" w:lineRule="exact"/>
        <w:ind w:firstLine="624" w:firstLineChars="200"/>
        <w:rPr>
          <w:szCs w:val="32"/>
        </w:rPr>
      </w:pPr>
      <w:r>
        <w:rPr>
          <w:spacing w:val="-4"/>
          <w:szCs w:val="32"/>
        </w:rPr>
        <w:t>导线的直流阻抗由</w:t>
      </w:r>
      <w:r>
        <w:rPr>
          <w:szCs w:val="32"/>
        </w:rPr>
        <w:t>企业自定。</w:t>
      </w:r>
    </w:p>
    <w:p w14:paraId="171F8851">
      <w:pPr>
        <w:spacing w:line="520" w:lineRule="exact"/>
        <w:ind w:firstLine="640" w:firstLineChars="200"/>
      </w:pPr>
      <w:r>
        <w:rPr>
          <w:rFonts w:hint="eastAsia"/>
          <w:highlight w:val="yellow"/>
        </w:rPr>
        <w:t>3.1.4.3电极粘性要求</w:t>
      </w:r>
    </w:p>
    <w:p w14:paraId="44F61545">
      <w:pPr>
        <w:spacing w:line="520" w:lineRule="exact"/>
        <w:ind w:firstLine="640" w:firstLineChars="200"/>
        <w:rPr>
          <w:rFonts w:hint="eastAsia"/>
          <w:szCs w:val="32"/>
        </w:rPr>
      </w:pPr>
      <w:r>
        <w:rPr>
          <w:rFonts w:hint="eastAsia"/>
          <w:highlight w:val="yellow"/>
        </w:rPr>
        <w:t>电极粘性要求由企业自定。</w:t>
      </w:r>
    </w:p>
    <w:p w14:paraId="35DBA38A">
      <w:pPr>
        <w:spacing w:line="520" w:lineRule="exact"/>
        <w:ind w:firstLine="640" w:firstLineChars="200"/>
        <w:rPr>
          <w:szCs w:val="32"/>
        </w:rPr>
      </w:pPr>
      <w:r>
        <w:rPr>
          <w:rFonts w:hint="eastAsia"/>
          <w:szCs w:val="32"/>
        </w:rPr>
        <w:t>3.</w:t>
      </w:r>
      <w:r>
        <w:rPr>
          <w:szCs w:val="32"/>
        </w:rPr>
        <w:t>1</w:t>
      </w:r>
      <w:r>
        <w:rPr>
          <w:rFonts w:hint="eastAsia"/>
          <w:szCs w:val="32"/>
        </w:rPr>
        <w:t>.5安全要求</w:t>
      </w:r>
    </w:p>
    <w:p w14:paraId="363037B9">
      <w:pPr>
        <w:spacing w:line="520" w:lineRule="exact"/>
        <w:ind w:firstLine="640" w:firstLineChars="200"/>
        <w:rPr>
          <w:szCs w:val="32"/>
        </w:rPr>
      </w:pPr>
      <w:r>
        <w:rPr>
          <w:szCs w:val="32"/>
        </w:rPr>
        <w:t>包含有预连接（永久性连接）导线</w:t>
      </w:r>
      <w:r>
        <w:rPr>
          <w:rFonts w:hint="eastAsia"/>
          <w:szCs w:val="32"/>
        </w:rPr>
        <w:t>的电极配合主机使用时，应满足GB</w:t>
      </w:r>
      <w:r>
        <w:rPr>
          <w:szCs w:val="32"/>
        </w:rPr>
        <w:t xml:space="preserve"> 9706.1</w:t>
      </w:r>
      <w:r>
        <w:rPr>
          <w:rFonts w:hint="eastAsia"/>
          <w:szCs w:val="32"/>
        </w:rPr>
        <w:t>的适用要求。</w:t>
      </w:r>
    </w:p>
    <w:p w14:paraId="2D6A656B">
      <w:pPr>
        <w:spacing w:line="520" w:lineRule="exact"/>
        <w:ind w:firstLine="640" w:firstLineChars="200"/>
        <w:rPr>
          <w:szCs w:val="32"/>
        </w:rPr>
      </w:pPr>
      <w:r>
        <w:rPr>
          <w:rFonts w:hint="eastAsia"/>
          <w:szCs w:val="32"/>
        </w:rPr>
        <w:t>如预期在家庭护理环境或紧急医疗服务环境中使用，还需对应符合YY</w:t>
      </w:r>
      <w:r>
        <w:rPr>
          <w:szCs w:val="32"/>
        </w:rPr>
        <w:t xml:space="preserve"> </w:t>
      </w:r>
      <w:r>
        <w:rPr>
          <w:rFonts w:hint="eastAsia"/>
          <w:szCs w:val="32"/>
        </w:rPr>
        <w:t>9706.111或YY</w:t>
      </w:r>
      <w:r>
        <w:rPr>
          <w:szCs w:val="32"/>
        </w:rPr>
        <w:t xml:space="preserve"> </w:t>
      </w:r>
      <w:r>
        <w:rPr>
          <w:rFonts w:hint="eastAsia"/>
          <w:szCs w:val="32"/>
        </w:rPr>
        <w:t>9706.112中规定的要求。</w:t>
      </w:r>
    </w:p>
    <w:p w14:paraId="0504300E">
      <w:pPr>
        <w:spacing w:line="520" w:lineRule="exact"/>
        <w:ind w:firstLine="640" w:firstLineChars="200"/>
        <w:rPr>
          <w:szCs w:val="32"/>
        </w:rPr>
      </w:pPr>
      <w:r>
        <w:rPr>
          <w:rFonts w:hint="eastAsia"/>
          <w:szCs w:val="32"/>
        </w:rPr>
        <w:t>3.1.6电磁兼容</w:t>
      </w:r>
    </w:p>
    <w:p w14:paraId="277779CA">
      <w:pPr>
        <w:spacing w:line="520" w:lineRule="exact"/>
        <w:ind w:firstLine="640" w:firstLineChars="200"/>
        <w:rPr>
          <w:szCs w:val="32"/>
        </w:rPr>
      </w:pPr>
      <w:r>
        <w:rPr>
          <w:szCs w:val="32"/>
        </w:rPr>
        <w:t>包含有预连接（永久性连接）导线</w:t>
      </w:r>
      <w:r>
        <w:rPr>
          <w:rFonts w:hint="eastAsia"/>
          <w:szCs w:val="32"/>
        </w:rPr>
        <w:t>的电极配合主机使用时，应符合YY 9706.102的适用要求。</w:t>
      </w:r>
    </w:p>
    <w:p w14:paraId="5FBCF0A5">
      <w:pPr>
        <w:spacing w:line="520" w:lineRule="exact"/>
        <w:ind w:firstLine="640" w:firstLineChars="200"/>
        <w:rPr>
          <w:rFonts w:hint="eastAsia"/>
          <w:szCs w:val="32"/>
        </w:rPr>
      </w:pPr>
      <w:r>
        <w:rPr>
          <w:rFonts w:hint="eastAsia"/>
          <w:szCs w:val="32"/>
        </w:rPr>
        <w:t>如预期在家庭护理环境或紧急医疗服务环境中使用，</w:t>
      </w:r>
      <w:r>
        <w:rPr>
          <w:rFonts w:hint="eastAsia"/>
          <w:highlight w:val="green"/>
        </w:rPr>
        <w:t>还需要考虑YY 9706.111和YY 9706.112中的适用要求。</w:t>
      </w:r>
    </w:p>
    <w:p w14:paraId="299C2703">
      <w:pPr>
        <w:spacing w:line="520" w:lineRule="exact"/>
        <w:ind w:firstLine="640" w:firstLineChars="200"/>
        <w:rPr>
          <w:szCs w:val="32"/>
        </w:rPr>
      </w:pPr>
      <w:r>
        <w:rPr>
          <w:rFonts w:hint="eastAsia"/>
          <w:szCs w:val="32"/>
        </w:rPr>
        <w:t>3.2</w:t>
      </w:r>
      <w:r>
        <w:rPr>
          <w:szCs w:val="32"/>
        </w:rPr>
        <w:t>产品检验报告</w:t>
      </w:r>
    </w:p>
    <w:p w14:paraId="3CBACFA7">
      <w:pPr>
        <w:spacing w:line="520" w:lineRule="exact"/>
        <w:ind w:firstLine="640" w:firstLineChars="200"/>
        <w:rPr>
          <w:szCs w:val="32"/>
        </w:rPr>
      </w:pPr>
      <w:r>
        <w:rPr>
          <w:rFonts w:hint="eastAsia"/>
          <w:szCs w:val="32"/>
        </w:rPr>
        <w:t>注册申请人应提供产品检验报告，可以是医疗器械注册申请人的自检报告，也可以是委托具有医疗器械检验资质的医疗器械检验机构出具的检验报告。</w:t>
      </w:r>
    </w:p>
    <w:p w14:paraId="2E823A57">
      <w:pPr>
        <w:spacing w:line="520" w:lineRule="exact"/>
        <w:ind w:firstLine="640" w:firstLineChars="200"/>
        <w:rPr>
          <w:szCs w:val="32"/>
        </w:rPr>
      </w:pPr>
      <w:r>
        <w:rPr>
          <w:rFonts w:hint="eastAsia"/>
          <w:szCs w:val="32"/>
        </w:rPr>
        <w:t>如选择同一注册单元中的典型产品型号规格进行检验，</w:t>
      </w:r>
      <w:r>
        <w:rPr>
          <w:szCs w:val="32"/>
        </w:rPr>
        <w:t>应说明检验用型号规格的典型性。</w:t>
      </w:r>
      <w:r>
        <w:rPr>
          <w:rFonts w:hint="eastAsia"/>
          <w:szCs w:val="32"/>
        </w:rPr>
        <w:t>典型产品型号规格应是同一注册单元内能够代表本单元内其他型号规格产品安全性和有效性的产品型号规格。应考虑功能最齐全、结构最复杂、</w:t>
      </w:r>
      <w:r>
        <w:rPr>
          <w:szCs w:val="32"/>
          <w:lang w:val="zh-TW"/>
        </w:rPr>
        <w:t>风险最高</w:t>
      </w:r>
      <w:r>
        <w:rPr>
          <w:rFonts w:hint="eastAsia"/>
          <w:szCs w:val="32"/>
        </w:rPr>
        <w:t>的型号。若一个型号规格不能覆盖</w:t>
      </w:r>
      <w:r>
        <w:rPr>
          <w:snapToGrid w:val="0"/>
          <w:kern w:val="0"/>
          <w:szCs w:val="32"/>
          <w:lang w:val="zh-TW" w:eastAsia="zh-TW"/>
        </w:rPr>
        <w:t>其他型号</w:t>
      </w:r>
      <w:r>
        <w:rPr>
          <w:snapToGrid w:val="0"/>
          <w:kern w:val="0"/>
          <w:szCs w:val="32"/>
        </w:rPr>
        <w:t>规格</w:t>
      </w:r>
      <w:r>
        <w:rPr>
          <w:snapToGrid w:val="0"/>
          <w:kern w:val="0"/>
          <w:szCs w:val="32"/>
          <w:lang w:val="zh-TW" w:eastAsia="zh-TW"/>
        </w:rPr>
        <w:t>的全部性能</w:t>
      </w:r>
      <w:r>
        <w:rPr>
          <w:rFonts w:hint="eastAsia"/>
          <w:snapToGrid w:val="0"/>
          <w:kern w:val="0"/>
          <w:szCs w:val="32"/>
          <w:lang w:val="zh-TW" w:eastAsia="zh-TW"/>
        </w:rPr>
        <w:t>指标</w:t>
      </w:r>
      <w:r>
        <w:rPr>
          <w:rFonts w:hint="eastAsia"/>
          <w:szCs w:val="32"/>
        </w:rPr>
        <w:t>，</w:t>
      </w:r>
      <w:r>
        <w:rPr>
          <w:bCs/>
          <w:szCs w:val="32"/>
        </w:rPr>
        <w:t>可以选择多个典型型号规格，也</w:t>
      </w:r>
      <w:r>
        <w:rPr>
          <w:snapToGrid w:val="0"/>
          <w:kern w:val="0"/>
          <w:szCs w:val="32"/>
          <w:lang w:val="zh-TW" w:eastAsia="zh-TW"/>
        </w:rPr>
        <w:t>可对其他型号</w:t>
      </w:r>
      <w:r>
        <w:rPr>
          <w:snapToGrid w:val="0"/>
          <w:kern w:val="0"/>
          <w:szCs w:val="32"/>
        </w:rPr>
        <w:t>规格</w:t>
      </w:r>
      <w:r>
        <w:rPr>
          <w:snapToGrid w:val="0"/>
          <w:kern w:val="0"/>
          <w:szCs w:val="32"/>
          <w:lang w:val="zh-TW" w:eastAsia="zh-TW"/>
        </w:rPr>
        <w:t>不</w:t>
      </w:r>
      <w:r>
        <w:rPr>
          <w:snapToGrid w:val="0"/>
          <w:kern w:val="0"/>
          <w:szCs w:val="32"/>
          <w:lang w:val="zh-TW"/>
        </w:rPr>
        <w:t>被</w:t>
      </w:r>
      <w:r>
        <w:rPr>
          <w:snapToGrid w:val="0"/>
          <w:kern w:val="0"/>
          <w:szCs w:val="32"/>
          <w:lang w:val="zh-TW" w:eastAsia="zh-TW"/>
        </w:rPr>
        <w:t>能覆盖的差异部分进行</w:t>
      </w:r>
      <w:r>
        <w:rPr>
          <w:snapToGrid w:val="0"/>
          <w:kern w:val="0"/>
          <w:szCs w:val="32"/>
        </w:rPr>
        <w:t>检验</w:t>
      </w:r>
      <w:r>
        <w:rPr>
          <w:rFonts w:hint="eastAsia"/>
          <w:szCs w:val="32"/>
        </w:rPr>
        <w:t>。</w:t>
      </w:r>
    </w:p>
    <w:p w14:paraId="1F0EEE75">
      <w:pPr>
        <w:widowControl w:val="0"/>
        <w:spacing w:line="520" w:lineRule="exact"/>
        <w:ind w:firstLine="640" w:firstLineChars="200"/>
        <w:outlineLvl w:val="2"/>
        <w:rPr>
          <w:szCs w:val="32"/>
        </w:rPr>
      </w:pPr>
      <w:r>
        <w:rPr>
          <w:rFonts w:hint="eastAsia"/>
          <w:szCs w:val="32"/>
        </w:rPr>
        <w:t>4.研究资料</w:t>
      </w:r>
    </w:p>
    <w:p w14:paraId="6E402041">
      <w:pPr>
        <w:spacing w:line="520" w:lineRule="exact"/>
        <w:ind w:firstLine="640" w:firstLineChars="200"/>
        <w:rPr>
          <w:szCs w:val="32"/>
        </w:rPr>
      </w:pPr>
      <w:r>
        <w:rPr>
          <w:rFonts w:hint="eastAsia"/>
          <w:szCs w:val="32"/>
        </w:rPr>
        <w:t>4.1性能研究</w:t>
      </w:r>
    </w:p>
    <w:p w14:paraId="3DE25D4A">
      <w:pPr>
        <w:spacing w:line="520" w:lineRule="exact"/>
        <w:ind w:firstLine="640" w:firstLineChars="200"/>
        <w:rPr>
          <w:szCs w:val="32"/>
        </w:rPr>
      </w:pPr>
      <w:r>
        <w:rPr>
          <w:szCs w:val="32"/>
        </w:rPr>
        <w:t>应当提供产品性能研究资料以及产品技术要求的编制说明，包括</w:t>
      </w:r>
      <w:r>
        <w:rPr>
          <w:rFonts w:hint="eastAsia"/>
          <w:szCs w:val="32"/>
        </w:rPr>
        <w:t>产品化学/材料表征、物理和/或机械性能指标的确定依据、设计输入来源以及临床意义，所采用的标准或方法、采用的原因及理论基础。</w:t>
      </w:r>
    </w:p>
    <w:p w14:paraId="5A733393">
      <w:pPr>
        <w:spacing w:line="520" w:lineRule="exact"/>
        <w:ind w:firstLine="640" w:firstLineChars="200"/>
        <w:rPr>
          <w:szCs w:val="32"/>
        </w:rPr>
      </w:pPr>
      <w:r>
        <w:rPr>
          <w:rFonts w:hint="eastAsia"/>
          <w:szCs w:val="32"/>
        </w:rPr>
        <w:t>4.2联合使用</w:t>
      </w:r>
    </w:p>
    <w:p w14:paraId="09F7C5A8">
      <w:pPr>
        <w:spacing w:line="520" w:lineRule="exact"/>
        <w:ind w:firstLine="640" w:firstLineChars="200"/>
        <w:rPr>
          <w:szCs w:val="32"/>
        </w:rPr>
      </w:pPr>
      <w:r>
        <w:rPr>
          <w:rFonts w:hint="eastAsia"/>
          <w:szCs w:val="32"/>
        </w:rPr>
        <w:t>如申报产品预期与其他产品联合使用实现同一预期用途，应当提供证明联合使用安全有效的研究资料，包括互联基本信息（连接类型、接口、协议、最低性能）、联合使用风险及控制措施、联合使用上的限制，兼容性研究等。</w:t>
      </w:r>
    </w:p>
    <w:p w14:paraId="05B3B3FF">
      <w:pPr>
        <w:spacing w:line="520" w:lineRule="exact"/>
        <w:ind w:firstLine="640" w:firstLineChars="200"/>
        <w:rPr>
          <w:szCs w:val="32"/>
        </w:rPr>
      </w:pPr>
      <w:r>
        <w:rPr>
          <w:rFonts w:hint="eastAsia"/>
          <w:szCs w:val="32"/>
        </w:rPr>
        <w:t>4.3电气系统安全性研究</w:t>
      </w:r>
    </w:p>
    <w:p w14:paraId="422B689E">
      <w:pPr>
        <w:spacing w:line="520" w:lineRule="exact"/>
        <w:ind w:firstLine="630"/>
        <w:rPr>
          <w:szCs w:val="32"/>
        </w:rPr>
      </w:pPr>
      <w:r>
        <w:rPr>
          <w:rFonts w:hint="eastAsia"/>
          <w:bCs/>
          <w:szCs w:val="32"/>
        </w:rPr>
        <w:t>应当提供电气安全性、机械和环境保护以及电磁兼容性的研究资料，说明适用的标准以及开展的研究。</w:t>
      </w:r>
    </w:p>
    <w:p w14:paraId="5DC03036">
      <w:pPr>
        <w:widowControl w:val="0"/>
        <w:spacing w:line="520" w:lineRule="exact"/>
        <w:ind w:firstLine="640" w:firstLineChars="200"/>
        <w:outlineLvl w:val="2"/>
        <w:rPr>
          <w:szCs w:val="32"/>
        </w:rPr>
      </w:pPr>
      <w:r>
        <w:rPr>
          <w:rFonts w:hint="eastAsia"/>
          <w:szCs w:val="32"/>
        </w:rPr>
        <w:t>4.4生物学特性研究</w:t>
      </w:r>
    </w:p>
    <w:p w14:paraId="2199E9E6">
      <w:pPr>
        <w:spacing w:line="520" w:lineRule="exact"/>
        <w:ind w:firstLine="640"/>
        <w:rPr>
          <w:szCs w:val="32"/>
        </w:rPr>
      </w:pPr>
      <w:r>
        <w:rPr>
          <w:rFonts w:hint="eastAsia"/>
          <w:szCs w:val="32"/>
        </w:rPr>
        <w:t>根据GB/T 16886.1标准对产品结构组成中与患者接触部分进行生物学特性评价。生物学特性评价研究应说明产品所用材料及其与人体接触的性质，给出实施或豁免生物学试验的理由和论证，并对现有数据或试验结果进行评价。参考GB/T16886.1，</w:t>
      </w:r>
      <w:r>
        <w:rPr>
          <w:szCs w:val="32"/>
        </w:rPr>
        <w:t>与</w:t>
      </w:r>
      <w:r>
        <w:rPr>
          <w:rFonts w:hint="eastAsia"/>
          <w:szCs w:val="32"/>
        </w:rPr>
        <w:t>完好皮肤短期接触的除颤电极生物学评价终点包括</w:t>
      </w:r>
      <w:r>
        <w:rPr>
          <w:szCs w:val="32"/>
        </w:rPr>
        <w:t>细胞毒性</w:t>
      </w:r>
      <w:r>
        <w:rPr>
          <w:rFonts w:hint="eastAsia"/>
          <w:szCs w:val="32"/>
        </w:rPr>
        <w:t>、</w:t>
      </w:r>
      <w:r>
        <w:rPr>
          <w:szCs w:val="32"/>
        </w:rPr>
        <w:t>致敏</w:t>
      </w:r>
      <w:r>
        <w:rPr>
          <w:rFonts w:hint="eastAsia"/>
          <w:szCs w:val="32"/>
        </w:rPr>
        <w:t>反应和刺激反应。</w:t>
      </w:r>
    </w:p>
    <w:p w14:paraId="792DE4D6">
      <w:pPr>
        <w:widowControl w:val="0"/>
        <w:spacing w:line="520" w:lineRule="exact"/>
        <w:ind w:firstLine="640" w:firstLineChars="200"/>
        <w:outlineLvl w:val="2"/>
        <w:rPr>
          <w:szCs w:val="32"/>
        </w:rPr>
      </w:pPr>
      <w:r>
        <w:rPr>
          <w:rFonts w:hint="eastAsia"/>
          <w:szCs w:val="32"/>
        </w:rPr>
        <w:t>4.5灭菌工艺研究（如适用）</w:t>
      </w:r>
    </w:p>
    <w:p w14:paraId="0AC499BB">
      <w:pPr>
        <w:spacing w:line="520" w:lineRule="exact"/>
        <w:ind w:firstLine="640"/>
        <w:rPr>
          <w:szCs w:val="32"/>
        </w:rPr>
      </w:pPr>
      <w:r>
        <w:rPr>
          <w:rFonts w:hint="eastAsia"/>
          <w:szCs w:val="32"/>
        </w:rPr>
        <w:t>对于无菌提供的除颤电极片产品，应明确灭菌工艺（方法和参数）和无菌保证水平（SAL）。灭菌确认应考虑产品与灭菌过程的适应性、包装和标签与灭菌过程的适应性等内容。参考 GB 18279系列标准、GB 18280系列标准、GB 18278.1提供灭菌确认报告。</w:t>
      </w:r>
    </w:p>
    <w:p w14:paraId="03755D01">
      <w:pPr>
        <w:spacing w:line="520" w:lineRule="exact"/>
        <w:ind w:firstLine="640"/>
        <w:rPr>
          <w:szCs w:val="32"/>
        </w:rPr>
      </w:pPr>
      <w:r>
        <w:rPr>
          <w:rFonts w:hint="eastAsia"/>
          <w:szCs w:val="32"/>
        </w:rPr>
        <w:t>残留毒性：若灭菌使用的方法容易出现残留, 应明确残留物的名称、限量及其确定依据、采取的处理措施及相应的残留量检测报告。如环氧乙烷灭菌，可参考GB/T 16886.7标准明确残留物信息（如EO、ECH）及采取的处理方法和条件，并提供研究资料。</w:t>
      </w:r>
    </w:p>
    <w:p w14:paraId="27ED8B11">
      <w:pPr>
        <w:widowControl w:val="0"/>
        <w:spacing w:line="520" w:lineRule="exact"/>
        <w:ind w:firstLine="640" w:firstLineChars="200"/>
        <w:outlineLvl w:val="2"/>
        <w:rPr>
          <w:szCs w:val="32"/>
        </w:rPr>
      </w:pPr>
      <w:r>
        <w:rPr>
          <w:rFonts w:hint="eastAsia"/>
          <w:szCs w:val="32"/>
        </w:rPr>
        <w:t>4.6稳定性研究</w:t>
      </w:r>
    </w:p>
    <w:p w14:paraId="13CC752C">
      <w:pPr>
        <w:spacing w:line="520" w:lineRule="exact"/>
        <w:ind w:firstLine="640" w:firstLineChars="200"/>
        <w:rPr>
          <w:szCs w:val="32"/>
        </w:rPr>
      </w:pPr>
      <w:r>
        <w:rPr>
          <w:rFonts w:hint="eastAsia"/>
          <w:szCs w:val="32"/>
        </w:rPr>
        <w:t>4.6.1货架</w:t>
      </w:r>
      <w:r>
        <w:rPr>
          <w:szCs w:val="32"/>
        </w:rPr>
        <w:t>有效期</w:t>
      </w:r>
    </w:p>
    <w:p w14:paraId="2CE36473">
      <w:pPr>
        <w:spacing w:line="520" w:lineRule="exact"/>
        <w:ind w:firstLine="640" w:firstLineChars="200"/>
        <w:rPr>
          <w:szCs w:val="32"/>
        </w:rPr>
      </w:pPr>
      <w:r>
        <w:rPr>
          <w:rFonts w:hint="eastAsia"/>
          <w:szCs w:val="32"/>
        </w:rPr>
        <w:t>应当提供货架有效期和包装（包括最小销售单元的包装）研究资料，证明在货架有效期内，在生产企业规定的运输贮存条件下，产品的性能及功能满足使用要求，具有微生物限度要求的产品还应当符合微生物限度要求，以无菌状态交付的产品还应保持无菌状态。</w:t>
      </w:r>
    </w:p>
    <w:p w14:paraId="062A2071">
      <w:pPr>
        <w:spacing w:line="520" w:lineRule="exact"/>
        <w:ind w:firstLine="640" w:firstLineChars="200"/>
        <w:rPr>
          <w:szCs w:val="32"/>
        </w:rPr>
      </w:pPr>
      <w:r>
        <w:rPr>
          <w:rFonts w:hint="eastAsia"/>
          <w:szCs w:val="32"/>
        </w:rPr>
        <w:t>产品货架有效期的验证可采用实时老化或加速老化试验研究。如果采用加速老化试验研究，应评估产品是否适用于加速老化试验研究。加速老化试验研究的具体要求可参照YY/T 0681系列标准。</w:t>
      </w:r>
    </w:p>
    <w:p w14:paraId="0EF26280">
      <w:pPr>
        <w:spacing w:line="520" w:lineRule="exact"/>
        <w:ind w:firstLine="640" w:firstLineChars="200"/>
        <w:rPr>
          <w:szCs w:val="32"/>
        </w:rPr>
      </w:pPr>
      <w:r>
        <w:rPr>
          <w:rFonts w:hint="eastAsia"/>
          <w:szCs w:val="32"/>
        </w:rPr>
        <w:t>4.6.2使用稳定性</w:t>
      </w:r>
    </w:p>
    <w:p w14:paraId="6F0F2D69">
      <w:pPr>
        <w:spacing w:line="520" w:lineRule="exact"/>
        <w:ind w:firstLine="640" w:firstLineChars="200"/>
        <w:rPr>
          <w:szCs w:val="32"/>
        </w:rPr>
      </w:pPr>
      <w:r>
        <w:rPr>
          <w:rFonts w:hint="eastAsia"/>
          <w:szCs w:val="32"/>
        </w:rPr>
        <w:t>参考《有源医疗器械使用期限注册技术审查指导原则》，提供使用稳定性/可靠性研究资料，证明在生产企业规定的使用期限（最大单次使用时间）</w:t>
      </w:r>
      <w:r>
        <w:rPr>
          <w:rFonts w:hint="eastAsia"/>
          <w:szCs w:val="32"/>
          <w:lang w:val="en-GB"/>
        </w:rPr>
        <w:t>内</w:t>
      </w:r>
      <w:r>
        <w:rPr>
          <w:rFonts w:hint="eastAsia"/>
          <w:szCs w:val="32"/>
        </w:rPr>
        <w:t>，在正常使用情况下，产品的性能及功能满足使用要求。</w:t>
      </w:r>
    </w:p>
    <w:p w14:paraId="38A8924C">
      <w:pPr>
        <w:spacing w:line="520" w:lineRule="exact"/>
        <w:ind w:firstLine="640" w:firstLineChars="200"/>
        <w:rPr>
          <w:szCs w:val="32"/>
        </w:rPr>
      </w:pPr>
      <w:r>
        <w:rPr>
          <w:rFonts w:hint="eastAsia"/>
          <w:szCs w:val="32"/>
        </w:rPr>
        <w:t>4.6.3运输稳定性</w:t>
      </w:r>
    </w:p>
    <w:p w14:paraId="5FB1695F">
      <w:pPr>
        <w:pStyle w:val="36"/>
        <w:spacing w:line="520" w:lineRule="exact"/>
        <w:ind w:firstLine="640"/>
        <w:rPr>
          <w:rFonts w:ascii="Times New Roman" w:hAnsi="Times New Roman" w:eastAsia="仿宋_GB2312"/>
          <w:sz w:val="32"/>
          <w:szCs w:val="32"/>
        </w:rPr>
      </w:pPr>
      <w:r>
        <w:rPr>
          <w:rFonts w:ascii="Times New Roman" w:hAnsi="Times New Roman" w:eastAsia="仿宋_GB2312"/>
          <w:sz w:val="32"/>
          <w:szCs w:val="32"/>
        </w:rPr>
        <w:t>在宣称的运输储存条件下，应当提供运输稳定性和包装（包括最小销售单元的包装）研究资料，证明在生产企业规定的运输条件下，运输过程中的环境条件（例如：震动、振动、温度和湿度的波动）不会对产品的特性和性能，包括完整性和清洁度造成不利影响。注册申请人应结合声称的储运条件开展包装和环境试验研究，并论述研究设置的合理性。可参考GB/T 14710的要求进行研究。</w:t>
      </w:r>
    </w:p>
    <w:p w14:paraId="7D0E0EF9">
      <w:pPr>
        <w:pStyle w:val="36"/>
        <w:spacing w:line="520" w:lineRule="exact"/>
        <w:ind w:firstLine="640"/>
        <w:rPr>
          <w:rFonts w:ascii="Times New Roman" w:hAnsi="Times New Roman" w:eastAsia="仿宋_GB2312"/>
          <w:sz w:val="32"/>
          <w:szCs w:val="32"/>
        </w:rPr>
      </w:pPr>
      <w:r>
        <w:rPr>
          <w:rFonts w:ascii="Times New Roman" w:hAnsi="Times New Roman" w:eastAsia="仿宋_GB2312"/>
          <w:sz w:val="32"/>
          <w:szCs w:val="32"/>
        </w:rPr>
        <w:t>4.7可用性研究</w:t>
      </w:r>
    </w:p>
    <w:p w14:paraId="105EC0F6">
      <w:pPr>
        <w:pStyle w:val="36"/>
        <w:spacing w:line="520" w:lineRule="exact"/>
        <w:ind w:firstLine="640"/>
        <w:rPr>
          <w:rFonts w:ascii="Times New Roman" w:hAnsi="Times New Roman" w:eastAsia="仿宋_GB2312"/>
          <w:sz w:val="32"/>
          <w:szCs w:val="32"/>
        </w:rPr>
      </w:pPr>
      <w:r>
        <w:rPr>
          <w:rFonts w:hint="eastAsia" w:ascii="Times New Roman" w:hAnsi="Times New Roman" w:eastAsia="仿宋_GB2312"/>
          <w:sz w:val="32"/>
          <w:szCs w:val="32"/>
          <w:highlight w:val="green"/>
        </w:rPr>
        <w:t>应参考</w:t>
      </w:r>
      <w:r>
        <w:rPr>
          <w:rFonts w:ascii="Times New Roman" w:hAnsi="Times New Roman" w:eastAsia="仿宋_GB2312"/>
          <w:sz w:val="32"/>
          <w:szCs w:val="32"/>
          <w:highlight w:val="green"/>
        </w:rPr>
        <w:t>《医疗器械可用性工程注册审查指导原则》提交使用错误评估报告</w:t>
      </w:r>
      <w:r>
        <w:rPr>
          <w:rFonts w:ascii="Times New Roman" w:hAnsi="Times New Roman" w:eastAsia="仿宋_GB2312"/>
          <w:sz w:val="32"/>
          <w:szCs w:val="32"/>
        </w:rPr>
        <w:t>包括基本信息、使用风险级别、核心要素、同类医疗器械上市后使用问题分析、使用风险管理、结论等内容。若前期已开展可用性工程工作，亦可提交可用性工程研究报告，用于替代使用错误评估报告。</w:t>
      </w:r>
    </w:p>
    <w:p w14:paraId="32AA9415">
      <w:pPr>
        <w:spacing w:line="520" w:lineRule="exact"/>
        <w:ind w:firstLine="640" w:firstLineChars="200"/>
        <w:outlineLvl w:val="1"/>
        <w:rPr>
          <w:rFonts w:eastAsia="楷体"/>
          <w:szCs w:val="32"/>
        </w:rPr>
      </w:pPr>
      <w:r>
        <w:rPr>
          <w:rFonts w:eastAsia="楷体"/>
          <w:szCs w:val="32"/>
        </w:rPr>
        <w:t>（</w:t>
      </w:r>
      <w:r>
        <w:rPr>
          <w:rFonts w:hint="eastAsia" w:eastAsia="楷体"/>
          <w:szCs w:val="32"/>
        </w:rPr>
        <w:t>四</w:t>
      </w:r>
      <w:r>
        <w:rPr>
          <w:rFonts w:eastAsia="楷体"/>
          <w:szCs w:val="32"/>
        </w:rPr>
        <w:t>）临床评价要求</w:t>
      </w:r>
    </w:p>
    <w:p w14:paraId="5A6576B5">
      <w:pPr>
        <w:spacing w:line="520" w:lineRule="exact"/>
        <w:ind w:firstLine="640" w:firstLineChars="200"/>
        <w:rPr>
          <w:szCs w:val="32"/>
        </w:rPr>
      </w:pPr>
      <w:r>
        <w:rPr>
          <w:rFonts w:hint="eastAsia"/>
          <w:highlight w:val="green"/>
        </w:rPr>
        <w:t>产品不属于免于进行临床评价目录中的产品，申请人按国家药监局关于发布医疗器械临床评价技术指导原则等5项技术指导原则的通告（2021年第73号）中相关指导原则开展临床评价。</w:t>
      </w:r>
      <w:r>
        <w:rPr>
          <w:szCs w:val="32"/>
        </w:rPr>
        <w:t>。</w:t>
      </w:r>
    </w:p>
    <w:p w14:paraId="55E87C42">
      <w:pPr>
        <w:widowControl w:val="0"/>
        <w:spacing w:line="520" w:lineRule="exact"/>
        <w:jc w:val="both"/>
        <w:outlineLvl w:val="1"/>
        <w:rPr>
          <w:rFonts w:eastAsia="楷体_GB2312"/>
          <w:szCs w:val="32"/>
        </w:rPr>
      </w:pPr>
      <w:r>
        <w:rPr>
          <w:rFonts w:eastAsia="楷体_GB2312"/>
          <w:szCs w:val="32"/>
        </w:rPr>
        <w:t>（</w:t>
      </w:r>
      <w:r>
        <w:rPr>
          <w:rFonts w:hint="eastAsia" w:eastAsia="楷体_GB2312"/>
          <w:szCs w:val="32"/>
        </w:rPr>
        <w:t>五</w:t>
      </w:r>
      <w:r>
        <w:rPr>
          <w:rFonts w:eastAsia="楷体_GB2312"/>
          <w:szCs w:val="32"/>
        </w:rPr>
        <w:t>）产品说明书和标签样稿</w:t>
      </w:r>
    </w:p>
    <w:p w14:paraId="75322F72">
      <w:pPr>
        <w:spacing w:line="520" w:lineRule="exact"/>
        <w:ind w:firstLine="624" w:firstLineChars="200"/>
        <w:rPr>
          <w:spacing w:val="-4"/>
          <w:szCs w:val="28"/>
        </w:rPr>
      </w:pPr>
      <w:r>
        <w:rPr>
          <w:spacing w:val="-4"/>
          <w:szCs w:val="28"/>
        </w:rPr>
        <w:t>产品说明书、标签应符合《医疗器械说明书和标签管理规定》和</w:t>
      </w:r>
      <w:r>
        <w:rPr>
          <w:rFonts w:hint="eastAsia"/>
          <w:szCs w:val="32"/>
        </w:rPr>
        <w:t>相关法规、规范性文件、强制性标准的要求</w:t>
      </w:r>
      <w:r>
        <w:rPr>
          <w:spacing w:val="-4"/>
          <w:szCs w:val="28"/>
        </w:rPr>
        <w:t>，同时应注意以下内容：</w:t>
      </w:r>
    </w:p>
    <w:p w14:paraId="1CACE728">
      <w:pPr>
        <w:spacing w:line="520" w:lineRule="exact"/>
        <w:ind w:firstLine="640" w:firstLineChars="200"/>
        <w:rPr>
          <w:szCs w:val="32"/>
        </w:rPr>
      </w:pPr>
      <w:r>
        <w:rPr>
          <w:szCs w:val="32"/>
        </w:rPr>
        <w:t>1.</w:t>
      </w:r>
      <w:r>
        <w:rPr>
          <w:rFonts w:hint="eastAsia"/>
          <w:szCs w:val="32"/>
        </w:rPr>
        <w:t>除颤电极与除颤器</w:t>
      </w:r>
      <w:r>
        <w:rPr>
          <w:szCs w:val="32"/>
        </w:rPr>
        <w:t>配合使用，在使用过程中应考虑以下注意事项：</w:t>
      </w:r>
    </w:p>
    <w:p w14:paraId="193E07E4">
      <w:pPr>
        <w:spacing w:line="520" w:lineRule="exact"/>
        <w:ind w:firstLine="640" w:firstLineChars="200"/>
        <w:rPr>
          <w:szCs w:val="32"/>
        </w:rPr>
      </w:pPr>
      <w:r>
        <w:rPr>
          <w:szCs w:val="32"/>
        </w:rPr>
        <w:t>1.1</w:t>
      </w:r>
      <w:r>
        <w:rPr>
          <w:rFonts w:hint="eastAsia"/>
          <w:highlight w:val="green"/>
        </w:rPr>
        <w:t>使用前请检查使用期限或者失效日期和包装，如超过使用期限或包装破损，禁止使用。</w:t>
      </w:r>
    </w:p>
    <w:p w14:paraId="1CAA4B72">
      <w:pPr>
        <w:spacing w:line="520" w:lineRule="exact"/>
        <w:ind w:firstLine="640" w:firstLineChars="200"/>
        <w:rPr>
          <w:szCs w:val="32"/>
        </w:rPr>
      </w:pPr>
      <w:r>
        <w:rPr>
          <w:rFonts w:hint="eastAsia"/>
          <w:szCs w:val="32"/>
        </w:rPr>
        <w:t>1.2</w:t>
      </w:r>
      <w:r>
        <w:rPr>
          <w:rFonts w:hint="eastAsia"/>
          <w:highlight w:val="green"/>
        </w:rPr>
        <w:t>使用前检查电极片，如有发现损坏或材料变质，禁止使用</w:t>
      </w:r>
    </w:p>
    <w:p w14:paraId="41BF041D">
      <w:pPr>
        <w:spacing w:line="520" w:lineRule="exact"/>
        <w:ind w:firstLine="640" w:firstLineChars="200"/>
        <w:rPr>
          <w:szCs w:val="32"/>
        </w:rPr>
      </w:pPr>
      <w:r>
        <w:rPr>
          <w:szCs w:val="32"/>
        </w:rPr>
        <w:t>1.</w:t>
      </w:r>
      <w:r>
        <w:rPr>
          <w:rFonts w:hint="eastAsia"/>
          <w:szCs w:val="32"/>
        </w:rPr>
        <w:t>3除颤电极</w:t>
      </w:r>
      <w:r>
        <w:rPr>
          <w:szCs w:val="32"/>
        </w:rPr>
        <w:t>不得粘贴在皮肤破损部位；</w:t>
      </w:r>
    </w:p>
    <w:p w14:paraId="46509845">
      <w:pPr>
        <w:spacing w:line="520" w:lineRule="exact"/>
        <w:ind w:firstLine="640" w:firstLineChars="200"/>
        <w:rPr>
          <w:szCs w:val="32"/>
        </w:rPr>
      </w:pPr>
      <w:r>
        <w:rPr>
          <w:rFonts w:hint="eastAsia"/>
          <w:szCs w:val="32"/>
        </w:rPr>
        <w:t>1.4除颤过程中，除颤电极不能互相接触或接触其他心电电极片、导联线、衣物等；</w:t>
      </w:r>
    </w:p>
    <w:p w14:paraId="438A175F">
      <w:pPr>
        <w:spacing w:line="520" w:lineRule="exact"/>
        <w:ind w:firstLine="640" w:firstLineChars="200"/>
        <w:rPr>
          <w:szCs w:val="32"/>
        </w:rPr>
      </w:pPr>
      <w:r>
        <w:rPr>
          <w:rFonts w:hint="eastAsia"/>
          <w:szCs w:val="32"/>
        </w:rPr>
        <w:t>1.5</w:t>
      </w:r>
      <w:r>
        <w:rPr>
          <w:rFonts w:hint="eastAsia"/>
          <w:highlight w:val="green"/>
        </w:rPr>
        <w:t>一次性使用除颤电极是一次性单病人使用产品，使用后请丢弃，按医疗废物处置。</w:t>
      </w:r>
    </w:p>
    <w:p w14:paraId="0DD0E174">
      <w:pPr>
        <w:spacing w:line="520" w:lineRule="exact"/>
        <w:ind w:firstLine="640" w:firstLineChars="200"/>
        <w:rPr>
          <w:szCs w:val="32"/>
        </w:rPr>
      </w:pPr>
      <w:r>
        <w:rPr>
          <w:szCs w:val="32"/>
        </w:rPr>
        <w:t>2.</w:t>
      </w:r>
      <w:r>
        <w:rPr>
          <w:rFonts w:hint="eastAsia"/>
          <w:szCs w:val="32"/>
        </w:rPr>
        <w:t>产品</w:t>
      </w:r>
      <w:r>
        <w:rPr>
          <w:szCs w:val="32"/>
        </w:rPr>
        <w:t>说明书应包含下列主要内容：</w:t>
      </w:r>
    </w:p>
    <w:p w14:paraId="0CAED69F">
      <w:pPr>
        <w:spacing w:line="520" w:lineRule="exact"/>
        <w:ind w:firstLine="640" w:firstLineChars="200"/>
      </w:pPr>
      <w:r>
        <w:rPr>
          <w:rFonts w:hint="eastAsia"/>
          <w:szCs w:val="32"/>
        </w:rPr>
        <w:t>2.1</w:t>
      </w:r>
      <w:r>
        <w:rPr>
          <w:szCs w:val="32"/>
        </w:rPr>
        <w:t>合适的预防措施和警告，包括电极的使用期限和关于电极包装应在使用时才打开或者打开后多少天内使用</w:t>
      </w:r>
      <w:r>
        <w:rPr>
          <w:rFonts w:hint="eastAsia"/>
          <w:szCs w:val="32"/>
        </w:rPr>
        <w:t>、</w:t>
      </w:r>
      <w:r>
        <w:rPr>
          <w:szCs w:val="32"/>
        </w:rPr>
        <w:t>粘贴本产品时</w:t>
      </w:r>
      <w:r>
        <w:rPr>
          <w:rFonts w:hint="eastAsia"/>
          <w:szCs w:val="32"/>
        </w:rPr>
        <w:t>能否</w:t>
      </w:r>
      <w:r>
        <w:rPr>
          <w:szCs w:val="32"/>
        </w:rPr>
        <w:t>接受X射线成像、磁共振成像检查的警告；</w:t>
      </w:r>
    </w:p>
    <w:p w14:paraId="5E1F7962">
      <w:pPr>
        <w:spacing w:line="520" w:lineRule="exact"/>
        <w:ind w:firstLine="640" w:firstLineChars="200"/>
        <w:rPr>
          <w:szCs w:val="32"/>
        </w:rPr>
      </w:pPr>
      <w:r>
        <w:rPr>
          <w:szCs w:val="32"/>
        </w:rPr>
        <w:t>2.</w:t>
      </w:r>
      <w:r>
        <w:rPr>
          <w:rFonts w:hint="eastAsia"/>
          <w:szCs w:val="32"/>
        </w:rPr>
        <w:t>2</w:t>
      </w:r>
      <w:r>
        <w:rPr>
          <w:szCs w:val="32"/>
        </w:rPr>
        <w:t xml:space="preserve">使用说明或者图示 </w:t>
      </w:r>
    </w:p>
    <w:p w14:paraId="23679845">
      <w:pPr>
        <w:widowControl w:val="0"/>
        <w:spacing w:line="520" w:lineRule="exact"/>
        <w:jc w:val="both"/>
        <w:outlineLvl w:val="1"/>
        <w:rPr>
          <w:rFonts w:eastAsia="楷体_GB2312"/>
          <w:szCs w:val="32"/>
        </w:rPr>
      </w:pPr>
      <w:r>
        <w:rPr>
          <w:rFonts w:eastAsia="楷体_GB2312"/>
          <w:szCs w:val="32"/>
        </w:rPr>
        <w:t>（</w:t>
      </w:r>
      <w:r>
        <w:rPr>
          <w:rFonts w:hint="eastAsia" w:eastAsia="楷体_GB2312"/>
          <w:szCs w:val="32"/>
        </w:rPr>
        <w:t>六</w:t>
      </w:r>
      <w:r>
        <w:rPr>
          <w:rFonts w:eastAsia="楷体_GB2312"/>
          <w:szCs w:val="32"/>
        </w:rPr>
        <w:t>）质量管理体系文件</w:t>
      </w:r>
    </w:p>
    <w:p w14:paraId="7EB6D813">
      <w:pPr>
        <w:tabs>
          <w:tab w:val="left" w:pos="540"/>
        </w:tabs>
        <w:spacing w:line="520" w:lineRule="exact"/>
        <w:ind w:firstLine="640" w:firstLineChars="200"/>
        <w:rPr>
          <w:szCs w:val="32"/>
        </w:rPr>
      </w:pPr>
      <w:r>
        <w:rPr>
          <w:bCs/>
          <w:szCs w:val="32"/>
        </w:rPr>
        <w:t>按照《关于公布医疗器械注册申报资料要求和批准证明文件格式的公告》要求提交</w:t>
      </w:r>
      <w:r>
        <w:rPr>
          <w:szCs w:val="32"/>
        </w:rPr>
        <w:t>申报注册</w:t>
      </w:r>
      <w:r>
        <w:rPr>
          <w:rFonts w:hint="eastAsia"/>
          <w:szCs w:val="32"/>
        </w:rPr>
        <w:t>产品</w:t>
      </w:r>
      <w:r>
        <w:rPr>
          <w:szCs w:val="32"/>
        </w:rPr>
        <w:t>的</w:t>
      </w:r>
      <w:r>
        <w:rPr>
          <w:rFonts w:hint="eastAsia"/>
          <w:szCs w:val="32"/>
        </w:rPr>
        <w:t>质量管理体系文件</w:t>
      </w:r>
      <w:r>
        <w:rPr>
          <w:bCs/>
          <w:szCs w:val="32"/>
        </w:rPr>
        <w:t>。</w:t>
      </w:r>
      <w:r>
        <w:rPr>
          <w:szCs w:val="32"/>
        </w:rPr>
        <w:t>应当明确产品生产工艺，注明关键工序和特殊过程，可采用流程图的形式，并说明其过程控制点。</w:t>
      </w:r>
    </w:p>
    <w:p w14:paraId="2D104E2A">
      <w:pPr>
        <w:pStyle w:val="2"/>
        <w:widowControl w:val="0"/>
        <w:ind w:firstLine="640"/>
      </w:pPr>
      <w:r>
        <w:t>三、参考文献</w:t>
      </w:r>
    </w:p>
    <w:p w14:paraId="0212EA4D">
      <w:pPr>
        <w:widowControl w:val="0"/>
        <w:numPr>
          <w:ilvl w:val="255"/>
          <w:numId w:val="0"/>
        </w:numPr>
        <w:kinsoku w:val="0"/>
        <w:spacing w:line="520" w:lineRule="exact"/>
        <w:ind w:firstLine="640" w:firstLineChars="200"/>
        <w:jc w:val="both"/>
        <w:rPr>
          <w:szCs w:val="32"/>
        </w:rPr>
      </w:pPr>
      <w:r>
        <w:rPr>
          <w:rFonts w:hint="eastAsia"/>
          <w:szCs w:val="32"/>
        </w:rPr>
        <w:t>[1]</w:t>
      </w:r>
      <w:r>
        <w:rPr>
          <w:szCs w:val="32"/>
        </w:rPr>
        <w:t>中华人民共和国国务院.医疗器械监督管理条例:中华人民共和国国务院令第739号[Z].</w:t>
      </w:r>
    </w:p>
    <w:p w14:paraId="14D82352">
      <w:pPr>
        <w:widowControl w:val="0"/>
        <w:numPr>
          <w:ilvl w:val="255"/>
          <w:numId w:val="0"/>
        </w:numPr>
        <w:kinsoku w:val="0"/>
        <w:spacing w:line="520" w:lineRule="exact"/>
        <w:ind w:firstLine="640" w:firstLineChars="200"/>
        <w:jc w:val="both"/>
        <w:rPr>
          <w:szCs w:val="32"/>
        </w:rPr>
      </w:pPr>
      <w:r>
        <w:rPr>
          <w:rFonts w:hint="eastAsia"/>
          <w:szCs w:val="32"/>
        </w:rPr>
        <w:t>[2]</w:t>
      </w:r>
      <w:r>
        <w:rPr>
          <w:szCs w:val="32"/>
        </w:rPr>
        <w:t>国家市场</w:t>
      </w:r>
      <w:r>
        <w:rPr>
          <w:rFonts w:hint="eastAsia"/>
          <w:szCs w:val="32"/>
        </w:rPr>
        <w:t>监督管理</w:t>
      </w:r>
      <w:r>
        <w:rPr>
          <w:szCs w:val="32"/>
        </w:rPr>
        <w:t>总局.医疗器械注册与备案管理办法：</w:t>
      </w:r>
    </w:p>
    <w:p w14:paraId="1437D55C">
      <w:pPr>
        <w:widowControl w:val="0"/>
        <w:numPr>
          <w:ilvl w:val="255"/>
          <w:numId w:val="0"/>
        </w:numPr>
        <w:kinsoku w:val="0"/>
        <w:spacing w:line="520" w:lineRule="exact"/>
        <w:jc w:val="both"/>
        <w:rPr>
          <w:szCs w:val="32"/>
        </w:rPr>
      </w:pPr>
      <w:r>
        <w:rPr>
          <w:szCs w:val="32"/>
        </w:rPr>
        <w:t>国家市场监管总局令第47号[Z].</w:t>
      </w:r>
    </w:p>
    <w:p w14:paraId="3B17736B">
      <w:pPr>
        <w:widowControl w:val="0"/>
        <w:numPr>
          <w:ilvl w:val="255"/>
          <w:numId w:val="0"/>
        </w:numPr>
        <w:kinsoku w:val="0"/>
        <w:spacing w:line="520" w:lineRule="exact"/>
        <w:ind w:firstLine="640" w:firstLineChars="200"/>
        <w:jc w:val="both"/>
        <w:rPr>
          <w:szCs w:val="32"/>
        </w:rPr>
      </w:pPr>
      <w:r>
        <w:rPr>
          <w:rFonts w:hint="eastAsia"/>
          <w:szCs w:val="32"/>
        </w:rPr>
        <w:t>[3]</w:t>
      </w:r>
      <w:r>
        <w:rPr>
          <w:szCs w:val="32"/>
        </w:rPr>
        <w:t>国家食品药品监督管理总局.医疗器械说明书和标签管</w:t>
      </w:r>
    </w:p>
    <w:p w14:paraId="7DE70A94">
      <w:pPr>
        <w:widowControl w:val="0"/>
        <w:numPr>
          <w:ilvl w:val="255"/>
          <w:numId w:val="0"/>
        </w:numPr>
        <w:kinsoku w:val="0"/>
        <w:spacing w:line="520" w:lineRule="exact"/>
        <w:jc w:val="both"/>
        <w:rPr>
          <w:szCs w:val="32"/>
        </w:rPr>
      </w:pPr>
      <w:r>
        <w:rPr>
          <w:szCs w:val="32"/>
        </w:rPr>
        <w:t>理规定:国家食品药品监督管理总局令第6号[Z].</w:t>
      </w:r>
    </w:p>
    <w:p w14:paraId="13B7DC75">
      <w:pPr>
        <w:widowControl w:val="0"/>
        <w:numPr>
          <w:ilvl w:val="255"/>
          <w:numId w:val="0"/>
        </w:numPr>
        <w:kinsoku w:val="0"/>
        <w:spacing w:line="520" w:lineRule="exact"/>
        <w:ind w:firstLine="640" w:firstLineChars="200"/>
        <w:jc w:val="both"/>
        <w:rPr>
          <w:szCs w:val="32"/>
        </w:rPr>
      </w:pPr>
      <w:r>
        <w:rPr>
          <w:rFonts w:hint="eastAsia"/>
          <w:szCs w:val="32"/>
        </w:rPr>
        <w:t>[4]国家食品药品监督管理局.医疗器械通用名称命名规则：国家食品药品监督管理总局令第19号[Z].</w:t>
      </w:r>
    </w:p>
    <w:p w14:paraId="6C66FD47">
      <w:pPr>
        <w:widowControl w:val="0"/>
        <w:numPr>
          <w:ilvl w:val="255"/>
          <w:numId w:val="0"/>
        </w:numPr>
        <w:kinsoku w:val="0"/>
        <w:spacing w:line="520" w:lineRule="exact"/>
        <w:ind w:firstLine="640" w:firstLineChars="200"/>
        <w:jc w:val="both"/>
        <w:rPr>
          <w:szCs w:val="32"/>
        </w:rPr>
      </w:pPr>
      <w:r>
        <w:rPr>
          <w:rFonts w:hint="eastAsia"/>
          <w:szCs w:val="32"/>
        </w:rPr>
        <w:t>[5]国家药品监督管理局.医疗器械产品技术要求编写指导原则:国家药监局通告2022年第8号[Z].</w:t>
      </w:r>
    </w:p>
    <w:p w14:paraId="66245B52">
      <w:pPr>
        <w:widowControl w:val="0"/>
        <w:kinsoku w:val="0"/>
        <w:spacing w:line="520" w:lineRule="exact"/>
        <w:ind w:firstLine="640" w:firstLineChars="200"/>
        <w:jc w:val="both"/>
        <w:rPr>
          <w:szCs w:val="32"/>
        </w:rPr>
      </w:pPr>
      <w:r>
        <w:rPr>
          <w:rFonts w:hint="eastAsia"/>
          <w:szCs w:val="32"/>
        </w:rPr>
        <w:t>[6]</w:t>
      </w:r>
      <w:r>
        <w:rPr>
          <w:szCs w:val="32"/>
        </w:rPr>
        <w:t>国家食品药品监督管理总局</w:t>
      </w:r>
      <w:r>
        <w:rPr>
          <w:rFonts w:hint="eastAsia"/>
          <w:szCs w:val="32"/>
        </w:rPr>
        <w:t>.</w:t>
      </w:r>
      <w:r>
        <w:rPr>
          <w:szCs w:val="32"/>
        </w:rPr>
        <w:t>关于发布医疗器械生产质量管理规范附录无菌医疗器械的公告</w:t>
      </w:r>
      <w:r>
        <w:rPr>
          <w:rFonts w:hint="eastAsia"/>
          <w:szCs w:val="32"/>
        </w:rPr>
        <w:t>：</w:t>
      </w:r>
      <w:r>
        <w:rPr>
          <w:szCs w:val="32"/>
        </w:rPr>
        <w:t>国家食品药品监督管理总局公告2015年第101号[Z]</w:t>
      </w:r>
      <w:r>
        <w:rPr>
          <w:kern w:val="0"/>
          <w:szCs w:val="32"/>
        </w:rPr>
        <w:t>.</w:t>
      </w:r>
    </w:p>
    <w:p w14:paraId="6ACB810D">
      <w:pPr>
        <w:widowControl w:val="0"/>
        <w:kinsoku w:val="0"/>
        <w:spacing w:line="520" w:lineRule="exact"/>
        <w:ind w:firstLine="640" w:firstLineChars="200"/>
        <w:jc w:val="both"/>
      </w:pPr>
      <w:r>
        <w:rPr>
          <w:rFonts w:hint="eastAsia"/>
          <w:szCs w:val="32"/>
        </w:rPr>
        <w:t>[7]</w:t>
      </w:r>
      <w:r>
        <w:rPr>
          <w:szCs w:val="32"/>
        </w:rPr>
        <w:t>国家药品监督管理局.关于公布医疗器械注册申报资料要求和批准证明文件格式的公告：国家药品监督管理局公告2021年第121号[Z]</w:t>
      </w:r>
      <w:r>
        <w:rPr>
          <w:kern w:val="0"/>
          <w:szCs w:val="32"/>
        </w:rPr>
        <w:t>.</w:t>
      </w:r>
    </w:p>
    <w:p w14:paraId="1C106E4E">
      <w:pPr>
        <w:widowControl w:val="0"/>
        <w:kinsoku w:val="0"/>
        <w:spacing w:line="520" w:lineRule="exact"/>
        <w:ind w:firstLine="640" w:firstLineChars="200"/>
        <w:jc w:val="both"/>
        <w:rPr>
          <w:rFonts w:eastAsia="微软雅黑"/>
        </w:rPr>
      </w:pPr>
      <w:r>
        <w:rPr>
          <w:rFonts w:hint="eastAsia"/>
          <w:kern w:val="0"/>
          <w:szCs w:val="32"/>
        </w:rPr>
        <w:t>[8]国家食品药品监督管理局.医疗器械注册单元划分指导原则:总局通告2017年第187号[Z].</w:t>
      </w:r>
    </w:p>
    <w:p w14:paraId="0E14F1AB">
      <w:pPr>
        <w:widowControl w:val="0"/>
        <w:numPr>
          <w:ilvl w:val="255"/>
          <w:numId w:val="0"/>
        </w:numPr>
        <w:kinsoku w:val="0"/>
        <w:spacing w:line="520" w:lineRule="exact"/>
        <w:ind w:firstLine="640" w:firstLineChars="200"/>
        <w:jc w:val="both"/>
        <w:rPr>
          <w:kern w:val="0"/>
          <w:szCs w:val="32"/>
        </w:rPr>
      </w:pPr>
      <w:r>
        <w:rPr>
          <w:rFonts w:hint="eastAsia"/>
          <w:kern w:val="0"/>
          <w:szCs w:val="32"/>
        </w:rPr>
        <w:t>[9]国家药品监督管理局.有源医疗器械使用期限注册技术审查指导原则:国家药品监督管理局通告2019年第23号[Z].</w:t>
      </w:r>
    </w:p>
    <w:p w14:paraId="44C52A9D">
      <w:pPr>
        <w:widowControl w:val="0"/>
        <w:numPr>
          <w:ilvl w:val="255"/>
          <w:numId w:val="0"/>
        </w:numPr>
        <w:kinsoku w:val="0"/>
        <w:spacing w:line="520" w:lineRule="exact"/>
        <w:ind w:firstLine="640" w:firstLineChars="200"/>
        <w:jc w:val="both"/>
        <w:rPr>
          <w:kern w:val="0"/>
          <w:szCs w:val="32"/>
        </w:rPr>
      </w:pPr>
      <w:r>
        <w:rPr>
          <w:rFonts w:hint="eastAsia"/>
          <w:kern w:val="0"/>
          <w:szCs w:val="32"/>
        </w:rPr>
        <w:t>[10]国家药品监督管理局.列入免于临床评价医疗器械目录产品对比说明技术指导原则:国家药监局通告2021年第73号[Z].</w:t>
      </w:r>
    </w:p>
    <w:p w14:paraId="70DCCAF4">
      <w:pPr>
        <w:widowControl w:val="0"/>
        <w:numPr>
          <w:ilvl w:val="255"/>
          <w:numId w:val="0"/>
        </w:numPr>
        <w:kinsoku w:val="0"/>
        <w:spacing w:line="520" w:lineRule="exact"/>
        <w:ind w:firstLine="640" w:firstLineChars="200"/>
        <w:jc w:val="both"/>
        <w:rPr>
          <w:kern w:val="0"/>
          <w:szCs w:val="32"/>
        </w:rPr>
      </w:pPr>
      <w:r>
        <w:rPr>
          <w:rFonts w:hint="eastAsia"/>
          <w:kern w:val="0"/>
          <w:szCs w:val="32"/>
        </w:rPr>
        <w:t>[11]国家药品监督管理局.免于临床评价医疗器械目录：国家药监局通告2023年第33号[Z].</w:t>
      </w:r>
    </w:p>
    <w:p w14:paraId="763D4994">
      <w:pPr>
        <w:numPr>
          <w:ilvl w:val="255"/>
          <w:numId w:val="0"/>
        </w:numPr>
        <w:spacing w:line="520" w:lineRule="exact"/>
        <w:ind w:firstLine="640" w:firstLineChars="200"/>
        <w:jc w:val="both"/>
        <w:rPr>
          <w:rStyle w:val="25"/>
          <w:rFonts w:eastAsia="黑体"/>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701" w:right="1588" w:bottom="1701" w:left="1588" w:header="850" w:footer="1061" w:gutter="0"/>
          <w:lnNumType w:countBy="1" w:restart="continuous"/>
          <w:pgNumType w:start="1"/>
          <w:cols w:space="720" w:num="1"/>
          <w:docGrid w:type="lines" w:linePitch="435" w:charSpace="0"/>
        </w:sectPr>
      </w:pPr>
      <w:r>
        <w:rPr>
          <w:rFonts w:hint="eastAsia"/>
          <w:kern w:val="0"/>
          <w:szCs w:val="32"/>
        </w:rPr>
        <w:t>[12]国家药品监督管理局.医疗器械临床评价技术指导原则:国家药监局通告2021年第73号[Z].</w:t>
      </w:r>
      <w:r>
        <w:rPr>
          <w:rStyle w:val="25"/>
          <w:rFonts w:eastAsia="黑体"/>
          <w:sz w:val="32"/>
          <w:szCs w:val="32"/>
        </w:rPr>
        <w:br w:type="page"/>
      </w:r>
    </w:p>
    <w:p w14:paraId="11F0CA0E">
      <w:pPr>
        <w:spacing w:line="520" w:lineRule="exact"/>
        <w:rPr>
          <w:rStyle w:val="25"/>
          <w:rFonts w:eastAsia="黑体"/>
          <w:sz w:val="32"/>
          <w:szCs w:val="32"/>
        </w:rPr>
      </w:pPr>
      <w:r>
        <w:rPr>
          <w:rStyle w:val="25"/>
          <w:rFonts w:eastAsia="黑体"/>
          <w:sz w:val="32"/>
          <w:szCs w:val="32"/>
        </w:rPr>
        <w:t>附表</w:t>
      </w:r>
      <w:r>
        <w:rPr>
          <w:rFonts w:hint="eastAsia"/>
          <w:bCs/>
          <w:iCs/>
          <w:szCs w:val="28"/>
        </w:rPr>
        <w:t>5-</w:t>
      </w:r>
      <w:r>
        <w:rPr>
          <w:rStyle w:val="25"/>
          <w:rFonts w:hint="eastAsia" w:eastAsia="黑体"/>
          <w:sz w:val="32"/>
          <w:szCs w:val="32"/>
        </w:rPr>
        <w:t>1</w:t>
      </w:r>
    </w:p>
    <w:p w14:paraId="395211A7">
      <w:pPr>
        <w:spacing w:line="520" w:lineRule="exact"/>
        <w:rPr>
          <w:rStyle w:val="25"/>
          <w:rFonts w:eastAsia="黑体"/>
          <w:sz w:val="32"/>
          <w:szCs w:val="32"/>
        </w:rPr>
      </w:pPr>
    </w:p>
    <w:p w14:paraId="711C1A1C">
      <w:pPr>
        <w:spacing w:line="520" w:lineRule="exact"/>
        <w:jc w:val="center"/>
        <w:rPr>
          <w:rStyle w:val="25"/>
          <w:rFonts w:eastAsia="黑体"/>
          <w:sz w:val="32"/>
          <w:szCs w:val="44"/>
        </w:rPr>
      </w:pPr>
      <w:r>
        <w:rPr>
          <w:rStyle w:val="25"/>
          <w:rFonts w:hint="eastAsia" w:eastAsia="黑体"/>
          <w:sz w:val="32"/>
          <w:szCs w:val="44"/>
        </w:rPr>
        <w:t>风险管理资料</w:t>
      </w:r>
    </w:p>
    <w:p w14:paraId="4BCCA512">
      <w:pPr>
        <w:spacing w:line="520" w:lineRule="exact"/>
        <w:jc w:val="center"/>
        <w:rPr>
          <w:rStyle w:val="25"/>
          <w:rFonts w:eastAsia="黑体"/>
          <w:sz w:val="32"/>
          <w:szCs w:val="44"/>
        </w:rPr>
      </w:pPr>
      <w:r>
        <w:rPr>
          <w:rStyle w:val="25"/>
          <w:rFonts w:hint="eastAsia" w:eastAsia="黑体"/>
          <w:sz w:val="32"/>
          <w:szCs w:val="44"/>
        </w:rPr>
        <w:t>危险、可预见的事件序列、危险情况和可能发生的伤害之间的关系（参考）</w:t>
      </w:r>
    </w:p>
    <w:p w14:paraId="47FB796A">
      <w:pPr>
        <w:spacing w:line="520" w:lineRule="exact"/>
        <w:jc w:val="center"/>
        <w:rPr>
          <w:rStyle w:val="25"/>
          <w:rFonts w:eastAsia="黑体"/>
          <w:sz w:val="32"/>
          <w:szCs w:val="44"/>
        </w:rPr>
      </w:pPr>
    </w:p>
    <w:tbl>
      <w:tblPr>
        <w:tblStyle w:val="17"/>
        <w:tblW w:w="54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8"/>
        <w:gridCol w:w="1534"/>
        <w:gridCol w:w="5289"/>
        <w:gridCol w:w="3902"/>
        <w:gridCol w:w="2606"/>
      </w:tblGrid>
      <w:tr w14:paraId="0BB00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tblHeader/>
          <w:jc w:val="center"/>
        </w:trPr>
        <w:tc>
          <w:tcPr>
            <w:tcW w:w="559" w:type="pct"/>
            <w:tcBorders>
              <w:top w:val="single" w:color="auto" w:sz="4" w:space="0"/>
              <w:left w:val="single" w:color="auto" w:sz="4" w:space="0"/>
              <w:bottom w:val="single" w:color="auto" w:sz="4" w:space="0"/>
              <w:right w:val="single" w:color="auto" w:sz="4" w:space="0"/>
            </w:tcBorders>
            <w:vAlign w:val="center"/>
          </w:tcPr>
          <w:p w14:paraId="25C8C58B">
            <w:pPr>
              <w:spacing w:line="520" w:lineRule="exact"/>
              <w:jc w:val="center"/>
              <w:rPr>
                <w:rFonts w:hint="eastAsia" w:ascii="黑体" w:hAnsi="黑体" w:eastAsia="黑体"/>
                <w:sz w:val="28"/>
                <w:szCs w:val="28"/>
              </w:rPr>
            </w:pPr>
            <w:r>
              <w:rPr>
                <w:rFonts w:hint="eastAsia" w:ascii="黑体" w:hAnsi="黑体" w:eastAsia="黑体"/>
                <w:sz w:val="28"/>
                <w:szCs w:val="28"/>
              </w:rPr>
              <w:t>危险分类</w:t>
            </w:r>
          </w:p>
        </w:tc>
        <w:tc>
          <w:tcPr>
            <w:tcW w:w="511" w:type="pct"/>
            <w:tcBorders>
              <w:top w:val="single" w:color="auto" w:sz="4" w:space="0"/>
              <w:left w:val="single" w:color="auto" w:sz="4" w:space="0"/>
              <w:bottom w:val="single" w:color="auto" w:sz="4" w:space="0"/>
              <w:right w:val="single" w:color="auto" w:sz="4" w:space="0"/>
            </w:tcBorders>
            <w:vAlign w:val="center"/>
          </w:tcPr>
          <w:p w14:paraId="265E9022">
            <w:pPr>
              <w:spacing w:line="520" w:lineRule="exact"/>
              <w:jc w:val="center"/>
              <w:rPr>
                <w:rFonts w:hint="eastAsia" w:ascii="黑体" w:hAnsi="黑体" w:eastAsia="黑体"/>
                <w:sz w:val="28"/>
                <w:szCs w:val="28"/>
              </w:rPr>
            </w:pPr>
            <w:r>
              <w:rPr>
                <w:rFonts w:hint="eastAsia" w:ascii="黑体" w:hAnsi="黑体" w:eastAsia="黑体"/>
                <w:sz w:val="28"/>
                <w:szCs w:val="28"/>
              </w:rPr>
              <w:t>危险</w:t>
            </w:r>
          </w:p>
        </w:tc>
        <w:tc>
          <w:tcPr>
            <w:tcW w:w="1762" w:type="pct"/>
            <w:tcBorders>
              <w:top w:val="single" w:color="auto" w:sz="4" w:space="0"/>
              <w:left w:val="single" w:color="auto" w:sz="4" w:space="0"/>
              <w:bottom w:val="single" w:color="auto" w:sz="4" w:space="0"/>
              <w:right w:val="single" w:color="auto" w:sz="4" w:space="0"/>
            </w:tcBorders>
            <w:vAlign w:val="center"/>
          </w:tcPr>
          <w:p w14:paraId="684E755F">
            <w:pPr>
              <w:spacing w:line="520" w:lineRule="exact"/>
              <w:jc w:val="center"/>
              <w:rPr>
                <w:rFonts w:hint="eastAsia" w:ascii="黑体" w:hAnsi="黑体" w:eastAsia="黑体"/>
                <w:sz w:val="28"/>
                <w:szCs w:val="28"/>
              </w:rPr>
            </w:pPr>
            <w:r>
              <w:rPr>
                <w:rFonts w:ascii="黑体" w:hAnsi="黑体" w:eastAsia="黑体"/>
                <w:sz w:val="28"/>
                <w:szCs w:val="28"/>
              </w:rPr>
              <w:t>可预见的事件序列</w:t>
            </w:r>
          </w:p>
        </w:tc>
        <w:tc>
          <w:tcPr>
            <w:tcW w:w="1300" w:type="pct"/>
            <w:tcBorders>
              <w:top w:val="single" w:color="auto" w:sz="4" w:space="0"/>
              <w:left w:val="single" w:color="auto" w:sz="4" w:space="0"/>
              <w:bottom w:val="single" w:color="auto" w:sz="4" w:space="0"/>
              <w:right w:val="single" w:color="auto" w:sz="4" w:space="0"/>
            </w:tcBorders>
            <w:vAlign w:val="center"/>
          </w:tcPr>
          <w:p w14:paraId="2D221AB4">
            <w:pPr>
              <w:spacing w:line="520" w:lineRule="exact"/>
              <w:jc w:val="center"/>
              <w:rPr>
                <w:rFonts w:hint="eastAsia" w:ascii="黑体" w:hAnsi="黑体" w:eastAsia="黑体"/>
                <w:sz w:val="28"/>
                <w:szCs w:val="28"/>
              </w:rPr>
            </w:pPr>
            <w:r>
              <w:rPr>
                <w:rFonts w:hint="eastAsia" w:ascii="黑体" w:hAnsi="黑体" w:eastAsia="黑体"/>
                <w:sz w:val="28"/>
                <w:szCs w:val="28"/>
              </w:rPr>
              <w:t>危险情况</w:t>
            </w:r>
          </w:p>
        </w:tc>
        <w:tc>
          <w:tcPr>
            <w:tcW w:w="868" w:type="pct"/>
            <w:tcBorders>
              <w:top w:val="single" w:color="auto" w:sz="4" w:space="0"/>
              <w:left w:val="single" w:color="auto" w:sz="4" w:space="0"/>
              <w:bottom w:val="single" w:color="auto" w:sz="4" w:space="0"/>
              <w:right w:val="single" w:color="auto" w:sz="4" w:space="0"/>
            </w:tcBorders>
            <w:vAlign w:val="center"/>
          </w:tcPr>
          <w:p w14:paraId="474EA9F8">
            <w:pPr>
              <w:spacing w:line="520" w:lineRule="exact"/>
              <w:jc w:val="center"/>
              <w:rPr>
                <w:rFonts w:hint="eastAsia" w:ascii="黑体" w:hAnsi="黑体" w:eastAsia="黑体"/>
                <w:sz w:val="28"/>
                <w:szCs w:val="28"/>
              </w:rPr>
            </w:pPr>
            <w:r>
              <w:rPr>
                <w:rFonts w:hint="eastAsia" w:ascii="黑体" w:hAnsi="黑体" w:eastAsia="黑体"/>
                <w:sz w:val="28"/>
                <w:szCs w:val="28"/>
              </w:rPr>
              <w:t>伤害</w:t>
            </w:r>
          </w:p>
        </w:tc>
      </w:tr>
      <w:tr w14:paraId="6FD82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559" w:type="pct"/>
            <w:tcBorders>
              <w:left w:val="single" w:color="auto" w:sz="4" w:space="0"/>
              <w:right w:val="single" w:color="auto" w:sz="4" w:space="0"/>
            </w:tcBorders>
            <w:vAlign w:val="center"/>
          </w:tcPr>
          <w:p w14:paraId="5322DBEB">
            <w:pPr>
              <w:spacing w:line="520" w:lineRule="exact"/>
              <w:rPr>
                <w:sz w:val="28"/>
                <w:szCs w:val="28"/>
              </w:rPr>
            </w:pPr>
            <w:r>
              <w:rPr>
                <w:sz w:val="28"/>
                <w:szCs w:val="28"/>
              </w:rPr>
              <w:t>能量</w:t>
            </w:r>
            <w:r>
              <w:rPr>
                <w:rFonts w:hint="eastAsia"/>
                <w:sz w:val="28"/>
                <w:szCs w:val="28"/>
              </w:rPr>
              <w:t>危险</w:t>
            </w:r>
          </w:p>
        </w:tc>
        <w:tc>
          <w:tcPr>
            <w:tcW w:w="511" w:type="pct"/>
            <w:tcBorders>
              <w:left w:val="single" w:color="auto" w:sz="4" w:space="0"/>
              <w:right w:val="single" w:color="auto" w:sz="4" w:space="0"/>
            </w:tcBorders>
            <w:vAlign w:val="center"/>
          </w:tcPr>
          <w:p w14:paraId="58319DD2">
            <w:pPr>
              <w:spacing w:line="520" w:lineRule="exact"/>
              <w:jc w:val="center"/>
              <w:rPr>
                <w:sz w:val="28"/>
                <w:szCs w:val="28"/>
              </w:rPr>
            </w:pPr>
            <w:r>
              <w:rPr>
                <w:rFonts w:hint="eastAsia"/>
                <w:sz w:val="28"/>
                <w:szCs w:val="28"/>
              </w:rPr>
              <w:t>磁场</w:t>
            </w:r>
          </w:p>
        </w:tc>
        <w:tc>
          <w:tcPr>
            <w:tcW w:w="1762" w:type="pct"/>
            <w:tcBorders>
              <w:top w:val="single" w:color="auto" w:sz="4" w:space="0"/>
              <w:left w:val="single" w:color="auto" w:sz="4" w:space="0"/>
              <w:bottom w:val="single" w:color="auto" w:sz="4" w:space="0"/>
              <w:right w:val="single" w:color="auto" w:sz="4" w:space="0"/>
            </w:tcBorders>
            <w:vAlign w:val="center"/>
          </w:tcPr>
          <w:p w14:paraId="4D87DA82">
            <w:pPr>
              <w:spacing w:line="520" w:lineRule="exact"/>
              <w:rPr>
                <w:sz w:val="28"/>
                <w:szCs w:val="28"/>
              </w:rPr>
            </w:pPr>
            <w:r>
              <w:rPr>
                <w:rFonts w:hint="eastAsia"/>
                <w:sz w:val="28"/>
                <w:szCs w:val="28"/>
              </w:rPr>
              <w:t>电磁兼容不满足要求，发射或抗扰超标。</w:t>
            </w:r>
          </w:p>
        </w:tc>
        <w:tc>
          <w:tcPr>
            <w:tcW w:w="1300" w:type="pct"/>
            <w:tcBorders>
              <w:top w:val="single" w:color="auto" w:sz="4" w:space="0"/>
              <w:left w:val="single" w:color="auto" w:sz="4" w:space="0"/>
              <w:bottom w:val="single" w:color="auto" w:sz="4" w:space="0"/>
              <w:right w:val="single" w:color="auto" w:sz="4" w:space="0"/>
            </w:tcBorders>
            <w:vAlign w:val="center"/>
          </w:tcPr>
          <w:p w14:paraId="662334BF">
            <w:pPr>
              <w:spacing w:line="520" w:lineRule="exact"/>
              <w:rPr>
                <w:sz w:val="28"/>
                <w:szCs w:val="28"/>
              </w:rPr>
            </w:pPr>
            <w:r>
              <w:rPr>
                <w:rFonts w:hint="eastAsia"/>
                <w:sz w:val="28"/>
                <w:szCs w:val="28"/>
              </w:rPr>
              <w:t>影响其他设备的使用，或受扰严重影响心律的检测识别</w:t>
            </w:r>
          </w:p>
        </w:tc>
        <w:tc>
          <w:tcPr>
            <w:tcW w:w="868" w:type="pct"/>
            <w:tcBorders>
              <w:top w:val="single" w:color="auto" w:sz="4" w:space="0"/>
              <w:left w:val="single" w:color="auto" w:sz="4" w:space="0"/>
              <w:bottom w:val="single" w:color="auto" w:sz="4" w:space="0"/>
              <w:right w:val="single" w:color="auto" w:sz="4" w:space="0"/>
            </w:tcBorders>
            <w:vAlign w:val="center"/>
          </w:tcPr>
          <w:p w14:paraId="5F1D10B6">
            <w:pPr>
              <w:spacing w:line="520" w:lineRule="exact"/>
              <w:rPr>
                <w:sz w:val="28"/>
                <w:szCs w:val="28"/>
              </w:rPr>
            </w:pPr>
            <w:r>
              <w:rPr>
                <w:rFonts w:hint="eastAsia"/>
                <w:sz w:val="28"/>
                <w:szCs w:val="28"/>
              </w:rPr>
              <w:t>短暂的</w:t>
            </w:r>
            <w:r>
              <w:rPr>
                <w:sz w:val="28"/>
                <w:szCs w:val="28"/>
              </w:rPr>
              <w:t>延误治疗</w:t>
            </w:r>
          </w:p>
        </w:tc>
      </w:tr>
      <w:tr w14:paraId="1E448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center"/>
        </w:trPr>
        <w:tc>
          <w:tcPr>
            <w:tcW w:w="559" w:type="pct"/>
            <w:tcBorders>
              <w:left w:val="single" w:color="auto" w:sz="4" w:space="0"/>
              <w:right w:val="single" w:color="auto" w:sz="4" w:space="0"/>
            </w:tcBorders>
            <w:vAlign w:val="center"/>
          </w:tcPr>
          <w:p w14:paraId="74085BC2">
            <w:pPr>
              <w:spacing w:line="520" w:lineRule="exact"/>
              <w:rPr>
                <w:sz w:val="28"/>
                <w:szCs w:val="28"/>
              </w:rPr>
            </w:pPr>
            <w:r>
              <w:rPr>
                <w:sz w:val="28"/>
                <w:szCs w:val="28"/>
              </w:rPr>
              <w:t>能量</w:t>
            </w:r>
            <w:r>
              <w:rPr>
                <w:rFonts w:hint="eastAsia"/>
                <w:sz w:val="28"/>
                <w:szCs w:val="28"/>
              </w:rPr>
              <w:t>危险</w:t>
            </w:r>
          </w:p>
        </w:tc>
        <w:tc>
          <w:tcPr>
            <w:tcW w:w="511" w:type="pct"/>
            <w:tcBorders>
              <w:top w:val="single" w:color="auto" w:sz="4" w:space="0"/>
              <w:left w:val="single" w:color="auto" w:sz="4" w:space="0"/>
              <w:right w:val="single" w:color="auto" w:sz="4" w:space="0"/>
            </w:tcBorders>
            <w:vAlign w:val="center"/>
          </w:tcPr>
          <w:p w14:paraId="0384EBAF">
            <w:pPr>
              <w:spacing w:line="520" w:lineRule="exact"/>
              <w:jc w:val="center"/>
              <w:rPr>
                <w:sz w:val="28"/>
                <w:szCs w:val="28"/>
              </w:rPr>
            </w:pPr>
            <w:r>
              <w:rPr>
                <w:rFonts w:hint="eastAsia"/>
                <w:sz w:val="28"/>
                <w:szCs w:val="28"/>
              </w:rPr>
              <w:t>电</w:t>
            </w:r>
            <w:r>
              <w:rPr>
                <w:sz w:val="28"/>
                <w:szCs w:val="28"/>
              </w:rPr>
              <w:t>能</w:t>
            </w:r>
          </w:p>
        </w:tc>
        <w:tc>
          <w:tcPr>
            <w:tcW w:w="1762" w:type="pct"/>
            <w:tcBorders>
              <w:top w:val="single" w:color="auto" w:sz="4" w:space="0"/>
              <w:left w:val="single" w:color="auto" w:sz="4" w:space="0"/>
              <w:bottom w:val="single" w:color="auto" w:sz="4" w:space="0"/>
              <w:right w:val="single" w:color="auto" w:sz="4" w:space="0"/>
            </w:tcBorders>
            <w:vAlign w:val="center"/>
          </w:tcPr>
          <w:p w14:paraId="04807BED">
            <w:pPr>
              <w:spacing w:line="520" w:lineRule="exact"/>
              <w:rPr>
                <w:sz w:val="28"/>
                <w:szCs w:val="28"/>
              </w:rPr>
            </w:pPr>
            <w:r>
              <w:rPr>
                <w:rFonts w:hint="eastAsia"/>
                <w:sz w:val="28"/>
                <w:szCs w:val="28"/>
              </w:rPr>
              <w:t>漏电流（连接线破损等导致）</w:t>
            </w:r>
          </w:p>
        </w:tc>
        <w:tc>
          <w:tcPr>
            <w:tcW w:w="1300" w:type="pct"/>
            <w:tcBorders>
              <w:top w:val="single" w:color="auto" w:sz="4" w:space="0"/>
              <w:left w:val="single" w:color="auto" w:sz="4" w:space="0"/>
              <w:bottom w:val="single" w:color="auto" w:sz="4" w:space="0"/>
              <w:right w:val="single" w:color="auto" w:sz="4" w:space="0"/>
            </w:tcBorders>
            <w:vAlign w:val="center"/>
          </w:tcPr>
          <w:p w14:paraId="36357F76">
            <w:pPr>
              <w:spacing w:line="520" w:lineRule="exact"/>
              <w:rPr>
                <w:sz w:val="28"/>
                <w:szCs w:val="28"/>
              </w:rPr>
            </w:pPr>
            <w:r>
              <w:rPr>
                <w:rFonts w:hint="eastAsia"/>
                <w:sz w:val="28"/>
                <w:szCs w:val="28"/>
              </w:rPr>
              <w:t>破损处与患者或操作者接触，造成电击</w:t>
            </w:r>
          </w:p>
        </w:tc>
        <w:tc>
          <w:tcPr>
            <w:tcW w:w="868" w:type="pct"/>
            <w:tcBorders>
              <w:top w:val="single" w:color="auto" w:sz="4" w:space="0"/>
              <w:left w:val="single" w:color="auto" w:sz="4" w:space="0"/>
              <w:bottom w:val="single" w:color="auto" w:sz="4" w:space="0"/>
              <w:right w:val="single" w:color="auto" w:sz="4" w:space="0"/>
            </w:tcBorders>
            <w:vAlign w:val="center"/>
          </w:tcPr>
          <w:p w14:paraId="5E689689">
            <w:pPr>
              <w:spacing w:line="520" w:lineRule="exact"/>
              <w:rPr>
                <w:sz w:val="28"/>
                <w:szCs w:val="28"/>
              </w:rPr>
            </w:pPr>
            <w:r>
              <w:rPr>
                <w:rFonts w:hint="eastAsia"/>
                <w:sz w:val="28"/>
                <w:szCs w:val="28"/>
              </w:rPr>
              <w:t>皮肤灼伤</w:t>
            </w:r>
          </w:p>
        </w:tc>
      </w:tr>
      <w:tr w14:paraId="01D3A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center"/>
        </w:trPr>
        <w:tc>
          <w:tcPr>
            <w:tcW w:w="559" w:type="pct"/>
            <w:tcBorders>
              <w:left w:val="single" w:color="auto" w:sz="4" w:space="0"/>
              <w:right w:val="single" w:color="auto" w:sz="4" w:space="0"/>
            </w:tcBorders>
            <w:vAlign w:val="center"/>
          </w:tcPr>
          <w:p w14:paraId="5FFBE051">
            <w:pPr>
              <w:spacing w:line="520" w:lineRule="exact"/>
              <w:rPr>
                <w:sz w:val="28"/>
                <w:szCs w:val="28"/>
              </w:rPr>
            </w:pPr>
            <w:r>
              <w:rPr>
                <w:sz w:val="28"/>
                <w:szCs w:val="28"/>
              </w:rPr>
              <w:t>能量</w:t>
            </w:r>
            <w:r>
              <w:rPr>
                <w:rFonts w:hint="eastAsia"/>
                <w:sz w:val="28"/>
                <w:szCs w:val="28"/>
              </w:rPr>
              <w:t>危险</w:t>
            </w:r>
          </w:p>
        </w:tc>
        <w:tc>
          <w:tcPr>
            <w:tcW w:w="511" w:type="pct"/>
            <w:tcBorders>
              <w:left w:val="single" w:color="auto" w:sz="4" w:space="0"/>
              <w:right w:val="single" w:color="auto" w:sz="4" w:space="0"/>
            </w:tcBorders>
            <w:vAlign w:val="center"/>
          </w:tcPr>
          <w:p w14:paraId="5E0D3165">
            <w:pPr>
              <w:spacing w:line="520" w:lineRule="exact"/>
              <w:jc w:val="center"/>
              <w:rPr>
                <w:sz w:val="28"/>
                <w:szCs w:val="28"/>
              </w:rPr>
            </w:pPr>
            <w:r>
              <w:rPr>
                <w:sz w:val="28"/>
                <w:szCs w:val="28"/>
              </w:rPr>
              <w:t>机械能</w:t>
            </w:r>
          </w:p>
        </w:tc>
        <w:tc>
          <w:tcPr>
            <w:tcW w:w="1762" w:type="pct"/>
            <w:tcBorders>
              <w:top w:val="single" w:color="auto" w:sz="4" w:space="0"/>
              <w:left w:val="single" w:color="auto" w:sz="4" w:space="0"/>
              <w:bottom w:val="single" w:color="auto" w:sz="4" w:space="0"/>
              <w:right w:val="single" w:color="auto" w:sz="4" w:space="0"/>
            </w:tcBorders>
            <w:vAlign w:val="center"/>
          </w:tcPr>
          <w:p w14:paraId="16EFD0AE">
            <w:pPr>
              <w:spacing w:line="520" w:lineRule="exact"/>
              <w:rPr>
                <w:sz w:val="28"/>
                <w:szCs w:val="28"/>
              </w:rPr>
            </w:pPr>
            <w:r>
              <w:rPr>
                <w:rFonts w:hint="eastAsia"/>
                <w:sz w:val="28"/>
                <w:szCs w:val="28"/>
              </w:rPr>
              <w:t>设备意外的跌落，可能受到来自地面对其产生的机械冲击，或者运输振动等</w:t>
            </w:r>
          </w:p>
        </w:tc>
        <w:tc>
          <w:tcPr>
            <w:tcW w:w="1300" w:type="pct"/>
            <w:tcBorders>
              <w:top w:val="single" w:color="auto" w:sz="4" w:space="0"/>
              <w:left w:val="single" w:color="auto" w:sz="4" w:space="0"/>
              <w:bottom w:val="single" w:color="auto" w:sz="4" w:space="0"/>
              <w:right w:val="single" w:color="auto" w:sz="4" w:space="0"/>
            </w:tcBorders>
            <w:vAlign w:val="center"/>
          </w:tcPr>
          <w:p w14:paraId="36709081">
            <w:pPr>
              <w:spacing w:line="520" w:lineRule="exact"/>
              <w:rPr>
                <w:sz w:val="28"/>
                <w:szCs w:val="28"/>
              </w:rPr>
            </w:pPr>
            <w:r>
              <w:rPr>
                <w:rFonts w:hint="eastAsia"/>
                <w:sz w:val="28"/>
                <w:szCs w:val="28"/>
              </w:rPr>
              <w:t>包装破损，电极片密封不严，电极片变干，阻抗变大</w:t>
            </w:r>
          </w:p>
        </w:tc>
        <w:tc>
          <w:tcPr>
            <w:tcW w:w="868" w:type="pct"/>
            <w:tcBorders>
              <w:top w:val="single" w:color="auto" w:sz="4" w:space="0"/>
              <w:left w:val="single" w:color="auto" w:sz="4" w:space="0"/>
              <w:bottom w:val="single" w:color="auto" w:sz="4" w:space="0"/>
              <w:right w:val="single" w:color="auto" w:sz="4" w:space="0"/>
            </w:tcBorders>
            <w:vAlign w:val="center"/>
          </w:tcPr>
          <w:p w14:paraId="72A94E47">
            <w:pPr>
              <w:spacing w:line="520" w:lineRule="exact"/>
              <w:rPr>
                <w:sz w:val="28"/>
                <w:szCs w:val="28"/>
              </w:rPr>
            </w:pPr>
            <w:r>
              <w:rPr>
                <w:rFonts w:hint="eastAsia"/>
                <w:sz w:val="28"/>
                <w:szCs w:val="28"/>
              </w:rPr>
              <w:t>病人皮肤灼伤</w:t>
            </w:r>
          </w:p>
        </w:tc>
      </w:tr>
      <w:tr w14:paraId="00AD5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559" w:type="pct"/>
            <w:tcBorders>
              <w:top w:val="single" w:color="auto" w:sz="4" w:space="0"/>
              <w:left w:val="single" w:color="auto" w:sz="4" w:space="0"/>
              <w:right w:val="single" w:color="auto" w:sz="4" w:space="0"/>
            </w:tcBorders>
            <w:vAlign w:val="center"/>
          </w:tcPr>
          <w:p w14:paraId="44867562">
            <w:pPr>
              <w:spacing w:line="520" w:lineRule="exact"/>
              <w:rPr>
                <w:sz w:val="28"/>
                <w:szCs w:val="28"/>
              </w:rPr>
            </w:pPr>
            <w:r>
              <w:rPr>
                <w:rFonts w:hint="eastAsia"/>
                <w:sz w:val="28"/>
                <w:szCs w:val="28"/>
              </w:rPr>
              <w:t>能量危险</w:t>
            </w:r>
          </w:p>
        </w:tc>
        <w:tc>
          <w:tcPr>
            <w:tcW w:w="511" w:type="pct"/>
            <w:tcBorders>
              <w:top w:val="single" w:color="auto" w:sz="4" w:space="0"/>
              <w:left w:val="single" w:color="auto" w:sz="4" w:space="0"/>
              <w:right w:val="single" w:color="auto" w:sz="4" w:space="0"/>
            </w:tcBorders>
            <w:vAlign w:val="center"/>
          </w:tcPr>
          <w:p w14:paraId="23A2ECAF">
            <w:pPr>
              <w:spacing w:line="520" w:lineRule="exact"/>
              <w:jc w:val="center"/>
              <w:rPr>
                <w:sz w:val="28"/>
                <w:szCs w:val="28"/>
              </w:rPr>
            </w:pPr>
            <w:r>
              <w:rPr>
                <w:rFonts w:hint="eastAsia"/>
                <w:sz w:val="28"/>
                <w:szCs w:val="28"/>
              </w:rPr>
              <w:t>势能</w:t>
            </w:r>
          </w:p>
        </w:tc>
        <w:tc>
          <w:tcPr>
            <w:tcW w:w="1762" w:type="pct"/>
            <w:tcBorders>
              <w:top w:val="single" w:color="auto" w:sz="4" w:space="0"/>
              <w:left w:val="single" w:color="auto" w:sz="4" w:space="0"/>
              <w:bottom w:val="single" w:color="auto" w:sz="4" w:space="0"/>
              <w:right w:val="single" w:color="auto" w:sz="4" w:space="0"/>
            </w:tcBorders>
            <w:vAlign w:val="center"/>
          </w:tcPr>
          <w:p w14:paraId="6EBA1050">
            <w:pPr>
              <w:spacing w:line="520" w:lineRule="exact"/>
              <w:rPr>
                <w:sz w:val="28"/>
                <w:szCs w:val="28"/>
              </w:rPr>
            </w:pPr>
            <w:r>
              <w:rPr>
                <w:rFonts w:hint="eastAsia"/>
                <w:sz w:val="28"/>
                <w:szCs w:val="28"/>
              </w:rPr>
              <w:t>包装或者连接端有尖角锐边</w:t>
            </w:r>
          </w:p>
        </w:tc>
        <w:tc>
          <w:tcPr>
            <w:tcW w:w="1300" w:type="pct"/>
            <w:tcBorders>
              <w:top w:val="single" w:color="auto" w:sz="4" w:space="0"/>
              <w:left w:val="single" w:color="auto" w:sz="4" w:space="0"/>
              <w:right w:val="single" w:color="auto" w:sz="4" w:space="0"/>
            </w:tcBorders>
            <w:vAlign w:val="center"/>
          </w:tcPr>
          <w:p w14:paraId="2081DE92">
            <w:pPr>
              <w:spacing w:line="520" w:lineRule="exact"/>
              <w:rPr>
                <w:sz w:val="28"/>
                <w:szCs w:val="28"/>
              </w:rPr>
            </w:pPr>
            <w:r>
              <w:rPr>
                <w:rFonts w:hint="eastAsia"/>
                <w:sz w:val="28"/>
                <w:szCs w:val="28"/>
              </w:rPr>
              <w:t>使用时划伤使用者</w:t>
            </w:r>
          </w:p>
        </w:tc>
        <w:tc>
          <w:tcPr>
            <w:tcW w:w="868" w:type="pct"/>
            <w:tcBorders>
              <w:top w:val="single" w:color="auto" w:sz="4" w:space="0"/>
              <w:left w:val="single" w:color="auto" w:sz="4" w:space="0"/>
              <w:right w:val="single" w:color="auto" w:sz="4" w:space="0"/>
            </w:tcBorders>
            <w:vAlign w:val="center"/>
          </w:tcPr>
          <w:p w14:paraId="38FF0FF5">
            <w:pPr>
              <w:spacing w:line="520" w:lineRule="exact"/>
              <w:rPr>
                <w:sz w:val="28"/>
                <w:szCs w:val="28"/>
              </w:rPr>
            </w:pPr>
            <w:r>
              <w:rPr>
                <w:rFonts w:hint="eastAsia"/>
                <w:sz w:val="28"/>
                <w:szCs w:val="28"/>
              </w:rPr>
              <w:t>划伤人员</w:t>
            </w:r>
          </w:p>
        </w:tc>
      </w:tr>
      <w:tr w14:paraId="09AC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559" w:type="pct"/>
            <w:tcBorders>
              <w:top w:val="single" w:color="auto" w:sz="4" w:space="0"/>
              <w:left w:val="single" w:color="auto" w:sz="4" w:space="0"/>
              <w:right w:val="single" w:color="auto" w:sz="4" w:space="0"/>
            </w:tcBorders>
            <w:vAlign w:val="center"/>
          </w:tcPr>
          <w:p w14:paraId="344EC547">
            <w:pPr>
              <w:spacing w:line="520" w:lineRule="exact"/>
              <w:rPr>
                <w:sz w:val="28"/>
                <w:szCs w:val="28"/>
              </w:rPr>
            </w:pPr>
            <w:r>
              <w:rPr>
                <w:rFonts w:hint="eastAsia"/>
                <w:sz w:val="28"/>
                <w:szCs w:val="28"/>
              </w:rPr>
              <w:t>能量危险</w:t>
            </w:r>
          </w:p>
        </w:tc>
        <w:tc>
          <w:tcPr>
            <w:tcW w:w="511" w:type="pct"/>
            <w:tcBorders>
              <w:top w:val="single" w:color="auto" w:sz="4" w:space="0"/>
              <w:left w:val="single" w:color="auto" w:sz="4" w:space="0"/>
              <w:right w:val="single" w:color="auto" w:sz="4" w:space="0"/>
            </w:tcBorders>
            <w:vAlign w:val="center"/>
          </w:tcPr>
          <w:p w14:paraId="39EC3874">
            <w:pPr>
              <w:spacing w:line="520" w:lineRule="exact"/>
              <w:jc w:val="center"/>
              <w:rPr>
                <w:sz w:val="28"/>
                <w:szCs w:val="28"/>
              </w:rPr>
            </w:pPr>
            <w:r>
              <w:rPr>
                <w:rFonts w:hint="eastAsia"/>
                <w:sz w:val="28"/>
                <w:szCs w:val="28"/>
              </w:rPr>
              <w:t>热能</w:t>
            </w:r>
          </w:p>
        </w:tc>
        <w:tc>
          <w:tcPr>
            <w:tcW w:w="1762" w:type="pct"/>
            <w:tcBorders>
              <w:top w:val="single" w:color="auto" w:sz="4" w:space="0"/>
              <w:left w:val="single" w:color="auto" w:sz="4" w:space="0"/>
              <w:bottom w:val="single" w:color="auto" w:sz="4" w:space="0"/>
              <w:right w:val="single" w:color="auto" w:sz="4" w:space="0"/>
            </w:tcBorders>
            <w:vAlign w:val="center"/>
          </w:tcPr>
          <w:p w14:paraId="42754C2B">
            <w:pPr>
              <w:spacing w:line="520" w:lineRule="exact"/>
              <w:rPr>
                <w:sz w:val="28"/>
                <w:szCs w:val="28"/>
              </w:rPr>
            </w:pPr>
            <w:r>
              <w:rPr>
                <w:rFonts w:hint="eastAsia"/>
                <w:sz w:val="28"/>
                <w:szCs w:val="28"/>
              </w:rPr>
              <w:t>电极片在异常（高温或低温）条件下使用</w:t>
            </w:r>
          </w:p>
        </w:tc>
        <w:tc>
          <w:tcPr>
            <w:tcW w:w="1300" w:type="pct"/>
            <w:tcBorders>
              <w:top w:val="single" w:color="auto" w:sz="4" w:space="0"/>
              <w:left w:val="single" w:color="auto" w:sz="4" w:space="0"/>
              <w:right w:val="single" w:color="auto" w:sz="4" w:space="0"/>
            </w:tcBorders>
            <w:vAlign w:val="center"/>
          </w:tcPr>
          <w:p w14:paraId="5BE76EFC">
            <w:pPr>
              <w:spacing w:line="520" w:lineRule="exact"/>
              <w:rPr>
                <w:sz w:val="28"/>
                <w:szCs w:val="28"/>
              </w:rPr>
            </w:pPr>
            <w:r>
              <w:rPr>
                <w:rFonts w:hint="eastAsia"/>
                <w:sz w:val="28"/>
                <w:szCs w:val="28"/>
              </w:rPr>
              <w:t>性能下降，无法放电。</w:t>
            </w:r>
          </w:p>
        </w:tc>
        <w:tc>
          <w:tcPr>
            <w:tcW w:w="868" w:type="pct"/>
            <w:tcBorders>
              <w:top w:val="single" w:color="auto" w:sz="4" w:space="0"/>
              <w:left w:val="single" w:color="auto" w:sz="4" w:space="0"/>
              <w:right w:val="single" w:color="auto" w:sz="4" w:space="0"/>
            </w:tcBorders>
            <w:vAlign w:val="center"/>
          </w:tcPr>
          <w:p w14:paraId="585FC606">
            <w:pPr>
              <w:spacing w:line="520" w:lineRule="exact"/>
              <w:rPr>
                <w:sz w:val="28"/>
                <w:szCs w:val="28"/>
              </w:rPr>
            </w:pPr>
            <w:r>
              <w:rPr>
                <w:rFonts w:hint="eastAsia"/>
                <w:sz w:val="28"/>
                <w:szCs w:val="28"/>
              </w:rPr>
              <w:t>延误治疗</w:t>
            </w:r>
          </w:p>
        </w:tc>
      </w:tr>
      <w:tr w14:paraId="681EE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1" w:hRule="atLeast"/>
          <w:jc w:val="center"/>
        </w:trPr>
        <w:tc>
          <w:tcPr>
            <w:tcW w:w="559" w:type="pct"/>
            <w:tcBorders>
              <w:top w:val="single" w:color="auto" w:sz="4" w:space="0"/>
              <w:left w:val="single" w:color="auto" w:sz="4" w:space="0"/>
              <w:right w:val="single" w:color="auto" w:sz="4" w:space="0"/>
            </w:tcBorders>
            <w:vAlign w:val="center"/>
          </w:tcPr>
          <w:p w14:paraId="5C514141">
            <w:pPr>
              <w:spacing w:line="520" w:lineRule="exact"/>
              <w:rPr>
                <w:sz w:val="28"/>
                <w:szCs w:val="28"/>
              </w:rPr>
            </w:pPr>
            <w:r>
              <w:rPr>
                <w:rFonts w:hint="eastAsia"/>
                <w:sz w:val="28"/>
                <w:szCs w:val="28"/>
              </w:rPr>
              <w:t>生物和化学危险</w:t>
            </w:r>
          </w:p>
        </w:tc>
        <w:tc>
          <w:tcPr>
            <w:tcW w:w="511" w:type="pct"/>
            <w:tcBorders>
              <w:top w:val="single" w:color="auto" w:sz="4" w:space="0"/>
              <w:left w:val="single" w:color="auto" w:sz="4" w:space="0"/>
              <w:right w:val="single" w:color="auto" w:sz="4" w:space="0"/>
            </w:tcBorders>
            <w:vAlign w:val="center"/>
          </w:tcPr>
          <w:p w14:paraId="30E2E340">
            <w:pPr>
              <w:spacing w:line="520" w:lineRule="exact"/>
              <w:jc w:val="center"/>
              <w:rPr>
                <w:sz w:val="28"/>
                <w:szCs w:val="28"/>
              </w:rPr>
            </w:pPr>
            <w:r>
              <w:rPr>
                <w:rFonts w:hint="eastAsia"/>
                <w:sz w:val="28"/>
                <w:szCs w:val="28"/>
              </w:rPr>
              <w:t>生物因子</w:t>
            </w:r>
          </w:p>
        </w:tc>
        <w:tc>
          <w:tcPr>
            <w:tcW w:w="1762" w:type="pct"/>
            <w:tcBorders>
              <w:top w:val="single" w:color="auto" w:sz="4" w:space="0"/>
              <w:left w:val="single" w:color="auto" w:sz="4" w:space="0"/>
              <w:bottom w:val="single" w:color="auto" w:sz="4" w:space="0"/>
              <w:right w:val="single" w:color="auto" w:sz="4" w:space="0"/>
            </w:tcBorders>
            <w:vAlign w:val="center"/>
          </w:tcPr>
          <w:p w14:paraId="60A88A45">
            <w:pPr>
              <w:spacing w:line="520" w:lineRule="exact"/>
              <w:rPr>
                <w:sz w:val="28"/>
                <w:szCs w:val="28"/>
              </w:rPr>
            </w:pPr>
            <w:r>
              <w:rPr>
                <w:rFonts w:hint="eastAsia"/>
                <w:sz w:val="28"/>
                <w:szCs w:val="28"/>
              </w:rPr>
              <w:t>重复使用一次性配件</w:t>
            </w:r>
          </w:p>
        </w:tc>
        <w:tc>
          <w:tcPr>
            <w:tcW w:w="1300" w:type="pct"/>
            <w:tcBorders>
              <w:top w:val="single" w:color="auto" w:sz="4" w:space="0"/>
              <w:left w:val="single" w:color="auto" w:sz="4" w:space="0"/>
              <w:bottom w:val="single" w:color="auto" w:sz="4" w:space="0"/>
              <w:right w:val="single" w:color="auto" w:sz="4" w:space="0"/>
            </w:tcBorders>
            <w:vAlign w:val="center"/>
          </w:tcPr>
          <w:p w14:paraId="02CC2484">
            <w:pPr>
              <w:spacing w:line="520" w:lineRule="exact"/>
              <w:rPr>
                <w:sz w:val="28"/>
                <w:szCs w:val="28"/>
              </w:rPr>
            </w:pPr>
            <w:r>
              <w:rPr>
                <w:rFonts w:hint="eastAsia"/>
                <w:sz w:val="28"/>
                <w:szCs w:val="28"/>
              </w:rPr>
              <w:t>重复使用造成病人的交叉感染</w:t>
            </w:r>
          </w:p>
        </w:tc>
        <w:tc>
          <w:tcPr>
            <w:tcW w:w="868" w:type="pct"/>
            <w:tcBorders>
              <w:top w:val="single" w:color="auto" w:sz="4" w:space="0"/>
              <w:left w:val="single" w:color="auto" w:sz="4" w:space="0"/>
              <w:bottom w:val="single" w:color="auto" w:sz="4" w:space="0"/>
              <w:right w:val="single" w:color="auto" w:sz="4" w:space="0"/>
            </w:tcBorders>
            <w:vAlign w:val="center"/>
          </w:tcPr>
          <w:p w14:paraId="7344CF08">
            <w:pPr>
              <w:spacing w:line="520" w:lineRule="exact"/>
              <w:rPr>
                <w:sz w:val="28"/>
                <w:szCs w:val="28"/>
              </w:rPr>
            </w:pPr>
            <w:r>
              <w:rPr>
                <w:rFonts w:hint="eastAsia"/>
                <w:sz w:val="28"/>
                <w:szCs w:val="28"/>
              </w:rPr>
              <w:t>患者交叉感染</w:t>
            </w:r>
          </w:p>
        </w:tc>
      </w:tr>
      <w:tr w14:paraId="268E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1" w:hRule="atLeast"/>
          <w:jc w:val="center"/>
        </w:trPr>
        <w:tc>
          <w:tcPr>
            <w:tcW w:w="559" w:type="pct"/>
            <w:tcBorders>
              <w:top w:val="single" w:color="auto" w:sz="4" w:space="0"/>
              <w:left w:val="single" w:color="auto" w:sz="4" w:space="0"/>
              <w:right w:val="single" w:color="auto" w:sz="4" w:space="0"/>
            </w:tcBorders>
            <w:vAlign w:val="center"/>
          </w:tcPr>
          <w:p w14:paraId="2BDE2AEB">
            <w:pPr>
              <w:spacing w:line="520" w:lineRule="exact"/>
              <w:rPr>
                <w:sz w:val="28"/>
                <w:szCs w:val="28"/>
              </w:rPr>
            </w:pPr>
            <w:r>
              <w:rPr>
                <w:rFonts w:hint="eastAsia"/>
                <w:sz w:val="28"/>
                <w:szCs w:val="28"/>
              </w:rPr>
              <w:t>生物和化学危险</w:t>
            </w:r>
          </w:p>
        </w:tc>
        <w:tc>
          <w:tcPr>
            <w:tcW w:w="511" w:type="pct"/>
            <w:tcBorders>
              <w:top w:val="single" w:color="auto" w:sz="4" w:space="0"/>
              <w:left w:val="single" w:color="auto" w:sz="4" w:space="0"/>
              <w:right w:val="single" w:color="auto" w:sz="4" w:space="0"/>
            </w:tcBorders>
            <w:vAlign w:val="center"/>
          </w:tcPr>
          <w:p w14:paraId="06F4DBD6">
            <w:pPr>
              <w:spacing w:line="520" w:lineRule="exact"/>
              <w:jc w:val="center"/>
              <w:rPr>
                <w:sz w:val="28"/>
                <w:szCs w:val="28"/>
              </w:rPr>
            </w:pPr>
            <w:r>
              <w:rPr>
                <w:rFonts w:hint="eastAsia"/>
                <w:sz w:val="28"/>
                <w:szCs w:val="28"/>
              </w:rPr>
              <w:t>生物因子</w:t>
            </w:r>
          </w:p>
        </w:tc>
        <w:tc>
          <w:tcPr>
            <w:tcW w:w="1762" w:type="pct"/>
            <w:tcBorders>
              <w:top w:val="single" w:color="auto" w:sz="4" w:space="0"/>
              <w:left w:val="single" w:color="auto" w:sz="4" w:space="0"/>
              <w:bottom w:val="single" w:color="auto" w:sz="4" w:space="0"/>
              <w:right w:val="single" w:color="auto" w:sz="4" w:space="0"/>
            </w:tcBorders>
            <w:vAlign w:val="center"/>
          </w:tcPr>
          <w:p w14:paraId="3C73D95C">
            <w:pPr>
              <w:spacing w:line="520" w:lineRule="exact"/>
              <w:rPr>
                <w:sz w:val="28"/>
                <w:szCs w:val="28"/>
              </w:rPr>
            </w:pPr>
            <w:r>
              <w:rPr>
                <w:rFonts w:hint="eastAsia"/>
                <w:sz w:val="28"/>
                <w:szCs w:val="28"/>
              </w:rPr>
              <w:t>电极片及连接线材料对人体具有刺激毒性等。</w:t>
            </w:r>
          </w:p>
        </w:tc>
        <w:tc>
          <w:tcPr>
            <w:tcW w:w="1300" w:type="pct"/>
            <w:tcBorders>
              <w:top w:val="single" w:color="auto" w:sz="4" w:space="0"/>
              <w:left w:val="single" w:color="auto" w:sz="4" w:space="0"/>
              <w:bottom w:val="single" w:color="auto" w:sz="4" w:space="0"/>
              <w:right w:val="single" w:color="auto" w:sz="4" w:space="0"/>
            </w:tcBorders>
            <w:vAlign w:val="center"/>
          </w:tcPr>
          <w:p w14:paraId="058AB65F">
            <w:pPr>
              <w:spacing w:line="520" w:lineRule="exact"/>
              <w:rPr>
                <w:sz w:val="28"/>
                <w:szCs w:val="28"/>
              </w:rPr>
            </w:pPr>
            <w:r>
              <w:rPr>
                <w:rFonts w:hint="eastAsia"/>
                <w:sz w:val="28"/>
                <w:szCs w:val="28"/>
              </w:rPr>
              <w:t>人体对电极片或连接线接触产生致敏刺激等不良反应</w:t>
            </w:r>
          </w:p>
        </w:tc>
        <w:tc>
          <w:tcPr>
            <w:tcW w:w="868" w:type="pct"/>
            <w:tcBorders>
              <w:top w:val="single" w:color="auto" w:sz="4" w:space="0"/>
              <w:left w:val="single" w:color="auto" w:sz="4" w:space="0"/>
              <w:bottom w:val="single" w:color="auto" w:sz="4" w:space="0"/>
              <w:right w:val="single" w:color="auto" w:sz="4" w:space="0"/>
            </w:tcBorders>
            <w:vAlign w:val="center"/>
          </w:tcPr>
          <w:p w14:paraId="1C2A9A00">
            <w:pPr>
              <w:spacing w:line="520" w:lineRule="exact"/>
              <w:rPr>
                <w:sz w:val="28"/>
                <w:szCs w:val="28"/>
              </w:rPr>
            </w:pPr>
            <w:r>
              <w:rPr>
                <w:rFonts w:hint="eastAsia"/>
                <w:sz w:val="28"/>
                <w:szCs w:val="28"/>
              </w:rPr>
              <w:t>皮肤过敏</w:t>
            </w:r>
          </w:p>
        </w:tc>
      </w:tr>
      <w:tr w14:paraId="176F6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6" w:hRule="atLeast"/>
          <w:jc w:val="center"/>
        </w:trPr>
        <w:tc>
          <w:tcPr>
            <w:tcW w:w="559" w:type="pct"/>
            <w:tcBorders>
              <w:left w:val="single" w:color="auto" w:sz="4" w:space="0"/>
              <w:right w:val="single" w:color="auto" w:sz="4" w:space="0"/>
            </w:tcBorders>
            <w:vAlign w:val="center"/>
          </w:tcPr>
          <w:p w14:paraId="28AABF7C">
            <w:pPr>
              <w:spacing w:line="520" w:lineRule="exact"/>
              <w:rPr>
                <w:sz w:val="28"/>
                <w:szCs w:val="28"/>
              </w:rPr>
            </w:pPr>
            <w:r>
              <w:rPr>
                <w:rFonts w:hint="eastAsia"/>
                <w:sz w:val="28"/>
                <w:szCs w:val="28"/>
              </w:rPr>
              <w:t>生物和化学危险</w:t>
            </w:r>
          </w:p>
        </w:tc>
        <w:tc>
          <w:tcPr>
            <w:tcW w:w="511" w:type="pct"/>
            <w:tcBorders>
              <w:top w:val="single" w:color="auto" w:sz="4" w:space="0"/>
              <w:left w:val="single" w:color="auto" w:sz="4" w:space="0"/>
              <w:right w:val="single" w:color="auto" w:sz="4" w:space="0"/>
            </w:tcBorders>
            <w:vAlign w:val="center"/>
          </w:tcPr>
          <w:p w14:paraId="7BA18F5E">
            <w:pPr>
              <w:spacing w:line="520" w:lineRule="exact"/>
              <w:jc w:val="center"/>
              <w:rPr>
                <w:sz w:val="28"/>
                <w:szCs w:val="28"/>
              </w:rPr>
            </w:pPr>
            <w:r>
              <w:rPr>
                <w:sz w:val="28"/>
                <w:szCs w:val="28"/>
              </w:rPr>
              <w:t>化学</w:t>
            </w:r>
            <w:r>
              <w:rPr>
                <w:rFonts w:hint="eastAsia"/>
                <w:sz w:val="28"/>
                <w:szCs w:val="28"/>
              </w:rPr>
              <w:t>因子</w:t>
            </w:r>
          </w:p>
        </w:tc>
        <w:tc>
          <w:tcPr>
            <w:tcW w:w="1762" w:type="pct"/>
            <w:tcBorders>
              <w:top w:val="single" w:color="auto" w:sz="4" w:space="0"/>
              <w:left w:val="single" w:color="auto" w:sz="4" w:space="0"/>
              <w:bottom w:val="single" w:color="auto" w:sz="4" w:space="0"/>
              <w:right w:val="single" w:color="auto" w:sz="4" w:space="0"/>
            </w:tcBorders>
            <w:vAlign w:val="center"/>
          </w:tcPr>
          <w:p w14:paraId="26AE62D7">
            <w:pPr>
              <w:spacing w:line="520" w:lineRule="exact"/>
              <w:rPr>
                <w:sz w:val="28"/>
                <w:szCs w:val="28"/>
              </w:rPr>
            </w:pPr>
            <w:r>
              <w:rPr>
                <w:rFonts w:hint="eastAsia"/>
                <w:sz w:val="28"/>
                <w:szCs w:val="28"/>
              </w:rPr>
              <w:t>不正确的产品退出和处理方法</w:t>
            </w:r>
          </w:p>
        </w:tc>
        <w:tc>
          <w:tcPr>
            <w:tcW w:w="1300" w:type="pct"/>
            <w:tcBorders>
              <w:top w:val="single" w:color="auto" w:sz="4" w:space="0"/>
              <w:left w:val="single" w:color="auto" w:sz="4" w:space="0"/>
              <w:bottom w:val="single" w:color="auto" w:sz="4" w:space="0"/>
              <w:right w:val="single" w:color="auto" w:sz="4" w:space="0"/>
            </w:tcBorders>
            <w:vAlign w:val="center"/>
          </w:tcPr>
          <w:p w14:paraId="09162853">
            <w:pPr>
              <w:spacing w:line="520" w:lineRule="exact"/>
              <w:rPr>
                <w:sz w:val="28"/>
                <w:szCs w:val="28"/>
              </w:rPr>
            </w:pPr>
            <w:r>
              <w:rPr>
                <w:rFonts w:hint="eastAsia"/>
                <w:sz w:val="28"/>
                <w:szCs w:val="28"/>
              </w:rPr>
              <w:t>直接丢弃，产生对环境的污染</w:t>
            </w:r>
          </w:p>
        </w:tc>
        <w:tc>
          <w:tcPr>
            <w:tcW w:w="868" w:type="pct"/>
            <w:tcBorders>
              <w:top w:val="single" w:color="auto" w:sz="4" w:space="0"/>
              <w:left w:val="single" w:color="auto" w:sz="4" w:space="0"/>
              <w:bottom w:val="single" w:color="auto" w:sz="4" w:space="0"/>
              <w:right w:val="single" w:color="auto" w:sz="4" w:space="0"/>
            </w:tcBorders>
            <w:vAlign w:val="center"/>
          </w:tcPr>
          <w:p w14:paraId="103AC7B8">
            <w:pPr>
              <w:spacing w:line="520" w:lineRule="exact"/>
              <w:rPr>
                <w:sz w:val="28"/>
                <w:szCs w:val="28"/>
              </w:rPr>
            </w:pPr>
            <w:r>
              <w:rPr>
                <w:rFonts w:hint="eastAsia"/>
                <w:sz w:val="28"/>
                <w:szCs w:val="28"/>
              </w:rPr>
              <w:t>污染环境</w:t>
            </w:r>
          </w:p>
        </w:tc>
      </w:tr>
      <w:tr w14:paraId="4A8F7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center"/>
        </w:trPr>
        <w:tc>
          <w:tcPr>
            <w:tcW w:w="559" w:type="pct"/>
            <w:vMerge w:val="restart"/>
            <w:tcBorders>
              <w:top w:val="single" w:color="auto" w:sz="4" w:space="0"/>
              <w:left w:val="single" w:color="auto" w:sz="4" w:space="0"/>
              <w:right w:val="single" w:color="auto" w:sz="4" w:space="0"/>
            </w:tcBorders>
            <w:vAlign w:val="center"/>
          </w:tcPr>
          <w:p w14:paraId="345BF08C">
            <w:pPr>
              <w:spacing w:line="520" w:lineRule="exact"/>
              <w:rPr>
                <w:sz w:val="28"/>
                <w:szCs w:val="28"/>
              </w:rPr>
            </w:pPr>
            <w:r>
              <w:rPr>
                <w:rFonts w:hint="eastAsia"/>
                <w:sz w:val="28"/>
                <w:szCs w:val="28"/>
              </w:rPr>
              <w:t>性能有关的危险</w:t>
            </w:r>
          </w:p>
        </w:tc>
        <w:tc>
          <w:tcPr>
            <w:tcW w:w="511" w:type="pct"/>
            <w:vMerge w:val="restart"/>
            <w:tcBorders>
              <w:top w:val="single" w:color="auto" w:sz="4" w:space="0"/>
              <w:left w:val="single" w:color="auto" w:sz="4" w:space="0"/>
              <w:right w:val="single" w:color="auto" w:sz="4" w:space="0"/>
            </w:tcBorders>
            <w:vAlign w:val="center"/>
          </w:tcPr>
          <w:p w14:paraId="11B47F7F">
            <w:pPr>
              <w:spacing w:line="520" w:lineRule="exact"/>
              <w:rPr>
                <w:sz w:val="28"/>
                <w:szCs w:val="28"/>
              </w:rPr>
            </w:pPr>
            <w:r>
              <w:rPr>
                <w:rFonts w:hint="eastAsia"/>
                <w:sz w:val="28"/>
                <w:szCs w:val="28"/>
              </w:rPr>
              <w:t>功能性</w:t>
            </w:r>
          </w:p>
        </w:tc>
        <w:tc>
          <w:tcPr>
            <w:tcW w:w="1762" w:type="pct"/>
            <w:tcBorders>
              <w:top w:val="single" w:color="auto" w:sz="4" w:space="0"/>
              <w:left w:val="single" w:color="auto" w:sz="4" w:space="0"/>
              <w:bottom w:val="single" w:color="auto" w:sz="4" w:space="0"/>
              <w:right w:val="single" w:color="auto" w:sz="4" w:space="0"/>
            </w:tcBorders>
            <w:vAlign w:val="center"/>
          </w:tcPr>
          <w:p w14:paraId="07F06BB3">
            <w:pPr>
              <w:spacing w:line="520" w:lineRule="exact"/>
              <w:rPr>
                <w:sz w:val="28"/>
                <w:szCs w:val="28"/>
              </w:rPr>
            </w:pPr>
            <w:r>
              <w:rPr>
                <w:rFonts w:hint="eastAsia"/>
                <w:sz w:val="28"/>
                <w:szCs w:val="28"/>
              </w:rPr>
              <w:t>接头与除颤器连接不导通，或者接触不良</w:t>
            </w:r>
          </w:p>
        </w:tc>
        <w:tc>
          <w:tcPr>
            <w:tcW w:w="1300" w:type="pct"/>
            <w:tcBorders>
              <w:top w:val="single" w:color="auto" w:sz="4" w:space="0"/>
              <w:left w:val="single" w:color="auto" w:sz="4" w:space="0"/>
              <w:bottom w:val="single" w:color="auto" w:sz="4" w:space="0"/>
              <w:right w:val="single" w:color="auto" w:sz="4" w:space="0"/>
            </w:tcBorders>
            <w:vAlign w:val="center"/>
          </w:tcPr>
          <w:p w14:paraId="27AA429B">
            <w:pPr>
              <w:spacing w:line="520" w:lineRule="exact"/>
              <w:rPr>
                <w:sz w:val="28"/>
                <w:szCs w:val="28"/>
              </w:rPr>
            </w:pPr>
            <w:r>
              <w:rPr>
                <w:rFonts w:hint="eastAsia"/>
                <w:sz w:val="28"/>
                <w:szCs w:val="28"/>
              </w:rPr>
              <w:t>除颤无法放电</w:t>
            </w:r>
          </w:p>
        </w:tc>
        <w:tc>
          <w:tcPr>
            <w:tcW w:w="868" w:type="pct"/>
            <w:tcBorders>
              <w:top w:val="single" w:color="auto" w:sz="4" w:space="0"/>
              <w:left w:val="single" w:color="auto" w:sz="4" w:space="0"/>
              <w:bottom w:val="single" w:color="auto" w:sz="4" w:space="0"/>
              <w:right w:val="single" w:color="auto" w:sz="4" w:space="0"/>
            </w:tcBorders>
            <w:vAlign w:val="center"/>
          </w:tcPr>
          <w:p w14:paraId="525EE3DC">
            <w:pPr>
              <w:spacing w:line="520" w:lineRule="exact"/>
              <w:rPr>
                <w:sz w:val="28"/>
                <w:szCs w:val="28"/>
              </w:rPr>
            </w:pPr>
            <w:r>
              <w:rPr>
                <w:rFonts w:hint="eastAsia"/>
                <w:sz w:val="28"/>
                <w:szCs w:val="28"/>
              </w:rPr>
              <w:t>延误治疗</w:t>
            </w:r>
          </w:p>
        </w:tc>
      </w:tr>
      <w:tr w14:paraId="67C0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center"/>
        </w:trPr>
        <w:tc>
          <w:tcPr>
            <w:tcW w:w="559" w:type="pct"/>
            <w:vMerge w:val="continue"/>
            <w:tcBorders>
              <w:left w:val="single" w:color="auto" w:sz="4" w:space="0"/>
              <w:right w:val="single" w:color="auto" w:sz="4" w:space="0"/>
            </w:tcBorders>
            <w:vAlign w:val="center"/>
          </w:tcPr>
          <w:p w14:paraId="2F6ECEEC">
            <w:pPr>
              <w:spacing w:line="520" w:lineRule="exact"/>
              <w:rPr>
                <w:sz w:val="28"/>
                <w:szCs w:val="28"/>
              </w:rPr>
            </w:pPr>
          </w:p>
        </w:tc>
        <w:tc>
          <w:tcPr>
            <w:tcW w:w="511" w:type="pct"/>
            <w:vMerge w:val="continue"/>
            <w:tcBorders>
              <w:left w:val="single" w:color="auto" w:sz="4" w:space="0"/>
              <w:right w:val="single" w:color="auto" w:sz="4" w:space="0"/>
            </w:tcBorders>
            <w:vAlign w:val="center"/>
          </w:tcPr>
          <w:p w14:paraId="10C7004F">
            <w:pPr>
              <w:spacing w:line="520" w:lineRule="exact"/>
              <w:jc w:val="center"/>
              <w:rPr>
                <w:sz w:val="28"/>
                <w:szCs w:val="28"/>
              </w:rPr>
            </w:pPr>
          </w:p>
        </w:tc>
        <w:tc>
          <w:tcPr>
            <w:tcW w:w="1762" w:type="pct"/>
            <w:tcBorders>
              <w:top w:val="single" w:color="auto" w:sz="4" w:space="0"/>
              <w:left w:val="single" w:color="auto" w:sz="4" w:space="0"/>
              <w:bottom w:val="single" w:color="auto" w:sz="4" w:space="0"/>
              <w:right w:val="single" w:color="auto" w:sz="4" w:space="0"/>
            </w:tcBorders>
            <w:vAlign w:val="center"/>
          </w:tcPr>
          <w:p w14:paraId="6398403C">
            <w:pPr>
              <w:spacing w:line="520" w:lineRule="exact"/>
              <w:rPr>
                <w:sz w:val="28"/>
                <w:szCs w:val="28"/>
              </w:rPr>
            </w:pPr>
            <w:r>
              <w:rPr>
                <w:rFonts w:hint="eastAsia"/>
                <w:sz w:val="28"/>
                <w:szCs w:val="28"/>
              </w:rPr>
              <w:t>电极片凝胶粘性不足，脱落</w:t>
            </w:r>
          </w:p>
        </w:tc>
        <w:tc>
          <w:tcPr>
            <w:tcW w:w="1300" w:type="pct"/>
            <w:tcBorders>
              <w:top w:val="single" w:color="auto" w:sz="4" w:space="0"/>
              <w:left w:val="single" w:color="auto" w:sz="4" w:space="0"/>
              <w:bottom w:val="single" w:color="auto" w:sz="4" w:space="0"/>
              <w:right w:val="single" w:color="auto" w:sz="4" w:space="0"/>
            </w:tcBorders>
            <w:vAlign w:val="center"/>
          </w:tcPr>
          <w:p w14:paraId="455AC346">
            <w:pPr>
              <w:spacing w:line="520" w:lineRule="exact"/>
              <w:rPr>
                <w:sz w:val="28"/>
                <w:szCs w:val="28"/>
              </w:rPr>
            </w:pPr>
            <w:r>
              <w:rPr>
                <w:rFonts w:hint="eastAsia"/>
                <w:sz w:val="28"/>
                <w:szCs w:val="28"/>
              </w:rPr>
              <w:t>除颤无法放电</w:t>
            </w:r>
          </w:p>
        </w:tc>
        <w:tc>
          <w:tcPr>
            <w:tcW w:w="868" w:type="pct"/>
            <w:tcBorders>
              <w:top w:val="single" w:color="auto" w:sz="4" w:space="0"/>
              <w:left w:val="single" w:color="auto" w:sz="4" w:space="0"/>
              <w:bottom w:val="single" w:color="auto" w:sz="4" w:space="0"/>
              <w:right w:val="single" w:color="auto" w:sz="4" w:space="0"/>
            </w:tcBorders>
            <w:vAlign w:val="center"/>
          </w:tcPr>
          <w:p w14:paraId="68739F1A">
            <w:pPr>
              <w:spacing w:line="520" w:lineRule="exact"/>
              <w:rPr>
                <w:sz w:val="28"/>
                <w:szCs w:val="28"/>
              </w:rPr>
            </w:pPr>
            <w:r>
              <w:rPr>
                <w:rFonts w:hint="eastAsia"/>
                <w:sz w:val="28"/>
                <w:szCs w:val="28"/>
              </w:rPr>
              <w:t>延误治疗</w:t>
            </w:r>
          </w:p>
        </w:tc>
      </w:tr>
      <w:tr w14:paraId="601C0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center"/>
        </w:trPr>
        <w:tc>
          <w:tcPr>
            <w:tcW w:w="559" w:type="pct"/>
            <w:vMerge w:val="continue"/>
            <w:tcBorders>
              <w:left w:val="single" w:color="auto" w:sz="4" w:space="0"/>
              <w:right w:val="single" w:color="auto" w:sz="4" w:space="0"/>
            </w:tcBorders>
            <w:vAlign w:val="center"/>
          </w:tcPr>
          <w:p w14:paraId="5A3BF041">
            <w:pPr>
              <w:spacing w:line="520" w:lineRule="exact"/>
              <w:rPr>
                <w:sz w:val="28"/>
                <w:szCs w:val="28"/>
              </w:rPr>
            </w:pPr>
          </w:p>
        </w:tc>
        <w:tc>
          <w:tcPr>
            <w:tcW w:w="511" w:type="pct"/>
            <w:vMerge w:val="continue"/>
            <w:tcBorders>
              <w:left w:val="single" w:color="auto" w:sz="4" w:space="0"/>
              <w:right w:val="single" w:color="auto" w:sz="4" w:space="0"/>
            </w:tcBorders>
            <w:vAlign w:val="center"/>
          </w:tcPr>
          <w:p w14:paraId="0553CBC4">
            <w:pPr>
              <w:spacing w:line="520" w:lineRule="exact"/>
              <w:jc w:val="center"/>
              <w:rPr>
                <w:sz w:val="28"/>
                <w:szCs w:val="28"/>
              </w:rPr>
            </w:pPr>
          </w:p>
        </w:tc>
        <w:tc>
          <w:tcPr>
            <w:tcW w:w="1762" w:type="pct"/>
            <w:tcBorders>
              <w:top w:val="single" w:color="auto" w:sz="4" w:space="0"/>
              <w:left w:val="single" w:color="auto" w:sz="4" w:space="0"/>
              <w:bottom w:val="single" w:color="auto" w:sz="4" w:space="0"/>
              <w:right w:val="single" w:color="auto" w:sz="4" w:space="0"/>
            </w:tcBorders>
            <w:vAlign w:val="center"/>
          </w:tcPr>
          <w:p w14:paraId="1976336F">
            <w:pPr>
              <w:spacing w:line="520" w:lineRule="exact"/>
              <w:rPr>
                <w:sz w:val="28"/>
                <w:szCs w:val="28"/>
              </w:rPr>
            </w:pPr>
            <w:r>
              <w:rPr>
                <w:rFonts w:hint="eastAsia"/>
                <w:sz w:val="28"/>
                <w:szCs w:val="28"/>
              </w:rPr>
              <w:t>电极片铆压力不足，铆压过度等导致，导电性能异常</w:t>
            </w:r>
          </w:p>
        </w:tc>
        <w:tc>
          <w:tcPr>
            <w:tcW w:w="1300" w:type="pct"/>
            <w:tcBorders>
              <w:top w:val="single" w:color="auto" w:sz="4" w:space="0"/>
              <w:left w:val="single" w:color="auto" w:sz="4" w:space="0"/>
              <w:bottom w:val="single" w:color="auto" w:sz="4" w:space="0"/>
              <w:right w:val="single" w:color="auto" w:sz="4" w:space="0"/>
            </w:tcBorders>
            <w:vAlign w:val="center"/>
          </w:tcPr>
          <w:p w14:paraId="05131BE9">
            <w:pPr>
              <w:spacing w:line="520" w:lineRule="exact"/>
              <w:rPr>
                <w:sz w:val="28"/>
                <w:szCs w:val="28"/>
              </w:rPr>
            </w:pPr>
            <w:r>
              <w:rPr>
                <w:rFonts w:hint="eastAsia"/>
                <w:sz w:val="28"/>
                <w:szCs w:val="28"/>
              </w:rPr>
              <w:t>除颤无法放电</w:t>
            </w:r>
          </w:p>
        </w:tc>
        <w:tc>
          <w:tcPr>
            <w:tcW w:w="868" w:type="pct"/>
            <w:tcBorders>
              <w:top w:val="single" w:color="auto" w:sz="4" w:space="0"/>
              <w:left w:val="single" w:color="auto" w:sz="4" w:space="0"/>
              <w:bottom w:val="single" w:color="auto" w:sz="4" w:space="0"/>
              <w:right w:val="single" w:color="auto" w:sz="4" w:space="0"/>
            </w:tcBorders>
            <w:vAlign w:val="center"/>
          </w:tcPr>
          <w:p w14:paraId="17F52636">
            <w:pPr>
              <w:spacing w:line="520" w:lineRule="exact"/>
              <w:rPr>
                <w:sz w:val="28"/>
                <w:szCs w:val="28"/>
              </w:rPr>
            </w:pPr>
            <w:r>
              <w:rPr>
                <w:rFonts w:hint="eastAsia"/>
                <w:sz w:val="28"/>
                <w:szCs w:val="28"/>
              </w:rPr>
              <w:t>延误治疗</w:t>
            </w:r>
          </w:p>
        </w:tc>
      </w:tr>
      <w:tr w14:paraId="565CF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center"/>
        </w:trPr>
        <w:tc>
          <w:tcPr>
            <w:tcW w:w="559" w:type="pct"/>
            <w:vMerge w:val="continue"/>
            <w:tcBorders>
              <w:left w:val="single" w:color="auto" w:sz="4" w:space="0"/>
              <w:right w:val="single" w:color="auto" w:sz="4" w:space="0"/>
            </w:tcBorders>
            <w:vAlign w:val="center"/>
          </w:tcPr>
          <w:p w14:paraId="5DE9DC7B">
            <w:pPr>
              <w:spacing w:line="520" w:lineRule="exact"/>
              <w:rPr>
                <w:sz w:val="28"/>
                <w:szCs w:val="28"/>
              </w:rPr>
            </w:pPr>
          </w:p>
        </w:tc>
        <w:tc>
          <w:tcPr>
            <w:tcW w:w="511" w:type="pct"/>
            <w:vMerge w:val="continue"/>
            <w:tcBorders>
              <w:left w:val="single" w:color="auto" w:sz="4" w:space="0"/>
              <w:right w:val="single" w:color="auto" w:sz="4" w:space="0"/>
            </w:tcBorders>
            <w:vAlign w:val="center"/>
          </w:tcPr>
          <w:p w14:paraId="01B3BCE0">
            <w:pPr>
              <w:spacing w:line="520" w:lineRule="exact"/>
              <w:jc w:val="center"/>
              <w:rPr>
                <w:sz w:val="28"/>
                <w:szCs w:val="28"/>
              </w:rPr>
            </w:pPr>
          </w:p>
        </w:tc>
        <w:tc>
          <w:tcPr>
            <w:tcW w:w="1762" w:type="pct"/>
            <w:tcBorders>
              <w:top w:val="single" w:color="auto" w:sz="4" w:space="0"/>
              <w:left w:val="single" w:color="auto" w:sz="4" w:space="0"/>
              <w:bottom w:val="single" w:color="auto" w:sz="4" w:space="0"/>
              <w:right w:val="single" w:color="auto" w:sz="4" w:space="0"/>
            </w:tcBorders>
            <w:vAlign w:val="center"/>
          </w:tcPr>
          <w:p w14:paraId="66B9E7D9">
            <w:pPr>
              <w:spacing w:line="520" w:lineRule="exact"/>
              <w:rPr>
                <w:sz w:val="28"/>
                <w:szCs w:val="28"/>
              </w:rPr>
            </w:pPr>
            <w:r>
              <w:rPr>
                <w:rFonts w:hint="eastAsia"/>
                <w:sz w:val="28"/>
                <w:szCs w:val="28"/>
              </w:rPr>
              <w:t>线材本身不导通</w:t>
            </w:r>
          </w:p>
        </w:tc>
        <w:tc>
          <w:tcPr>
            <w:tcW w:w="1300" w:type="pct"/>
            <w:tcBorders>
              <w:top w:val="single" w:color="auto" w:sz="4" w:space="0"/>
              <w:left w:val="single" w:color="auto" w:sz="4" w:space="0"/>
              <w:bottom w:val="single" w:color="auto" w:sz="4" w:space="0"/>
              <w:right w:val="single" w:color="auto" w:sz="4" w:space="0"/>
            </w:tcBorders>
            <w:vAlign w:val="center"/>
          </w:tcPr>
          <w:p w14:paraId="5FBCDCB1">
            <w:pPr>
              <w:spacing w:line="520" w:lineRule="exact"/>
              <w:rPr>
                <w:sz w:val="28"/>
                <w:szCs w:val="28"/>
              </w:rPr>
            </w:pPr>
            <w:r>
              <w:rPr>
                <w:rFonts w:hint="eastAsia"/>
                <w:sz w:val="28"/>
                <w:szCs w:val="28"/>
              </w:rPr>
              <w:t>除颤无法放电</w:t>
            </w:r>
          </w:p>
        </w:tc>
        <w:tc>
          <w:tcPr>
            <w:tcW w:w="868" w:type="pct"/>
            <w:tcBorders>
              <w:top w:val="single" w:color="auto" w:sz="4" w:space="0"/>
              <w:left w:val="single" w:color="auto" w:sz="4" w:space="0"/>
              <w:bottom w:val="single" w:color="auto" w:sz="4" w:space="0"/>
              <w:right w:val="single" w:color="auto" w:sz="4" w:space="0"/>
            </w:tcBorders>
            <w:vAlign w:val="center"/>
          </w:tcPr>
          <w:p w14:paraId="2DE383A1">
            <w:pPr>
              <w:spacing w:line="520" w:lineRule="exact"/>
              <w:rPr>
                <w:sz w:val="28"/>
                <w:szCs w:val="28"/>
              </w:rPr>
            </w:pPr>
            <w:r>
              <w:rPr>
                <w:rFonts w:hint="eastAsia"/>
                <w:sz w:val="28"/>
                <w:szCs w:val="28"/>
              </w:rPr>
              <w:t>延误治疗</w:t>
            </w:r>
          </w:p>
        </w:tc>
      </w:tr>
      <w:tr w14:paraId="4AF5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center"/>
        </w:trPr>
        <w:tc>
          <w:tcPr>
            <w:tcW w:w="559" w:type="pct"/>
            <w:vMerge w:val="continue"/>
            <w:tcBorders>
              <w:left w:val="single" w:color="auto" w:sz="4" w:space="0"/>
              <w:bottom w:val="nil"/>
              <w:right w:val="single" w:color="auto" w:sz="4" w:space="0"/>
            </w:tcBorders>
            <w:vAlign w:val="center"/>
          </w:tcPr>
          <w:p w14:paraId="5FC6963A">
            <w:pPr>
              <w:spacing w:line="520" w:lineRule="exact"/>
              <w:rPr>
                <w:sz w:val="28"/>
                <w:szCs w:val="28"/>
              </w:rPr>
            </w:pPr>
          </w:p>
        </w:tc>
        <w:tc>
          <w:tcPr>
            <w:tcW w:w="511" w:type="pct"/>
            <w:vMerge w:val="continue"/>
            <w:tcBorders>
              <w:left w:val="single" w:color="auto" w:sz="4" w:space="0"/>
              <w:bottom w:val="nil"/>
              <w:right w:val="single" w:color="auto" w:sz="4" w:space="0"/>
            </w:tcBorders>
            <w:vAlign w:val="center"/>
          </w:tcPr>
          <w:p w14:paraId="6A1F880B">
            <w:pPr>
              <w:spacing w:line="520" w:lineRule="exact"/>
              <w:jc w:val="center"/>
              <w:rPr>
                <w:sz w:val="28"/>
                <w:szCs w:val="28"/>
              </w:rPr>
            </w:pPr>
          </w:p>
        </w:tc>
        <w:tc>
          <w:tcPr>
            <w:tcW w:w="1762" w:type="pct"/>
            <w:tcBorders>
              <w:top w:val="single" w:color="auto" w:sz="4" w:space="0"/>
              <w:left w:val="single" w:color="auto" w:sz="4" w:space="0"/>
              <w:bottom w:val="single" w:color="auto" w:sz="4" w:space="0"/>
              <w:right w:val="single" w:color="auto" w:sz="4" w:space="0"/>
            </w:tcBorders>
            <w:vAlign w:val="center"/>
          </w:tcPr>
          <w:p w14:paraId="4223BC12">
            <w:pPr>
              <w:spacing w:line="520" w:lineRule="exact"/>
              <w:rPr>
                <w:sz w:val="28"/>
                <w:szCs w:val="28"/>
              </w:rPr>
            </w:pPr>
            <w:r>
              <w:rPr>
                <w:rFonts w:hint="eastAsia"/>
                <w:sz w:val="28"/>
                <w:szCs w:val="28"/>
              </w:rPr>
              <w:t>电极片与线材不导通</w:t>
            </w:r>
          </w:p>
        </w:tc>
        <w:tc>
          <w:tcPr>
            <w:tcW w:w="1300" w:type="pct"/>
            <w:tcBorders>
              <w:top w:val="single" w:color="auto" w:sz="4" w:space="0"/>
              <w:left w:val="single" w:color="auto" w:sz="4" w:space="0"/>
              <w:bottom w:val="single" w:color="auto" w:sz="4" w:space="0"/>
              <w:right w:val="single" w:color="auto" w:sz="4" w:space="0"/>
            </w:tcBorders>
            <w:vAlign w:val="center"/>
          </w:tcPr>
          <w:p w14:paraId="683DA9AC">
            <w:pPr>
              <w:spacing w:line="520" w:lineRule="exact"/>
              <w:rPr>
                <w:sz w:val="28"/>
                <w:szCs w:val="28"/>
              </w:rPr>
            </w:pPr>
            <w:r>
              <w:rPr>
                <w:rFonts w:hint="eastAsia"/>
                <w:sz w:val="28"/>
                <w:szCs w:val="28"/>
              </w:rPr>
              <w:t>除颤无法放电</w:t>
            </w:r>
          </w:p>
        </w:tc>
        <w:tc>
          <w:tcPr>
            <w:tcW w:w="868" w:type="pct"/>
            <w:tcBorders>
              <w:top w:val="single" w:color="auto" w:sz="4" w:space="0"/>
              <w:left w:val="single" w:color="auto" w:sz="4" w:space="0"/>
              <w:bottom w:val="single" w:color="auto" w:sz="4" w:space="0"/>
              <w:right w:val="single" w:color="auto" w:sz="4" w:space="0"/>
            </w:tcBorders>
            <w:vAlign w:val="center"/>
          </w:tcPr>
          <w:p w14:paraId="1ED00891">
            <w:pPr>
              <w:spacing w:line="520" w:lineRule="exact"/>
              <w:rPr>
                <w:sz w:val="28"/>
                <w:szCs w:val="28"/>
              </w:rPr>
            </w:pPr>
            <w:r>
              <w:rPr>
                <w:rFonts w:hint="eastAsia"/>
                <w:sz w:val="28"/>
                <w:szCs w:val="28"/>
              </w:rPr>
              <w:t>延误治疗</w:t>
            </w:r>
          </w:p>
        </w:tc>
      </w:tr>
      <w:tr w14:paraId="259E2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center"/>
        </w:trPr>
        <w:tc>
          <w:tcPr>
            <w:tcW w:w="559" w:type="pct"/>
            <w:tcBorders>
              <w:top w:val="nil"/>
              <w:left w:val="single" w:color="auto" w:sz="4" w:space="0"/>
              <w:bottom w:val="single" w:color="auto" w:sz="4" w:space="0"/>
              <w:right w:val="single" w:color="auto" w:sz="4" w:space="0"/>
            </w:tcBorders>
            <w:vAlign w:val="center"/>
          </w:tcPr>
          <w:p w14:paraId="1F7FBCEF">
            <w:pPr>
              <w:spacing w:line="520" w:lineRule="exact"/>
              <w:jc w:val="center"/>
              <w:rPr>
                <w:sz w:val="28"/>
                <w:szCs w:val="28"/>
              </w:rPr>
            </w:pPr>
            <w:r>
              <w:rPr>
                <w:rFonts w:hint="eastAsia"/>
                <w:sz w:val="28"/>
                <w:szCs w:val="28"/>
              </w:rPr>
              <w:t>性能有关的危险</w:t>
            </w:r>
          </w:p>
        </w:tc>
        <w:tc>
          <w:tcPr>
            <w:tcW w:w="511" w:type="pct"/>
            <w:tcBorders>
              <w:top w:val="nil"/>
              <w:left w:val="single" w:color="auto" w:sz="4" w:space="0"/>
              <w:bottom w:val="single" w:color="auto" w:sz="4" w:space="0"/>
              <w:right w:val="single" w:color="auto" w:sz="4" w:space="0"/>
            </w:tcBorders>
            <w:vAlign w:val="center"/>
          </w:tcPr>
          <w:p w14:paraId="1846CEA7">
            <w:pPr>
              <w:spacing w:line="520" w:lineRule="exact"/>
              <w:rPr>
                <w:sz w:val="28"/>
                <w:szCs w:val="28"/>
              </w:rPr>
            </w:pPr>
            <w:r>
              <w:rPr>
                <w:rFonts w:hint="eastAsia"/>
                <w:sz w:val="28"/>
                <w:szCs w:val="28"/>
              </w:rPr>
              <w:t>使用错误</w:t>
            </w:r>
          </w:p>
        </w:tc>
        <w:tc>
          <w:tcPr>
            <w:tcW w:w="1762" w:type="pct"/>
            <w:tcBorders>
              <w:top w:val="single" w:color="auto" w:sz="4" w:space="0"/>
              <w:left w:val="single" w:color="auto" w:sz="4" w:space="0"/>
              <w:bottom w:val="single" w:color="auto" w:sz="4" w:space="0"/>
              <w:right w:val="single" w:color="auto" w:sz="4" w:space="0"/>
            </w:tcBorders>
            <w:vAlign w:val="center"/>
          </w:tcPr>
          <w:p w14:paraId="70660A7D">
            <w:pPr>
              <w:spacing w:line="520" w:lineRule="exact"/>
              <w:rPr>
                <w:sz w:val="28"/>
                <w:szCs w:val="28"/>
              </w:rPr>
            </w:pPr>
            <w:r>
              <w:rPr>
                <w:rFonts w:hint="eastAsia"/>
                <w:sz w:val="28"/>
                <w:szCs w:val="28"/>
              </w:rPr>
              <w:t>粘贴电极片时与病人皮肤未接触好</w:t>
            </w:r>
          </w:p>
        </w:tc>
        <w:tc>
          <w:tcPr>
            <w:tcW w:w="1300" w:type="pct"/>
            <w:tcBorders>
              <w:top w:val="single" w:color="auto" w:sz="4" w:space="0"/>
              <w:left w:val="single" w:color="auto" w:sz="4" w:space="0"/>
              <w:bottom w:val="single" w:color="auto" w:sz="4" w:space="0"/>
              <w:right w:val="single" w:color="auto" w:sz="4" w:space="0"/>
            </w:tcBorders>
            <w:vAlign w:val="center"/>
          </w:tcPr>
          <w:p w14:paraId="0DFD017F">
            <w:pPr>
              <w:spacing w:line="520" w:lineRule="exact"/>
              <w:rPr>
                <w:sz w:val="28"/>
                <w:szCs w:val="28"/>
              </w:rPr>
            </w:pPr>
            <w:r>
              <w:rPr>
                <w:rFonts w:hint="eastAsia"/>
                <w:sz w:val="28"/>
                <w:szCs w:val="28"/>
              </w:rPr>
              <w:t>接触不良的情况下放电，阻抗变大</w:t>
            </w:r>
          </w:p>
        </w:tc>
        <w:tc>
          <w:tcPr>
            <w:tcW w:w="868" w:type="pct"/>
            <w:tcBorders>
              <w:top w:val="single" w:color="auto" w:sz="4" w:space="0"/>
              <w:left w:val="single" w:color="auto" w:sz="4" w:space="0"/>
              <w:bottom w:val="single" w:color="auto" w:sz="4" w:space="0"/>
              <w:right w:val="single" w:color="auto" w:sz="4" w:space="0"/>
            </w:tcBorders>
            <w:vAlign w:val="center"/>
          </w:tcPr>
          <w:p w14:paraId="2C5BC780">
            <w:pPr>
              <w:spacing w:line="520" w:lineRule="exact"/>
              <w:rPr>
                <w:sz w:val="28"/>
                <w:szCs w:val="28"/>
              </w:rPr>
            </w:pPr>
            <w:r>
              <w:rPr>
                <w:rFonts w:hint="eastAsia"/>
                <w:sz w:val="28"/>
                <w:szCs w:val="28"/>
              </w:rPr>
              <w:t>病人皮肤灼伤</w:t>
            </w:r>
          </w:p>
        </w:tc>
      </w:tr>
      <w:tr w14:paraId="2DCA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559" w:type="pct"/>
            <w:vMerge w:val="restart"/>
            <w:tcBorders>
              <w:top w:val="single" w:color="auto" w:sz="4" w:space="0"/>
              <w:left w:val="single" w:color="auto" w:sz="4" w:space="0"/>
              <w:right w:val="single" w:color="auto" w:sz="4" w:space="0"/>
            </w:tcBorders>
            <w:vAlign w:val="center"/>
          </w:tcPr>
          <w:p w14:paraId="37403B93">
            <w:pPr>
              <w:spacing w:line="520" w:lineRule="exact"/>
              <w:jc w:val="center"/>
              <w:rPr>
                <w:sz w:val="28"/>
                <w:szCs w:val="28"/>
              </w:rPr>
            </w:pPr>
            <w:r>
              <w:rPr>
                <w:rFonts w:hint="eastAsia"/>
                <w:sz w:val="28"/>
                <w:szCs w:val="28"/>
              </w:rPr>
              <w:t>性能有关的危险</w:t>
            </w:r>
          </w:p>
        </w:tc>
        <w:tc>
          <w:tcPr>
            <w:tcW w:w="511" w:type="pct"/>
            <w:vMerge w:val="restart"/>
            <w:tcBorders>
              <w:top w:val="single" w:color="auto" w:sz="4" w:space="0"/>
              <w:left w:val="single" w:color="auto" w:sz="4" w:space="0"/>
              <w:right w:val="single" w:color="auto" w:sz="4" w:space="0"/>
            </w:tcBorders>
            <w:vAlign w:val="center"/>
          </w:tcPr>
          <w:p w14:paraId="5FF1A497">
            <w:pPr>
              <w:spacing w:line="520" w:lineRule="exact"/>
              <w:jc w:val="center"/>
              <w:rPr>
                <w:sz w:val="28"/>
                <w:szCs w:val="28"/>
              </w:rPr>
            </w:pPr>
            <w:r>
              <w:rPr>
                <w:rFonts w:hint="eastAsia"/>
                <w:sz w:val="28"/>
                <w:szCs w:val="28"/>
              </w:rPr>
              <w:t>标识标贴</w:t>
            </w:r>
          </w:p>
        </w:tc>
        <w:tc>
          <w:tcPr>
            <w:tcW w:w="1762" w:type="pct"/>
            <w:tcBorders>
              <w:top w:val="single" w:color="auto" w:sz="4" w:space="0"/>
              <w:left w:val="single" w:color="auto" w:sz="4" w:space="0"/>
              <w:bottom w:val="single" w:color="auto" w:sz="4" w:space="0"/>
              <w:right w:val="single" w:color="auto" w:sz="4" w:space="0"/>
            </w:tcBorders>
          </w:tcPr>
          <w:p w14:paraId="622D8DBE">
            <w:pPr>
              <w:spacing w:line="520" w:lineRule="exact"/>
              <w:rPr>
                <w:sz w:val="28"/>
                <w:szCs w:val="28"/>
              </w:rPr>
            </w:pPr>
            <w:r>
              <w:rPr>
                <w:rFonts w:hint="eastAsia"/>
                <w:sz w:val="28"/>
                <w:szCs w:val="28"/>
              </w:rPr>
              <w:t>包装袋无撕口标识或标识不明显</w:t>
            </w:r>
          </w:p>
        </w:tc>
        <w:tc>
          <w:tcPr>
            <w:tcW w:w="1300" w:type="pct"/>
            <w:tcBorders>
              <w:top w:val="single" w:color="auto" w:sz="4" w:space="0"/>
              <w:left w:val="single" w:color="auto" w:sz="4" w:space="0"/>
              <w:bottom w:val="single" w:color="auto" w:sz="4" w:space="0"/>
              <w:right w:val="single" w:color="auto" w:sz="4" w:space="0"/>
            </w:tcBorders>
          </w:tcPr>
          <w:p w14:paraId="0857B51A">
            <w:pPr>
              <w:spacing w:line="520" w:lineRule="exact"/>
              <w:rPr>
                <w:sz w:val="28"/>
                <w:szCs w:val="28"/>
              </w:rPr>
            </w:pPr>
            <w:r>
              <w:rPr>
                <w:rFonts w:hint="eastAsia"/>
                <w:sz w:val="28"/>
                <w:szCs w:val="28"/>
              </w:rPr>
              <w:t>不易撕开包装袋取出电极片</w:t>
            </w:r>
          </w:p>
        </w:tc>
        <w:tc>
          <w:tcPr>
            <w:tcW w:w="868" w:type="pct"/>
            <w:tcBorders>
              <w:top w:val="single" w:color="auto" w:sz="4" w:space="0"/>
              <w:left w:val="single" w:color="auto" w:sz="4" w:space="0"/>
              <w:bottom w:val="single" w:color="auto" w:sz="4" w:space="0"/>
              <w:right w:val="single" w:color="auto" w:sz="4" w:space="0"/>
            </w:tcBorders>
            <w:vAlign w:val="center"/>
          </w:tcPr>
          <w:p w14:paraId="42206D3D">
            <w:pPr>
              <w:spacing w:line="520" w:lineRule="exact"/>
              <w:rPr>
                <w:sz w:val="28"/>
                <w:szCs w:val="28"/>
              </w:rPr>
            </w:pPr>
            <w:r>
              <w:rPr>
                <w:rFonts w:hint="eastAsia"/>
                <w:sz w:val="28"/>
                <w:szCs w:val="28"/>
              </w:rPr>
              <w:t>短暂的延误治疗</w:t>
            </w:r>
          </w:p>
        </w:tc>
      </w:tr>
      <w:tr w14:paraId="17561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559" w:type="pct"/>
            <w:vMerge w:val="continue"/>
            <w:tcBorders>
              <w:left w:val="single" w:color="auto" w:sz="4" w:space="0"/>
              <w:right w:val="single" w:color="auto" w:sz="4" w:space="0"/>
            </w:tcBorders>
            <w:vAlign w:val="center"/>
          </w:tcPr>
          <w:p w14:paraId="19F9D280">
            <w:pPr>
              <w:spacing w:line="520" w:lineRule="exact"/>
              <w:rPr>
                <w:sz w:val="28"/>
                <w:szCs w:val="28"/>
              </w:rPr>
            </w:pPr>
          </w:p>
        </w:tc>
        <w:tc>
          <w:tcPr>
            <w:tcW w:w="511" w:type="pct"/>
            <w:vMerge w:val="continue"/>
            <w:tcBorders>
              <w:left w:val="single" w:color="auto" w:sz="4" w:space="0"/>
              <w:right w:val="single" w:color="auto" w:sz="4" w:space="0"/>
            </w:tcBorders>
            <w:vAlign w:val="center"/>
          </w:tcPr>
          <w:p w14:paraId="715D19EA">
            <w:pPr>
              <w:spacing w:line="520" w:lineRule="exact"/>
              <w:jc w:val="center"/>
              <w:rPr>
                <w:sz w:val="28"/>
                <w:szCs w:val="28"/>
              </w:rPr>
            </w:pPr>
          </w:p>
        </w:tc>
        <w:tc>
          <w:tcPr>
            <w:tcW w:w="1762" w:type="pct"/>
            <w:tcBorders>
              <w:top w:val="single" w:color="auto" w:sz="4" w:space="0"/>
              <w:left w:val="single" w:color="auto" w:sz="4" w:space="0"/>
              <w:right w:val="single" w:color="auto" w:sz="4" w:space="0"/>
            </w:tcBorders>
            <w:vAlign w:val="center"/>
          </w:tcPr>
          <w:p w14:paraId="34AE49F0">
            <w:pPr>
              <w:spacing w:line="520" w:lineRule="exact"/>
              <w:rPr>
                <w:sz w:val="28"/>
                <w:szCs w:val="28"/>
              </w:rPr>
            </w:pPr>
            <w:r>
              <w:rPr>
                <w:rFonts w:hint="eastAsia"/>
                <w:sz w:val="28"/>
                <w:szCs w:val="28"/>
              </w:rPr>
              <w:t>病人类型标识错误</w:t>
            </w:r>
          </w:p>
        </w:tc>
        <w:tc>
          <w:tcPr>
            <w:tcW w:w="1300" w:type="pct"/>
            <w:tcBorders>
              <w:top w:val="single" w:color="auto" w:sz="4" w:space="0"/>
              <w:left w:val="single" w:color="auto" w:sz="4" w:space="0"/>
              <w:right w:val="single" w:color="auto" w:sz="4" w:space="0"/>
            </w:tcBorders>
            <w:vAlign w:val="center"/>
          </w:tcPr>
          <w:p w14:paraId="6B742779">
            <w:pPr>
              <w:spacing w:line="520" w:lineRule="exact"/>
              <w:rPr>
                <w:sz w:val="28"/>
                <w:szCs w:val="28"/>
              </w:rPr>
            </w:pPr>
            <w:r>
              <w:rPr>
                <w:rFonts w:hint="eastAsia"/>
                <w:sz w:val="28"/>
                <w:szCs w:val="28"/>
              </w:rPr>
              <w:t>成人错用小儿电极片，能量密度增加造成灼伤</w:t>
            </w:r>
          </w:p>
        </w:tc>
        <w:tc>
          <w:tcPr>
            <w:tcW w:w="868" w:type="pct"/>
            <w:tcBorders>
              <w:top w:val="single" w:color="auto" w:sz="4" w:space="0"/>
              <w:left w:val="single" w:color="auto" w:sz="4" w:space="0"/>
              <w:right w:val="single" w:color="auto" w:sz="4" w:space="0"/>
            </w:tcBorders>
            <w:vAlign w:val="center"/>
          </w:tcPr>
          <w:p w14:paraId="3D2900CE">
            <w:pPr>
              <w:spacing w:line="520" w:lineRule="exact"/>
              <w:rPr>
                <w:sz w:val="28"/>
                <w:szCs w:val="28"/>
              </w:rPr>
            </w:pPr>
            <w:r>
              <w:rPr>
                <w:rFonts w:hint="eastAsia"/>
                <w:sz w:val="28"/>
                <w:szCs w:val="28"/>
              </w:rPr>
              <w:t>病人皮肤灼伤</w:t>
            </w:r>
          </w:p>
        </w:tc>
      </w:tr>
    </w:tbl>
    <w:p w14:paraId="1ADFCDE4">
      <w:pPr>
        <w:spacing w:line="520" w:lineRule="exact"/>
        <w:jc w:val="center"/>
        <w:rPr>
          <w:rStyle w:val="25"/>
          <w:rFonts w:eastAsia="黑体"/>
          <w:sz w:val="32"/>
          <w:szCs w:val="44"/>
        </w:rPr>
        <w:sectPr>
          <w:pgSz w:w="16838" w:h="11906" w:orient="landscape"/>
          <w:pgMar w:top="1588" w:right="1701" w:bottom="1588" w:left="1701" w:header="850" w:footer="1061" w:gutter="0"/>
          <w:pgNumType w:start="1"/>
          <w:cols w:space="720" w:num="1"/>
          <w:docGrid w:type="lines" w:linePitch="435" w:charSpace="0"/>
        </w:sectPr>
      </w:pPr>
    </w:p>
    <w:p w14:paraId="176E27A3">
      <w:pPr>
        <w:spacing w:line="520" w:lineRule="exact"/>
        <w:rPr>
          <w:szCs w:val="32"/>
        </w:rPr>
      </w:pPr>
      <w:r>
        <w:rPr>
          <w:rFonts w:eastAsia="黑体"/>
          <w:bCs/>
          <w:szCs w:val="32"/>
        </w:rPr>
        <w:t>附表</w:t>
      </w:r>
      <w:r>
        <w:rPr>
          <w:rFonts w:hint="eastAsia"/>
          <w:bCs/>
          <w:iCs/>
          <w:szCs w:val="28"/>
        </w:rPr>
        <w:t>5-</w:t>
      </w:r>
      <w:r>
        <w:rPr>
          <w:rFonts w:hint="eastAsia" w:eastAsia="黑体"/>
          <w:bCs/>
          <w:szCs w:val="32"/>
        </w:rPr>
        <w:t>2</w:t>
      </w:r>
    </w:p>
    <w:p w14:paraId="5CB5E030">
      <w:pPr>
        <w:spacing w:line="520" w:lineRule="exact"/>
        <w:rPr>
          <w:szCs w:val="32"/>
        </w:rPr>
      </w:pPr>
    </w:p>
    <w:p w14:paraId="632D16FF">
      <w:pPr>
        <w:spacing w:line="520" w:lineRule="exact"/>
        <w:jc w:val="center"/>
        <w:rPr>
          <w:rFonts w:ascii="方正小标宋简体" w:eastAsia="方正小标宋简体"/>
          <w:bCs/>
          <w:sz w:val="44"/>
          <w:szCs w:val="44"/>
        </w:rPr>
      </w:pPr>
      <w:r>
        <w:rPr>
          <w:rFonts w:hint="eastAsia" w:ascii="方正小标宋简体" w:eastAsia="方正小标宋简体"/>
          <w:bCs/>
          <w:sz w:val="44"/>
          <w:szCs w:val="44"/>
        </w:rPr>
        <w:t>相关产品标准</w:t>
      </w:r>
    </w:p>
    <w:p w14:paraId="1CE59043">
      <w:pPr>
        <w:pStyle w:val="22"/>
        <w:spacing w:line="520" w:lineRule="exact"/>
        <w:rPr>
          <w:rFonts w:ascii="Times New Roman" w:hAnsi="Times New Roman"/>
        </w:rPr>
      </w:pPr>
    </w:p>
    <w:p w14:paraId="73A14222">
      <w:pPr>
        <w:widowControl w:val="0"/>
        <w:spacing w:line="520" w:lineRule="exact"/>
        <w:ind w:firstLine="640" w:firstLineChars="200"/>
        <w:rPr>
          <w:szCs w:val="32"/>
        </w:rPr>
      </w:pPr>
      <w:r>
        <w:rPr>
          <w:szCs w:val="32"/>
        </w:rPr>
        <w:t>下表列出了产品适用的相关标准。</w:t>
      </w:r>
      <w:r>
        <w:rPr>
          <w:rFonts w:hint="eastAsia"/>
          <w:szCs w:val="32"/>
        </w:rPr>
        <w:t>申请人可以根据申报产品特征进行分析，确定引用标准。下列标准如有新版发布实施，应执行最新版本。</w:t>
      </w:r>
    </w:p>
    <w:tbl>
      <w:tblPr>
        <w:tblStyle w:val="17"/>
        <w:tblW w:w="88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80"/>
        <w:gridCol w:w="6076"/>
      </w:tblGrid>
      <w:tr w14:paraId="205B3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atLeast"/>
          <w:tblHeader/>
          <w:jc w:val="center"/>
        </w:trPr>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C2D35">
            <w:pPr>
              <w:spacing w:line="520" w:lineRule="exact"/>
              <w:jc w:val="center"/>
              <w:rPr>
                <w:b/>
                <w:bCs/>
                <w:kern w:val="0"/>
                <w:sz w:val="28"/>
                <w:szCs w:val="28"/>
              </w:rPr>
            </w:pPr>
            <w:r>
              <w:rPr>
                <w:b/>
                <w:bCs/>
                <w:kern w:val="0"/>
                <w:sz w:val="28"/>
                <w:szCs w:val="28"/>
              </w:rPr>
              <w:t>标准编号</w:t>
            </w:r>
          </w:p>
        </w:tc>
        <w:tc>
          <w:tcPr>
            <w:tcW w:w="6076" w:type="dxa"/>
            <w:tcBorders>
              <w:top w:val="single" w:color="000000" w:sz="4" w:space="0"/>
              <w:left w:val="nil"/>
              <w:bottom w:val="single" w:color="000000" w:sz="4" w:space="0"/>
              <w:right w:val="single" w:color="000000" w:sz="4" w:space="0"/>
            </w:tcBorders>
            <w:shd w:val="clear" w:color="auto" w:fill="auto"/>
            <w:vAlign w:val="center"/>
          </w:tcPr>
          <w:p w14:paraId="6259189F">
            <w:pPr>
              <w:spacing w:line="520" w:lineRule="exact"/>
              <w:jc w:val="center"/>
              <w:rPr>
                <w:b/>
                <w:bCs/>
                <w:kern w:val="0"/>
                <w:sz w:val="28"/>
                <w:szCs w:val="28"/>
              </w:rPr>
            </w:pPr>
            <w:r>
              <w:rPr>
                <w:b/>
                <w:bCs/>
                <w:kern w:val="0"/>
                <w:sz w:val="28"/>
                <w:szCs w:val="28"/>
              </w:rPr>
              <w:t>标准名称</w:t>
            </w:r>
          </w:p>
        </w:tc>
      </w:tr>
      <w:tr w14:paraId="35949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jc w:val="center"/>
        </w:trPr>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41F4">
            <w:pPr>
              <w:spacing w:line="520" w:lineRule="exact"/>
              <w:jc w:val="center"/>
              <w:rPr>
                <w:sz w:val="28"/>
                <w:szCs w:val="28"/>
              </w:rPr>
            </w:pPr>
            <w:r>
              <w:rPr>
                <w:sz w:val="28"/>
                <w:szCs w:val="28"/>
              </w:rPr>
              <w:t>GB9706.1</w:t>
            </w:r>
          </w:p>
        </w:tc>
        <w:tc>
          <w:tcPr>
            <w:tcW w:w="6076" w:type="dxa"/>
            <w:tcBorders>
              <w:top w:val="single" w:color="000000" w:sz="4" w:space="0"/>
              <w:left w:val="nil"/>
              <w:bottom w:val="single" w:color="000000" w:sz="4" w:space="0"/>
              <w:right w:val="single" w:color="000000" w:sz="4" w:space="0"/>
            </w:tcBorders>
            <w:shd w:val="clear" w:color="auto" w:fill="auto"/>
          </w:tcPr>
          <w:p w14:paraId="14DE2E9F">
            <w:pPr>
              <w:spacing w:line="520" w:lineRule="exact"/>
              <w:rPr>
                <w:sz w:val="28"/>
                <w:szCs w:val="28"/>
              </w:rPr>
            </w:pPr>
            <w:r>
              <w:rPr>
                <w:sz w:val="28"/>
                <w:szCs w:val="28"/>
              </w:rPr>
              <w:t>医用电气设备 第1部分：基本安全和基本性能的通用要求</w:t>
            </w:r>
          </w:p>
        </w:tc>
      </w:tr>
      <w:tr w14:paraId="1C07C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jc w:val="center"/>
        </w:trPr>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E9426">
            <w:pPr>
              <w:spacing w:line="520" w:lineRule="exact"/>
              <w:jc w:val="center"/>
              <w:rPr>
                <w:sz w:val="28"/>
                <w:szCs w:val="28"/>
              </w:rPr>
            </w:pPr>
            <w:r>
              <w:rPr>
                <w:sz w:val="28"/>
                <w:szCs w:val="28"/>
              </w:rPr>
              <w:t>YY9706.102</w:t>
            </w:r>
          </w:p>
        </w:tc>
        <w:tc>
          <w:tcPr>
            <w:tcW w:w="6076" w:type="dxa"/>
            <w:tcBorders>
              <w:top w:val="single" w:color="000000" w:sz="4" w:space="0"/>
              <w:left w:val="nil"/>
              <w:bottom w:val="single" w:color="000000" w:sz="4" w:space="0"/>
              <w:right w:val="single" w:color="000000" w:sz="4" w:space="0"/>
            </w:tcBorders>
            <w:shd w:val="clear" w:color="auto" w:fill="auto"/>
            <w:vAlign w:val="center"/>
          </w:tcPr>
          <w:p w14:paraId="1C55FFC6">
            <w:pPr>
              <w:spacing w:line="520" w:lineRule="exact"/>
              <w:rPr>
                <w:sz w:val="28"/>
                <w:szCs w:val="28"/>
              </w:rPr>
            </w:pPr>
            <w:r>
              <w:rPr>
                <w:sz w:val="28"/>
                <w:szCs w:val="28"/>
              </w:rPr>
              <w:t>医用电气设备 第1-2部分：基本安全和基本性能的通用要求并列标准 电磁兼容 要求和试验</w:t>
            </w:r>
          </w:p>
        </w:tc>
      </w:tr>
      <w:tr w14:paraId="2C6F2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jc w:val="center"/>
        </w:trPr>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3472B">
            <w:pPr>
              <w:spacing w:line="520" w:lineRule="exact"/>
              <w:jc w:val="center"/>
              <w:rPr>
                <w:sz w:val="28"/>
                <w:szCs w:val="28"/>
              </w:rPr>
            </w:pPr>
            <w:r>
              <w:rPr>
                <w:sz w:val="28"/>
                <w:szCs w:val="28"/>
              </w:rPr>
              <w:t>GB 9706.204</w:t>
            </w:r>
          </w:p>
        </w:tc>
        <w:tc>
          <w:tcPr>
            <w:tcW w:w="6076" w:type="dxa"/>
            <w:tcBorders>
              <w:top w:val="single" w:color="000000" w:sz="4" w:space="0"/>
              <w:left w:val="nil"/>
              <w:bottom w:val="single" w:color="000000" w:sz="4" w:space="0"/>
              <w:right w:val="single" w:color="000000" w:sz="4" w:space="0"/>
            </w:tcBorders>
            <w:shd w:val="clear" w:color="auto" w:fill="auto"/>
            <w:vAlign w:val="center"/>
          </w:tcPr>
          <w:p w14:paraId="11F26694">
            <w:pPr>
              <w:spacing w:line="520" w:lineRule="exact"/>
              <w:rPr>
                <w:sz w:val="28"/>
                <w:szCs w:val="28"/>
              </w:rPr>
            </w:pPr>
            <w:r>
              <w:rPr>
                <w:sz w:val="28"/>
                <w:szCs w:val="28"/>
              </w:rPr>
              <w:t>医用电气设备　第2-4部分：心脏除颤器的基本安全和基本性能专用要求</w:t>
            </w:r>
          </w:p>
        </w:tc>
      </w:tr>
      <w:tr w14:paraId="34908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jc w:val="center"/>
        </w:trPr>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8470A">
            <w:pPr>
              <w:spacing w:line="520" w:lineRule="exact"/>
              <w:jc w:val="center"/>
              <w:rPr>
                <w:sz w:val="28"/>
                <w:szCs w:val="28"/>
              </w:rPr>
            </w:pPr>
            <w:r>
              <w:rPr>
                <w:sz w:val="28"/>
                <w:szCs w:val="28"/>
              </w:rPr>
              <w:t>YY9706.11</w:t>
            </w:r>
            <w:r>
              <w:rPr>
                <w:rFonts w:hint="eastAsia"/>
                <w:sz w:val="28"/>
                <w:szCs w:val="28"/>
              </w:rPr>
              <w:t>1（如适用）</w:t>
            </w:r>
          </w:p>
        </w:tc>
        <w:tc>
          <w:tcPr>
            <w:tcW w:w="6076" w:type="dxa"/>
            <w:tcBorders>
              <w:top w:val="single" w:color="000000" w:sz="4" w:space="0"/>
              <w:left w:val="nil"/>
              <w:bottom w:val="single" w:color="000000" w:sz="4" w:space="0"/>
              <w:right w:val="single" w:color="000000" w:sz="4" w:space="0"/>
            </w:tcBorders>
            <w:shd w:val="clear" w:color="auto" w:fill="auto"/>
            <w:vAlign w:val="center"/>
          </w:tcPr>
          <w:p w14:paraId="3CEFC13B">
            <w:pPr>
              <w:spacing w:line="520" w:lineRule="exact"/>
              <w:rPr>
                <w:sz w:val="28"/>
                <w:szCs w:val="28"/>
              </w:rPr>
            </w:pPr>
            <w:r>
              <w:rPr>
                <w:sz w:val="28"/>
                <w:szCs w:val="28"/>
              </w:rPr>
              <w:t>医用电气设备 第1-11部分：基本安全和基本性能的通用要求 并列标准：在家庭护理环境中使用的医用电气设备和医用电气系统的要求</w:t>
            </w:r>
          </w:p>
        </w:tc>
      </w:tr>
      <w:tr w14:paraId="31A39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jc w:val="center"/>
        </w:trPr>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1E3A9">
            <w:pPr>
              <w:spacing w:line="520" w:lineRule="exact"/>
              <w:jc w:val="center"/>
              <w:rPr>
                <w:sz w:val="28"/>
                <w:szCs w:val="28"/>
              </w:rPr>
            </w:pPr>
            <w:r>
              <w:rPr>
                <w:sz w:val="28"/>
                <w:szCs w:val="28"/>
              </w:rPr>
              <w:t>YY9706.112</w:t>
            </w:r>
            <w:r>
              <w:rPr>
                <w:rFonts w:hint="eastAsia"/>
                <w:sz w:val="28"/>
                <w:szCs w:val="28"/>
              </w:rPr>
              <w:t>（如适用）</w:t>
            </w:r>
          </w:p>
        </w:tc>
        <w:tc>
          <w:tcPr>
            <w:tcW w:w="6076" w:type="dxa"/>
            <w:tcBorders>
              <w:top w:val="single" w:color="000000" w:sz="4" w:space="0"/>
              <w:left w:val="nil"/>
              <w:bottom w:val="single" w:color="000000" w:sz="4" w:space="0"/>
              <w:right w:val="single" w:color="000000" w:sz="4" w:space="0"/>
            </w:tcBorders>
            <w:shd w:val="clear" w:color="auto" w:fill="auto"/>
            <w:vAlign w:val="center"/>
          </w:tcPr>
          <w:p w14:paraId="664C17B9">
            <w:pPr>
              <w:spacing w:line="520" w:lineRule="exact"/>
              <w:rPr>
                <w:sz w:val="28"/>
                <w:szCs w:val="28"/>
              </w:rPr>
            </w:pPr>
            <w:r>
              <w:rPr>
                <w:sz w:val="28"/>
                <w:szCs w:val="28"/>
              </w:rPr>
              <w:t>医用电气设备 第1-12部分：基本安全和基本性能的通用要求 并列标准：预期在紧急医疗服务环境中使用的医用电气设备和医用电气系统的要求</w:t>
            </w:r>
          </w:p>
        </w:tc>
      </w:tr>
      <w:tr w14:paraId="210BC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D9E0E">
            <w:pPr>
              <w:spacing w:line="520" w:lineRule="exact"/>
              <w:jc w:val="center"/>
              <w:rPr>
                <w:sz w:val="28"/>
                <w:szCs w:val="28"/>
              </w:rPr>
            </w:pPr>
            <w:r>
              <w:rPr>
                <w:sz w:val="28"/>
                <w:szCs w:val="28"/>
              </w:rPr>
              <w:t>GB/T16886.1</w:t>
            </w:r>
          </w:p>
        </w:tc>
        <w:tc>
          <w:tcPr>
            <w:tcW w:w="6076" w:type="dxa"/>
            <w:tcBorders>
              <w:top w:val="single" w:color="000000" w:sz="4" w:space="0"/>
              <w:left w:val="nil"/>
              <w:bottom w:val="single" w:color="000000" w:sz="4" w:space="0"/>
              <w:right w:val="single" w:color="000000" w:sz="4" w:space="0"/>
            </w:tcBorders>
            <w:shd w:val="clear" w:color="auto" w:fill="auto"/>
            <w:vAlign w:val="center"/>
          </w:tcPr>
          <w:p w14:paraId="1B4C3ED5">
            <w:pPr>
              <w:spacing w:line="520" w:lineRule="exact"/>
              <w:rPr>
                <w:sz w:val="28"/>
                <w:szCs w:val="28"/>
              </w:rPr>
            </w:pPr>
            <w:r>
              <w:rPr>
                <w:sz w:val="28"/>
                <w:szCs w:val="28"/>
              </w:rPr>
              <w:t>医疗器械生物学评价 第1部分：风险管理过程中的评价与试验</w:t>
            </w:r>
          </w:p>
        </w:tc>
      </w:tr>
      <w:tr w14:paraId="576F1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30BD">
            <w:pPr>
              <w:spacing w:line="520" w:lineRule="exact"/>
              <w:jc w:val="center"/>
              <w:rPr>
                <w:sz w:val="28"/>
                <w:szCs w:val="28"/>
              </w:rPr>
            </w:pPr>
            <w:r>
              <w:rPr>
                <w:sz w:val="28"/>
                <w:szCs w:val="28"/>
              </w:rPr>
              <w:t>GB/T 16886.5</w:t>
            </w:r>
          </w:p>
        </w:tc>
        <w:tc>
          <w:tcPr>
            <w:tcW w:w="6076" w:type="dxa"/>
            <w:tcBorders>
              <w:top w:val="single" w:color="000000" w:sz="4" w:space="0"/>
              <w:left w:val="nil"/>
              <w:bottom w:val="single" w:color="000000" w:sz="4" w:space="0"/>
              <w:right w:val="single" w:color="000000" w:sz="4" w:space="0"/>
            </w:tcBorders>
            <w:shd w:val="clear" w:color="auto" w:fill="auto"/>
          </w:tcPr>
          <w:p w14:paraId="1EABD920">
            <w:pPr>
              <w:spacing w:line="520" w:lineRule="exact"/>
              <w:rPr>
                <w:sz w:val="28"/>
                <w:szCs w:val="28"/>
              </w:rPr>
            </w:pPr>
            <w:r>
              <w:rPr>
                <w:sz w:val="28"/>
                <w:szCs w:val="28"/>
              </w:rPr>
              <w:t>医疗器械生物学评价 第5部分：体外细胞毒性试验</w:t>
            </w:r>
          </w:p>
        </w:tc>
      </w:tr>
      <w:tr w14:paraId="5A08A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C8F1E">
            <w:pPr>
              <w:spacing w:line="520" w:lineRule="exact"/>
              <w:jc w:val="center"/>
              <w:rPr>
                <w:sz w:val="28"/>
                <w:szCs w:val="28"/>
              </w:rPr>
            </w:pPr>
            <w:r>
              <w:rPr>
                <w:sz w:val="28"/>
                <w:szCs w:val="28"/>
              </w:rPr>
              <w:t>GB/T 16886.10</w:t>
            </w:r>
          </w:p>
        </w:tc>
        <w:tc>
          <w:tcPr>
            <w:tcW w:w="6076" w:type="dxa"/>
            <w:tcBorders>
              <w:top w:val="single" w:color="000000" w:sz="4" w:space="0"/>
              <w:left w:val="nil"/>
              <w:bottom w:val="single" w:color="000000" w:sz="4" w:space="0"/>
              <w:right w:val="single" w:color="000000" w:sz="4" w:space="0"/>
            </w:tcBorders>
            <w:shd w:val="clear" w:color="auto" w:fill="auto"/>
            <w:vAlign w:val="center"/>
          </w:tcPr>
          <w:p w14:paraId="548CA655">
            <w:pPr>
              <w:spacing w:line="520" w:lineRule="exact"/>
              <w:rPr>
                <w:sz w:val="28"/>
                <w:szCs w:val="28"/>
              </w:rPr>
            </w:pPr>
            <w:r>
              <w:rPr>
                <w:sz w:val="28"/>
                <w:szCs w:val="28"/>
              </w:rPr>
              <w:t>医疗器械生物学评价 第10部分：刺激与皮肤致敏试验</w:t>
            </w:r>
          </w:p>
        </w:tc>
      </w:tr>
      <w:tr w14:paraId="4F766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82D84">
            <w:pPr>
              <w:spacing w:line="520" w:lineRule="exact"/>
              <w:jc w:val="center"/>
              <w:rPr>
                <w:sz w:val="28"/>
                <w:szCs w:val="28"/>
              </w:rPr>
            </w:pPr>
            <w:r>
              <w:rPr>
                <w:sz w:val="28"/>
                <w:szCs w:val="28"/>
              </w:rPr>
              <w:t>GB/T 16886.</w:t>
            </w:r>
            <w:r>
              <w:rPr>
                <w:rFonts w:hint="eastAsia"/>
                <w:sz w:val="28"/>
                <w:szCs w:val="28"/>
              </w:rPr>
              <w:t>23</w:t>
            </w:r>
          </w:p>
        </w:tc>
        <w:tc>
          <w:tcPr>
            <w:tcW w:w="6076" w:type="dxa"/>
            <w:tcBorders>
              <w:top w:val="single" w:color="000000" w:sz="4" w:space="0"/>
              <w:left w:val="nil"/>
              <w:bottom w:val="single" w:color="000000" w:sz="4" w:space="0"/>
              <w:right w:val="single" w:color="000000" w:sz="4" w:space="0"/>
            </w:tcBorders>
            <w:shd w:val="clear" w:color="auto" w:fill="auto"/>
            <w:vAlign w:val="center"/>
          </w:tcPr>
          <w:p w14:paraId="05D3AE0A">
            <w:pPr>
              <w:spacing w:line="520" w:lineRule="exact"/>
              <w:rPr>
                <w:sz w:val="28"/>
                <w:szCs w:val="28"/>
              </w:rPr>
            </w:pPr>
            <w:r>
              <w:rPr>
                <w:sz w:val="28"/>
                <w:szCs w:val="28"/>
              </w:rPr>
              <w:t>医疗器械生物学评价</w:t>
            </w:r>
            <w:r>
              <w:rPr>
                <w:rFonts w:hint="eastAsia"/>
                <w:sz w:val="28"/>
                <w:szCs w:val="28"/>
              </w:rPr>
              <w:t xml:space="preserve"> </w:t>
            </w:r>
            <w:r>
              <w:rPr>
                <w:sz w:val="28"/>
                <w:szCs w:val="28"/>
              </w:rPr>
              <w:t xml:space="preserve"> 第23 部分:刺激试验</w:t>
            </w:r>
          </w:p>
        </w:tc>
      </w:tr>
      <w:tr w14:paraId="2C259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C0C1">
            <w:pPr>
              <w:spacing w:line="520" w:lineRule="exact"/>
              <w:jc w:val="center"/>
              <w:rPr>
                <w:sz w:val="28"/>
                <w:szCs w:val="28"/>
              </w:rPr>
            </w:pPr>
            <w:r>
              <w:rPr>
                <w:sz w:val="28"/>
                <w:szCs w:val="28"/>
              </w:rPr>
              <w:t>GB/T42062</w:t>
            </w:r>
          </w:p>
        </w:tc>
        <w:tc>
          <w:tcPr>
            <w:tcW w:w="6076" w:type="dxa"/>
            <w:tcBorders>
              <w:top w:val="single" w:color="000000" w:sz="4" w:space="0"/>
              <w:left w:val="nil"/>
              <w:bottom w:val="single" w:color="000000" w:sz="4" w:space="0"/>
              <w:right w:val="single" w:color="000000" w:sz="4" w:space="0"/>
            </w:tcBorders>
            <w:shd w:val="clear" w:color="auto" w:fill="auto"/>
            <w:vAlign w:val="center"/>
          </w:tcPr>
          <w:p w14:paraId="1AC8D20C">
            <w:pPr>
              <w:spacing w:line="520" w:lineRule="exact"/>
              <w:rPr>
                <w:sz w:val="28"/>
                <w:szCs w:val="28"/>
              </w:rPr>
            </w:pPr>
            <w:r>
              <w:rPr>
                <w:sz w:val="28"/>
                <w:szCs w:val="28"/>
              </w:rPr>
              <w:t>医疗器械 风险管理对医疗器械的应用</w:t>
            </w:r>
          </w:p>
        </w:tc>
      </w:tr>
      <w:tr w14:paraId="6FBED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0" w:hRule="atLeast"/>
          <w:jc w:val="center"/>
        </w:trPr>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E199">
            <w:pPr>
              <w:spacing w:line="520" w:lineRule="exact"/>
              <w:jc w:val="center"/>
              <w:rPr>
                <w:sz w:val="28"/>
                <w:szCs w:val="28"/>
              </w:rPr>
            </w:pPr>
            <w:r>
              <w:rPr>
                <w:sz w:val="28"/>
                <w:szCs w:val="28"/>
              </w:rPr>
              <w:t>YY/T0466.1</w:t>
            </w:r>
          </w:p>
        </w:tc>
        <w:tc>
          <w:tcPr>
            <w:tcW w:w="6076" w:type="dxa"/>
            <w:tcBorders>
              <w:top w:val="single" w:color="000000" w:sz="4" w:space="0"/>
              <w:left w:val="nil"/>
              <w:bottom w:val="single" w:color="000000" w:sz="4" w:space="0"/>
              <w:right w:val="single" w:color="000000" w:sz="4" w:space="0"/>
            </w:tcBorders>
            <w:shd w:val="clear" w:color="auto" w:fill="auto"/>
            <w:vAlign w:val="center"/>
          </w:tcPr>
          <w:p w14:paraId="4A96921F">
            <w:pPr>
              <w:spacing w:line="520" w:lineRule="exact"/>
              <w:rPr>
                <w:sz w:val="28"/>
                <w:szCs w:val="28"/>
              </w:rPr>
            </w:pPr>
            <w:r>
              <w:rPr>
                <w:sz w:val="28"/>
                <w:szCs w:val="28"/>
              </w:rPr>
              <w:t>医疗器械用于医疗器械标签、标记和提供信息的符号 第1部分:通用要求</w:t>
            </w:r>
          </w:p>
        </w:tc>
      </w:tr>
    </w:tbl>
    <w:p w14:paraId="172A42BA">
      <w:pPr>
        <w:pStyle w:val="22"/>
        <w:spacing w:line="520" w:lineRule="exact"/>
        <w:rPr>
          <w:rFonts w:ascii="Times New Roman" w:hAnsi="Times New Roman"/>
        </w:rPr>
      </w:pPr>
    </w:p>
    <w:p w14:paraId="187ED45B">
      <w:pPr>
        <w:pStyle w:val="22"/>
        <w:spacing w:line="520" w:lineRule="exact"/>
        <w:rPr>
          <w:rFonts w:ascii="Times New Roman" w:hAnsi="Times New Roman"/>
          <w:szCs w:val="32"/>
        </w:rPr>
      </w:pPr>
    </w:p>
    <w:sectPr>
      <w:pgSz w:w="11906" w:h="16838"/>
      <w:pgMar w:top="1701" w:right="1588" w:bottom="1701" w:left="1588" w:header="850" w:footer="1061" w:gutter="0"/>
      <w:pgNumType w:start="1"/>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0002A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altName w:val="宋体"/>
    <w:panose1 w:val="00000000000000000000"/>
    <w:charset w:val="86"/>
    <w:family w:val="script"/>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CE3FF">
    <w:pPr>
      <w:pStyle w:val="11"/>
      <w:jc w:val="right"/>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1</w:t>
    </w:r>
    <w:r>
      <w:rPr>
        <w:sz w:val="28"/>
        <w:szCs w:val="28"/>
      </w:rPr>
      <w:fldChar w:fldCharType="end"/>
    </w:r>
    <w:r>
      <w:rPr>
        <w:sz w:val="28"/>
        <w:szCs w:val="28"/>
      </w:rPr>
      <w:t xml:space="preserve"> —</w:t>
    </w:r>
  </w:p>
  <w:p w14:paraId="25722508">
    <w:pPr>
      <w:pStyle w:val="11"/>
      <w:rPr>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79FA2">
    <w:pPr>
      <w:pStyle w:val="11"/>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2</w:t>
    </w:r>
    <w:r>
      <w:rPr>
        <w:sz w:val="28"/>
        <w:szCs w:val="28"/>
      </w:rPr>
      <w:fldChar w:fldCharType="end"/>
    </w:r>
    <w:r>
      <w:rPr>
        <w:sz w:val="28"/>
        <w:szCs w:val="28"/>
      </w:rPr>
      <w:t xml:space="preserve"> —</w:t>
    </w:r>
  </w:p>
  <w:p w14:paraId="35D536A5">
    <w:pPr>
      <w:pStyle w:val="11"/>
      <w:numPr>
        <w:ilvl w:val="255"/>
        <w:numId w:val="0"/>
      </w:numPr>
      <w:rPr>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519F5">
    <w:pPr>
      <w:pStyle w:val="11"/>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451AD">
    <w:pPr>
      <w:pStyle w:val="1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6BE02">
    <w:pPr>
      <w:pStyle w:val="12"/>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87CDB">
    <w:pPr>
      <w:pStyle w:val="12"/>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bordersDoNotSurroundHeader w:val="1"/>
  <w:bordersDoNotSurroundFooter w:val="1"/>
  <w:documentProtection w:enforcement="0"/>
  <w:defaultTabStop w:val="420"/>
  <w:evenAndOddHeaders w:val="1"/>
  <w:drawingGridHorizontalSpacing w:val="160"/>
  <w:drawingGridVerticalSpacing w:val="435"/>
  <w:displayHorizontalDrawingGridEvery w:val="2"/>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UxYzZhZjE5YzY2ZGIwYjYxZjJlYTYxYjQ5Yjc4ZGYifQ=="/>
  </w:docVars>
  <w:rsids>
    <w:rsidRoot w:val="00E72051"/>
    <w:rsid w:val="00001473"/>
    <w:rsid w:val="0000246B"/>
    <w:rsid w:val="00002589"/>
    <w:rsid w:val="00002B57"/>
    <w:rsid w:val="000030EA"/>
    <w:rsid w:val="00003448"/>
    <w:rsid w:val="00003A23"/>
    <w:rsid w:val="00003BAE"/>
    <w:rsid w:val="0000451C"/>
    <w:rsid w:val="00004D55"/>
    <w:rsid w:val="0000511A"/>
    <w:rsid w:val="00005304"/>
    <w:rsid w:val="00006391"/>
    <w:rsid w:val="00006EBB"/>
    <w:rsid w:val="000071F2"/>
    <w:rsid w:val="000118CC"/>
    <w:rsid w:val="00011AA3"/>
    <w:rsid w:val="00011BC5"/>
    <w:rsid w:val="00012101"/>
    <w:rsid w:val="000127BB"/>
    <w:rsid w:val="000129EF"/>
    <w:rsid w:val="00013D0F"/>
    <w:rsid w:val="00013EC0"/>
    <w:rsid w:val="00014343"/>
    <w:rsid w:val="00014A1B"/>
    <w:rsid w:val="00014DB6"/>
    <w:rsid w:val="00015060"/>
    <w:rsid w:val="00015912"/>
    <w:rsid w:val="00015B09"/>
    <w:rsid w:val="00015E0B"/>
    <w:rsid w:val="000165C3"/>
    <w:rsid w:val="00017576"/>
    <w:rsid w:val="00020E92"/>
    <w:rsid w:val="0002104F"/>
    <w:rsid w:val="00021221"/>
    <w:rsid w:val="00021742"/>
    <w:rsid w:val="00021B8C"/>
    <w:rsid w:val="00021BBA"/>
    <w:rsid w:val="00021D1D"/>
    <w:rsid w:val="0002206E"/>
    <w:rsid w:val="000220C0"/>
    <w:rsid w:val="000220C3"/>
    <w:rsid w:val="000223C3"/>
    <w:rsid w:val="00022DA8"/>
    <w:rsid w:val="00023469"/>
    <w:rsid w:val="00023CA0"/>
    <w:rsid w:val="00024239"/>
    <w:rsid w:val="00024BFC"/>
    <w:rsid w:val="00024F32"/>
    <w:rsid w:val="0002568D"/>
    <w:rsid w:val="00025ACE"/>
    <w:rsid w:val="00025B53"/>
    <w:rsid w:val="000265B0"/>
    <w:rsid w:val="000265BC"/>
    <w:rsid w:val="0002723D"/>
    <w:rsid w:val="00027351"/>
    <w:rsid w:val="00027798"/>
    <w:rsid w:val="000314C2"/>
    <w:rsid w:val="0003166E"/>
    <w:rsid w:val="00031694"/>
    <w:rsid w:val="0003198F"/>
    <w:rsid w:val="00031BCD"/>
    <w:rsid w:val="000321C2"/>
    <w:rsid w:val="00032464"/>
    <w:rsid w:val="000332C6"/>
    <w:rsid w:val="000336CB"/>
    <w:rsid w:val="00033D8D"/>
    <w:rsid w:val="00033F32"/>
    <w:rsid w:val="00034CA9"/>
    <w:rsid w:val="00036806"/>
    <w:rsid w:val="000405F3"/>
    <w:rsid w:val="00040B20"/>
    <w:rsid w:val="00040B38"/>
    <w:rsid w:val="00040C0F"/>
    <w:rsid w:val="00041E46"/>
    <w:rsid w:val="00041EB6"/>
    <w:rsid w:val="00042217"/>
    <w:rsid w:val="000425E8"/>
    <w:rsid w:val="000433E9"/>
    <w:rsid w:val="00043782"/>
    <w:rsid w:val="000464BD"/>
    <w:rsid w:val="00046645"/>
    <w:rsid w:val="00046B67"/>
    <w:rsid w:val="00050549"/>
    <w:rsid w:val="0005231C"/>
    <w:rsid w:val="00053A80"/>
    <w:rsid w:val="00053DE6"/>
    <w:rsid w:val="00054399"/>
    <w:rsid w:val="000544D0"/>
    <w:rsid w:val="000545F9"/>
    <w:rsid w:val="0005492A"/>
    <w:rsid w:val="00055B9C"/>
    <w:rsid w:val="00057CFC"/>
    <w:rsid w:val="000606E9"/>
    <w:rsid w:val="000623BD"/>
    <w:rsid w:val="000628E7"/>
    <w:rsid w:val="000629B5"/>
    <w:rsid w:val="0006337B"/>
    <w:rsid w:val="000638D9"/>
    <w:rsid w:val="00063DE4"/>
    <w:rsid w:val="000643F9"/>
    <w:rsid w:val="000650AE"/>
    <w:rsid w:val="00065FB2"/>
    <w:rsid w:val="00067D55"/>
    <w:rsid w:val="00072B7B"/>
    <w:rsid w:val="00072FE4"/>
    <w:rsid w:val="00073234"/>
    <w:rsid w:val="00073ED5"/>
    <w:rsid w:val="00074563"/>
    <w:rsid w:val="00076015"/>
    <w:rsid w:val="00076328"/>
    <w:rsid w:val="0007639E"/>
    <w:rsid w:val="00076D46"/>
    <w:rsid w:val="00080647"/>
    <w:rsid w:val="000809BF"/>
    <w:rsid w:val="000819EC"/>
    <w:rsid w:val="000822CD"/>
    <w:rsid w:val="00082B16"/>
    <w:rsid w:val="000830A3"/>
    <w:rsid w:val="000840DD"/>
    <w:rsid w:val="0008454B"/>
    <w:rsid w:val="000845A0"/>
    <w:rsid w:val="00084794"/>
    <w:rsid w:val="00085835"/>
    <w:rsid w:val="00085A84"/>
    <w:rsid w:val="00085F5A"/>
    <w:rsid w:val="0008733B"/>
    <w:rsid w:val="00087C16"/>
    <w:rsid w:val="000901C4"/>
    <w:rsid w:val="00091AD0"/>
    <w:rsid w:val="000943AF"/>
    <w:rsid w:val="00094B53"/>
    <w:rsid w:val="000954FF"/>
    <w:rsid w:val="0009663C"/>
    <w:rsid w:val="000968EE"/>
    <w:rsid w:val="00096D32"/>
    <w:rsid w:val="00097195"/>
    <w:rsid w:val="000A1017"/>
    <w:rsid w:val="000A303B"/>
    <w:rsid w:val="000A499D"/>
    <w:rsid w:val="000A4EF9"/>
    <w:rsid w:val="000A5A90"/>
    <w:rsid w:val="000A5C22"/>
    <w:rsid w:val="000A6C77"/>
    <w:rsid w:val="000A72D6"/>
    <w:rsid w:val="000A73DE"/>
    <w:rsid w:val="000A73EE"/>
    <w:rsid w:val="000A7D0D"/>
    <w:rsid w:val="000B0752"/>
    <w:rsid w:val="000B0FD4"/>
    <w:rsid w:val="000B1515"/>
    <w:rsid w:val="000B1580"/>
    <w:rsid w:val="000B192C"/>
    <w:rsid w:val="000B1B7E"/>
    <w:rsid w:val="000B200B"/>
    <w:rsid w:val="000B2204"/>
    <w:rsid w:val="000B28EF"/>
    <w:rsid w:val="000B3634"/>
    <w:rsid w:val="000B3D81"/>
    <w:rsid w:val="000B41B1"/>
    <w:rsid w:val="000B5999"/>
    <w:rsid w:val="000B5D12"/>
    <w:rsid w:val="000B6863"/>
    <w:rsid w:val="000B7194"/>
    <w:rsid w:val="000B7A85"/>
    <w:rsid w:val="000C003E"/>
    <w:rsid w:val="000C19A9"/>
    <w:rsid w:val="000C296D"/>
    <w:rsid w:val="000C3DE1"/>
    <w:rsid w:val="000C43A4"/>
    <w:rsid w:val="000C45D5"/>
    <w:rsid w:val="000C4604"/>
    <w:rsid w:val="000C4A53"/>
    <w:rsid w:val="000C5789"/>
    <w:rsid w:val="000C6B9A"/>
    <w:rsid w:val="000C7196"/>
    <w:rsid w:val="000C7862"/>
    <w:rsid w:val="000D0273"/>
    <w:rsid w:val="000D032D"/>
    <w:rsid w:val="000D0501"/>
    <w:rsid w:val="000D16EB"/>
    <w:rsid w:val="000D1E92"/>
    <w:rsid w:val="000D3621"/>
    <w:rsid w:val="000D37A7"/>
    <w:rsid w:val="000D3F4D"/>
    <w:rsid w:val="000D4103"/>
    <w:rsid w:val="000D5BC0"/>
    <w:rsid w:val="000D5D01"/>
    <w:rsid w:val="000D675C"/>
    <w:rsid w:val="000D6D12"/>
    <w:rsid w:val="000D7886"/>
    <w:rsid w:val="000E0D68"/>
    <w:rsid w:val="000E3355"/>
    <w:rsid w:val="000E3498"/>
    <w:rsid w:val="000E3C3E"/>
    <w:rsid w:val="000E4BBF"/>
    <w:rsid w:val="000E5117"/>
    <w:rsid w:val="000E56A2"/>
    <w:rsid w:val="000E5725"/>
    <w:rsid w:val="000E586F"/>
    <w:rsid w:val="000E5BD2"/>
    <w:rsid w:val="000E5CAE"/>
    <w:rsid w:val="000E6526"/>
    <w:rsid w:val="000E67D3"/>
    <w:rsid w:val="000E775B"/>
    <w:rsid w:val="000F0245"/>
    <w:rsid w:val="000F06E8"/>
    <w:rsid w:val="000F0D66"/>
    <w:rsid w:val="000F1675"/>
    <w:rsid w:val="000F16CE"/>
    <w:rsid w:val="000F1773"/>
    <w:rsid w:val="000F2029"/>
    <w:rsid w:val="000F22B0"/>
    <w:rsid w:val="000F296E"/>
    <w:rsid w:val="000F4092"/>
    <w:rsid w:val="000F5176"/>
    <w:rsid w:val="000F579D"/>
    <w:rsid w:val="000F5D2B"/>
    <w:rsid w:val="000F645F"/>
    <w:rsid w:val="000F6E14"/>
    <w:rsid w:val="000F6E75"/>
    <w:rsid w:val="000F7DB7"/>
    <w:rsid w:val="0010000A"/>
    <w:rsid w:val="001001A6"/>
    <w:rsid w:val="00101212"/>
    <w:rsid w:val="001020CA"/>
    <w:rsid w:val="00102410"/>
    <w:rsid w:val="0010295C"/>
    <w:rsid w:val="00103FE7"/>
    <w:rsid w:val="00104B90"/>
    <w:rsid w:val="0010534C"/>
    <w:rsid w:val="001075BF"/>
    <w:rsid w:val="00107B42"/>
    <w:rsid w:val="00107CD3"/>
    <w:rsid w:val="00107D03"/>
    <w:rsid w:val="001100E8"/>
    <w:rsid w:val="00110FC7"/>
    <w:rsid w:val="0011175D"/>
    <w:rsid w:val="0011270A"/>
    <w:rsid w:val="00112749"/>
    <w:rsid w:val="00112E20"/>
    <w:rsid w:val="0011359D"/>
    <w:rsid w:val="001136DA"/>
    <w:rsid w:val="00113F04"/>
    <w:rsid w:val="001150A2"/>
    <w:rsid w:val="00116393"/>
    <w:rsid w:val="001166BD"/>
    <w:rsid w:val="00117AE0"/>
    <w:rsid w:val="001202E9"/>
    <w:rsid w:val="001204AE"/>
    <w:rsid w:val="00120657"/>
    <w:rsid w:val="00120DDA"/>
    <w:rsid w:val="001225F8"/>
    <w:rsid w:val="001226FF"/>
    <w:rsid w:val="00122BA3"/>
    <w:rsid w:val="00122D9F"/>
    <w:rsid w:val="00124883"/>
    <w:rsid w:val="001248EB"/>
    <w:rsid w:val="0012492A"/>
    <w:rsid w:val="00124CDC"/>
    <w:rsid w:val="00126AB0"/>
    <w:rsid w:val="00126DB5"/>
    <w:rsid w:val="0012757C"/>
    <w:rsid w:val="00127623"/>
    <w:rsid w:val="00130864"/>
    <w:rsid w:val="00131FF0"/>
    <w:rsid w:val="001329F6"/>
    <w:rsid w:val="00134B42"/>
    <w:rsid w:val="00134D80"/>
    <w:rsid w:val="00135373"/>
    <w:rsid w:val="001375E6"/>
    <w:rsid w:val="0014067D"/>
    <w:rsid w:val="00140DC9"/>
    <w:rsid w:val="001427DB"/>
    <w:rsid w:val="0014293E"/>
    <w:rsid w:val="00142F1F"/>
    <w:rsid w:val="00143F8C"/>
    <w:rsid w:val="00144E19"/>
    <w:rsid w:val="00146901"/>
    <w:rsid w:val="00146DA2"/>
    <w:rsid w:val="001500DC"/>
    <w:rsid w:val="0015156D"/>
    <w:rsid w:val="0015160F"/>
    <w:rsid w:val="00151779"/>
    <w:rsid w:val="001519E1"/>
    <w:rsid w:val="00151FDE"/>
    <w:rsid w:val="001539C3"/>
    <w:rsid w:val="00153FA4"/>
    <w:rsid w:val="00154004"/>
    <w:rsid w:val="00154E23"/>
    <w:rsid w:val="00155B47"/>
    <w:rsid w:val="00155CB9"/>
    <w:rsid w:val="00155D4E"/>
    <w:rsid w:val="00156E7D"/>
    <w:rsid w:val="001570CA"/>
    <w:rsid w:val="001571A2"/>
    <w:rsid w:val="00160075"/>
    <w:rsid w:val="00160435"/>
    <w:rsid w:val="001620F0"/>
    <w:rsid w:val="00162575"/>
    <w:rsid w:val="00162FD7"/>
    <w:rsid w:val="00164E81"/>
    <w:rsid w:val="00164FCD"/>
    <w:rsid w:val="0016592C"/>
    <w:rsid w:val="00165A87"/>
    <w:rsid w:val="001660A3"/>
    <w:rsid w:val="001664D9"/>
    <w:rsid w:val="0016671E"/>
    <w:rsid w:val="001678DE"/>
    <w:rsid w:val="00167E15"/>
    <w:rsid w:val="00167E56"/>
    <w:rsid w:val="0017078B"/>
    <w:rsid w:val="00171374"/>
    <w:rsid w:val="001714D9"/>
    <w:rsid w:val="00171645"/>
    <w:rsid w:val="0017180E"/>
    <w:rsid w:val="001722FB"/>
    <w:rsid w:val="0017290D"/>
    <w:rsid w:val="00173576"/>
    <w:rsid w:val="00173C65"/>
    <w:rsid w:val="0017470C"/>
    <w:rsid w:val="001757D3"/>
    <w:rsid w:val="00175988"/>
    <w:rsid w:val="00175FB9"/>
    <w:rsid w:val="001775CB"/>
    <w:rsid w:val="0017779D"/>
    <w:rsid w:val="0017782A"/>
    <w:rsid w:val="00181646"/>
    <w:rsid w:val="001829BA"/>
    <w:rsid w:val="00182FCA"/>
    <w:rsid w:val="00183EAA"/>
    <w:rsid w:val="00184587"/>
    <w:rsid w:val="00184975"/>
    <w:rsid w:val="0018503C"/>
    <w:rsid w:val="00185915"/>
    <w:rsid w:val="001869C7"/>
    <w:rsid w:val="00187127"/>
    <w:rsid w:val="001879F1"/>
    <w:rsid w:val="00187BBA"/>
    <w:rsid w:val="0019036D"/>
    <w:rsid w:val="00190480"/>
    <w:rsid w:val="00192378"/>
    <w:rsid w:val="00192BBE"/>
    <w:rsid w:val="00192FCE"/>
    <w:rsid w:val="001934EB"/>
    <w:rsid w:val="00193843"/>
    <w:rsid w:val="00195687"/>
    <w:rsid w:val="00195EDB"/>
    <w:rsid w:val="0019622D"/>
    <w:rsid w:val="00196626"/>
    <w:rsid w:val="0019739E"/>
    <w:rsid w:val="00197BB6"/>
    <w:rsid w:val="00197F70"/>
    <w:rsid w:val="001A032B"/>
    <w:rsid w:val="001A086E"/>
    <w:rsid w:val="001A08A0"/>
    <w:rsid w:val="001A1F5E"/>
    <w:rsid w:val="001A23DF"/>
    <w:rsid w:val="001A303E"/>
    <w:rsid w:val="001A58A0"/>
    <w:rsid w:val="001A769A"/>
    <w:rsid w:val="001B0440"/>
    <w:rsid w:val="001B0EB0"/>
    <w:rsid w:val="001B13CD"/>
    <w:rsid w:val="001B1459"/>
    <w:rsid w:val="001B1657"/>
    <w:rsid w:val="001B1D12"/>
    <w:rsid w:val="001B24E7"/>
    <w:rsid w:val="001B3ADE"/>
    <w:rsid w:val="001B45B1"/>
    <w:rsid w:val="001B4B18"/>
    <w:rsid w:val="001B5420"/>
    <w:rsid w:val="001B5E23"/>
    <w:rsid w:val="001B5E6C"/>
    <w:rsid w:val="001C27D2"/>
    <w:rsid w:val="001C3089"/>
    <w:rsid w:val="001C3A2A"/>
    <w:rsid w:val="001C414C"/>
    <w:rsid w:val="001C4BBA"/>
    <w:rsid w:val="001C6050"/>
    <w:rsid w:val="001C6626"/>
    <w:rsid w:val="001C74DC"/>
    <w:rsid w:val="001D00E8"/>
    <w:rsid w:val="001D014E"/>
    <w:rsid w:val="001D12B0"/>
    <w:rsid w:val="001D2018"/>
    <w:rsid w:val="001D2444"/>
    <w:rsid w:val="001D251D"/>
    <w:rsid w:val="001D283A"/>
    <w:rsid w:val="001D2860"/>
    <w:rsid w:val="001D2A3B"/>
    <w:rsid w:val="001D2D14"/>
    <w:rsid w:val="001D3322"/>
    <w:rsid w:val="001D363C"/>
    <w:rsid w:val="001D3DB1"/>
    <w:rsid w:val="001D3E9F"/>
    <w:rsid w:val="001D4602"/>
    <w:rsid w:val="001D50F1"/>
    <w:rsid w:val="001D535A"/>
    <w:rsid w:val="001D586F"/>
    <w:rsid w:val="001D6329"/>
    <w:rsid w:val="001D7138"/>
    <w:rsid w:val="001D725C"/>
    <w:rsid w:val="001E0167"/>
    <w:rsid w:val="001E0866"/>
    <w:rsid w:val="001E09E9"/>
    <w:rsid w:val="001E1BE1"/>
    <w:rsid w:val="001E1C08"/>
    <w:rsid w:val="001E277B"/>
    <w:rsid w:val="001E31FD"/>
    <w:rsid w:val="001E32BF"/>
    <w:rsid w:val="001E33B2"/>
    <w:rsid w:val="001E3812"/>
    <w:rsid w:val="001E3D90"/>
    <w:rsid w:val="001E4A4F"/>
    <w:rsid w:val="001E5371"/>
    <w:rsid w:val="001E5610"/>
    <w:rsid w:val="001E5845"/>
    <w:rsid w:val="001E5F1D"/>
    <w:rsid w:val="001E7943"/>
    <w:rsid w:val="001E7E4E"/>
    <w:rsid w:val="001F0474"/>
    <w:rsid w:val="001F0E37"/>
    <w:rsid w:val="001F114D"/>
    <w:rsid w:val="001F115F"/>
    <w:rsid w:val="001F2701"/>
    <w:rsid w:val="001F2B52"/>
    <w:rsid w:val="001F2B78"/>
    <w:rsid w:val="001F38A9"/>
    <w:rsid w:val="001F4B8F"/>
    <w:rsid w:val="001F5267"/>
    <w:rsid w:val="001F7E54"/>
    <w:rsid w:val="002001A3"/>
    <w:rsid w:val="0020158F"/>
    <w:rsid w:val="00201D40"/>
    <w:rsid w:val="002022FB"/>
    <w:rsid w:val="00202441"/>
    <w:rsid w:val="0020266E"/>
    <w:rsid w:val="00202964"/>
    <w:rsid w:val="00202CDF"/>
    <w:rsid w:val="00203427"/>
    <w:rsid w:val="00203B1C"/>
    <w:rsid w:val="002041D4"/>
    <w:rsid w:val="00204F12"/>
    <w:rsid w:val="002053BE"/>
    <w:rsid w:val="00205C63"/>
    <w:rsid w:val="002068D5"/>
    <w:rsid w:val="00206F4F"/>
    <w:rsid w:val="00207580"/>
    <w:rsid w:val="0021098B"/>
    <w:rsid w:val="00211117"/>
    <w:rsid w:val="00211287"/>
    <w:rsid w:val="0021144F"/>
    <w:rsid w:val="00211A6C"/>
    <w:rsid w:val="002121DC"/>
    <w:rsid w:val="00212358"/>
    <w:rsid w:val="00212AA2"/>
    <w:rsid w:val="002134D0"/>
    <w:rsid w:val="0021351C"/>
    <w:rsid w:val="00213D8D"/>
    <w:rsid w:val="00214DC4"/>
    <w:rsid w:val="00214E35"/>
    <w:rsid w:val="002150EF"/>
    <w:rsid w:val="002155A3"/>
    <w:rsid w:val="0021612A"/>
    <w:rsid w:val="002162BB"/>
    <w:rsid w:val="0021640F"/>
    <w:rsid w:val="0021738B"/>
    <w:rsid w:val="0021799B"/>
    <w:rsid w:val="00217D6A"/>
    <w:rsid w:val="00220797"/>
    <w:rsid w:val="00220998"/>
    <w:rsid w:val="002212C8"/>
    <w:rsid w:val="00221866"/>
    <w:rsid w:val="002218A4"/>
    <w:rsid w:val="002228D3"/>
    <w:rsid w:val="00222ACA"/>
    <w:rsid w:val="0022327E"/>
    <w:rsid w:val="002233B6"/>
    <w:rsid w:val="00223CFE"/>
    <w:rsid w:val="002244EF"/>
    <w:rsid w:val="00225DD2"/>
    <w:rsid w:val="00227527"/>
    <w:rsid w:val="00227EC2"/>
    <w:rsid w:val="00230170"/>
    <w:rsid w:val="0023028B"/>
    <w:rsid w:val="00230468"/>
    <w:rsid w:val="00230951"/>
    <w:rsid w:val="002313A1"/>
    <w:rsid w:val="0023153B"/>
    <w:rsid w:val="00231FCC"/>
    <w:rsid w:val="002321F0"/>
    <w:rsid w:val="002325D0"/>
    <w:rsid w:val="0023275A"/>
    <w:rsid w:val="002328AB"/>
    <w:rsid w:val="002328C5"/>
    <w:rsid w:val="00232D24"/>
    <w:rsid w:val="00233053"/>
    <w:rsid w:val="00233E5A"/>
    <w:rsid w:val="0023465D"/>
    <w:rsid w:val="00234C67"/>
    <w:rsid w:val="00234DF5"/>
    <w:rsid w:val="00234FD5"/>
    <w:rsid w:val="00235D16"/>
    <w:rsid w:val="0023662F"/>
    <w:rsid w:val="0023666F"/>
    <w:rsid w:val="00236768"/>
    <w:rsid w:val="00236B32"/>
    <w:rsid w:val="002370CC"/>
    <w:rsid w:val="002402D2"/>
    <w:rsid w:val="00241044"/>
    <w:rsid w:val="00241D77"/>
    <w:rsid w:val="0024264C"/>
    <w:rsid w:val="0024377D"/>
    <w:rsid w:val="00243B1B"/>
    <w:rsid w:val="0024467F"/>
    <w:rsid w:val="002455C7"/>
    <w:rsid w:val="00246B76"/>
    <w:rsid w:val="00247303"/>
    <w:rsid w:val="00247448"/>
    <w:rsid w:val="00247FE2"/>
    <w:rsid w:val="00250027"/>
    <w:rsid w:val="00251F6A"/>
    <w:rsid w:val="002521AB"/>
    <w:rsid w:val="00252CEE"/>
    <w:rsid w:val="00253B7A"/>
    <w:rsid w:val="002541A6"/>
    <w:rsid w:val="00254A85"/>
    <w:rsid w:val="00255762"/>
    <w:rsid w:val="00255D16"/>
    <w:rsid w:val="00256B23"/>
    <w:rsid w:val="00256FDD"/>
    <w:rsid w:val="00257956"/>
    <w:rsid w:val="00260293"/>
    <w:rsid w:val="00260758"/>
    <w:rsid w:val="00260D3E"/>
    <w:rsid w:val="00260EA4"/>
    <w:rsid w:val="002615D6"/>
    <w:rsid w:val="00261888"/>
    <w:rsid w:val="00261E35"/>
    <w:rsid w:val="00262D2A"/>
    <w:rsid w:val="00263071"/>
    <w:rsid w:val="00263469"/>
    <w:rsid w:val="00263BCB"/>
    <w:rsid w:val="00265EEE"/>
    <w:rsid w:val="00266138"/>
    <w:rsid w:val="00266DCE"/>
    <w:rsid w:val="00267BB8"/>
    <w:rsid w:val="00270B06"/>
    <w:rsid w:val="0027212A"/>
    <w:rsid w:val="00272A84"/>
    <w:rsid w:val="00272F0A"/>
    <w:rsid w:val="00273558"/>
    <w:rsid w:val="00273987"/>
    <w:rsid w:val="00273CBA"/>
    <w:rsid w:val="0027430D"/>
    <w:rsid w:val="0027460C"/>
    <w:rsid w:val="00276043"/>
    <w:rsid w:val="002761AF"/>
    <w:rsid w:val="00276347"/>
    <w:rsid w:val="002765CF"/>
    <w:rsid w:val="00276E6A"/>
    <w:rsid w:val="002776DA"/>
    <w:rsid w:val="00280694"/>
    <w:rsid w:val="00280918"/>
    <w:rsid w:val="00280BC6"/>
    <w:rsid w:val="00280CF7"/>
    <w:rsid w:val="00281C23"/>
    <w:rsid w:val="002823FC"/>
    <w:rsid w:val="0028272E"/>
    <w:rsid w:val="00282D32"/>
    <w:rsid w:val="00283ECB"/>
    <w:rsid w:val="00284D8E"/>
    <w:rsid w:val="002854D2"/>
    <w:rsid w:val="002854EB"/>
    <w:rsid w:val="002859FF"/>
    <w:rsid w:val="002869DC"/>
    <w:rsid w:val="00286AF2"/>
    <w:rsid w:val="00286BE1"/>
    <w:rsid w:val="002872E0"/>
    <w:rsid w:val="00290C55"/>
    <w:rsid w:val="002913E0"/>
    <w:rsid w:val="00293669"/>
    <w:rsid w:val="00293BD1"/>
    <w:rsid w:val="00294F8E"/>
    <w:rsid w:val="002952ED"/>
    <w:rsid w:val="002953A1"/>
    <w:rsid w:val="00295560"/>
    <w:rsid w:val="0029566E"/>
    <w:rsid w:val="00295726"/>
    <w:rsid w:val="00295F8F"/>
    <w:rsid w:val="00296E7A"/>
    <w:rsid w:val="002973EA"/>
    <w:rsid w:val="002977E4"/>
    <w:rsid w:val="00297C90"/>
    <w:rsid w:val="002A111B"/>
    <w:rsid w:val="002A11E5"/>
    <w:rsid w:val="002A16E9"/>
    <w:rsid w:val="002A1C37"/>
    <w:rsid w:val="002A1DEF"/>
    <w:rsid w:val="002A1E64"/>
    <w:rsid w:val="002A2C9C"/>
    <w:rsid w:val="002A311E"/>
    <w:rsid w:val="002A31F9"/>
    <w:rsid w:val="002A335D"/>
    <w:rsid w:val="002A38D9"/>
    <w:rsid w:val="002A5C28"/>
    <w:rsid w:val="002A6320"/>
    <w:rsid w:val="002A7804"/>
    <w:rsid w:val="002B1A06"/>
    <w:rsid w:val="002B2C3A"/>
    <w:rsid w:val="002B3CC8"/>
    <w:rsid w:val="002B41E8"/>
    <w:rsid w:val="002B4698"/>
    <w:rsid w:val="002B4D84"/>
    <w:rsid w:val="002B54B2"/>
    <w:rsid w:val="002B5ADC"/>
    <w:rsid w:val="002B6389"/>
    <w:rsid w:val="002B6CDA"/>
    <w:rsid w:val="002B71A8"/>
    <w:rsid w:val="002C0598"/>
    <w:rsid w:val="002C07D2"/>
    <w:rsid w:val="002C0E8C"/>
    <w:rsid w:val="002C12A2"/>
    <w:rsid w:val="002C1317"/>
    <w:rsid w:val="002C19A5"/>
    <w:rsid w:val="002C2791"/>
    <w:rsid w:val="002C35B9"/>
    <w:rsid w:val="002C35D5"/>
    <w:rsid w:val="002C40DE"/>
    <w:rsid w:val="002C566D"/>
    <w:rsid w:val="002C70AC"/>
    <w:rsid w:val="002C7BD2"/>
    <w:rsid w:val="002C7EE2"/>
    <w:rsid w:val="002D05F1"/>
    <w:rsid w:val="002D0B47"/>
    <w:rsid w:val="002D1678"/>
    <w:rsid w:val="002D177B"/>
    <w:rsid w:val="002D3B32"/>
    <w:rsid w:val="002D3ECC"/>
    <w:rsid w:val="002D49D7"/>
    <w:rsid w:val="002D52EE"/>
    <w:rsid w:val="002D627D"/>
    <w:rsid w:val="002D632F"/>
    <w:rsid w:val="002D6F65"/>
    <w:rsid w:val="002D7073"/>
    <w:rsid w:val="002E0893"/>
    <w:rsid w:val="002E1A5B"/>
    <w:rsid w:val="002E1B07"/>
    <w:rsid w:val="002E1D7C"/>
    <w:rsid w:val="002E1E25"/>
    <w:rsid w:val="002E27BE"/>
    <w:rsid w:val="002E3E8C"/>
    <w:rsid w:val="002E4332"/>
    <w:rsid w:val="002E5151"/>
    <w:rsid w:val="002E5614"/>
    <w:rsid w:val="002E61A4"/>
    <w:rsid w:val="002E672B"/>
    <w:rsid w:val="002E6D67"/>
    <w:rsid w:val="002E6F6E"/>
    <w:rsid w:val="002E721B"/>
    <w:rsid w:val="002F0024"/>
    <w:rsid w:val="002F04E0"/>
    <w:rsid w:val="002F085A"/>
    <w:rsid w:val="002F08FB"/>
    <w:rsid w:val="002F0B50"/>
    <w:rsid w:val="002F1D5E"/>
    <w:rsid w:val="002F2195"/>
    <w:rsid w:val="002F2A42"/>
    <w:rsid w:val="002F3320"/>
    <w:rsid w:val="002F33DF"/>
    <w:rsid w:val="002F3F87"/>
    <w:rsid w:val="002F4F91"/>
    <w:rsid w:val="002F6999"/>
    <w:rsid w:val="002F6A12"/>
    <w:rsid w:val="002F6B2F"/>
    <w:rsid w:val="003012EF"/>
    <w:rsid w:val="003038D4"/>
    <w:rsid w:val="0030397D"/>
    <w:rsid w:val="003047EB"/>
    <w:rsid w:val="00305866"/>
    <w:rsid w:val="0030592D"/>
    <w:rsid w:val="00305A86"/>
    <w:rsid w:val="00305AF1"/>
    <w:rsid w:val="0030669B"/>
    <w:rsid w:val="00310104"/>
    <w:rsid w:val="0031051F"/>
    <w:rsid w:val="00310897"/>
    <w:rsid w:val="00310E02"/>
    <w:rsid w:val="003110BE"/>
    <w:rsid w:val="003113FC"/>
    <w:rsid w:val="003114E8"/>
    <w:rsid w:val="00311AC7"/>
    <w:rsid w:val="003125DF"/>
    <w:rsid w:val="00313061"/>
    <w:rsid w:val="003130E2"/>
    <w:rsid w:val="003131A3"/>
    <w:rsid w:val="003133CB"/>
    <w:rsid w:val="00314081"/>
    <w:rsid w:val="003141A0"/>
    <w:rsid w:val="00314272"/>
    <w:rsid w:val="0031459B"/>
    <w:rsid w:val="00315E57"/>
    <w:rsid w:val="00315F88"/>
    <w:rsid w:val="0031602E"/>
    <w:rsid w:val="003177CD"/>
    <w:rsid w:val="00320545"/>
    <w:rsid w:val="00320883"/>
    <w:rsid w:val="003215FD"/>
    <w:rsid w:val="00321B8A"/>
    <w:rsid w:val="00322226"/>
    <w:rsid w:val="00322799"/>
    <w:rsid w:val="00322B70"/>
    <w:rsid w:val="0032330A"/>
    <w:rsid w:val="00324A7D"/>
    <w:rsid w:val="00325CB5"/>
    <w:rsid w:val="003262C5"/>
    <w:rsid w:val="003262F2"/>
    <w:rsid w:val="0032639B"/>
    <w:rsid w:val="003263F4"/>
    <w:rsid w:val="00326AC3"/>
    <w:rsid w:val="00326C74"/>
    <w:rsid w:val="003276A9"/>
    <w:rsid w:val="003276EE"/>
    <w:rsid w:val="003277C8"/>
    <w:rsid w:val="00327CFF"/>
    <w:rsid w:val="0033173E"/>
    <w:rsid w:val="00331C6F"/>
    <w:rsid w:val="00331FF3"/>
    <w:rsid w:val="003323C8"/>
    <w:rsid w:val="0033335C"/>
    <w:rsid w:val="003339A2"/>
    <w:rsid w:val="00333E2F"/>
    <w:rsid w:val="00334FC1"/>
    <w:rsid w:val="00336975"/>
    <w:rsid w:val="0033702C"/>
    <w:rsid w:val="00337897"/>
    <w:rsid w:val="0034157A"/>
    <w:rsid w:val="00343360"/>
    <w:rsid w:val="00343680"/>
    <w:rsid w:val="00344FC0"/>
    <w:rsid w:val="003453B4"/>
    <w:rsid w:val="003459D9"/>
    <w:rsid w:val="00345EE6"/>
    <w:rsid w:val="003461CF"/>
    <w:rsid w:val="0034633C"/>
    <w:rsid w:val="00346A78"/>
    <w:rsid w:val="00347BD3"/>
    <w:rsid w:val="00347C13"/>
    <w:rsid w:val="00351086"/>
    <w:rsid w:val="00352D0C"/>
    <w:rsid w:val="00352DA4"/>
    <w:rsid w:val="00353486"/>
    <w:rsid w:val="00353AE1"/>
    <w:rsid w:val="00353B57"/>
    <w:rsid w:val="003541DF"/>
    <w:rsid w:val="0035518B"/>
    <w:rsid w:val="00356CE3"/>
    <w:rsid w:val="00357582"/>
    <w:rsid w:val="003604EA"/>
    <w:rsid w:val="00360872"/>
    <w:rsid w:val="00360A17"/>
    <w:rsid w:val="00360E62"/>
    <w:rsid w:val="00360FAF"/>
    <w:rsid w:val="00361A5C"/>
    <w:rsid w:val="00362DBD"/>
    <w:rsid w:val="00363278"/>
    <w:rsid w:val="0036425F"/>
    <w:rsid w:val="00364699"/>
    <w:rsid w:val="003649D9"/>
    <w:rsid w:val="00364F36"/>
    <w:rsid w:val="00365FFF"/>
    <w:rsid w:val="003660D0"/>
    <w:rsid w:val="00370310"/>
    <w:rsid w:val="003707B2"/>
    <w:rsid w:val="003711C3"/>
    <w:rsid w:val="00371BD3"/>
    <w:rsid w:val="00372028"/>
    <w:rsid w:val="0037202F"/>
    <w:rsid w:val="00372F47"/>
    <w:rsid w:val="00373E85"/>
    <w:rsid w:val="00373F7D"/>
    <w:rsid w:val="003750D3"/>
    <w:rsid w:val="00375C01"/>
    <w:rsid w:val="00376F16"/>
    <w:rsid w:val="00377AAF"/>
    <w:rsid w:val="00380D02"/>
    <w:rsid w:val="003814E4"/>
    <w:rsid w:val="00381F0C"/>
    <w:rsid w:val="00382660"/>
    <w:rsid w:val="00382D92"/>
    <w:rsid w:val="00383CEC"/>
    <w:rsid w:val="00384F8D"/>
    <w:rsid w:val="00385074"/>
    <w:rsid w:val="00385079"/>
    <w:rsid w:val="00386563"/>
    <w:rsid w:val="00387755"/>
    <w:rsid w:val="003879A9"/>
    <w:rsid w:val="00390713"/>
    <w:rsid w:val="00390E6B"/>
    <w:rsid w:val="00390FA5"/>
    <w:rsid w:val="00391022"/>
    <w:rsid w:val="003912D8"/>
    <w:rsid w:val="003921D9"/>
    <w:rsid w:val="0039286C"/>
    <w:rsid w:val="00393F19"/>
    <w:rsid w:val="0039466A"/>
    <w:rsid w:val="003953CE"/>
    <w:rsid w:val="00395DFD"/>
    <w:rsid w:val="003968E4"/>
    <w:rsid w:val="00397261"/>
    <w:rsid w:val="00397F0F"/>
    <w:rsid w:val="003A0457"/>
    <w:rsid w:val="003A08CF"/>
    <w:rsid w:val="003A1222"/>
    <w:rsid w:val="003A1996"/>
    <w:rsid w:val="003A1BE9"/>
    <w:rsid w:val="003A1D65"/>
    <w:rsid w:val="003A35F8"/>
    <w:rsid w:val="003A3776"/>
    <w:rsid w:val="003A3BC6"/>
    <w:rsid w:val="003A5417"/>
    <w:rsid w:val="003A5BD0"/>
    <w:rsid w:val="003A5C71"/>
    <w:rsid w:val="003A6AAF"/>
    <w:rsid w:val="003A6D14"/>
    <w:rsid w:val="003A6F7B"/>
    <w:rsid w:val="003A7060"/>
    <w:rsid w:val="003A7C5C"/>
    <w:rsid w:val="003B056C"/>
    <w:rsid w:val="003B0FA5"/>
    <w:rsid w:val="003B17C3"/>
    <w:rsid w:val="003B1B95"/>
    <w:rsid w:val="003B28F4"/>
    <w:rsid w:val="003B3728"/>
    <w:rsid w:val="003B3A68"/>
    <w:rsid w:val="003B3B45"/>
    <w:rsid w:val="003B3EE2"/>
    <w:rsid w:val="003B3F35"/>
    <w:rsid w:val="003B4DA7"/>
    <w:rsid w:val="003B518B"/>
    <w:rsid w:val="003B56A8"/>
    <w:rsid w:val="003B5827"/>
    <w:rsid w:val="003B6E42"/>
    <w:rsid w:val="003B749A"/>
    <w:rsid w:val="003B7A83"/>
    <w:rsid w:val="003C00D2"/>
    <w:rsid w:val="003C23B0"/>
    <w:rsid w:val="003C23C2"/>
    <w:rsid w:val="003C292E"/>
    <w:rsid w:val="003C2AFE"/>
    <w:rsid w:val="003C35C6"/>
    <w:rsid w:val="003C57D8"/>
    <w:rsid w:val="003C59DD"/>
    <w:rsid w:val="003C6881"/>
    <w:rsid w:val="003C6A7F"/>
    <w:rsid w:val="003C6BA5"/>
    <w:rsid w:val="003C7AD0"/>
    <w:rsid w:val="003C7AD9"/>
    <w:rsid w:val="003D017A"/>
    <w:rsid w:val="003D0826"/>
    <w:rsid w:val="003D0863"/>
    <w:rsid w:val="003D1E3F"/>
    <w:rsid w:val="003D43A4"/>
    <w:rsid w:val="003D4F8D"/>
    <w:rsid w:val="003D58F0"/>
    <w:rsid w:val="003D67A3"/>
    <w:rsid w:val="003D716D"/>
    <w:rsid w:val="003D7195"/>
    <w:rsid w:val="003D71F4"/>
    <w:rsid w:val="003D7A5B"/>
    <w:rsid w:val="003D7C83"/>
    <w:rsid w:val="003D7EAA"/>
    <w:rsid w:val="003D7FF7"/>
    <w:rsid w:val="003E07CD"/>
    <w:rsid w:val="003E0A8D"/>
    <w:rsid w:val="003E0B83"/>
    <w:rsid w:val="003E10EA"/>
    <w:rsid w:val="003E19A0"/>
    <w:rsid w:val="003E1E95"/>
    <w:rsid w:val="003E2C6D"/>
    <w:rsid w:val="003E3EE1"/>
    <w:rsid w:val="003E47E1"/>
    <w:rsid w:val="003E4B13"/>
    <w:rsid w:val="003E580E"/>
    <w:rsid w:val="003E723F"/>
    <w:rsid w:val="003F010F"/>
    <w:rsid w:val="003F0168"/>
    <w:rsid w:val="003F1211"/>
    <w:rsid w:val="003F1A11"/>
    <w:rsid w:val="003F2B7F"/>
    <w:rsid w:val="003F2B8A"/>
    <w:rsid w:val="003F30AD"/>
    <w:rsid w:val="003F3DAE"/>
    <w:rsid w:val="003F5174"/>
    <w:rsid w:val="003F5DE8"/>
    <w:rsid w:val="003F66F3"/>
    <w:rsid w:val="003F6ED0"/>
    <w:rsid w:val="003F745B"/>
    <w:rsid w:val="003F7837"/>
    <w:rsid w:val="003F7E13"/>
    <w:rsid w:val="004009BB"/>
    <w:rsid w:val="004012AD"/>
    <w:rsid w:val="004015E6"/>
    <w:rsid w:val="00402E9D"/>
    <w:rsid w:val="0040417F"/>
    <w:rsid w:val="00404CAD"/>
    <w:rsid w:val="00404E3E"/>
    <w:rsid w:val="004051C9"/>
    <w:rsid w:val="00405E33"/>
    <w:rsid w:val="004060E7"/>
    <w:rsid w:val="004064AC"/>
    <w:rsid w:val="0040763A"/>
    <w:rsid w:val="004100E5"/>
    <w:rsid w:val="004123AA"/>
    <w:rsid w:val="00412F78"/>
    <w:rsid w:val="0041333E"/>
    <w:rsid w:val="00413BCB"/>
    <w:rsid w:val="0041413E"/>
    <w:rsid w:val="004147CF"/>
    <w:rsid w:val="00415216"/>
    <w:rsid w:val="0041576B"/>
    <w:rsid w:val="00415AE2"/>
    <w:rsid w:val="00415E11"/>
    <w:rsid w:val="0041601E"/>
    <w:rsid w:val="00417ACD"/>
    <w:rsid w:val="00420E16"/>
    <w:rsid w:val="00422034"/>
    <w:rsid w:val="0042304B"/>
    <w:rsid w:val="00424878"/>
    <w:rsid w:val="0042505F"/>
    <w:rsid w:val="0042551F"/>
    <w:rsid w:val="004257E8"/>
    <w:rsid w:val="00425A46"/>
    <w:rsid w:val="004261C3"/>
    <w:rsid w:val="00426423"/>
    <w:rsid w:val="004270CD"/>
    <w:rsid w:val="00427524"/>
    <w:rsid w:val="00427FAE"/>
    <w:rsid w:val="00430AF5"/>
    <w:rsid w:val="00430F60"/>
    <w:rsid w:val="004310B4"/>
    <w:rsid w:val="00431654"/>
    <w:rsid w:val="00431802"/>
    <w:rsid w:val="00431D16"/>
    <w:rsid w:val="0043240B"/>
    <w:rsid w:val="0043249C"/>
    <w:rsid w:val="004328F0"/>
    <w:rsid w:val="00434801"/>
    <w:rsid w:val="00434FE0"/>
    <w:rsid w:val="00435259"/>
    <w:rsid w:val="00436B01"/>
    <w:rsid w:val="00436B9D"/>
    <w:rsid w:val="00436E62"/>
    <w:rsid w:val="004400A7"/>
    <w:rsid w:val="00440BCB"/>
    <w:rsid w:val="00441850"/>
    <w:rsid w:val="00441C8E"/>
    <w:rsid w:val="0044218A"/>
    <w:rsid w:val="00442CC9"/>
    <w:rsid w:val="00442F0B"/>
    <w:rsid w:val="00442FE7"/>
    <w:rsid w:val="0044474D"/>
    <w:rsid w:val="00444E1E"/>
    <w:rsid w:val="0044501B"/>
    <w:rsid w:val="004456A0"/>
    <w:rsid w:val="004457F4"/>
    <w:rsid w:val="004458B8"/>
    <w:rsid w:val="004468C1"/>
    <w:rsid w:val="00446BEB"/>
    <w:rsid w:val="004472C4"/>
    <w:rsid w:val="004475DD"/>
    <w:rsid w:val="00447D43"/>
    <w:rsid w:val="00447FF2"/>
    <w:rsid w:val="004505FD"/>
    <w:rsid w:val="00450985"/>
    <w:rsid w:val="00450B0B"/>
    <w:rsid w:val="00451055"/>
    <w:rsid w:val="00451744"/>
    <w:rsid w:val="00452155"/>
    <w:rsid w:val="00452CF0"/>
    <w:rsid w:val="00453187"/>
    <w:rsid w:val="00453D71"/>
    <w:rsid w:val="0045517F"/>
    <w:rsid w:val="0045547A"/>
    <w:rsid w:val="00457062"/>
    <w:rsid w:val="0045763F"/>
    <w:rsid w:val="004607BC"/>
    <w:rsid w:val="0046163C"/>
    <w:rsid w:val="004618F0"/>
    <w:rsid w:val="00462D01"/>
    <w:rsid w:val="004630C7"/>
    <w:rsid w:val="00463624"/>
    <w:rsid w:val="00463716"/>
    <w:rsid w:val="00463E51"/>
    <w:rsid w:val="0046462D"/>
    <w:rsid w:val="004660C6"/>
    <w:rsid w:val="00466479"/>
    <w:rsid w:val="004675CA"/>
    <w:rsid w:val="00467A35"/>
    <w:rsid w:val="00467B2F"/>
    <w:rsid w:val="004709C1"/>
    <w:rsid w:val="00470E15"/>
    <w:rsid w:val="0047185B"/>
    <w:rsid w:val="00472725"/>
    <w:rsid w:val="00472CE3"/>
    <w:rsid w:val="0047384B"/>
    <w:rsid w:val="004739DD"/>
    <w:rsid w:val="00473D9C"/>
    <w:rsid w:val="00474C21"/>
    <w:rsid w:val="00474E08"/>
    <w:rsid w:val="00474FB0"/>
    <w:rsid w:val="0047524E"/>
    <w:rsid w:val="004753B5"/>
    <w:rsid w:val="00476775"/>
    <w:rsid w:val="00477402"/>
    <w:rsid w:val="004777BD"/>
    <w:rsid w:val="00477B81"/>
    <w:rsid w:val="00477C86"/>
    <w:rsid w:val="0048049D"/>
    <w:rsid w:val="0048085E"/>
    <w:rsid w:val="00481366"/>
    <w:rsid w:val="0048180A"/>
    <w:rsid w:val="00481894"/>
    <w:rsid w:val="00481FE9"/>
    <w:rsid w:val="00482D0C"/>
    <w:rsid w:val="004831CB"/>
    <w:rsid w:val="00483370"/>
    <w:rsid w:val="00484BF4"/>
    <w:rsid w:val="00485680"/>
    <w:rsid w:val="00485DD5"/>
    <w:rsid w:val="004864B9"/>
    <w:rsid w:val="004867C1"/>
    <w:rsid w:val="004867E7"/>
    <w:rsid w:val="0048745F"/>
    <w:rsid w:val="0048784D"/>
    <w:rsid w:val="004878C5"/>
    <w:rsid w:val="004900C9"/>
    <w:rsid w:val="00490312"/>
    <w:rsid w:val="004906F3"/>
    <w:rsid w:val="00490A91"/>
    <w:rsid w:val="0049120A"/>
    <w:rsid w:val="00491EC9"/>
    <w:rsid w:val="00492729"/>
    <w:rsid w:val="004928D0"/>
    <w:rsid w:val="00492C75"/>
    <w:rsid w:val="004930B1"/>
    <w:rsid w:val="004930C2"/>
    <w:rsid w:val="004939A8"/>
    <w:rsid w:val="00493F3C"/>
    <w:rsid w:val="004948FB"/>
    <w:rsid w:val="00494CAD"/>
    <w:rsid w:val="00495425"/>
    <w:rsid w:val="00495D40"/>
    <w:rsid w:val="00496C08"/>
    <w:rsid w:val="004973E1"/>
    <w:rsid w:val="004975CD"/>
    <w:rsid w:val="004978C9"/>
    <w:rsid w:val="004A03C3"/>
    <w:rsid w:val="004A1AD7"/>
    <w:rsid w:val="004A205C"/>
    <w:rsid w:val="004A238C"/>
    <w:rsid w:val="004A274F"/>
    <w:rsid w:val="004A2926"/>
    <w:rsid w:val="004A3649"/>
    <w:rsid w:val="004A3D9A"/>
    <w:rsid w:val="004A5586"/>
    <w:rsid w:val="004A5CA2"/>
    <w:rsid w:val="004A6E44"/>
    <w:rsid w:val="004A79A0"/>
    <w:rsid w:val="004B04FD"/>
    <w:rsid w:val="004B09DD"/>
    <w:rsid w:val="004B0A05"/>
    <w:rsid w:val="004B0DF9"/>
    <w:rsid w:val="004B17DC"/>
    <w:rsid w:val="004B40F8"/>
    <w:rsid w:val="004B55FC"/>
    <w:rsid w:val="004B63BF"/>
    <w:rsid w:val="004B640F"/>
    <w:rsid w:val="004B6FBD"/>
    <w:rsid w:val="004B7DA8"/>
    <w:rsid w:val="004B7EDC"/>
    <w:rsid w:val="004B7F30"/>
    <w:rsid w:val="004C0C18"/>
    <w:rsid w:val="004C0FA2"/>
    <w:rsid w:val="004C102E"/>
    <w:rsid w:val="004C1095"/>
    <w:rsid w:val="004C1193"/>
    <w:rsid w:val="004C1418"/>
    <w:rsid w:val="004C1A12"/>
    <w:rsid w:val="004C44B7"/>
    <w:rsid w:val="004C4E22"/>
    <w:rsid w:val="004C4FF6"/>
    <w:rsid w:val="004C6357"/>
    <w:rsid w:val="004C70A8"/>
    <w:rsid w:val="004C7D4A"/>
    <w:rsid w:val="004D0185"/>
    <w:rsid w:val="004D025F"/>
    <w:rsid w:val="004D0636"/>
    <w:rsid w:val="004D0F9A"/>
    <w:rsid w:val="004D1A15"/>
    <w:rsid w:val="004D21D6"/>
    <w:rsid w:val="004D2D80"/>
    <w:rsid w:val="004D30BA"/>
    <w:rsid w:val="004D36A7"/>
    <w:rsid w:val="004D493D"/>
    <w:rsid w:val="004D5512"/>
    <w:rsid w:val="004D5B7B"/>
    <w:rsid w:val="004D5EAB"/>
    <w:rsid w:val="004D642E"/>
    <w:rsid w:val="004D6D54"/>
    <w:rsid w:val="004D6E9B"/>
    <w:rsid w:val="004D760B"/>
    <w:rsid w:val="004E0F00"/>
    <w:rsid w:val="004E107B"/>
    <w:rsid w:val="004E2D10"/>
    <w:rsid w:val="004E36A1"/>
    <w:rsid w:val="004E4DC5"/>
    <w:rsid w:val="004E4F00"/>
    <w:rsid w:val="004E5224"/>
    <w:rsid w:val="004E62DF"/>
    <w:rsid w:val="004E786C"/>
    <w:rsid w:val="004F0010"/>
    <w:rsid w:val="004F1348"/>
    <w:rsid w:val="004F18FE"/>
    <w:rsid w:val="004F1D7D"/>
    <w:rsid w:val="004F29CA"/>
    <w:rsid w:val="004F3320"/>
    <w:rsid w:val="004F3677"/>
    <w:rsid w:val="004F36D4"/>
    <w:rsid w:val="004F4386"/>
    <w:rsid w:val="004F527E"/>
    <w:rsid w:val="004F5D71"/>
    <w:rsid w:val="004F5D86"/>
    <w:rsid w:val="005006BA"/>
    <w:rsid w:val="00500CD0"/>
    <w:rsid w:val="00500F7E"/>
    <w:rsid w:val="0050341F"/>
    <w:rsid w:val="005041ED"/>
    <w:rsid w:val="0050426A"/>
    <w:rsid w:val="00504404"/>
    <w:rsid w:val="00505023"/>
    <w:rsid w:val="00507311"/>
    <w:rsid w:val="00507912"/>
    <w:rsid w:val="005079CD"/>
    <w:rsid w:val="005123ED"/>
    <w:rsid w:val="005124F7"/>
    <w:rsid w:val="00512EDD"/>
    <w:rsid w:val="005130F1"/>
    <w:rsid w:val="00514C12"/>
    <w:rsid w:val="00514C3A"/>
    <w:rsid w:val="0051604C"/>
    <w:rsid w:val="005168C6"/>
    <w:rsid w:val="005207D2"/>
    <w:rsid w:val="00521357"/>
    <w:rsid w:val="005215B0"/>
    <w:rsid w:val="00521B1D"/>
    <w:rsid w:val="0052248F"/>
    <w:rsid w:val="00522F44"/>
    <w:rsid w:val="005241F3"/>
    <w:rsid w:val="00524255"/>
    <w:rsid w:val="005248E3"/>
    <w:rsid w:val="00524BEF"/>
    <w:rsid w:val="00524F16"/>
    <w:rsid w:val="00524F96"/>
    <w:rsid w:val="0052545B"/>
    <w:rsid w:val="00525654"/>
    <w:rsid w:val="0052580C"/>
    <w:rsid w:val="00525A7D"/>
    <w:rsid w:val="00525E10"/>
    <w:rsid w:val="00525F16"/>
    <w:rsid w:val="00526E2D"/>
    <w:rsid w:val="00527D48"/>
    <w:rsid w:val="00527FA2"/>
    <w:rsid w:val="0053028E"/>
    <w:rsid w:val="00530A73"/>
    <w:rsid w:val="0053156E"/>
    <w:rsid w:val="00532985"/>
    <w:rsid w:val="005340B1"/>
    <w:rsid w:val="005344CF"/>
    <w:rsid w:val="00534D02"/>
    <w:rsid w:val="00534E9E"/>
    <w:rsid w:val="00534EB6"/>
    <w:rsid w:val="0053520F"/>
    <w:rsid w:val="0053563C"/>
    <w:rsid w:val="0053651F"/>
    <w:rsid w:val="00537367"/>
    <w:rsid w:val="005376FD"/>
    <w:rsid w:val="00540C95"/>
    <w:rsid w:val="00541351"/>
    <w:rsid w:val="0054190D"/>
    <w:rsid w:val="00543A03"/>
    <w:rsid w:val="00543CE4"/>
    <w:rsid w:val="00543F5B"/>
    <w:rsid w:val="005440BA"/>
    <w:rsid w:val="0054431D"/>
    <w:rsid w:val="0054464C"/>
    <w:rsid w:val="0054465A"/>
    <w:rsid w:val="00545A37"/>
    <w:rsid w:val="00546F52"/>
    <w:rsid w:val="0054728A"/>
    <w:rsid w:val="0055031F"/>
    <w:rsid w:val="00550625"/>
    <w:rsid w:val="00551153"/>
    <w:rsid w:val="005531B7"/>
    <w:rsid w:val="00553341"/>
    <w:rsid w:val="0055378D"/>
    <w:rsid w:val="00553FE0"/>
    <w:rsid w:val="00554124"/>
    <w:rsid w:val="005543DB"/>
    <w:rsid w:val="0055544D"/>
    <w:rsid w:val="0055544F"/>
    <w:rsid w:val="00555760"/>
    <w:rsid w:val="00555ECC"/>
    <w:rsid w:val="00555FE7"/>
    <w:rsid w:val="0055639B"/>
    <w:rsid w:val="00556421"/>
    <w:rsid w:val="00556442"/>
    <w:rsid w:val="005566B1"/>
    <w:rsid w:val="00556725"/>
    <w:rsid w:val="005568FA"/>
    <w:rsid w:val="00557338"/>
    <w:rsid w:val="00560B84"/>
    <w:rsid w:val="00560CEF"/>
    <w:rsid w:val="00560D69"/>
    <w:rsid w:val="0056162D"/>
    <w:rsid w:val="00561BDA"/>
    <w:rsid w:val="00563029"/>
    <w:rsid w:val="0056303C"/>
    <w:rsid w:val="00565789"/>
    <w:rsid w:val="005659D5"/>
    <w:rsid w:val="00566AA6"/>
    <w:rsid w:val="00566E53"/>
    <w:rsid w:val="0056724D"/>
    <w:rsid w:val="00567265"/>
    <w:rsid w:val="005676BD"/>
    <w:rsid w:val="00567D34"/>
    <w:rsid w:val="00570937"/>
    <w:rsid w:val="0057099B"/>
    <w:rsid w:val="005714B8"/>
    <w:rsid w:val="00573716"/>
    <w:rsid w:val="005740C1"/>
    <w:rsid w:val="0057476C"/>
    <w:rsid w:val="005748FE"/>
    <w:rsid w:val="00574901"/>
    <w:rsid w:val="0057508A"/>
    <w:rsid w:val="0057514C"/>
    <w:rsid w:val="00575FE0"/>
    <w:rsid w:val="00576354"/>
    <w:rsid w:val="00576D93"/>
    <w:rsid w:val="0057721E"/>
    <w:rsid w:val="00577D6B"/>
    <w:rsid w:val="005805FC"/>
    <w:rsid w:val="00580689"/>
    <w:rsid w:val="00581E44"/>
    <w:rsid w:val="005825D0"/>
    <w:rsid w:val="00582D4A"/>
    <w:rsid w:val="00583098"/>
    <w:rsid w:val="00583725"/>
    <w:rsid w:val="005842AD"/>
    <w:rsid w:val="005851B1"/>
    <w:rsid w:val="005859E8"/>
    <w:rsid w:val="005876A6"/>
    <w:rsid w:val="00587AAE"/>
    <w:rsid w:val="00590083"/>
    <w:rsid w:val="0059061A"/>
    <w:rsid w:val="00590913"/>
    <w:rsid w:val="0059546B"/>
    <w:rsid w:val="00595AC9"/>
    <w:rsid w:val="00595DBC"/>
    <w:rsid w:val="00596C59"/>
    <w:rsid w:val="00596DE3"/>
    <w:rsid w:val="00597560"/>
    <w:rsid w:val="005A07AD"/>
    <w:rsid w:val="005A2004"/>
    <w:rsid w:val="005A23E0"/>
    <w:rsid w:val="005A29F0"/>
    <w:rsid w:val="005A2F31"/>
    <w:rsid w:val="005A2F56"/>
    <w:rsid w:val="005A2FDC"/>
    <w:rsid w:val="005A36D5"/>
    <w:rsid w:val="005A3AF2"/>
    <w:rsid w:val="005A3B08"/>
    <w:rsid w:val="005A496F"/>
    <w:rsid w:val="005A4A94"/>
    <w:rsid w:val="005A56F2"/>
    <w:rsid w:val="005A6A3C"/>
    <w:rsid w:val="005A71E3"/>
    <w:rsid w:val="005B0F07"/>
    <w:rsid w:val="005B0FF1"/>
    <w:rsid w:val="005B149C"/>
    <w:rsid w:val="005B18C1"/>
    <w:rsid w:val="005B316B"/>
    <w:rsid w:val="005B53A1"/>
    <w:rsid w:val="005B58D7"/>
    <w:rsid w:val="005B6575"/>
    <w:rsid w:val="005C0C8B"/>
    <w:rsid w:val="005C0D35"/>
    <w:rsid w:val="005C0EA4"/>
    <w:rsid w:val="005C18A2"/>
    <w:rsid w:val="005C2EC0"/>
    <w:rsid w:val="005C31CA"/>
    <w:rsid w:val="005C417D"/>
    <w:rsid w:val="005C4834"/>
    <w:rsid w:val="005C4977"/>
    <w:rsid w:val="005C4F53"/>
    <w:rsid w:val="005C516D"/>
    <w:rsid w:val="005C5309"/>
    <w:rsid w:val="005C5FC7"/>
    <w:rsid w:val="005C6416"/>
    <w:rsid w:val="005C7622"/>
    <w:rsid w:val="005C7B2A"/>
    <w:rsid w:val="005C7BD2"/>
    <w:rsid w:val="005D065C"/>
    <w:rsid w:val="005D0774"/>
    <w:rsid w:val="005D0E53"/>
    <w:rsid w:val="005D1E4E"/>
    <w:rsid w:val="005D36FA"/>
    <w:rsid w:val="005D3E5C"/>
    <w:rsid w:val="005D4F68"/>
    <w:rsid w:val="005D5B68"/>
    <w:rsid w:val="005D5E99"/>
    <w:rsid w:val="005D6247"/>
    <w:rsid w:val="005D6B5B"/>
    <w:rsid w:val="005D7109"/>
    <w:rsid w:val="005D7E2C"/>
    <w:rsid w:val="005E03C0"/>
    <w:rsid w:val="005E042F"/>
    <w:rsid w:val="005E1436"/>
    <w:rsid w:val="005E225E"/>
    <w:rsid w:val="005E24DA"/>
    <w:rsid w:val="005E2B25"/>
    <w:rsid w:val="005E2EE9"/>
    <w:rsid w:val="005E3476"/>
    <w:rsid w:val="005E36BE"/>
    <w:rsid w:val="005E3B08"/>
    <w:rsid w:val="005E446A"/>
    <w:rsid w:val="005E4945"/>
    <w:rsid w:val="005E6500"/>
    <w:rsid w:val="005E6D63"/>
    <w:rsid w:val="005E6F0D"/>
    <w:rsid w:val="005E75AF"/>
    <w:rsid w:val="005F1397"/>
    <w:rsid w:val="005F20E5"/>
    <w:rsid w:val="005F2756"/>
    <w:rsid w:val="005F2D88"/>
    <w:rsid w:val="005F3F0C"/>
    <w:rsid w:val="005F3F84"/>
    <w:rsid w:val="005F42E7"/>
    <w:rsid w:val="005F4710"/>
    <w:rsid w:val="005F4D5B"/>
    <w:rsid w:val="005F4F3D"/>
    <w:rsid w:val="005F5029"/>
    <w:rsid w:val="005F5226"/>
    <w:rsid w:val="005F5F86"/>
    <w:rsid w:val="005F62AA"/>
    <w:rsid w:val="005F6381"/>
    <w:rsid w:val="005F6750"/>
    <w:rsid w:val="005F6C6A"/>
    <w:rsid w:val="0060023A"/>
    <w:rsid w:val="00600E75"/>
    <w:rsid w:val="006018F2"/>
    <w:rsid w:val="00602936"/>
    <w:rsid w:val="0060306F"/>
    <w:rsid w:val="00603472"/>
    <w:rsid w:val="006038D8"/>
    <w:rsid w:val="0060391E"/>
    <w:rsid w:val="006048B2"/>
    <w:rsid w:val="00604BFC"/>
    <w:rsid w:val="006066EA"/>
    <w:rsid w:val="00606F07"/>
    <w:rsid w:val="00607103"/>
    <w:rsid w:val="006071EB"/>
    <w:rsid w:val="0060731A"/>
    <w:rsid w:val="006100EB"/>
    <w:rsid w:val="006102C2"/>
    <w:rsid w:val="00610319"/>
    <w:rsid w:val="0061066E"/>
    <w:rsid w:val="00611234"/>
    <w:rsid w:val="00612405"/>
    <w:rsid w:val="00612A71"/>
    <w:rsid w:val="006142CB"/>
    <w:rsid w:val="00614799"/>
    <w:rsid w:val="0061481A"/>
    <w:rsid w:val="0061515A"/>
    <w:rsid w:val="00615208"/>
    <w:rsid w:val="006154B5"/>
    <w:rsid w:val="00615869"/>
    <w:rsid w:val="0061662D"/>
    <w:rsid w:val="00616D74"/>
    <w:rsid w:val="006209CD"/>
    <w:rsid w:val="00621803"/>
    <w:rsid w:val="006219FB"/>
    <w:rsid w:val="00622D32"/>
    <w:rsid w:val="00622DD4"/>
    <w:rsid w:val="00623467"/>
    <w:rsid w:val="00623EA2"/>
    <w:rsid w:val="0062442B"/>
    <w:rsid w:val="006252A9"/>
    <w:rsid w:val="00626391"/>
    <w:rsid w:val="0063043D"/>
    <w:rsid w:val="00631155"/>
    <w:rsid w:val="0063175D"/>
    <w:rsid w:val="0063300C"/>
    <w:rsid w:val="00633301"/>
    <w:rsid w:val="006336CC"/>
    <w:rsid w:val="00633931"/>
    <w:rsid w:val="00633A9F"/>
    <w:rsid w:val="006340C3"/>
    <w:rsid w:val="00634139"/>
    <w:rsid w:val="00636314"/>
    <w:rsid w:val="006366A6"/>
    <w:rsid w:val="00636824"/>
    <w:rsid w:val="00636CBB"/>
    <w:rsid w:val="0064008A"/>
    <w:rsid w:val="00642D02"/>
    <w:rsid w:val="00643836"/>
    <w:rsid w:val="00644D2D"/>
    <w:rsid w:val="00646055"/>
    <w:rsid w:val="006462B7"/>
    <w:rsid w:val="00646A5E"/>
    <w:rsid w:val="00647269"/>
    <w:rsid w:val="006476CF"/>
    <w:rsid w:val="006479C1"/>
    <w:rsid w:val="00650570"/>
    <w:rsid w:val="00650845"/>
    <w:rsid w:val="0065206F"/>
    <w:rsid w:val="0065298A"/>
    <w:rsid w:val="00652B5C"/>
    <w:rsid w:val="00653242"/>
    <w:rsid w:val="006543DC"/>
    <w:rsid w:val="006546DE"/>
    <w:rsid w:val="006549D2"/>
    <w:rsid w:val="00655127"/>
    <w:rsid w:val="0065749B"/>
    <w:rsid w:val="006575BA"/>
    <w:rsid w:val="00657B60"/>
    <w:rsid w:val="00661BDC"/>
    <w:rsid w:val="006627CC"/>
    <w:rsid w:val="0066418E"/>
    <w:rsid w:val="006649D8"/>
    <w:rsid w:val="00664D98"/>
    <w:rsid w:val="00665349"/>
    <w:rsid w:val="006653F6"/>
    <w:rsid w:val="006655CE"/>
    <w:rsid w:val="00665783"/>
    <w:rsid w:val="00670C52"/>
    <w:rsid w:val="00671278"/>
    <w:rsid w:val="006716CB"/>
    <w:rsid w:val="0067180E"/>
    <w:rsid w:val="00671945"/>
    <w:rsid w:val="00671EB4"/>
    <w:rsid w:val="00672721"/>
    <w:rsid w:val="00673405"/>
    <w:rsid w:val="00674020"/>
    <w:rsid w:val="00674989"/>
    <w:rsid w:val="00676B18"/>
    <w:rsid w:val="00676DDD"/>
    <w:rsid w:val="006778CD"/>
    <w:rsid w:val="00677F11"/>
    <w:rsid w:val="0068047C"/>
    <w:rsid w:val="00680E98"/>
    <w:rsid w:val="00681A4E"/>
    <w:rsid w:val="00681A53"/>
    <w:rsid w:val="00682718"/>
    <w:rsid w:val="00682B31"/>
    <w:rsid w:val="00682F32"/>
    <w:rsid w:val="00682FAC"/>
    <w:rsid w:val="00683F61"/>
    <w:rsid w:val="00686658"/>
    <w:rsid w:val="00686C29"/>
    <w:rsid w:val="00686D2F"/>
    <w:rsid w:val="00690295"/>
    <w:rsid w:val="006915CF"/>
    <w:rsid w:val="006924B1"/>
    <w:rsid w:val="00692D12"/>
    <w:rsid w:val="006936D6"/>
    <w:rsid w:val="0069472C"/>
    <w:rsid w:val="00694BE4"/>
    <w:rsid w:val="00694F6E"/>
    <w:rsid w:val="0069521E"/>
    <w:rsid w:val="0069562D"/>
    <w:rsid w:val="00695AD7"/>
    <w:rsid w:val="0069614A"/>
    <w:rsid w:val="006970F4"/>
    <w:rsid w:val="006974A2"/>
    <w:rsid w:val="006A06D6"/>
    <w:rsid w:val="006A0E71"/>
    <w:rsid w:val="006A0F06"/>
    <w:rsid w:val="006A1836"/>
    <w:rsid w:val="006A208F"/>
    <w:rsid w:val="006A20C2"/>
    <w:rsid w:val="006A2291"/>
    <w:rsid w:val="006A24BF"/>
    <w:rsid w:val="006A2BA4"/>
    <w:rsid w:val="006A3DD6"/>
    <w:rsid w:val="006A41FB"/>
    <w:rsid w:val="006A4582"/>
    <w:rsid w:val="006A4ADE"/>
    <w:rsid w:val="006A4ED9"/>
    <w:rsid w:val="006A5430"/>
    <w:rsid w:val="006A5905"/>
    <w:rsid w:val="006A5ACE"/>
    <w:rsid w:val="006A68C1"/>
    <w:rsid w:val="006A6DEA"/>
    <w:rsid w:val="006A78FA"/>
    <w:rsid w:val="006A7FAD"/>
    <w:rsid w:val="006B06E3"/>
    <w:rsid w:val="006B079E"/>
    <w:rsid w:val="006B0A55"/>
    <w:rsid w:val="006B0CC0"/>
    <w:rsid w:val="006B0FBA"/>
    <w:rsid w:val="006B131F"/>
    <w:rsid w:val="006B17EB"/>
    <w:rsid w:val="006B19D4"/>
    <w:rsid w:val="006B258B"/>
    <w:rsid w:val="006B3717"/>
    <w:rsid w:val="006B3812"/>
    <w:rsid w:val="006B3E0C"/>
    <w:rsid w:val="006B48C7"/>
    <w:rsid w:val="006B50AE"/>
    <w:rsid w:val="006B5A48"/>
    <w:rsid w:val="006B67EB"/>
    <w:rsid w:val="006B67EF"/>
    <w:rsid w:val="006B79B8"/>
    <w:rsid w:val="006B7DFC"/>
    <w:rsid w:val="006C0162"/>
    <w:rsid w:val="006C0476"/>
    <w:rsid w:val="006C1666"/>
    <w:rsid w:val="006C1819"/>
    <w:rsid w:val="006C1CC3"/>
    <w:rsid w:val="006C2450"/>
    <w:rsid w:val="006C2DA1"/>
    <w:rsid w:val="006C304B"/>
    <w:rsid w:val="006C35EA"/>
    <w:rsid w:val="006C396E"/>
    <w:rsid w:val="006C42DC"/>
    <w:rsid w:val="006C4715"/>
    <w:rsid w:val="006C4C20"/>
    <w:rsid w:val="006C4D47"/>
    <w:rsid w:val="006C5EC5"/>
    <w:rsid w:val="006C6F35"/>
    <w:rsid w:val="006C7B84"/>
    <w:rsid w:val="006D1689"/>
    <w:rsid w:val="006D1876"/>
    <w:rsid w:val="006D20B6"/>
    <w:rsid w:val="006D20C6"/>
    <w:rsid w:val="006D2190"/>
    <w:rsid w:val="006D296D"/>
    <w:rsid w:val="006D343C"/>
    <w:rsid w:val="006D3955"/>
    <w:rsid w:val="006D48F1"/>
    <w:rsid w:val="006D589E"/>
    <w:rsid w:val="006D5B86"/>
    <w:rsid w:val="006D60F6"/>
    <w:rsid w:val="006D6301"/>
    <w:rsid w:val="006D67F2"/>
    <w:rsid w:val="006D6F93"/>
    <w:rsid w:val="006E068B"/>
    <w:rsid w:val="006E0E16"/>
    <w:rsid w:val="006E279C"/>
    <w:rsid w:val="006E3379"/>
    <w:rsid w:val="006E3D80"/>
    <w:rsid w:val="006E45D9"/>
    <w:rsid w:val="006E4C68"/>
    <w:rsid w:val="006E4D45"/>
    <w:rsid w:val="006E51DA"/>
    <w:rsid w:val="006E5290"/>
    <w:rsid w:val="006E5A6C"/>
    <w:rsid w:val="006E5AA5"/>
    <w:rsid w:val="006E5C6F"/>
    <w:rsid w:val="006E5CE6"/>
    <w:rsid w:val="006E66E0"/>
    <w:rsid w:val="006E7E1C"/>
    <w:rsid w:val="006F0291"/>
    <w:rsid w:val="006F1945"/>
    <w:rsid w:val="006F1AFE"/>
    <w:rsid w:val="006F3155"/>
    <w:rsid w:val="006F3E63"/>
    <w:rsid w:val="006F4F76"/>
    <w:rsid w:val="006F5375"/>
    <w:rsid w:val="006F5D17"/>
    <w:rsid w:val="006F6F71"/>
    <w:rsid w:val="007001CB"/>
    <w:rsid w:val="007009BC"/>
    <w:rsid w:val="00700ABF"/>
    <w:rsid w:val="007014FB"/>
    <w:rsid w:val="00701664"/>
    <w:rsid w:val="00702131"/>
    <w:rsid w:val="00702466"/>
    <w:rsid w:val="00703FC7"/>
    <w:rsid w:val="0070402C"/>
    <w:rsid w:val="00704123"/>
    <w:rsid w:val="007044D4"/>
    <w:rsid w:val="00704810"/>
    <w:rsid w:val="00704DF0"/>
    <w:rsid w:val="00705034"/>
    <w:rsid w:val="00705E33"/>
    <w:rsid w:val="0070624B"/>
    <w:rsid w:val="00706A3E"/>
    <w:rsid w:val="00706B1E"/>
    <w:rsid w:val="007106BA"/>
    <w:rsid w:val="00710855"/>
    <w:rsid w:val="00710B54"/>
    <w:rsid w:val="00710CFA"/>
    <w:rsid w:val="00712108"/>
    <w:rsid w:val="00712299"/>
    <w:rsid w:val="00712A4B"/>
    <w:rsid w:val="007130BC"/>
    <w:rsid w:val="0071339F"/>
    <w:rsid w:val="00713755"/>
    <w:rsid w:val="0071424E"/>
    <w:rsid w:val="007143A1"/>
    <w:rsid w:val="00715F00"/>
    <w:rsid w:val="007174DD"/>
    <w:rsid w:val="007179B5"/>
    <w:rsid w:val="00721D2C"/>
    <w:rsid w:val="007221B9"/>
    <w:rsid w:val="00722602"/>
    <w:rsid w:val="007226F3"/>
    <w:rsid w:val="00722A35"/>
    <w:rsid w:val="00722E3C"/>
    <w:rsid w:val="00723684"/>
    <w:rsid w:val="00723D5C"/>
    <w:rsid w:val="0072454E"/>
    <w:rsid w:val="007249F2"/>
    <w:rsid w:val="00724DDE"/>
    <w:rsid w:val="007261D7"/>
    <w:rsid w:val="007270FB"/>
    <w:rsid w:val="00727AA7"/>
    <w:rsid w:val="00730B6F"/>
    <w:rsid w:val="00731381"/>
    <w:rsid w:val="00732438"/>
    <w:rsid w:val="00732CEC"/>
    <w:rsid w:val="0073427A"/>
    <w:rsid w:val="00734404"/>
    <w:rsid w:val="0073455F"/>
    <w:rsid w:val="00734C60"/>
    <w:rsid w:val="00734F92"/>
    <w:rsid w:val="007355E3"/>
    <w:rsid w:val="00736641"/>
    <w:rsid w:val="00736C03"/>
    <w:rsid w:val="00737343"/>
    <w:rsid w:val="0073782B"/>
    <w:rsid w:val="00740409"/>
    <w:rsid w:val="00741DE4"/>
    <w:rsid w:val="00742295"/>
    <w:rsid w:val="00742EA3"/>
    <w:rsid w:val="007433A8"/>
    <w:rsid w:val="00743A7F"/>
    <w:rsid w:val="00743C5B"/>
    <w:rsid w:val="00744192"/>
    <w:rsid w:val="00744BE8"/>
    <w:rsid w:val="0074540A"/>
    <w:rsid w:val="00745CAF"/>
    <w:rsid w:val="00745E09"/>
    <w:rsid w:val="0074655D"/>
    <w:rsid w:val="00746930"/>
    <w:rsid w:val="0074772E"/>
    <w:rsid w:val="00750B9F"/>
    <w:rsid w:val="0075263A"/>
    <w:rsid w:val="0075263E"/>
    <w:rsid w:val="007533CC"/>
    <w:rsid w:val="00753E61"/>
    <w:rsid w:val="00753F75"/>
    <w:rsid w:val="00754A1B"/>
    <w:rsid w:val="00754AD5"/>
    <w:rsid w:val="00755178"/>
    <w:rsid w:val="007553ED"/>
    <w:rsid w:val="00756911"/>
    <w:rsid w:val="00761354"/>
    <w:rsid w:val="0076187B"/>
    <w:rsid w:val="00762E98"/>
    <w:rsid w:val="00763319"/>
    <w:rsid w:val="007638EB"/>
    <w:rsid w:val="00766132"/>
    <w:rsid w:val="00766559"/>
    <w:rsid w:val="007666BA"/>
    <w:rsid w:val="0077049A"/>
    <w:rsid w:val="00771290"/>
    <w:rsid w:val="00771C26"/>
    <w:rsid w:val="00771C90"/>
    <w:rsid w:val="007723CE"/>
    <w:rsid w:val="007725C3"/>
    <w:rsid w:val="007737E0"/>
    <w:rsid w:val="00773A89"/>
    <w:rsid w:val="00773B8D"/>
    <w:rsid w:val="00773C72"/>
    <w:rsid w:val="00773D7F"/>
    <w:rsid w:val="00773FCD"/>
    <w:rsid w:val="007747C3"/>
    <w:rsid w:val="00774840"/>
    <w:rsid w:val="00774A6C"/>
    <w:rsid w:val="00774C88"/>
    <w:rsid w:val="00774CEF"/>
    <w:rsid w:val="007757BA"/>
    <w:rsid w:val="00776066"/>
    <w:rsid w:val="00777DD5"/>
    <w:rsid w:val="00777E71"/>
    <w:rsid w:val="0078077D"/>
    <w:rsid w:val="00780B68"/>
    <w:rsid w:val="00780B6C"/>
    <w:rsid w:val="00780CAE"/>
    <w:rsid w:val="00780D4B"/>
    <w:rsid w:val="00780E9B"/>
    <w:rsid w:val="00782082"/>
    <w:rsid w:val="00782851"/>
    <w:rsid w:val="00782856"/>
    <w:rsid w:val="007836ED"/>
    <w:rsid w:val="00783B50"/>
    <w:rsid w:val="00785EA1"/>
    <w:rsid w:val="00786046"/>
    <w:rsid w:val="007863CC"/>
    <w:rsid w:val="00786533"/>
    <w:rsid w:val="00786A84"/>
    <w:rsid w:val="00786BD3"/>
    <w:rsid w:val="00787658"/>
    <w:rsid w:val="007879FA"/>
    <w:rsid w:val="0079034F"/>
    <w:rsid w:val="007909D0"/>
    <w:rsid w:val="00790A9D"/>
    <w:rsid w:val="00791593"/>
    <w:rsid w:val="007917FB"/>
    <w:rsid w:val="00791953"/>
    <w:rsid w:val="00791D1D"/>
    <w:rsid w:val="007921AD"/>
    <w:rsid w:val="0079248B"/>
    <w:rsid w:val="00792F44"/>
    <w:rsid w:val="0079324E"/>
    <w:rsid w:val="007949DA"/>
    <w:rsid w:val="00796054"/>
    <w:rsid w:val="007964C6"/>
    <w:rsid w:val="00796578"/>
    <w:rsid w:val="0079675C"/>
    <w:rsid w:val="007968AD"/>
    <w:rsid w:val="00797165"/>
    <w:rsid w:val="007972EF"/>
    <w:rsid w:val="0079761E"/>
    <w:rsid w:val="00797881"/>
    <w:rsid w:val="00797F0E"/>
    <w:rsid w:val="007A0509"/>
    <w:rsid w:val="007A084D"/>
    <w:rsid w:val="007A0F2F"/>
    <w:rsid w:val="007A2004"/>
    <w:rsid w:val="007A21A0"/>
    <w:rsid w:val="007A3AD0"/>
    <w:rsid w:val="007A41A4"/>
    <w:rsid w:val="007A452D"/>
    <w:rsid w:val="007A4E3A"/>
    <w:rsid w:val="007A57AB"/>
    <w:rsid w:val="007A651D"/>
    <w:rsid w:val="007A657F"/>
    <w:rsid w:val="007A685F"/>
    <w:rsid w:val="007A71F0"/>
    <w:rsid w:val="007A78B1"/>
    <w:rsid w:val="007A7D6B"/>
    <w:rsid w:val="007A7E96"/>
    <w:rsid w:val="007B0C53"/>
    <w:rsid w:val="007B172B"/>
    <w:rsid w:val="007B2FE0"/>
    <w:rsid w:val="007B3432"/>
    <w:rsid w:val="007B3BB6"/>
    <w:rsid w:val="007B464B"/>
    <w:rsid w:val="007B58B1"/>
    <w:rsid w:val="007B5E19"/>
    <w:rsid w:val="007B5ECE"/>
    <w:rsid w:val="007B6633"/>
    <w:rsid w:val="007B6658"/>
    <w:rsid w:val="007B6C43"/>
    <w:rsid w:val="007B724C"/>
    <w:rsid w:val="007B7D0C"/>
    <w:rsid w:val="007B7FAD"/>
    <w:rsid w:val="007C0F79"/>
    <w:rsid w:val="007C2898"/>
    <w:rsid w:val="007C4603"/>
    <w:rsid w:val="007C5FEB"/>
    <w:rsid w:val="007D071F"/>
    <w:rsid w:val="007D094B"/>
    <w:rsid w:val="007D0C8D"/>
    <w:rsid w:val="007D203B"/>
    <w:rsid w:val="007D2DC4"/>
    <w:rsid w:val="007D2FD6"/>
    <w:rsid w:val="007D3291"/>
    <w:rsid w:val="007D336D"/>
    <w:rsid w:val="007D3469"/>
    <w:rsid w:val="007D3867"/>
    <w:rsid w:val="007D3942"/>
    <w:rsid w:val="007D3E0D"/>
    <w:rsid w:val="007D487F"/>
    <w:rsid w:val="007D5664"/>
    <w:rsid w:val="007D5719"/>
    <w:rsid w:val="007D5A5A"/>
    <w:rsid w:val="007D636F"/>
    <w:rsid w:val="007D664C"/>
    <w:rsid w:val="007D713D"/>
    <w:rsid w:val="007E0B75"/>
    <w:rsid w:val="007E1439"/>
    <w:rsid w:val="007E152F"/>
    <w:rsid w:val="007E2A50"/>
    <w:rsid w:val="007E3337"/>
    <w:rsid w:val="007E4008"/>
    <w:rsid w:val="007E446F"/>
    <w:rsid w:val="007E5C69"/>
    <w:rsid w:val="007E5E30"/>
    <w:rsid w:val="007E6A9E"/>
    <w:rsid w:val="007E7203"/>
    <w:rsid w:val="007E7CE9"/>
    <w:rsid w:val="007F095E"/>
    <w:rsid w:val="007F1FB3"/>
    <w:rsid w:val="007F25C8"/>
    <w:rsid w:val="007F2864"/>
    <w:rsid w:val="007F3748"/>
    <w:rsid w:val="007F38B8"/>
    <w:rsid w:val="007F3D40"/>
    <w:rsid w:val="007F40DB"/>
    <w:rsid w:val="007F551A"/>
    <w:rsid w:val="007F5B71"/>
    <w:rsid w:val="007F6BA9"/>
    <w:rsid w:val="007F78DE"/>
    <w:rsid w:val="007F7CBB"/>
    <w:rsid w:val="007F7D9D"/>
    <w:rsid w:val="0080041D"/>
    <w:rsid w:val="00800CA9"/>
    <w:rsid w:val="00804007"/>
    <w:rsid w:val="00804065"/>
    <w:rsid w:val="0080483F"/>
    <w:rsid w:val="0080500C"/>
    <w:rsid w:val="008055EF"/>
    <w:rsid w:val="008057A3"/>
    <w:rsid w:val="00806656"/>
    <w:rsid w:val="00807296"/>
    <w:rsid w:val="008075B7"/>
    <w:rsid w:val="00807767"/>
    <w:rsid w:val="00807A9F"/>
    <w:rsid w:val="00807CD2"/>
    <w:rsid w:val="008104BA"/>
    <w:rsid w:val="00810DCF"/>
    <w:rsid w:val="008116A1"/>
    <w:rsid w:val="00811DD3"/>
    <w:rsid w:val="008141BC"/>
    <w:rsid w:val="008143B8"/>
    <w:rsid w:val="00816478"/>
    <w:rsid w:val="00816811"/>
    <w:rsid w:val="00816BE4"/>
    <w:rsid w:val="0081767E"/>
    <w:rsid w:val="00817EF9"/>
    <w:rsid w:val="00817FD4"/>
    <w:rsid w:val="00820B0B"/>
    <w:rsid w:val="00820E2E"/>
    <w:rsid w:val="00821204"/>
    <w:rsid w:val="00821ADD"/>
    <w:rsid w:val="0082204F"/>
    <w:rsid w:val="008230F2"/>
    <w:rsid w:val="00823458"/>
    <w:rsid w:val="008244FC"/>
    <w:rsid w:val="008255F6"/>
    <w:rsid w:val="008258BD"/>
    <w:rsid w:val="00826EB2"/>
    <w:rsid w:val="00827860"/>
    <w:rsid w:val="008303D8"/>
    <w:rsid w:val="008319B2"/>
    <w:rsid w:val="00832081"/>
    <w:rsid w:val="00832BEB"/>
    <w:rsid w:val="00832D5D"/>
    <w:rsid w:val="00834A49"/>
    <w:rsid w:val="0083534D"/>
    <w:rsid w:val="00835A4F"/>
    <w:rsid w:val="00835B64"/>
    <w:rsid w:val="00835C18"/>
    <w:rsid w:val="00836DB7"/>
    <w:rsid w:val="00837546"/>
    <w:rsid w:val="00837CE2"/>
    <w:rsid w:val="00841551"/>
    <w:rsid w:val="008418E4"/>
    <w:rsid w:val="00841EB0"/>
    <w:rsid w:val="00842279"/>
    <w:rsid w:val="00843008"/>
    <w:rsid w:val="008431D4"/>
    <w:rsid w:val="008435F3"/>
    <w:rsid w:val="00843722"/>
    <w:rsid w:val="008442F1"/>
    <w:rsid w:val="00844584"/>
    <w:rsid w:val="00844C1B"/>
    <w:rsid w:val="00844C1C"/>
    <w:rsid w:val="0084774C"/>
    <w:rsid w:val="008477F0"/>
    <w:rsid w:val="008506A0"/>
    <w:rsid w:val="0085124D"/>
    <w:rsid w:val="00852249"/>
    <w:rsid w:val="00852883"/>
    <w:rsid w:val="008529A4"/>
    <w:rsid w:val="00852A14"/>
    <w:rsid w:val="008530B1"/>
    <w:rsid w:val="00853E53"/>
    <w:rsid w:val="00854206"/>
    <w:rsid w:val="0085531E"/>
    <w:rsid w:val="008565C6"/>
    <w:rsid w:val="008568B6"/>
    <w:rsid w:val="00857443"/>
    <w:rsid w:val="0085767E"/>
    <w:rsid w:val="0085769B"/>
    <w:rsid w:val="00857E78"/>
    <w:rsid w:val="0086049C"/>
    <w:rsid w:val="00862399"/>
    <w:rsid w:val="008633D1"/>
    <w:rsid w:val="008634FE"/>
    <w:rsid w:val="00863B0B"/>
    <w:rsid w:val="00864035"/>
    <w:rsid w:val="008647B7"/>
    <w:rsid w:val="00865863"/>
    <w:rsid w:val="00865D42"/>
    <w:rsid w:val="008666BE"/>
    <w:rsid w:val="00867210"/>
    <w:rsid w:val="008675D8"/>
    <w:rsid w:val="00870BA1"/>
    <w:rsid w:val="0087188F"/>
    <w:rsid w:val="00871A3B"/>
    <w:rsid w:val="008721D9"/>
    <w:rsid w:val="00872E1D"/>
    <w:rsid w:val="008730FC"/>
    <w:rsid w:val="008730FE"/>
    <w:rsid w:val="0087401C"/>
    <w:rsid w:val="0087592B"/>
    <w:rsid w:val="00875E3D"/>
    <w:rsid w:val="00876858"/>
    <w:rsid w:val="00876A74"/>
    <w:rsid w:val="00876AFE"/>
    <w:rsid w:val="00876D50"/>
    <w:rsid w:val="00876DBF"/>
    <w:rsid w:val="00877522"/>
    <w:rsid w:val="0087771F"/>
    <w:rsid w:val="008808A6"/>
    <w:rsid w:val="00880EF8"/>
    <w:rsid w:val="0088173C"/>
    <w:rsid w:val="00882333"/>
    <w:rsid w:val="00882723"/>
    <w:rsid w:val="00882A58"/>
    <w:rsid w:val="00882C22"/>
    <w:rsid w:val="008830A1"/>
    <w:rsid w:val="00883868"/>
    <w:rsid w:val="00884631"/>
    <w:rsid w:val="0088685D"/>
    <w:rsid w:val="0088755B"/>
    <w:rsid w:val="0089048C"/>
    <w:rsid w:val="00891D4F"/>
    <w:rsid w:val="00891EE5"/>
    <w:rsid w:val="008923BE"/>
    <w:rsid w:val="00893361"/>
    <w:rsid w:val="00894F10"/>
    <w:rsid w:val="00895BCA"/>
    <w:rsid w:val="00895F4A"/>
    <w:rsid w:val="008962AE"/>
    <w:rsid w:val="00896628"/>
    <w:rsid w:val="00897372"/>
    <w:rsid w:val="008A0809"/>
    <w:rsid w:val="008A08E1"/>
    <w:rsid w:val="008A1342"/>
    <w:rsid w:val="008A1B9A"/>
    <w:rsid w:val="008A242B"/>
    <w:rsid w:val="008A3AE0"/>
    <w:rsid w:val="008A3E11"/>
    <w:rsid w:val="008A543D"/>
    <w:rsid w:val="008A62A9"/>
    <w:rsid w:val="008A68CC"/>
    <w:rsid w:val="008A6A5C"/>
    <w:rsid w:val="008A7942"/>
    <w:rsid w:val="008B0169"/>
    <w:rsid w:val="008B03E9"/>
    <w:rsid w:val="008B1207"/>
    <w:rsid w:val="008B16E5"/>
    <w:rsid w:val="008B1CF0"/>
    <w:rsid w:val="008B4375"/>
    <w:rsid w:val="008B4F59"/>
    <w:rsid w:val="008B5E00"/>
    <w:rsid w:val="008C168D"/>
    <w:rsid w:val="008C216D"/>
    <w:rsid w:val="008C2587"/>
    <w:rsid w:val="008C2620"/>
    <w:rsid w:val="008C3907"/>
    <w:rsid w:val="008C3C7D"/>
    <w:rsid w:val="008C431A"/>
    <w:rsid w:val="008C44B4"/>
    <w:rsid w:val="008C5E06"/>
    <w:rsid w:val="008C672D"/>
    <w:rsid w:val="008C7115"/>
    <w:rsid w:val="008D1344"/>
    <w:rsid w:val="008D23FF"/>
    <w:rsid w:val="008D36D0"/>
    <w:rsid w:val="008D3F20"/>
    <w:rsid w:val="008D3FD4"/>
    <w:rsid w:val="008D42B7"/>
    <w:rsid w:val="008D5100"/>
    <w:rsid w:val="008D5598"/>
    <w:rsid w:val="008D602A"/>
    <w:rsid w:val="008D66FC"/>
    <w:rsid w:val="008D6B94"/>
    <w:rsid w:val="008D6B9B"/>
    <w:rsid w:val="008D6FC2"/>
    <w:rsid w:val="008D7063"/>
    <w:rsid w:val="008D7BD6"/>
    <w:rsid w:val="008D7DD8"/>
    <w:rsid w:val="008E064F"/>
    <w:rsid w:val="008E0DB2"/>
    <w:rsid w:val="008E0DB8"/>
    <w:rsid w:val="008E1E56"/>
    <w:rsid w:val="008E2888"/>
    <w:rsid w:val="008E38D5"/>
    <w:rsid w:val="008E3A1B"/>
    <w:rsid w:val="008E4029"/>
    <w:rsid w:val="008E5527"/>
    <w:rsid w:val="008E59E3"/>
    <w:rsid w:val="008E5EB9"/>
    <w:rsid w:val="008E6232"/>
    <w:rsid w:val="008E6F13"/>
    <w:rsid w:val="008E6F17"/>
    <w:rsid w:val="008E7CB5"/>
    <w:rsid w:val="008F00A5"/>
    <w:rsid w:val="008F0191"/>
    <w:rsid w:val="008F02D3"/>
    <w:rsid w:val="008F0376"/>
    <w:rsid w:val="008F12D4"/>
    <w:rsid w:val="008F253C"/>
    <w:rsid w:val="008F317E"/>
    <w:rsid w:val="008F3286"/>
    <w:rsid w:val="008F3E0D"/>
    <w:rsid w:val="008F3E3F"/>
    <w:rsid w:val="008F3F22"/>
    <w:rsid w:val="008F4228"/>
    <w:rsid w:val="008F546D"/>
    <w:rsid w:val="008F5491"/>
    <w:rsid w:val="008F691C"/>
    <w:rsid w:val="008F6A50"/>
    <w:rsid w:val="008F6B6A"/>
    <w:rsid w:val="008F6F5D"/>
    <w:rsid w:val="008F7B30"/>
    <w:rsid w:val="008F7D6E"/>
    <w:rsid w:val="00900523"/>
    <w:rsid w:val="00900985"/>
    <w:rsid w:val="009010A3"/>
    <w:rsid w:val="00901239"/>
    <w:rsid w:val="00902247"/>
    <w:rsid w:val="009029A4"/>
    <w:rsid w:val="00904194"/>
    <w:rsid w:val="009056B0"/>
    <w:rsid w:val="0090592F"/>
    <w:rsid w:val="00905ED8"/>
    <w:rsid w:val="009068A3"/>
    <w:rsid w:val="00906E49"/>
    <w:rsid w:val="009113CA"/>
    <w:rsid w:val="00911876"/>
    <w:rsid w:val="00911DA1"/>
    <w:rsid w:val="00912A3D"/>
    <w:rsid w:val="00912D74"/>
    <w:rsid w:val="009136E3"/>
    <w:rsid w:val="009137FC"/>
    <w:rsid w:val="009163A7"/>
    <w:rsid w:val="009163AD"/>
    <w:rsid w:val="00916482"/>
    <w:rsid w:val="00916492"/>
    <w:rsid w:val="00916A80"/>
    <w:rsid w:val="00917174"/>
    <w:rsid w:val="00917467"/>
    <w:rsid w:val="0091753E"/>
    <w:rsid w:val="00917889"/>
    <w:rsid w:val="00920598"/>
    <w:rsid w:val="00920CBA"/>
    <w:rsid w:val="00921015"/>
    <w:rsid w:val="009226EB"/>
    <w:rsid w:val="009232B1"/>
    <w:rsid w:val="00923E1B"/>
    <w:rsid w:val="0092449B"/>
    <w:rsid w:val="00924541"/>
    <w:rsid w:val="009245E6"/>
    <w:rsid w:val="00924C42"/>
    <w:rsid w:val="00925B84"/>
    <w:rsid w:val="00925CE7"/>
    <w:rsid w:val="00926A1C"/>
    <w:rsid w:val="00926EE1"/>
    <w:rsid w:val="0092740A"/>
    <w:rsid w:val="00927872"/>
    <w:rsid w:val="00927CA8"/>
    <w:rsid w:val="00930638"/>
    <w:rsid w:val="00930DC8"/>
    <w:rsid w:val="00930F89"/>
    <w:rsid w:val="0093157E"/>
    <w:rsid w:val="00931616"/>
    <w:rsid w:val="00931939"/>
    <w:rsid w:val="009319D7"/>
    <w:rsid w:val="00931AA9"/>
    <w:rsid w:val="00931C72"/>
    <w:rsid w:val="00932907"/>
    <w:rsid w:val="00932960"/>
    <w:rsid w:val="00932D1A"/>
    <w:rsid w:val="00933525"/>
    <w:rsid w:val="00934A6D"/>
    <w:rsid w:val="00935E17"/>
    <w:rsid w:val="0093687A"/>
    <w:rsid w:val="009368EE"/>
    <w:rsid w:val="00937BF0"/>
    <w:rsid w:val="009400FD"/>
    <w:rsid w:val="00940234"/>
    <w:rsid w:val="00940FDE"/>
    <w:rsid w:val="00941053"/>
    <w:rsid w:val="0094211D"/>
    <w:rsid w:val="009428CA"/>
    <w:rsid w:val="00943146"/>
    <w:rsid w:val="0094317A"/>
    <w:rsid w:val="00943575"/>
    <w:rsid w:val="009436A5"/>
    <w:rsid w:val="00944301"/>
    <w:rsid w:val="0094433F"/>
    <w:rsid w:val="00944437"/>
    <w:rsid w:val="00944D03"/>
    <w:rsid w:val="0094544E"/>
    <w:rsid w:val="009456BE"/>
    <w:rsid w:val="009463DF"/>
    <w:rsid w:val="00947180"/>
    <w:rsid w:val="00947463"/>
    <w:rsid w:val="00947792"/>
    <w:rsid w:val="00947B39"/>
    <w:rsid w:val="00947F55"/>
    <w:rsid w:val="00950557"/>
    <w:rsid w:val="00950BB8"/>
    <w:rsid w:val="009529DF"/>
    <w:rsid w:val="00952CC7"/>
    <w:rsid w:val="009534D8"/>
    <w:rsid w:val="00954374"/>
    <w:rsid w:val="0095468A"/>
    <w:rsid w:val="009547A7"/>
    <w:rsid w:val="00956506"/>
    <w:rsid w:val="00956D00"/>
    <w:rsid w:val="00956D66"/>
    <w:rsid w:val="0095728F"/>
    <w:rsid w:val="00957596"/>
    <w:rsid w:val="00957DD6"/>
    <w:rsid w:val="0096007E"/>
    <w:rsid w:val="0096027A"/>
    <w:rsid w:val="0096114F"/>
    <w:rsid w:val="0096273C"/>
    <w:rsid w:val="009631CB"/>
    <w:rsid w:val="0096345D"/>
    <w:rsid w:val="00964BF2"/>
    <w:rsid w:val="009656F9"/>
    <w:rsid w:val="00966298"/>
    <w:rsid w:val="009665CA"/>
    <w:rsid w:val="0096661C"/>
    <w:rsid w:val="00966B8C"/>
    <w:rsid w:val="00966D21"/>
    <w:rsid w:val="00967AA7"/>
    <w:rsid w:val="00967B7D"/>
    <w:rsid w:val="0097373F"/>
    <w:rsid w:val="00974366"/>
    <w:rsid w:val="00974D5C"/>
    <w:rsid w:val="00974F07"/>
    <w:rsid w:val="00975AA1"/>
    <w:rsid w:val="00975DBE"/>
    <w:rsid w:val="009768E9"/>
    <w:rsid w:val="00976B7D"/>
    <w:rsid w:val="00976DA0"/>
    <w:rsid w:val="00981800"/>
    <w:rsid w:val="00981948"/>
    <w:rsid w:val="00981C55"/>
    <w:rsid w:val="00982392"/>
    <w:rsid w:val="00983CDB"/>
    <w:rsid w:val="00983FDF"/>
    <w:rsid w:val="0098422F"/>
    <w:rsid w:val="0098482D"/>
    <w:rsid w:val="00984935"/>
    <w:rsid w:val="00984BF3"/>
    <w:rsid w:val="009850D3"/>
    <w:rsid w:val="00985691"/>
    <w:rsid w:val="0098611C"/>
    <w:rsid w:val="00986A6F"/>
    <w:rsid w:val="009874CB"/>
    <w:rsid w:val="00991728"/>
    <w:rsid w:val="00992893"/>
    <w:rsid w:val="00992B7E"/>
    <w:rsid w:val="00992E27"/>
    <w:rsid w:val="009931CD"/>
    <w:rsid w:val="0099416C"/>
    <w:rsid w:val="0099454B"/>
    <w:rsid w:val="00994999"/>
    <w:rsid w:val="00994C1D"/>
    <w:rsid w:val="00994C91"/>
    <w:rsid w:val="00994D9D"/>
    <w:rsid w:val="009950F4"/>
    <w:rsid w:val="0099695E"/>
    <w:rsid w:val="00996BAA"/>
    <w:rsid w:val="00996E76"/>
    <w:rsid w:val="00996FBF"/>
    <w:rsid w:val="009A1259"/>
    <w:rsid w:val="009A13B6"/>
    <w:rsid w:val="009A1C42"/>
    <w:rsid w:val="009A2470"/>
    <w:rsid w:val="009A2EE6"/>
    <w:rsid w:val="009A3261"/>
    <w:rsid w:val="009A36BA"/>
    <w:rsid w:val="009A43E9"/>
    <w:rsid w:val="009A4AFE"/>
    <w:rsid w:val="009A4BA3"/>
    <w:rsid w:val="009A4E5F"/>
    <w:rsid w:val="009A5111"/>
    <w:rsid w:val="009A519C"/>
    <w:rsid w:val="009A6DE7"/>
    <w:rsid w:val="009B0048"/>
    <w:rsid w:val="009B175A"/>
    <w:rsid w:val="009B18A5"/>
    <w:rsid w:val="009B29F4"/>
    <w:rsid w:val="009B30CF"/>
    <w:rsid w:val="009B3294"/>
    <w:rsid w:val="009B415D"/>
    <w:rsid w:val="009B4DAB"/>
    <w:rsid w:val="009B5329"/>
    <w:rsid w:val="009B56AD"/>
    <w:rsid w:val="009B772C"/>
    <w:rsid w:val="009C02F1"/>
    <w:rsid w:val="009C0625"/>
    <w:rsid w:val="009C0977"/>
    <w:rsid w:val="009C0FA1"/>
    <w:rsid w:val="009C11C1"/>
    <w:rsid w:val="009C1874"/>
    <w:rsid w:val="009C1C1F"/>
    <w:rsid w:val="009C2153"/>
    <w:rsid w:val="009C31F3"/>
    <w:rsid w:val="009C3DD1"/>
    <w:rsid w:val="009C4EBD"/>
    <w:rsid w:val="009C502F"/>
    <w:rsid w:val="009C526C"/>
    <w:rsid w:val="009C62A2"/>
    <w:rsid w:val="009C641F"/>
    <w:rsid w:val="009C645E"/>
    <w:rsid w:val="009C6996"/>
    <w:rsid w:val="009C7374"/>
    <w:rsid w:val="009C78F8"/>
    <w:rsid w:val="009D00E6"/>
    <w:rsid w:val="009D0A05"/>
    <w:rsid w:val="009D0E19"/>
    <w:rsid w:val="009D0FC7"/>
    <w:rsid w:val="009D155B"/>
    <w:rsid w:val="009D2443"/>
    <w:rsid w:val="009D24CE"/>
    <w:rsid w:val="009D33DB"/>
    <w:rsid w:val="009D4165"/>
    <w:rsid w:val="009D466B"/>
    <w:rsid w:val="009D4E3D"/>
    <w:rsid w:val="009D5B03"/>
    <w:rsid w:val="009D5B18"/>
    <w:rsid w:val="009D5C4F"/>
    <w:rsid w:val="009D5E7D"/>
    <w:rsid w:val="009D6A62"/>
    <w:rsid w:val="009D75E5"/>
    <w:rsid w:val="009D769A"/>
    <w:rsid w:val="009D7C07"/>
    <w:rsid w:val="009E08D4"/>
    <w:rsid w:val="009E0ADB"/>
    <w:rsid w:val="009E1528"/>
    <w:rsid w:val="009E1FF2"/>
    <w:rsid w:val="009E2273"/>
    <w:rsid w:val="009E2832"/>
    <w:rsid w:val="009E325E"/>
    <w:rsid w:val="009E4E98"/>
    <w:rsid w:val="009E515C"/>
    <w:rsid w:val="009E63FA"/>
    <w:rsid w:val="009E6894"/>
    <w:rsid w:val="009E7EA6"/>
    <w:rsid w:val="009F111B"/>
    <w:rsid w:val="009F1534"/>
    <w:rsid w:val="009F163C"/>
    <w:rsid w:val="009F1ECA"/>
    <w:rsid w:val="009F1F2C"/>
    <w:rsid w:val="009F2D6B"/>
    <w:rsid w:val="009F313C"/>
    <w:rsid w:val="009F3C2E"/>
    <w:rsid w:val="009F3D22"/>
    <w:rsid w:val="009F3FB8"/>
    <w:rsid w:val="009F56AC"/>
    <w:rsid w:val="009F5CB7"/>
    <w:rsid w:val="009F680B"/>
    <w:rsid w:val="009F75CD"/>
    <w:rsid w:val="009F788A"/>
    <w:rsid w:val="00A00687"/>
    <w:rsid w:val="00A00A0B"/>
    <w:rsid w:val="00A00B8B"/>
    <w:rsid w:val="00A01128"/>
    <w:rsid w:val="00A012FB"/>
    <w:rsid w:val="00A01A22"/>
    <w:rsid w:val="00A020E8"/>
    <w:rsid w:val="00A0227E"/>
    <w:rsid w:val="00A022BD"/>
    <w:rsid w:val="00A02751"/>
    <w:rsid w:val="00A034E0"/>
    <w:rsid w:val="00A03E79"/>
    <w:rsid w:val="00A047B9"/>
    <w:rsid w:val="00A0511E"/>
    <w:rsid w:val="00A05934"/>
    <w:rsid w:val="00A05AD8"/>
    <w:rsid w:val="00A0776A"/>
    <w:rsid w:val="00A10A3C"/>
    <w:rsid w:val="00A116DE"/>
    <w:rsid w:val="00A121F6"/>
    <w:rsid w:val="00A13A74"/>
    <w:rsid w:val="00A15AB7"/>
    <w:rsid w:val="00A1665E"/>
    <w:rsid w:val="00A1695A"/>
    <w:rsid w:val="00A173B1"/>
    <w:rsid w:val="00A176B3"/>
    <w:rsid w:val="00A17A6C"/>
    <w:rsid w:val="00A2033A"/>
    <w:rsid w:val="00A20A73"/>
    <w:rsid w:val="00A20AED"/>
    <w:rsid w:val="00A20D5C"/>
    <w:rsid w:val="00A21E0B"/>
    <w:rsid w:val="00A24CA2"/>
    <w:rsid w:val="00A25793"/>
    <w:rsid w:val="00A25ABF"/>
    <w:rsid w:val="00A25B18"/>
    <w:rsid w:val="00A26A09"/>
    <w:rsid w:val="00A26DC2"/>
    <w:rsid w:val="00A26F80"/>
    <w:rsid w:val="00A30866"/>
    <w:rsid w:val="00A309C1"/>
    <w:rsid w:val="00A31444"/>
    <w:rsid w:val="00A3190B"/>
    <w:rsid w:val="00A31A44"/>
    <w:rsid w:val="00A31C65"/>
    <w:rsid w:val="00A328A3"/>
    <w:rsid w:val="00A32F80"/>
    <w:rsid w:val="00A33B0A"/>
    <w:rsid w:val="00A33D5B"/>
    <w:rsid w:val="00A33D9C"/>
    <w:rsid w:val="00A347B1"/>
    <w:rsid w:val="00A34831"/>
    <w:rsid w:val="00A348D1"/>
    <w:rsid w:val="00A35088"/>
    <w:rsid w:val="00A367A7"/>
    <w:rsid w:val="00A36BCB"/>
    <w:rsid w:val="00A36CBB"/>
    <w:rsid w:val="00A36E3C"/>
    <w:rsid w:val="00A36EFB"/>
    <w:rsid w:val="00A37708"/>
    <w:rsid w:val="00A37FC3"/>
    <w:rsid w:val="00A40295"/>
    <w:rsid w:val="00A40959"/>
    <w:rsid w:val="00A40B40"/>
    <w:rsid w:val="00A41850"/>
    <w:rsid w:val="00A4216A"/>
    <w:rsid w:val="00A422F8"/>
    <w:rsid w:val="00A43121"/>
    <w:rsid w:val="00A43336"/>
    <w:rsid w:val="00A44AED"/>
    <w:rsid w:val="00A45424"/>
    <w:rsid w:val="00A45C04"/>
    <w:rsid w:val="00A463A4"/>
    <w:rsid w:val="00A50304"/>
    <w:rsid w:val="00A508AA"/>
    <w:rsid w:val="00A50DD0"/>
    <w:rsid w:val="00A51FCC"/>
    <w:rsid w:val="00A54043"/>
    <w:rsid w:val="00A5526C"/>
    <w:rsid w:val="00A55FC8"/>
    <w:rsid w:val="00A564D5"/>
    <w:rsid w:val="00A56D5E"/>
    <w:rsid w:val="00A5703E"/>
    <w:rsid w:val="00A61FEC"/>
    <w:rsid w:val="00A62358"/>
    <w:rsid w:val="00A624CD"/>
    <w:rsid w:val="00A62AAB"/>
    <w:rsid w:val="00A62BBD"/>
    <w:rsid w:val="00A633D8"/>
    <w:rsid w:val="00A63779"/>
    <w:rsid w:val="00A63F68"/>
    <w:rsid w:val="00A648D0"/>
    <w:rsid w:val="00A64B0F"/>
    <w:rsid w:val="00A65DB6"/>
    <w:rsid w:val="00A66C37"/>
    <w:rsid w:val="00A67FF9"/>
    <w:rsid w:val="00A707F4"/>
    <w:rsid w:val="00A71021"/>
    <w:rsid w:val="00A72D81"/>
    <w:rsid w:val="00A72E09"/>
    <w:rsid w:val="00A7338F"/>
    <w:rsid w:val="00A7433E"/>
    <w:rsid w:val="00A7447E"/>
    <w:rsid w:val="00A74726"/>
    <w:rsid w:val="00A747F2"/>
    <w:rsid w:val="00A75335"/>
    <w:rsid w:val="00A755B6"/>
    <w:rsid w:val="00A756AC"/>
    <w:rsid w:val="00A76B2D"/>
    <w:rsid w:val="00A76F58"/>
    <w:rsid w:val="00A77AAD"/>
    <w:rsid w:val="00A77CA5"/>
    <w:rsid w:val="00A77E7B"/>
    <w:rsid w:val="00A805DF"/>
    <w:rsid w:val="00A80B52"/>
    <w:rsid w:val="00A80CED"/>
    <w:rsid w:val="00A81FF1"/>
    <w:rsid w:val="00A82070"/>
    <w:rsid w:val="00A82904"/>
    <w:rsid w:val="00A82AA3"/>
    <w:rsid w:val="00A82C45"/>
    <w:rsid w:val="00A82D54"/>
    <w:rsid w:val="00A82FD3"/>
    <w:rsid w:val="00A838D4"/>
    <w:rsid w:val="00A84513"/>
    <w:rsid w:val="00A84E04"/>
    <w:rsid w:val="00A85108"/>
    <w:rsid w:val="00A8590E"/>
    <w:rsid w:val="00A85FE9"/>
    <w:rsid w:val="00A867A2"/>
    <w:rsid w:val="00A87BBF"/>
    <w:rsid w:val="00A9013E"/>
    <w:rsid w:val="00A9084F"/>
    <w:rsid w:val="00A914A9"/>
    <w:rsid w:val="00A91743"/>
    <w:rsid w:val="00A91D27"/>
    <w:rsid w:val="00A91F47"/>
    <w:rsid w:val="00A922C9"/>
    <w:rsid w:val="00A92463"/>
    <w:rsid w:val="00A92AFC"/>
    <w:rsid w:val="00A92B6A"/>
    <w:rsid w:val="00A92D4B"/>
    <w:rsid w:val="00A93D1F"/>
    <w:rsid w:val="00A93E4C"/>
    <w:rsid w:val="00A9485E"/>
    <w:rsid w:val="00A94EAE"/>
    <w:rsid w:val="00A9668A"/>
    <w:rsid w:val="00AA13FF"/>
    <w:rsid w:val="00AA28AC"/>
    <w:rsid w:val="00AA28FB"/>
    <w:rsid w:val="00AA48CD"/>
    <w:rsid w:val="00AA4ADB"/>
    <w:rsid w:val="00AA4F08"/>
    <w:rsid w:val="00AA50C4"/>
    <w:rsid w:val="00AA5AD4"/>
    <w:rsid w:val="00AA6308"/>
    <w:rsid w:val="00AA6628"/>
    <w:rsid w:val="00AA78AE"/>
    <w:rsid w:val="00AB06F3"/>
    <w:rsid w:val="00AB0D85"/>
    <w:rsid w:val="00AB0F7C"/>
    <w:rsid w:val="00AB17F1"/>
    <w:rsid w:val="00AB21BB"/>
    <w:rsid w:val="00AB225E"/>
    <w:rsid w:val="00AB2C9A"/>
    <w:rsid w:val="00AB3F89"/>
    <w:rsid w:val="00AB4322"/>
    <w:rsid w:val="00AB472B"/>
    <w:rsid w:val="00AB5A0E"/>
    <w:rsid w:val="00AB6306"/>
    <w:rsid w:val="00AB71D8"/>
    <w:rsid w:val="00AB7563"/>
    <w:rsid w:val="00AC09BD"/>
    <w:rsid w:val="00AC0B70"/>
    <w:rsid w:val="00AC0BA6"/>
    <w:rsid w:val="00AC11D2"/>
    <w:rsid w:val="00AC18D3"/>
    <w:rsid w:val="00AC2E31"/>
    <w:rsid w:val="00AC3B28"/>
    <w:rsid w:val="00AC3E0E"/>
    <w:rsid w:val="00AC4108"/>
    <w:rsid w:val="00AC461F"/>
    <w:rsid w:val="00AC5628"/>
    <w:rsid w:val="00AC57B6"/>
    <w:rsid w:val="00AC6F33"/>
    <w:rsid w:val="00AC7030"/>
    <w:rsid w:val="00AD138E"/>
    <w:rsid w:val="00AD21E4"/>
    <w:rsid w:val="00AD2967"/>
    <w:rsid w:val="00AD2CED"/>
    <w:rsid w:val="00AD33D7"/>
    <w:rsid w:val="00AD486C"/>
    <w:rsid w:val="00AD6EB4"/>
    <w:rsid w:val="00AD7465"/>
    <w:rsid w:val="00AD7762"/>
    <w:rsid w:val="00AE0273"/>
    <w:rsid w:val="00AE02DF"/>
    <w:rsid w:val="00AE0C75"/>
    <w:rsid w:val="00AE15B3"/>
    <w:rsid w:val="00AE312A"/>
    <w:rsid w:val="00AE3297"/>
    <w:rsid w:val="00AE349D"/>
    <w:rsid w:val="00AE355C"/>
    <w:rsid w:val="00AE36CB"/>
    <w:rsid w:val="00AE3CB2"/>
    <w:rsid w:val="00AE4990"/>
    <w:rsid w:val="00AE6934"/>
    <w:rsid w:val="00AE6D7A"/>
    <w:rsid w:val="00AE6FA9"/>
    <w:rsid w:val="00AE771D"/>
    <w:rsid w:val="00AE7CCD"/>
    <w:rsid w:val="00AF026B"/>
    <w:rsid w:val="00AF0523"/>
    <w:rsid w:val="00AF0604"/>
    <w:rsid w:val="00AF20E7"/>
    <w:rsid w:val="00AF2EDA"/>
    <w:rsid w:val="00AF3901"/>
    <w:rsid w:val="00AF3EC4"/>
    <w:rsid w:val="00AF44C2"/>
    <w:rsid w:val="00AF4EC0"/>
    <w:rsid w:val="00AF54EF"/>
    <w:rsid w:val="00AF581E"/>
    <w:rsid w:val="00AF5B79"/>
    <w:rsid w:val="00AF6D90"/>
    <w:rsid w:val="00AF7834"/>
    <w:rsid w:val="00AF7C8E"/>
    <w:rsid w:val="00B0017B"/>
    <w:rsid w:val="00B00746"/>
    <w:rsid w:val="00B01617"/>
    <w:rsid w:val="00B01A2F"/>
    <w:rsid w:val="00B026B0"/>
    <w:rsid w:val="00B028E2"/>
    <w:rsid w:val="00B0326B"/>
    <w:rsid w:val="00B0361F"/>
    <w:rsid w:val="00B03625"/>
    <w:rsid w:val="00B03DD3"/>
    <w:rsid w:val="00B04B4C"/>
    <w:rsid w:val="00B058A6"/>
    <w:rsid w:val="00B07123"/>
    <w:rsid w:val="00B0747E"/>
    <w:rsid w:val="00B07EAF"/>
    <w:rsid w:val="00B10641"/>
    <w:rsid w:val="00B114DE"/>
    <w:rsid w:val="00B1165C"/>
    <w:rsid w:val="00B1283A"/>
    <w:rsid w:val="00B12F30"/>
    <w:rsid w:val="00B133BA"/>
    <w:rsid w:val="00B134CD"/>
    <w:rsid w:val="00B13D29"/>
    <w:rsid w:val="00B13DAC"/>
    <w:rsid w:val="00B14018"/>
    <w:rsid w:val="00B14682"/>
    <w:rsid w:val="00B1537B"/>
    <w:rsid w:val="00B153A0"/>
    <w:rsid w:val="00B16215"/>
    <w:rsid w:val="00B1638D"/>
    <w:rsid w:val="00B16878"/>
    <w:rsid w:val="00B16FD1"/>
    <w:rsid w:val="00B17E7B"/>
    <w:rsid w:val="00B207FC"/>
    <w:rsid w:val="00B21261"/>
    <w:rsid w:val="00B214E9"/>
    <w:rsid w:val="00B221DA"/>
    <w:rsid w:val="00B221FE"/>
    <w:rsid w:val="00B22379"/>
    <w:rsid w:val="00B234ED"/>
    <w:rsid w:val="00B2396D"/>
    <w:rsid w:val="00B2466B"/>
    <w:rsid w:val="00B24EE5"/>
    <w:rsid w:val="00B25122"/>
    <w:rsid w:val="00B253DC"/>
    <w:rsid w:val="00B2678E"/>
    <w:rsid w:val="00B30352"/>
    <w:rsid w:val="00B309A9"/>
    <w:rsid w:val="00B30C66"/>
    <w:rsid w:val="00B318CF"/>
    <w:rsid w:val="00B32489"/>
    <w:rsid w:val="00B32B6B"/>
    <w:rsid w:val="00B32BDA"/>
    <w:rsid w:val="00B32D72"/>
    <w:rsid w:val="00B33E15"/>
    <w:rsid w:val="00B34048"/>
    <w:rsid w:val="00B346B0"/>
    <w:rsid w:val="00B363BD"/>
    <w:rsid w:val="00B36591"/>
    <w:rsid w:val="00B369DE"/>
    <w:rsid w:val="00B378BB"/>
    <w:rsid w:val="00B37E6E"/>
    <w:rsid w:val="00B407E3"/>
    <w:rsid w:val="00B408E6"/>
    <w:rsid w:val="00B40F3A"/>
    <w:rsid w:val="00B40FD6"/>
    <w:rsid w:val="00B4214E"/>
    <w:rsid w:val="00B42508"/>
    <w:rsid w:val="00B42509"/>
    <w:rsid w:val="00B43332"/>
    <w:rsid w:val="00B437E8"/>
    <w:rsid w:val="00B43C94"/>
    <w:rsid w:val="00B43E47"/>
    <w:rsid w:val="00B4451F"/>
    <w:rsid w:val="00B44B64"/>
    <w:rsid w:val="00B46106"/>
    <w:rsid w:val="00B4625F"/>
    <w:rsid w:val="00B47396"/>
    <w:rsid w:val="00B47B24"/>
    <w:rsid w:val="00B508CD"/>
    <w:rsid w:val="00B5174B"/>
    <w:rsid w:val="00B51E1F"/>
    <w:rsid w:val="00B5224C"/>
    <w:rsid w:val="00B52859"/>
    <w:rsid w:val="00B5287D"/>
    <w:rsid w:val="00B53077"/>
    <w:rsid w:val="00B53AE4"/>
    <w:rsid w:val="00B53DA8"/>
    <w:rsid w:val="00B53F3C"/>
    <w:rsid w:val="00B542B6"/>
    <w:rsid w:val="00B545CB"/>
    <w:rsid w:val="00B547E6"/>
    <w:rsid w:val="00B54874"/>
    <w:rsid w:val="00B54A27"/>
    <w:rsid w:val="00B56372"/>
    <w:rsid w:val="00B569F6"/>
    <w:rsid w:val="00B57364"/>
    <w:rsid w:val="00B57AAA"/>
    <w:rsid w:val="00B57BD7"/>
    <w:rsid w:val="00B57CA4"/>
    <w:rsid w:val="00B57CDC"/>
    <w:rsid w:val="00B6011C"/>
    <w:rsid w:val="00B602DC"/>
    <w:rsid w:val="00B60863"/>
    <w:rsid w:val="00B62BB8"/>
    <w:rsid w:val="00B631CF"/>
    <w:rsid w:val="00B63553"/>
    <w:rsid w:val="00B638D8"/>
    <w:rsid w:val="00B63A02"/>
    <w:rsid w:val="00B6450E"/>
    <w:rsid w:val="00B64580"/>
    <w:rsid w:val="00B652A0"/>
    <w:rsid w:val="00B65A8F"/>
    <w:rsid w:val="00B65BC2"/>
    <w:rsid w:val="00B65C0A"/>
    <w:rsid w:val="00B65DC9"/>
    <w:rsid w:val="00B65E74"/>
    <w:rsid w:val="00B66847"/>
    <w:rsid w:val="00B66C66"/>
    <w:rsid w:val="00B66E13"/>
    <w:rsid w:val="00B70211"/>
    <w:rsid w:val="00B70AB8"/>
    <w:rsid w:val="00B70ABE"/>
    <w:rsid w:val="00B70CA9"/>
    <w:rsid w:val="00B7171C"/>
    <w:rsid w:val="00B71962"/>
    <w:rsid w:val="00B71C19"/>
    <w:rsid w:val="00B729FE"/>
    <w:rsid w:val="00B73CE6"/>
    <w:rsid w:val="00B7401D"/>
    <w:rsid w:val="00B74266"/>
    <w:rsid w:val="00B743F1"/>
    <w:rsid w:val="00B76F66"/>
    <w:rsid w:val="00B775C1"/>
    <w:rsid w:val="00B7762C"/>
    <w:rsid w:val="00B80E6D"/>
    <w:rsid w:val="00B81789"/>
    <w:rsid w:val="00B82676"/>
    <w:rsid w:val="00B82EEA"/>
    <w:rsid w:val="00B8358C"/>
    <w:rsid w:val="00B83644"/>
    <w:rsid w:val="00B84519"/>
    <w:rsid w:val="00B85CB1"/>
    <w:rsid w:val="00B85F3A"/>
    <w:rsid w:val="00B8653E"/>
    <w:rsid w:val="00B86901"/>
    <w:rsid w:val="00B86D0C"/>
    <w:rsid w:val="00B86F1A"/>
    <w:rsid w:val="00B90904"/>
    <w:rsid w:val="00B90DEC"/>
    <w:rsid w:val="00B910CD"/>
    <w:rsid w:val="00B910DB"/>
    <w:rsid w:val="00B9162D"/>
    <w:rsid w:val="00B92975"/>
    <w:rsid w:val="00B92C3E"/>
    <w:rsid w:val="00B92EC9"/>
    <w:rsid w:val="00B93A3D"/>
    <w:rsid w:val="00B94A7B"/>
    <w:rsid w:val="00B952CE"/>
    <w:rsid w:val="00B957E9"/>
    <w:rsid w:val="00B959AC"/>
    <w:rsid w:val="00B96015"/>
    <w:rsid w:val="00B96155"/>
    <w:rsid w:val="00B966F0"/>
    <w:rsid w:val="00B97277"/>
    <w:rsid w:val="00BA1E9A"/>
    <w:rsid w:val="00BA2334"/>
    <w:rsid w:val="00BA33EE"/>
    <w:rsid w:val="00BA35E2"/>
    <w:rsid w:val="00BA3C31"/>
    <w:rsid w:val="00BA558F"/>
    <w:rsid w:val="00BA591E"/>
    <w:rsid w:val="00BA690B"/>
    <w:rsid w:val="00BA760F"/>
    <w:rsid w:val="00BA7E83"/>
    <w:rsid w:val="00BB0A57"/>
    <w:rsid w:val="00BB22D7"/>
    <w:rsid w:val="00BB26BF"/>
    <w:rsid w:val="00BB2C9B"/>
    <w:rsid w:val="00BB3EAB"/>
    <w:rsid w:val="00BB3EDC"/>
    <w:rsid w:val="00BB4DF2"/>
    <w:rsid w:val="00BB52F9"/>
    <w:rsid w:val="00BB682D"/>
    <w:rsid w:val="00BB6CA1"/>
    <w:rsid w:val="00BB722A"/>
    <w:rsid w:val="00BB76EA"/>
    <w:rsid w:val="00BB77C9"/>
    <w:rsid w:val="00BB7CBD"/>
    <w:rsid w:val="00BB7D62"/>
    <w:rsid w:val="00BC0C58"/>
    <w:rsid w:val="00BC0DBF"/>
    <w:rsid w:val="00BC1BFC"/>
    <w:rsid w:val="00BC2036"/>
    <w:rsid w:val="00BC26B9"/>
    <w:rsid w:val="00BC327B"/>
    <w:rsid w:val="00BC4018"/>
    <w:rsid w:val="00BC40B4"/>
    <w:rsid w:val="00BC48DC"/>
    <w:rsid w:val="00BC4985"/>
    <w:rsid w:val="00BC557E"/>
    <w:rsid w:val="00BC6EE4"/>
    <w:rsid w:val="00BC7328"/>
    <w:rsid w:val="00BD00F0"/>
    <w:rsid w:val="00BD083D"/>
    <w:rsid w:val="00BD0883"/>
    <w:rsid w:val="00BD1128"/>
    <w:rsid w:val="00BD2828"/>
    <w:rsid w:val="00BD2F28"/>
    <w:rsid w:val="00BD355B"/>
    <w:rsid w:val="00BD41F1"/>
    <w:rsid w:val="00BD4734"/>
    <w:rsid w:val="00BD504A"/>
    <w:rsid w:val="00BD66D0"/>
    <w:rsid w:val="00BD79E4"/>
    <w:rsid w:val="00BD7E23"/>
    <w:rsid w:val="00BE0756"/>
    <w:rsid w:val="00BE1C34"/>
    <w:rsid w:val="00BE2148"/>
    <w:rsid w:val="00BE2ECD"/>
    <w:rsid w:val="00BE43C2"/>
    <w:rsid w:val="00BE5417"/>
    <w:rsid w:val="00BE5F42"/>
    <w:rsid w:val="00BE5F95"/>
    <w:rsid w:val="00BE6646"/>
    <w:rsid w:val="00BE6DCF"/>
    <w:rsid w:val="00BE6F24"/>
    <w:rsid w:val="00BE75C2"/>
    <w:rsid w:val="00BE7A0C"/>
    <w:rsid w:val="00BF0E76"/>
    <w:rsid w:val="00BF0FCB"/>
    <w:rsid w:val="00BF11CC"/>
    <w:rsid w:val="00BF1BBE"/>
    <w:rsid w:val="00BF2E3B"/>
    <w:rsid w:val="00BF3B60"/>
    <w:rsid w:val="00BF3EE2"/>
    <w:rsid w:val="00BF3FE6"/>
    <w:rsid w:val="00BF4DC3"/>
    <w:rsid w:val="00BF507A"/>
    <w:rsid w:val="00BF5324"/>
    <w:rsid w:val="00BF5A84"/>
    <w:rsid w:val="00BF6BCF"/>
    <w:rsid w:val="00BF7B00"/>
    <w:rsid w:val="00C0002C"/>
    <w:rsid w:val="00C005B8"/>
    <w:rsid w:val="00C018E1"/>
    <w:rsid w:val="00C02046"/>
    <w:rsid w:val="00C03110"/>
    <w:rsid w:val="00C03319"/>
    <w:rsid w:val="00C03D42"/>
    <w:rsid w:val="00C045EA"/>
    <w:rsid w:val="00C04D50"/>
    <w:rsid w:val="00C04F2F"/>
    <w:rsid w:val="00C0683C"/>
    <w:rsid w:val="00C07099"/>
    <w:rsid w:val="00C0789E"/>
    <w:rsid w:val="00C07B9F"/>
    <w:rsid w:val="00C111B3"/>
    <w:rsid w:val="00C11ECB"/>
    <w:rsid w:val="00C13B1E"/>
    <w:rsid w:val="00C154BA"/>
    <w:rsid w:val="00C1557B"/>
    <w:rsid w:val="00C15984"/>
    <w:rsid w:val="00C16681"/>
    <w:rsid w:val="00C16B83"/>
    <w:rsid w:val="00C174FF"/>
    <w:rsid w:val="00C17708"/>
    <w:rsid w:val="00C1785F"/>
    <w:rsid w:val="00C17A93"/>
    <w:rsid w:val="00C17C17"/>
    <w:rsid w:val="00C2002E"/>
    <w:rsid w:val="00C20419"/>
    <w:rsid w:val="00C207FB"/>
    <w:rsid w:val="00C20D81"/>
    <w:rsid w:val="00C20E29"/>
    <w:rsid w:val="00C21139"/>
    <w:rsid w:val="00C21413"/>
    <w:rsid w:val="00C225ED"/>
    <w:rsid w:val="00C22B86"/>
    <w:rsid w:val="00C22FD0"/>
    <w:rsid w:val="00C239A8"/>
    <w:rsid w:val="00C2442A"/>
    <w:rsid w:val="00C24BE0"/>
    <w:rsid w:val="00C2646C"/>
    <w:rsid w:val="00C27278"/>
    <w:rsid w:val="00C2777E"/>
    <w:rsid w:val="00C303F8"/>
    <w:rsid w:val="00C30C31"/>
    <w:rsid w:val="00C31EC6"/>
    <w:rsid w:val="00C320D8"/>
    <w:rsid w:val="00C32958"/>
    <w:rsid w:val="00C33F3D"/>
    <w:rsid w:val="00C346A4"/>
    <w:rsid w:val="00C346D0"/>
    <w:rsid w:val="00C34C66"/>
    <w:rsid w:val="00C35C1F"/>
    <w:rsid w:val="00C36663"/>
    <w:rsid w:val="00C3700B"/>
    <w:rsid w:val="00C372AC"/>
    <w:rsid w:val="00C40BC9"/>
    <w:rsid w:val="00C40D74"/>
    <w:rsid w:val="00C425E6"/>
    <w:rsid w:val="00C42C1F"/>
    <w:rsid w:val="00C4363D"/>
    <w:rsid w:val="00C43C72"/>
    <w:rsid w:val="00C44789"/>
    <w:rsid w:val="00C45B2B"/>
    <w:rsid w:val="00C45CC7"/>
    <w:rsid w:val="00C469A4"/>
    <w:rsid w:val="00C470D3"/>
    <w:rsid w:val="00C50248"/>
    <w:rsid w:val="00C515CE"/>
    <w:rsid w:val="00C52C2D"/>
    <w:rsid w:val="00C53014"/>
    <w:rsid w:val="00C539F1"/>
    <w:rsid w:val="00C53C34"/>
    <w:rsid w:val="00C54B8C"/>
    <w:rsid w:val="00C55684"/>
    <w:rsid w:val="00C556D7"/>
    <w:rsid w:val="00C56337"/>
    <w:rsid w:val="00C577D7"/>
    <w:rsid w:val="00C57ABE"/>
    <w:rsid w:val="00C6058C"/>
    <w:rsid w:val="00C613C0"/>
    <w:rsid w:val="00C6197D"/>
    <w:rsid w:val="00C628E4"/>
    <w:rsid w:val="00C630F2"/>
    <w:rsid w:val="00C63957"/>
    <w:rsid w:val="00C63CAD"/>
    <w:rsid w:val="00C63DAF"/>
    <w:rsid w:val="00C649B1"/>
    <w:rsid w:val="00C64E8D"/>
    <w:rsid w:val="00C65B7F"/>
    <w:rsid w:val="00C65E41"/>
    <w:rsid w:val="00C672F4"/>
    <w:rsid w:val="00C673A7"/>
    <w:rsid w:val="00C67812"/>
    <w:rsid w:val="00C700FE"/>
    <w:rsid w:val="00C7031F"/>
    <w:rsid w:val="00C7176C"/>
    <w:rsid w:val="00C72EA3"/>
    <w:rsid w:val="00C737DC"/>
    <w:rsid w:val="00C73A6F"/>
    <w:rsid w:val="00C7491E"/>
    <w:rsid w:val="00C7523F"/>
    <w:rsid w:val="00C75890"/>
    <w:rsid w:val="00C759DE"/>
    <w:rsid w:val="00C75C18"/>
    <w:rsid w:val="00C767ED"/>
    <w:rsid w:val="00C76CE2"/>
    <w:rsid w:val="00C76F21"/>
    <w:rsid w:val="00C77671"/>
    <w:rsid w:val="00C77B01"/>
    <w:rsid w:val="00C77C51"/>
    <w:rsid w:val="00C8129E"/>
    <w:rsid w:val="00C81CAC"/>
    <w:rsid w:val="00C83F8E"/>
    <w:rsid w:val="00C853F9"/>
    <w:rsid w:val="00C85862"/>
    <w:rsid w:val="00C858F9"/>
    <w:rsid w:val="00C86477"/>
    <w:rsid w:val="00C873E4"/>
    <w:rsid w:val="00C87455"/>
    <w:rsid w:val="00C90A31"/>
    <w:rsid w:val="00C916D4"/>
    <w:rsid w:val="00C918EA"/>
    <w:rsid w:val="00C92B10"/>
    <w:rsid w:val="00C948CF"/>
    <w:rsid w:val="00C97D08"/>
    <w:rsid w:val="00CA0557"/>
    <w:rsid w:val="00CA0FE1"/>
    <w:rsid w:val="00CA18CC"/>
    <w:rsid w:val="00CA1BFC"/>
    <w:rsid w:val="00CA2381"/>
    <w:rsid w:val="00CA3372"/>
    <w:rsid w:val="00CA3543"/>
    <w:rsid w:val="00CA35E2"/>
    <w:rsid w:val="00CA3F5A"/>
    <w:rsid w:val="00CA55B0"/>
    <w:rsid w:val="00CA58EE"/>
    <w:rsid w:val="00CA65A8"/>
    <w:rsid w:val="00CA6B01"/>
    <w:rsid w:val="00CA6CA9"/>
    <w:rsid w:val="00CA7638"/>
    <w:rsid w:val="00CA77A5"/>
    <w:rsid w:val="00CA7939"/>
    <w:rsid w:val="00CA7E2C"/>
    <w:rsid w:val="00CB01AF"/>
    <w:rsid w:val="00CB03B2"/>
    <w:rsid w:val="00CB08CD"/>
    <w:rsid w:val="00CB1A17"/>
    <w:rsid w:val="00CB2D67"/>
    <w:rsid w:val="00CB2ED6"/>
    <w:rsid w:val="00CB5115"/>
    <w:rsid w:val="00CB5177"/>
    <w:rsid w:val="00CB6370"/>
    <w:rsid w:val="00CB695F"/>
    <w:rsid w:val="00CB6BF8"/>
    <w:rsid w:val="00CB7A08"/>
    <w:rsid w:val="00CC0BD5"/>
    <w:rsid w:val="00CC122B"/>
    <w:rsid w:val="00CC1827"/>
    <w:rsid w:val="00CC1B62"/>
    <w:rsid w:val="00CC1F20"/>
    <w:rsid w:val="00CC2232"/>
    <w:rsid w:val="00CC2BFE"/>
    <w:rsid w:val="00CC3099"/>
    <w:rsid w:val="00CC31B2"/>
    <w:rsid w:val="00CC426D"/>
    <w:rsid w:val="00CC4904"/>
    <w:rsid w:val="00CC509B"/>
    <w:rsid w:val="00CC5536"/>
    <w:rsid w:val="00CC57D3"/>
    <w:rsid w:val="00CC582D"/>
    <w:rsid w:val="00CC58AB"/>
    <w:rsid w:val="00CC5AC5"/>
    <w:rsid w:val="00CC5C33"/>
    <w:rsid w:val="00CC602E"/>
    <w:rsid w:val="00CC6CBA"/>
    <w:rsid w:val="00CC6F45"/>
    <w:rsid w:val="00CC7E8A"/>
    <w:rsid w:val="00CC7E9B"/>
    <w:rsid w:val="00CD0D5F"/>
    <w:rsid w:val="00CD0DC9"/>
    <w:rsid w:val="00CD0FFD"/>
    <w:rsid w:val="00CD1CF0"/>
    <w:rsid w:val="00CD3C2E"/>
    <w:rsid w:val="00CD3C58"/>
    <w:rsid w:val="00CD3E26"/>
    <w:rsid w:val="00CD46CB"/>
    <w:rsid w:val="00CD5A93"/>
    <w:rsid w:val="00CD5DE4"/>
    <w:rsid w:val="00CD5EAB"/>
    <w:rsid w:val="00CD6A98"/>
    <w:rsid w:val="00CD7330"/>
    <w:rsid w:val="00CD764F"/>
    <w:rsid w:val="00CD78D2"/>
    <w:rsid w:val="00CE064D"/>
    <w:rsid w:val="00CE08D6"/>
    <w:rsid w:val="00CE120E"/>
    <w:rsid w:val="00CE15BB"/>
    <w:rsid w:val="00CE1B3F"/>
    <w:rsid w:val="00CE1C5A"/>
    <w:rsid w:val="00CE2164"/>
    <w:rsid w:val="00CE2C99"/>
    <w:rsid w:val="00CE3316"/>
    <w:rsid w:val="00CE3D8E"/>
    <w:rsid w:val="00CE4164"/>
    <w:rsid w:val="00CE4690"/>
    <w:rsid w:val="00CE4829"/>
    <w:rsid w:val="00CE4845"/>
    <w:rsid w:val="00CE5EC3"/>
    <w:rsid w:val="00CE61D5"/>
    <w:rsid w:val="00CE6FB5"/>
    <w:rsid w:val="00CF0264"/>
    <w:rsid w:val="00CF103D"/>
    <w:rsid w:val="00CF1504"/>
    <w:rsid w:val="00CF162A"/>
    <w:rsid w:val="00CF335E"/>
    <w:rsid w:val="00CF342E"/>
    <w:rsid w:val="00CF3522"/>
    <w:rsid w:val="00CF3C38"/>
    <w:rsid w:val="00CF3C43"/>
    <w:rsid w:val="00CF4E39"/>
    <w:rsid w:val="00CF5023"/>
    <w:rsid w:val="00CF50C3"/>
    <w:rsid w:val="00CF5BCC"/>
    <w:rsid w:val="00CF741A"/>
    <w:rsid w:val="00D0046A"/>
    <w:rsid w:val="00D00EA0"/>
    <w:rsid w:val="00D02125"/>
    <w:rsid w:val="00D0225A"/>
    <w:rsid w:val="00D024F6"/>
    <w:rsid w:val="00D02B53"/>
    <w:rsid w:val="00D030A4"/>
    <w:rsid w:val="00D03509"/>
    <w:rsid w:val="00D038E1"/>
    <w:rsid w:val="00D03E49"/>
    <w:rsid w:val="00D04CDF"/>
    <w:rsid w:val="00D04DFE"/>
    <w:rsid w:val="00D04FA6"/>
    <w:rsid w:val="00D05573"/>
    <w:rsid w:val="00D06255"/>
    <w:rsid w:val="00D0657D"/>
    <w:rsid w:val="00D06F73"/>
    <w:rsid w:val="00D07FC5"/>
    <w:rsid w:val="00D10318"/>
    <w:rsid w:val="00D1052E"/>
    <w:rsid w:val="00D1061F"/>
    <w:rsid w:val="00D115DA"/>
    <w:rsid w:val="00D12178"/>
    <w:rsid w:val="00D124CF"/>
    <w:rsid w:val="00D126E6"/>
    <w:rsid w:val="00D13237"/>
    <w:rsid w:val="00D1329F"/>
    <w:rsid w:val="00D13B54"/>
    <w:rsid w:val="00D14887"/>
    <w:rsid w:val="00D16113"/>
    <w:rsid w:val="00D16546"/>
    <w:rsid w:val="00D166A8"/>
    <w:rsid w:val="00D16B98"/>
    <w:rsid w:val="00D16C0D"/>
    <w:rsid w:val="00D16F78"/>
    <w:rsid w:val="00D20233"/>
    <w:rsid w:val="00D2073A"/>
    <w:rsid w:val="00D22CE5"/>
    <w:rsid w:val="00D234C0"/>
    <w:rsid w:val="00D23C35"/>
    <w:rsid w:val="00D2458E"/>
    <w:rsid w:val="00D25960"/>
    <w:rsid w:val="00D25AE7"/>
    <w:rsid w:val="00D262CD"/>
    <w:rsid w:val="00D26E80"/>
    <w:rsid w:val="00D30661"/>
    <w:rsid w:val="00D30F4B"/>
    <w:rsid w:val="00D31D0D"/>
    <w:rsid w:val="00D328A2"/>
    <w:rsid w:val="00D3309C"/>
    <w:rsid w:val="00D33295"/>
    <w:rsid w:val="00D36898"/>
    <w:rsid w:val="00D36B93"/>
    <w:rsid w:val="00D36F2F"/>
    <w:rsid w:val="00D37728"/>
    <w:rsid w:val="00D37CB0"/>
    <w:rsid w:val="00D409C6"/>
    <w:rsid w:val="00D40A56"/>
    <w:rsid w:val="00D41003"/>
    <w:rsid w:val="00D4165B"/>
    <w:rsid w:val="00D41EFD"/>
    <w:rsid w:val="00D429EA"/>
    <w:rsid w:val="00D4427D"/>
    <w:rsid w:val="00D44F87"/>
    <w:rsid w:val="00D44FE6"/>
    <w:rsid w:val="00D456E4"/>
    <w:rsid w:val="00D4581C"/>
    <w:rsid w:val="00D458F4"/>
    <w:rsid w:val="00D45C47"/>
    <w:rsid w:val="00D46938"/>
    <w:rsid w:val="00D47A41"/>
    <w:rsid w:val="00D500A6"/>
    <w:rsid w:val="00D5010A"/>
    <w:rsid w:val="00D50764"/>
    <w:rsid w:val="00D51118"/>
    <w:rsid w:val="00D51FC5"/>
    <w:rsid w:val="00D534D0"/>
    <w:rsid w:val="00D53B0A"/>
    <w:rsid w:val="00D542E7"/>
    <w:rsid w:val="00D545A7"/>
    <w:rsid w:val="00D54F76"/>
    <w:rsid w:val="00D5518D"/>
    <w:rsid w:val="00D57920"/>
    <w:rsid w:val="00D601CD"/>
    <w:rsid w:val="00D60388"/>
    <w:rsid w:val="00D6075B"/>
    <w:rsid w:val="00D60EBB"/>
    <w:rsid w:val="00D6108D"/>
    <w:rsid w:val="00D61E66"/>
    <w:rsid w:val="00D61F93"/>
    <w:rsid w:val="00D6285D"/>
    <w:rsid w:val="00D62ECB"/>
    <w:rsid w:val="00D64EFD"/>
    <w:rsid w:val="00D6535D"/>
    <w:rsid w:val="00D65DF1"/>
    <w:rsid w:val="00D66DC9"/>
    <w:rsid w:val="00D670BC"/>
    <w:rsid w:val="00D6746D"/>
    <w:rsid w:val="00D703E3"/>
    <w:rsid w:val="00D70D34"/>
    <w:rsid w:val="00D70E96"/>
    <w:rsid w:val="00D71361"/>
    <w:rsid w:val="00D715B1"/>
    <w:rsid w:val="00D716F5"/>
    <w:rsid w:val="00D71914"/>
    <w:rsid w:val="00D7203D"/>
    <w:rsid w:val="00D726F0"/>
    <w:rsid w:val="00D72CD1"/>
    <w:rsid w:val="00D73300"/>
    <w:rsid w:val="00D7345E"/>
    <w:rsid w:val="00D73FF2"/>
    <w:rsid w:val="00D7446E"/>
    <w:rsid w:val="00D75B85"/>
    <w:rsid w:val="00D76D09"/>
    <w:rsid w:val="00D77588"/>
    <w:rsid w:val="00D778AA"/>
    <w:rsid w:val="00D8051A"/>
    <w:rsid w:val="00D807CF"/>
    <w:rsid w:val="00D80E3E"/>
    <w:rsid w:val="00D814EF"/>
    <w:rsid w:val="00D816C9"/>
    <w:rsid w:val="00D8172C"/>
    <w:rsid w:val="00D81C47"/>
    <w:rsid w:val="00D81D1F"/>
    <w:rsid w:val="00D84557"/>
    <w:rsid w:val="00D84BEC"/>
    <w:rsid w:val="00D86061"/>
    <w:rsid w:val="00D86A75"/>
    <w:rsid w:val="00D877C2"/>
    <w:rsid w:val="00D90CD8"/>
    <w:rsid w:val="00D91F4A"/>
    <w:rsid w:val="00D922CD"/>
    <w:rsid w:val="00D9295A"/>
    <w:rsid w:val="00D9379F"/>
    <w:rsid w:val="00D93DE7"/>
    <w:rsid w:val="00D9574F"/>
    <w:rsid w:val="00D97185"/>
    <w:rsid w:val="00DA0189"/>
    <w:rsid w:val="00DA06FB"/>
    <w:rsid w:val="00DA1D2C"/>
    <w:rsid w:val="00DA2582"/>
    <w:rsid w:val="00DA26C0"/>
    <w:rsid w:val="00DA2978"/>
    <w:rsid w:val="00DA2A54"/>
    <w:rsid w:val="00DA2CF3"/>
    <w:rsid w:val="00DA2E43"/>
    <w:rsid w:val="00DA34BB"/>
    <w:rsid w:val="00DA37F7"/>
    <w:rsid w:val="00DA3E87"/>
    <w:rsid w:val="00DA4918"/>
    <w:rsid w:val="00DA4B9D"/>
    <w:rsid w:val="00DA52F6"/>
    <w:rsid w:val="00DA55AA"/>
    <w:rsid w:val="00DA5875"/>
    <w:rsid w:val="00DA6B1D"/>
    <w:rsid w:val="00DA7471"/>
    <w:rsid w:val="00DA7DFE"/>
    <w:rsid w:val="00DB128B"/>
    <w:rsid w:val="00DB167D"/>
    <w:rsid w:val="00DB24A2"/>
    <w:rsid w:val="00DB2F02"/>
    <w:rsid w:val="00DB3785"/>
    <w:rsid w:val="00DB3EEE"/>
    <w:rsid w:val="00DB3FB4"/>
    <w:rsid w:val="00DB3FEE"/>
    <w:rsid w:val="00DB481B"/>
    <w:rsid w:val="00DB66D5"/>
    <w:rsid w:val="00DB675A"/>
    <w:rsid w:val="00DB725F"/>
    <w:rsid w:val="00DB76DB"/>
    <w:rsid w:val="00DB76FB"/>
    <w:rsid w:val="00DC0762"/>
    <w:rsid w:val="00DC1908"/>
    <w:rsid w:val="00DC1CF1"/>
    <w:rsid w:val="00DC2120"/>
    <w:rsid w:val="00DC22B5"/>
    <w:rsid w:val="00DC37D4"/>
    <w:rsid w:val="00DC3B75"/>
    <w:rsid w:val="00DC40A7"/>
    <w:rsid w:val="00DC4775"/>
    <w:rsid w:val="00DC4D63"/>
    <w:rsid w:val="00DC51EA"/>
    <w:rsid w:val="00DD0437"/>
    <w:rsid w:val="00DD0DBC"/>
    <w:rsid w:val="00DD197E"/>
    <w:rsid w:val="00DD29F7"/>
    <w:rsid w:val="00DD2B62"/>
    <w:rsid w:val="00DD309D"/>
    <w:rsid w:val="00DD4028"/>
    <w:rsid w:val="00DD44D6"/>
    <w:rsid w:val="00DD5479"/>
    <w:rsid w:val="00DD55DA"/>
    <w:rsid w:val="00DD5BC6"/>
    <w:rsid w:val="00DD6195"/>
    <w:rsid w:val="00DE051A"/>
    <w:rsid w:val="00DE26D1"/>
    <w:rsid w:val="00DE2AB6"/>
    <w:rsid w:val="00DE2ACD"/>
    <w:rsid w:val="00DE2B88"/>
    <w:rsid w:val="00DE31E7"/>
    <w:rsid w:val="00DE4541"/>
    <w:rsid w:val="00DE4E67"/>
    <w:rsid w:val="00DE54F7"/>
    <w:rsid w:val="00DE5CD9"/>
    <w:rsid w:val="00DE5EA1"/>
    <w:rsid w:val="00DE5FC0"/>
    <w:rsid w:val="00DE606B"/>
    <w:rsid w:val="00DE60A7"/>
    <w:rsid w:val="00DE6D97"/>
    <w:rsid w:val="00DE75C9"/>
    <w:rsid w:val="00DE7E08"/>
    <w:rsid w:val="00DE7E35"/>
    <w:rsid w:val="00DF0138"/>
    <w:rsid w:val="00DF0189"/>
    <w:rsid w:val="00DF02FB"/>
    <w:rsid w:val="00DF15A1"/>
    <w:rsid w:val="00DF2221"/>
    <w:rsid w:val="00DF229A"/>
    <w:rsid w:val="00DF282C"/>
    <w:rsid w:val="00DF2B38"/>
    <w:rsid w:val="00DF3072"/>
    <w:rsid w:val="00DF342D"/>
    <w:rsid w:val="00DF3645"/>
    <w:rsid w:val="00DF3B14"/>
    <w:rsid w:val="00DF41DB"/>
    <w:rsid w:val="00DF48B0"/>
    <w:rsid w:val="00DF5A82"/>
    <w:rsid w:val="00DF5B2D"/>
    <w:rsid w:val="00DF6057"/>
    <w:rsid w:val="00DF657E"/>
    <w:rsid w:val="00DF6C0D"/>
    <w:rsid w:val="00DF7346"/>
    <w:rsid w:val="00E00EA6"/>
    <w:rsid w:val="00E01515"/>
    <w:rsid w:val="00E02801"/>
    <w:rsid w:val="00E02E7C"/>
    <w:rsid w:val="00E04201"/>
    <w:rsid w:val="00E04B32"/>
    <w:rsid w:val="00E04F03"/>
    <w:rsid w:val="00E050F0"/>
    <w:rsid w:val="00E0567B"/>
    <w:rsid w:val="00E05691"/>
    <w:rsid w:val="00E06606"/>
    <w:rsid w:val="00E076D9"/>
    <w:rsid w:val="00E07944"/>
    <w:rsid w:val="00E118B7"/>
    <w:rsid w:val="00E119CF"/>
    <w:rsid w:val="00E126A8"/>
    <w:rsid w:val="00E126D7"/>
    <w:rsid w:val="00E13880"/>
    <w:rsid w:val="00E13C4A"/>
    <w:rsid w:val="00E141AB"/>
    <w:rsid w:val="00E145AF"/>
    <w:rsid w:val="00E14D0B"/>
    <w:rsid w:val="00E15AB4"/>
    <w:rsid w:val="00E1622A"/>
    <w:rsid w:val="00E17922"/>
    <w:rsid w:val="00E2065C"/>
    <w:rsid w:val="00E212BB"/>
    <w:rsid w:val="00E21E7D"/>
    <w:rsid w:val="00E222E5"/>
    <w:rsid w:val="00E2247F"/>
    <w:rsid w:val="00E22858"/>
    <w:rsid w:val="00E2358B"/>
    <w:rsid w:val="00E235C9"/>
    <w:rsid w:val="00E24786"/>
    <w:rsid w:val="00E260A7"/>
    <w:rsid w:val="00E26630"/>
    <w:rsid w:val="00E27B67"/>
    <w:rsid w:val="00E30252"/>
    <w:rsid w:val="00E30CF3"/>
    <w:rsid w:val="00E3116B"/>
    <w:rsid w:val="00E312D7"/>
    <w:rsid w:val="00E31A5D"/>
    <w:rsid w:val="00E31DF2"/>
    <w:rsid w:val="00E31E74"/>
    <w:rsid w:val="00E31FF0"/>
    <w:rsid w:val="00E320A5"/>
    <w:rsid w:val="00E3355B"/>
    <w:rsid w:val="00E3371B"/>
    <w:rsid w:val="00E3380B"/>
    <w:rsid w:val="00E33C14"/>
    <w:rsid w:val="00E343BB"/>
    <w:rsid w:val="00E34538"/>
    <w:rsid w:val="00E349A4"/>
    <w:rsid w:val="00E352A3"/>
    <w:rsid w:val="00E40036"/>
    <w:rsid w:val="00E40082"/>
    <w:rsid w:val="00E40E7B"/>
    <w:rsid w:val="00E43122"/>
    <w:rsid w:val="00E43332"/>
    <w:rsid w:val="00E44646"/>
    <w:rsid w:val="00E44B95"/>
    <w:rsid w:val="00E453AA"/>
    <w:rsid w:val="00E45713"/>
    <w:rsid w:val="00E46111"/>
    <w:rsid w:val="00E46E33"/>
    <w:rsid w:val="00E47407"/>
    <w:rsid w:val="00E4789A"/>
    <w:rsid w:val="00E512C0"/>
    <w:rsid w:val="00E513DA"/>
    <w:rsid w:val="00E51970"/>
    <w:rsid w:val="00E51FE2"/>
    <w:rsid w:val="00E521A5"/>
    <w:rsid w:val="00E5291D"/>
    <w:rsid w:val="00E52A9E"/>
    <w:rsid w:val="00E52EAB"/>
    <w:rsid w:val="00E54225"/>
    <w:rsid w:val="00E557B0"/>
    <w:rsid w:val="00E560DF"/>
    <w:rsid w:val="00E563DB"/>
    <w:rsid w:val="00E5698D"/>
    <w:rsid w:val="00E56BBE"/>
    <w:rsid w:val="00E56FCF"/>
    <w:rsid w:val="00E574B0"/>
    <w:rsid w:val="00E576D9"/>
    <w:rsid w:val="00E578C4"/>
    <w:rsid w:val="00E6011D"/>
    <w:rsid w:val="00E60570"/>
    <w:rsid w:val="00E60CCB"/>
    <w:rsid w:val="00E612C2"/>
    <w:rsid w:val="00E61319"/>
    <w:rsid w:val="00E61D28"/>
    <w:rsid w:val="00E627F9"/>
    <w:rsid w:val="00E62CCA"/>
    <w:rsid w:val="00E64283"/>
    <w:rsid w:val="00E645DB"/>
    <w:rsid w:val="00E64EAA"/>
    <w:rsid w:val="00E664C1"/>
    <w:rsid w:val="00E673AC"/>
    <w:rsid w:val="00E67A6D"/>
    <w:rsid w:val="00E70433"/>
    <w:rsid w:val="00E714C9"/>
    <w:rsid w:val="00E715DD"/>
    <w:rsid w:val="00E718DA"/>
    <w:rsid w:val="00E7195B"/>
    <w:rsid w:val="00E719DA"/>
    <w:rsid w:val="00E71A2D"/>
    <w:rsid w:val="00E71B18"/>
    <w:rsid w:val="00E72026"/>
    <w:rsid w:val="00E72051"/>
    <w:rsid w:val="00E720C9"/>
    <w:rsid w:val="00E721FC"/>
    <w:rsid w:val="00E735D3"/>
    <w:rsid w:val="00E73678"/>
    <w:rsid w:val="00E73BAC"/>
    <w:rsid w:val="00E74A76"/>
    <w:rsid w:val="00E75895"/>
    <w:rsid w:val="00E75C67"/>
    <w:rsid w:val="00E75D0C"/>
    <w:rsid w:val="00E762C8"/>
    <w:rsid w:val="00E77159"/>
    <w:rsid w:val="00E77617"/>
    <w:rsid w:val="00E808A2"/>
    <w:rsid w:val="00E808C8"/>
    <w:rsid w:val="00E80E64"/>
    <w:rsid w:val="00E83050"/>
    <w:rsid w:val="00E84562"/>
    <w:rsid w:val="00E845DE"/>
    <w:rsid w:val="00E84FD1"/>
    <w:rsid w:val="00E85BCC"/>
    <w:rsid w:val="00E863CC"/>
    <w:rsid w:val="00E86697"/>
    <w:rsid w:val="00E871A8"/>
    <w:rsid w:val="00E8788F"/>
    <w:rsid w:val="00E87A2C"/>
    <w:rsid w:val="00E87F5E"/>
    <w:rsid w:val="00E90362"/>
    <w:rsid w:val="00E91501"/>
    <w:rsid w:val="00E91ECA"/>
    <w:rsid w:val="00E92088"/>
    <w:rsid w:val="00E93B7A"/>
    <w:rsid w:val="00E94158"/>
    <w:rsid w:val="00E941A3"/>
    <w:rsid w:val="00E94A76"/>
    <w:rsid w:val="00E9554E"/>
    <w:rsid w:val="00E95A0C"/>
    <w:rsid w:val="00E95ABD"/>
    <w:rsid w:val="00EA0B44"/>
    <w:rsid w:val="00EA0C9C"/>
    <w:rsid w:val="00EA0D6A"/>
    <w:rsid w:val="00EA0F2F"/>
    <w:rsid w:val="00EA26E7"/>
    <w:rsid w:val="00EA2FD5"/>
    <w:rsid w:val="00EA3203"/>
    <w:rsid w:val="00EA37FB"/>
    <w:rsid w:val="00EA4F90"/>
    <w:rsid w:val="00EA522A"/>
    <w:rsid w:val="00EA5258"/>
    <w:rsid w:val="00EA629F"/>
    <w:rsid w:val="00EA62EC"/>
    <w:rsid w:val="00EA6900"/>
    <w:rsid w:val="00EA7D1E"/>
    <w:rsid w:val="00EB1D98"/>
    <w:rsid w:val="00EB20E3"/>
    <w:rsid w:val="00EB2676"/>
    <w:rsid w:val="00EB285D"/>
    <w:rsid w:val="00EB2925"/>
    <w:rsid w:val="00EB3093"/>
    <w:rsid w:val="00EB39D2"/>
    <w:rsid w:val="00EB43EE"/>
    <w:rsid w:val="00EB4737"/>
    <w:rsid w:val="00EB48C1"/>
    <w:rsid w:val="00EB4E3F"/>
    <w:rsid w:val="00EB557C"/>
    <w:rsid w:val="00EB6469"/>
    <w:rsid w:val="00EB6E48"/>
    <w:rsid w:val="00EC0760"/>
    <w:rsid w:val="00EC082A"/>
    <w:rsid w:val="00EC1292"/>
    <w:rsid w:val="00EC1DF5"/>
    <w:rsid w:val="00EC30B7"/>
    <w:rsid w:val="00EC3610"/>
    <w:rsid w:val="00EC3B53"/>
    <w:rsid w:val="00EC3E1A"/>
    <w:rsid w:val="00EC3E93"/>
    <w:rsid w:val="00EC504A"/>
    <w:rsid w:val="00ED01F0"/>
    <w:rsid w:val="00ED0ABA"/>
    <w:rsid w:val="00ED0D7A"/>
    <w:rsid w:val="00ED0D93"/>
    <w:rsid w:val="00ED2427"/>
    <w:rsid w:val="00ED2797"/>
    <w:rsid w:val="00ED2B93"/>
    <w:rsid w:val="00ED2C9E"/>
    <w:rsid w:val="00ED2CBA"/>
    <w:rsid w:val="00ED3B45"/>
    <w:rsid w:val="00ED488B"/>
    <w:rsid w:val="00ED5067"/>
    <w:rsid w:val="00ED5506"/>
    <w:rsid w:val="00ED6E69"/>
    <w:rsid w:val="00ED7706"/>
    <w:rsid w:val="00ED7B25"/>
    <w:rsid w:val="00EE03A2"/>
    <w:rsid w:val="00EE03E4"/>
    <w:rsid w:val="00EE08C5"/>
    <w:rsid w:val="00EE1AE9"/>
    <w:rsid w:val="00EE1DD1"/>
    <w:rsid w:val="00EE1DD8"/>
    <w:rsid w:val="00EE2176"/>
    <w:rsid w:val="00EE2C95"/>
    <w:rsid w:val="00EE34BB"/>
    <w:rsid w:val="00EE364E"/>
    <w:rsid w:val="00EE443A"/>
    <w:rsid w:val="00EE44E0"/>
    <w:rsid w:val="00EE45E2"/>
    <w:rsid w:val="00EE4706"/>
    <w:rsid w:val="00EE55C0"/>
    <w:rsid w:val="00EE5784"/>
    <w:rsid w:val="00EE65F8"/>
    <w:rsid w:val="00EE6C43"/>
    <w:rsid w:val="00EE7061"/>
    <w:rsid w:val="00EF0242"/>
    <w:rsid w:val="00EF03C8"/>
    <w:rsid w:val="00EF0796"/>
    <w:rsid w:val="00EF2296"/>
    <w:rsid w:val="00EF26F3"/>
    <w:rsid w:val="00EF2866"/>
    <w:rsid w:val="00EF28BD"/>
    <w:rsid w:val="00EF2BC5"/>
    <w:rsid w:val="00EF4517"/>
    <w:rsid w:val="00EF524A"/>
    <w:rsid w:val="00EF54DE"/>
    <w:rsid w:val="00EF600F"/>
    <w:rsid w:val="00EF62A5"/>
    <w:rsid w:val="00EF6F13"/>
    <w:rsid w:val="00EF6FA8"/>
    <w:rsid w:val="00EF7565"/>
    <w:rsid w:val="00EF7DD9"/>
    <w:rsid w:val="00F01232"/>
    <w:rsid w:val="00F014F6"/>
    <w:rsid w:val="00F015EE"/>
    <w:rsid w:val="00F01699"/>
    <w:rsid w:val="00F022BA"/>
    <w:rsid w:val="00F026C1"/>
    <w:rsid w:val="00F02B11"/>
    <w:rsid w:val="00F02BC0"/>
    <w:rsid w:val="00F02C6B"/>
    <w:rsid w:val="00F02CEF"/>
    <w:rsid w:val="00F0358A"/>
    <w:rsid w:val="00F036DD"/>
    <w:rsid w:val="00F061E7"/>
    <w:rsid w:val="00F069C7"/>
    <w:rsid w:val="00F072CD"/>
    <w:rsid w:val="00F07642"/>
    <w:rsid w:val="00F07A04"/>
    <w:rsid w:val="00F07A49"/>
    <w:rsid w:val="00F105C4"/>
    <w:rsid w:val="00F10AE2"/>
    <w:rsid w:val="00F11467"/>
    <w:rsid w:val="00F11799"/>
    <w:rsid w:val="00F1196F"/>
    <w:rsid w:val="00F11E83"/>
    <w:rsid w:val="00F13BE7"/>
    <w:rsid w:val="00F1406A"/>
    <w:rsid w:val="00F14910"/>
    <w:rsid w:val="00F16FA2"/>
    <w:rsid w:val="00F172F1"/>
    <w:rsid w:val="00F200FA"/>
    <w:rsid w:val="00F20C18"/>
    <w:rsid w:val="00F215D3"/>
    <w:rsid w:val="00F2194A"/>
    <w:rsid w:val="00F21EC0"/>
    <w:rsid w:val="00F21F4A"/>
    <w:rsid w:val="00F22082"/>
    <w:rsid w:val="00F22780"/>
    <w:rsid w:val="00F2303F"/>
    <w:rsid w:val="00F232C3"/>
    <w:rsid w:val="00F232E2"/>
    <w:rsid w:val="00F24B6B"/>
    <w:rsid w:val="00F257AE"/>
    <w:rsid w:val="00F25F51"/>
    <w:rsid w:val="00F25FC1"/>
    <w:rsid w:val="00F26D53"/>
    <w:rsid w:val="00F2734C"/>
    <w:rsid w:val="00F27A33"/>
    <w:rsid w:val="00F3062A"/>
    <w:rsid w:val="00F31402"/>
    <w:rsid w:val="00F3197A"/>
    <w:rsid w:val="00F31FAD"/>
    <w:rsid w:val="00F31FC4"/>
    <w:rsid w:val="00F33220"/>
    <w:rsid w:val="00F33225"/>
    <w:rsid w:val="00F333D1"/>
    <w:rsid w:val="00F336AC"/>
    <w:rsid w:val="00F3394D"/>
    <w:rsid w:val="00F33F02"/>
    <w:rsid w:val="00F33FDB"/>
    <w:rsid w:val="00F346C7"/>
    <w:rsid w:val="00F34B67"/>
    <w:rsid w:val="00F35B63"/>
    <w:rsid w:val="00F36810"/>
    <w:rsid w:val="00F36F68"/>
    <w:rsid w:val="00F3754D"/>
    <w:rsid w:val="00F40AFB"/>
    <w:rsid w:val="00F40AFD"/>
    <w:rsid w:val="00F40BA8"/>
    <w:rsid w:val="00F417FC"/>
    <w:rsid w:val="00F41A2E"/>
    <w:rsid w:val="00F41A4A"/>
    <w:rsid w:val="00F42FAD"/>
    <w:rsid w:val="00F433C4"/>
    <w:rsid w:val="00F439B9"/>
    <w:rsid w:val="00F43CBA"/>
    <w:rsid w:val="00F43E15"/>
    <w:rsid w:val="00F43E89"/>
    <w:rsid w:val="00F44564"/>
    <w:rsid w:val="00F44989"/>
    <w:rsid w:val="00F449F9"/>
    <w:rsid w:val="00F44BA9"/>
    <w:rsid w:val="00F4527D"/>
    <w:rsid w:val="00F45EAA"/>
    <w:rsid w:val="00F465C2"/>
    <w:rsid w:val="00F46882"/>
    <w:rsid w:val="00F5031B"/>
    <w:rsid w:val="00F50582"/>
    <w:rsid w:val="00F529B2"/>
    <w:rsid w:val="00F53E11"/>
    <w:rsid w:val="00F5447E"/>
    <w:rsid w:val="00F54B23"/>
    <w:rsid w:val="00F54EE1"/>
    <w:rsid w:val="00F54F0E"/>
    <w:rsid w:val="00F5622A"/>
    <w:rsid w:val="00F57DA9"/>
    <w:rsid w:val="00F57E9C"/>
    <w:rsid w:val="00F612A6"/>
    <w:rsid w:val="00F6146A"/>
    <w:rsid w:val="00F6178B"/>
    <w:rsid w:val="00F6309B"/>
    <w:rsid w:val="00F6575F"/>
    <w:rsid w:val="00F66B86"/>
    <w:rsid w:val="00F67BAC"/>
    <w:rsid w:val="00F707F3"/>
    <w:rsid w:val="00F70EA4"/>
    <w:rsid w:val="00F710A6"/>
    <w:rsid w:val="00F72F46"/>
    <w:rsid w:val="00F7336B"/>
    <w:rsid w:val="00F738D5"/>
    <w:rsid w:val="00F73D08"/>
    <w:rsid w:val="00F73F32"/>
    <w:rsid w:val="00F743F0"/>
    <w:rsid w:val="00F76334"/>
    <w:rsid w:val="00F772AF"/>
    <w:rsid w:val="00F77BE2"/>
    <w:rsid w:val="00F77C72"/>
    <w:rsid w:val="00F804F6"/>
    <w:rsid w:val="00F813F5"/>
    <w:rsid w:val="00F81B31"/>
    <w:rsid w:val="00F81B5C"/>
    <w:rsid w:val="00F822A6"/>
    <w:rsid w:val="00F82393"/>
    <w:rsid w:val="00F82A3A"/>
    <w:rsid w:val="00F836B6"/>
    <w:rsid w:val="00F837F4"/>
    <w:rsid w:val="00F83B5B"/>
    <w:rsid w:val="00F84D79"/>
    <w:rsid w:val="00F85286"/>
    <w:rsid w:val="00F860D6"/>
    <w:rsid w:val="00F861B4"/>
    <w:rsid w:val="00F918E6"/>
    <w:rsid w:val="00F91AD6"/>
    <w:rsid w:val="00F92078"/>
    <w:rsid w:val="00F922E0"/>
    <w:rsid w:val="00F923AF"/>
    <w:rsid w:val="00F9270D"/>
    <w:rsid w:val="00F92BC4"/>
    <w:rsid w:val="00F92D06"/>
    <w:rsid w:val="00F92EA0"/>
    <w:rsid w:val="00F94144"/>
    <w:rsid w:val="00F95705"/>
    <w:rsid w:val="00F95855"/>
    <w:rsid w:val="00F95C92"/>
    <w:rsid w:val="00F964CF"/>
    <w:rsid w:val="00F96B21"/>
    <w:rsid w:val="00F96FD1"/>
    <w:rsid w:val="00FA02C0"/>
    <w:rsid w:val="00FA1A2F"/>
    <w:rsid w:val="00FA1C21"/>
    <w:rsid w:val="00FA1CEC"/>
    <w:rsid w:val="00FA1D9D"/>
    <w:rsid w:val="00FA1FD8"/>
    <w:rsid w:val="00FA2FF7"/>
    <w:rsid w:val="00FA362D"/>
    <w:rsid w:val="00FA3E6D"/>
    <w:rsid w:val="00FA455D"/>
    <w:rsid w:val="00FA46DA"/>
    <w:rsid w:val="00FA4EBF"/>
    <w:rsid w:val="00FA527F"/>
    <w:rsid w:val="00FA544A"/>
    <w:rsid w:val="00FA562A"/>
    <w:rsid w:val="00FA5677"/>
    <w:rsid w:val="00FA5A51"/>
    <w:rsid w:val="00FA5F7D"/>
    <w:rsid w:val="00FA62C8"/>
    <w:rsid w:val="00FA65DA"/>
    <w:rsid w:val="00FA662E"/>
    <w:rsid w:val="00FA6D44"/>
    <w:rsid w:val="00FA6E08"/>
    <w:rsid w:val="00FA7BC0"/>
    <w:rsid w:val="00FA7E71"/>
    <w:rsid w:val="00FB04A9"/>
    <w:rsid w:val="00FB065D"/>
    <w:rsid w:val="00FB07DD"/>
    <w:rsid w:val="00FB1761"/>
    <w:rsid w:val="00FB18F8"/>
    <w:rsid w:val="00FB1C68"/>
    <w:rsid w:val="00FB2A98"/>
    <w:rsid w:val="00FB316F"/>
    <w:rsid w:val="00FB4464"/>
    <w:rsid w:val="00FB483A"/>
    <w:rsid w:val="00FB4BCE"/>
    <w:rsid w:val="00FB573E"/>
    <w:rsid w:val="00FB6C31"/>
    <w:rsid w:val="00FB772F"/>
    <w:rsid w:val="00FB7BD0"/>
    <w:rsid w:val="00FC1FD8"/>
    <w:rsid w:val="00FC26A8"/>
    <w:rsid w:val="00FC2880"/>
    <w:rsid w:val="00FC3423"/>
    <w:rsid w:val="00FC443C"/>
    <w:rsid w:val="00FC587C"/>
    <w:rsid w:val="00FC637B"/>
    <w:rsid w:val="00FC6F72"/>
    <w:rsid w:val="00FC7992"/>
    <w:rsid w:val="00FD008D"/>
    <w:rsid w:val="00FD0146"/>
    <w:rsid w:val="00FD0A0D"/>
    <w:rsid w:val="00FD1A9A"/>
    <w:rsid w:val="00FD31E0"/>
    <w:rsid w:val="00FD3453"/>
    <w:rsid w:val="00FD3D3C"/>
    <w:rsid w:val="00FD4D4C"/>
    <w:rsid w:val="00FD5401"/>
    <w:rsid w:val="00FD5A6F"/>
    <w:rsid w:val="00FD5CA9"/>
    <w:rsid w:val="00FD5D1B"/>
    <w:rsid w:val="00FD6AAC"/>
    <w:rsid w:val="00FD723A"/>
    <w:rsid w:val="00FD76BF"/>
    <w:rsid w:val="00FD7FAA"/>
    <w:rsid w:val="00FE0027"/>
    <w:rsid w:val="00FE003A"/>
    <w:rsid w:val="00FE080B"/>
    <w:rsid w:val="00FE0A51"/>
    <w:rsid w:val="00FE0E2A"/>
    <w:rsid w:val="00FE129B"/>
    <w:rsid w:val="00FE1DE9"/>
    <w:rsid w:val="00FE23E6"/>
    <w:rsid w:val="00FE2853"/>
    <w:rsid w:val="00FE29FF"/>
    <w:rsid w:val="00FE2B8F"/>
    <w:rsid w:val="00FE334E"/>
    <w:rsid w:val="00FE3964"/>
    <w:rsid w:val="00FE48F6"/>
    <w:rsid w:val="00FE5218"/>
    <w:rsid w:val="00FE542F"/>
    <w:rsid w:val="00FE560C"/>
    <w:rsid w:val="00FE56EE"/>
    <w:rsid w:val="00FE5767"/>
    <w:rsid w:val="00FE5ECB"/>
    <w:rsid w:val="00FE6E06"/>
    <w:rsid w:val="00FE74F7"/>
    <w:rsid w:val="00FE7A9E"/>
    <w:rsid w:val="00FF06F7"/>
    <w:rsid w:val="00FF0E98"/>
    <w:rsid w:val="00FF0FA2"/>
    <w:rsid w:val="00FF0FB1"/>
    <w:rsid w:val="00FF1519"/>
    <w:rsid w:val="00FF191A"/>
    <w:rsid w:val="00FF2291"/>
    <w:rsid w:val="00FF2B24"/>
    <w:rsid w:val="00FF36D2"/>
    <w:rsid w:val="00FF3A64"/>
    <w:rsid w:val="00FF5ABF"/>
    <w:rsid w:val="00FF60AF"/>
    <w:rsid w:val="00FF63B2"/>
    <w:rsid w:val="00FF7794"/>
    <w:rsid w:val="01890EA5"/>
    <w:rsid w:val="03727716"/>
    <w:rsid w:val="03BE5C5E"/>
    <w:rsid w:val="05265C09"/>
    <w:rsid w:val="06CB2576"/>
    <w:rsid w:val="075B1F1B"/>
    <w:rsid w:val="07A56FBB"/>
    <w:rsid w:val="08563D7B"/>
    <w:rsid w:val="090C38C7"/>
    <w:rsid w:val="09140A3B"/>
    <w:rsid w:val="0AFD40E8"/>
    <w:rsid w:val="0CBE1FA6"/>
    <w:rsid w:val="0D415BE3"/>
    <w:rsid w:val="0D6B13E2"/>
    <w:rsid w:val="0D8850A7"/>
    <w:rsid w:val="0F0F2C4B"/>
    <w:rsid w:val="0F8D13AD"/>
    <w:rsid w:val="129E11D6"/>
    <w:rsid w:val="131B19EF"/>
    <w:rsid w:val="13AE6A04"/>
    <w:rsid w:val="13EBA737"/>
    <w:rsid w:val="143D6DD5"/>
    <w:rsid w:val="14AFEAD2"/>
    <w:rsid w:val="17411086"/>
    <w:rsid w:val="1978405F"/>
    <w:rsid w:val="1A306743"/>
    <w:rsid w:val="1ACA23DD"/>
    <w:rsid w:val="1B521E93"/>
    <w:rsid w:val="1D6D2A75"/>
    <w:rsid w:val="1E933718"/>
    <w:rsid w:val="1EE26681"/>
    <w:rsid w:val="1FCC3657"/>
    <w:rsid w:val="231254F9"/>
    <w:rsid w:val="23787DA2"/>
    <w:rsid w:val="249660F8"/>
    <w:rsid w:val="25776C1D"/>
    <w:rsid w:val="25EB6089"/>
    <w:rsid w:val="270D2737"/>
    <w:rsid w:val="274236CF"/>
    <w:rsid w:val="27B13B6A"/>
    <w:rsid w:val="27BF582E"/>
    <w:rsid w:val="27ED28C2"/>
    <w:rsid w:val="280F25DF"/>
    <w:rsid w:val="285673E0"/>
    <w:rsid w:val="291C54A1"/>
    <w:rsid w:val="291FD030"/>
    <w:rsid w:val="2A855636"/>
    <w:rsid w:val="2B662A84"/>
    <w:rsid w:val="2B8367C2"/>
    <w:rsid w:val="2C5A7D17"/>
    <w:rsid w:val="2D9E422C"/>
    <w:rsid w:val="2DE47157"/>
    <w:rsid w:val="2E146092"/>
    <w:rsid w:val="2E195EDD"/>
    <w:rsid w:val="2E334A71"/>
    <w:rsid w:val="2EB36500"/>
    <w:rsid w:val="2F1F5A7F"/>
    <w:rsid w:val="2F367630"/>
    <w:rsid w:val="2F8E04DB"/>
    <w:rsid w:val="2FBF9660"/>
    <w:rsid w:val="2FCA4F61"/>
    <w:rsid w:val="301E7EE7"/>
    <w:rsid w:val="31895DD4"/>
    <w:rsid w:val="3259540F"/>
    <w:rsid w:val="32DF234D"/>
    <w:rsid w:val="340C67DC"/>
    <w:rsid w:val="355D34F9"/>
    <w:rsid w:val="35DB930D"/>
    <w:rsid w:val="35DD5BFD"/>
    <w:rsid w:val="36383716"/>
    <w:rsid w:val="36F7BAC6"/>
    <w:rsid w:val="36FFDE10"/>
    <w:rsid w:val="37061B76"/>
    <w:rsid w:val="37BF3E04"/>
    <w:rsid w:val="37F737A4"/>
    <w:rsid w:val="3A9D5280"/>
    <w:rsid w:val="3BA31814"/>
    <w:rsid w:val="3BBBE538"/>
    <w:rsid w:val="3BF70E8C"/>
    <w:rsid w:val="3C6D6556"/>
    <w:rsid w:val="3D005EB2"/>
    <w:rsid w:val="3D065FA5"/>
    <w:rsid w:val="3D24224F"/>
    <w:rsid w:val="3D776F26"/>
    <w:rsid w:val="3DCB066F"/>
    <w:rsid w:val="3DCE0ACE"/>
    <w:rsid w:val="3E1F82BA"/>
    <w:rsid w:val="3E415F56"/>
    <w:rsid w:val="3E7CDF27"/>
    <w:rsid w:val="3ECF7B6F"/>
    <w:rsid w:val="3EDB85EF"/>
    <w:rsid w:val="3F9358B7"/>
    <w:rsid w:val="3FAF4331"/>
    <w:rsid w:val="3FB70BD1"/>
    <w:rsid w:val="3FBECE49"/>
    <w:rsid w:val="3FD7CFBF"/>
    <w:rsid w:val="3FDF97DE"/>
    <w:rsid w:val="3FFAC490"/>
    <w:rsid w:val="3FFBAD69"/>
    <w:rsid w:val="3FFE4E58"/>
    <w:rsid w:val="4077712E"/>
    <w:rsid w:val="40C639AB"/>
    <w:rsid w:val="41A225FB"/>
    <w:rsid w:val="423339DE"/>
    <w:rsid w:val="44006983"/>
    <w:rsid w:val="454C2B44"/>
    <w:rsid w:val="45EF219D"/>
    <w:rsid w:val="469A6E82"/>
    <w:rsid w:val="480111E1"/>
    <w:rsid w:val="48E961AA"/>
    <w:rsid w:val="496E5A82"/>
    <w:rsid w:val="49767FFF"/>
    <w:rsid w:val="49F7299F"/>
    <w:rsid w:val="4B813BB3"/>
    <w:rsid w:val="4BA008DD"/>
    <w:rsid w:val="4C4075CC"/>
    <w:rsid w:val="4C9A4401"/>
    <w:rsid w:val="4E716384"/>
    <w:rsid w:val="4E752B5E"/>
    <w:rsid w:val="4F744E04"/>
    <w:rsid w:val="4F76D3BB"/>
    <w:rsid w:val="4F9066DE"/>
    <w:rsid w:val="4FE33318"/>
    <w:rsid w:val="4FF70F60"/>
    <w:rsid w:val="5049291C"/>
    <w:rsid w:val="51FB17FB"/>
    <w:rsid w:val="529169C4"/>
    <w:rsid w:val="52F110A9"/>
    <w:rsid w:val="537A1BD9"/>
    <w:rsid w:val="5399ECD0"/>
    <w:rsid w:val="53AB5B14"/>
    <w:rsid w:val="53BF35D1"/>
    <w:rsid w:val="53D70DA2"/>
    <w:rsid w:val="565F7BF2"/>
    <w:rsid w:val="56CC7B54"/>
    <w:rsid w:val="56F855CA"/>
    <w:rsid w:val="573F2195"/>
    <w:rsid w:val="57BE4D21"/>
    <w:rsid w:val="57E46F21"/>
    <w:rsid w:val="588A4B0F"/>
    <w:rsid w:val="58BF46AA"/>
    <w:rsid w:val="592BD99B"/>
    <w:rsid w:val="599796D1"/>
    <w:rsid w:val="599A7D21"/>
    <w:rsid w:val="59A55266"/>
    <w:rsid w:val="59DF8526"/>
    <w:rsid w:val="5A6F527D"/>
    <w:rsid w:val="5AA7ECC6"/>
    <w:rsid w:val="5B2A30A1"/>
    <w:rsid w:val="5B73B467"/>
    <w:rsid w:val="5B9F02B8"/>
    <w:rsid w:val="5BA363C6"/>
    <w:rsid w:val="5BEBD268"/>
    <w:rsid w:val="5C350D3F"/>
    <w:rsid w:val="5C82129A"/>
    <w:rsid w:val="5D3EDE36"/>
    <w:rsid w:val="5D674F0D"/>
    <w:rsid w:val="5E032790"/>
    <w:rsid w:val="5E7E8710"/>
    <w:rsid w:val="5ED864A3"/>
    <w:rsid w:val="5EFD7C57"/>
    <w:rsid w:val="5EFFD6DD"/>
    <w:rsid w:val="5F0E6655"/>
    <w:rsid w:val="5F3CF94B"/>
    <w:rsid w:val="5F616F67"/>
    <w:rsid w:val="5F7EF324"/>
    <w:rsid w:val="5F7F19AC"/>
    <w:rsid w:val="5F7F9758"/>
    <w:rsid w:val="5F9DF73F"/>
    <w:rsid w:val="5FF5E8B9"/>
    <w:rsid w:val="5FF6A849"/>
    <w:rsid w:val="633F5278"/>
    <w:rsid w:val="63EF2AA0"/>
    <w:rsid w:val="652A4208"/>
    <w:rsid w:val="654B75D5"/>
    <w:rsid w:val="66064F5F"/>
    <w:rsid w:val="677D0C4B"/>
    <w:rsid w:val="679F2935"/>
    <w:rsid w:val="67EE27BD"/>
    <w:rsid w:val="67FF20B2"/>
    <w:rsid w:val="68243192"/>
    <w:rsid w:val="68901E4E"/>
    <w:rsid w:val="6B1854C0"/>
    <w:rsid w:val="6BFE9637"/>
    <w:rsid w:val="6D07462B"/>
    <w:rsid w:val="6E2F0DAE"/>
    <w:rsid w:val="6E5686FD"/>
    <w:rsid w:val="6F1027E5"/>
    <w:rsid w:val="6F86450E"/>
    <w:rsid w:val="6FCFD3D0"/>
    <w:rsid w:val="6FD73393"/>
    <w:rsid w:val="6FD936DF"/>
    <w:rsid w:val="6FDE1423"/>
    <w:rsid w:val="6FEBC213"/>
    <w:rsid w:val="6FF522BA"/>
    <w:rsid w:val="6FFB136E"/>
    <w:rsid w:val="6FFEBEE3"/>
    <w:rsid w:val="70400625"/>
    <w:rsid w:val="72556331"/>
    <w:rsid w:val="72796F3E"/>
    <w:rsid w:val="72FA49F9"/>
    <w:rsid w:val="73155C0B"/>
    <w:rsid w:val="73ED9C9A"/>
    <w:rsid w:val="75092E0D"/>
    <w:rsid w:val="767061BA"/>
    <w:rsid w:val="77BA2A12"/>
    <w:rsid w:val="77F42356"/>
    <w:rsid w:val="77FF1D56"/>
    <w:rsid w:val="787FC25E"/>
    <w:rsid w:val="78994620"/>
    <w:rsid w:val="79195CFC"/>
    <w:rsid w:val="79C575DF"/>
    <w:rsid w:val="79FB0224"/>
    <w:rsid w:val="7ACBCEEA"/>
    <w:rsid w:val="7AEF2255"/>
    <w:rsid w:val="7B84AED0"/>
    <w:rsid w:val="7B9CB811"/>
    <w:rsid w:val="7BE5E2B1"/>
    <w:rsid w:val="7BF6A25A"/>
    <w:rsid w:val="7BFFDB08"/>
    <w:rsid w:val="7C7E84CD"/>
    <w:rsid w:val="7D5FBA27"/>
    <w:rsid w:val="7DBDEAC5"/>
    <w:rsid w:val="7DDD04CD"/>
    <w:rsid w:val="7DEFE41D"/>
    <w:rsid w:val="7DF55EF5"/>
    <w:rsid w:val="7DFE3FE3"/>
    <w:rsid w:val="7DFE4153"/>
    <w:rsid w:val="7E0D0F3B"/>
    <w:rsid w:val="7E0E0E0E"/>
    <w:rsid w:val="7E4C4D5A"/>
    <w:rsid w:val="7EBD8BFF"/>
    <w:rsid w:val="7EBF20EF"/>
    <w:rsid w:val="7EDB9F5B"/>
    <w:rsid w:val="7EDF292E"/>
    <w:rsid w:val="7EF51AD1"/>
    <w:rsid w:val="7EFD1141"/>
    <w:rsid w:val="7EFD9650"/>
    <w:rsid w:val="7EFF2735"/>
    <w:rsid w:val="7EFF4AF7"/>
    <w:rsid w:val="7EFF4E8F"/>
    <w:rsid w:val="7EFFEF59"/>
    <w:rsid w:val="7F1423D8"/>
    <w:rsid w:val="7F1E1A0D"/>
    <w:rsid w:val="7F561101"/>
    <w:rsid w:val="7F777A8B"/>
    <w:rsid w:val="7F7A6C49"/>
    <w:rsid w:val="7F7CF312"/>
    <w:rsid w:val="7F7F1009"/>
    <w:rsid w:val="7F8065C4"/>
    <w:rsid w:val="7F9D2C36"/>
    <w:rsid w:val="7F9F6938"/>
    <w:rsid w:val="7FB19DE1"/>
    <w:rsid w:val="7FBCD081"/>
    <w:rsid w:val="7FBF51F5"/>
    <w:rsid w:val="7FC40652"/>
    <w:rsid w:val="7FDA9AB7"/>
    <w:rsid w:val="7FDE5AC0"/>
    <w:rsid w:val="7FF21ADB"/>
    <w:rsid w:val="7FF6224F"/>
    <w:rsid w:val="7FF75AAC"/>
    <w:rsid w:val="7FF75F01"/>
    <w:rsid w:val="7FF9184B"/>
    <w:rsid w:val="7FFF4F3F"/>
    <w:rsid w:val="7FFFC890"/>
    <w:rsid w:val="7FFFE1BF"/>
    <w:rsid w:val="8B6D42D2"/>
    <w:rsid w:val="8FFDF8A5"/>
    <w:rsid w:val="976D1DEC"/>
    <w:rsid w:val="97AF5329"/>
    <w:rsid w:val="97B66450"/>
    <w:rsid w:val="97ED1D69"/>
    <w:rsid w:val="97EF6EF8"/>
    <w:rsid w:val="98EF95FA"/>
    <w:rsid w:val="9AE37505"/>
    <w:rsid w:val="9FBDBB18"/>
    <w:rsid w:val="AB6B6E8C"/>
    <w:rsid w:val="ABFE80BD"/>
    <w:rsid w:val="AFDD7C13"/>
    <w:rsid w:val="AFEF28A0"/>
    <w:rsid w:val="AFFD9DE3"/>
    <w:rsid w:val="B93FF245"/>
    <w:rsid w:val="B9FEC020"/>
    <w:rsid w:val="BBAB8FCD"/>
    <w:rsid w:val="BDDFDB1D"/>
    <w:rsid w:val="BFB6CDDA"/>
    <w:rsid w:val="BFE9F405"/>
    <w:rsid w:val="BFFB6FE4"/>
    <w:rsid w:val="C5F99BF9"/>
    <w:rsid w:val="C7FFA353"/>
    <w:rsid w:val="CCEF3073"/>
    <w:rsid w:val="D53EB910"/>
    <w:rsid w:val="D57E5C86"/>
    <w:rsid w:val="D63F4BC0"/>
    <w:rsid w:val="D7779725"/>
    <w:rsid w:val="D7AEB454"/>
    <w:rsid w:val="D7DD76C7"/>
    <w:rsid w:val="D7FA0C93"/>
    <w:rsid w:val="D8630CD8"/>
    <w:rsid w:val="DA5F96F4"/>
    <w:rsid w:val="DAFB5DF3"/>
    <w:rsid w:val="DF084C83"/>
    <w:rsid w:val="DF6E1612"/>
    <w:rsid w:val="DF8FA80F"/>
    <w:rsid w:val="DFBF15BF"/>
    <w:rsid w:val="DFFF3B8D"/>
    <w:rsid w:val="E6702260"/>
    <w:rsid w:val="E78E9C80"/>
    <w:rsid w:val="E9FF17DF"/>
    <w:rsid w:val="EA8ED0BB"/>
    <w:rsid w:val="EBF78432"/>
    <w:rsid w:val="EBFDEF4C"/>
    <w:rsid w:val="EE7FCD12"/>
    <w:rsid w:val="EEBF1BC5"/>
    <w:rsid w:val="EEFFFD43"/>
    <w:rsid w:val="EF1F4B7B"/>
    <w:rsid w:val="EF798EEB"/>
    <w:rsid w:val="EFA7672B"/>
    <w:rsid w:val="EFD54DD7"/>
    <w:rsid w:val="EFF988EA"/>
    <w:rsid w:val="EFFF9071"/>
    <w:rsid w:val="F0F4E990"/>
    <w:rsid w:val="F477BCBE"/>
    <w:rsid w:val="F47F8D27"/>
    <w:rsid w:val="F4A8BB32"/>
    <w:rsid w:val="F56F1BC1"/>
    <w:rsid w:val="F5FE9C03"/>
    <w:rsid w:val="F624AB1E"/>
    <w:rsid w:val="F6EF3BCF"/>
    <w:rsid w:val="F79F67CF"/>
    <w:rsid w:val="F7CF5455"/>
    <w:rsid w:val="F7EF175E"/>
    <w:rsid w:val="F823C20E"/>
    <w:rsid w:val="F8FE8F8E"/>
    <w:rsid w:val="FBF677DB"/>
    <w:rsid w:val="FBFF6B49"/>
    <w:rsid w:val="FCDF3179"/>
    <w:rsid w:val="FD5A9775"/>
    <w:rsid w:val="FD6F967E"/>
    <w:rsid w:val="FDB7482B"/>
    <w:rsid w:val="FDBAA175"/>
    <w:rsid w:val="FDBF341E"/>
    <w:rsid w:val="FDFB17F8"/>
    <w:rsid w:val="FE4FF9FA"/>
    <w:rsid w:val="FE7F6E7E"/>
    <w:rsid w:val="FE9FBD45"/>
    <w:rsid w:val="FEB3ED3B"/>
    <w:rsid w:val="FEBFEF8F"/>
    <w:rsid w:val="FED957DB"/>
    <w:rsid w:val="FEFF684C"/>
    <w:rsid w:val="FF2D502B"/>
    <w:rsid w:val="FF75B593"/>
    <w:rsid w:val="FF77FC8D"/>
    <w:rsid w:val="FFBD1DB2"/>
    <w:rsid w:val="FFBD3C2B"/>
    <w:rsid w:val="FFBFF9CE"/>
    <w:rsid w:val="FFF596F4"/>
    <w:rsid w:val="FFF7A67B"/>
    <w:rsid w:val="FFFC5ED5"/>
    <w:rsid w:val="FFFDB8DC"/>
    <w:rsid w:val="FFFF0642"/>
    <w:rsid w:val="FFFFA8D0"/>
    <w:rsid w:val="FFFFC73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ocked="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uiPriority="0" w:name="Normal Indent"/>
    <w:lsdException w:uiPriority="0" w:name="footnote text"/>
    <w:lsdException w:qFormat="1" w:unhideWhenUsed="0" w:uiPriority="0" w:semiHidden="0" w:name="annotation text"/>
    <w:lsdException w:qFormat="1" w:unhideWhenUsed="0" w:uiPriority="0" w:name="header"/>
    <w:lsdException w:qFormat="1" w:unhideWhenUsed="0" w:uiPriority="99" w:semiHidden="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qFormat="1"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qFormat="1" w:uiPriority="99" w:semiHidden="0" w:name="Plain Text"/>
    <w:lsdException w:uiPriority="0" w:name="E-mail Signature"/>
    <w:lsdException w:qFormat="1" w:unhideWhenUsed="0"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ocked="1"/>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仿宋_GB2312" w:cs="Times New Roman"/>
      <w:kern w:val="2"/>
      <w:sz w:val="32"/>
      <w:lang w:val="en-US" w:eastAsia="zh-CN" w:bidi="ar-SA"/>
    </w:rPr>
  </w:style>
  <w:style w:type="paragraph" w:styleId="2">
    <w:name w:val="heading 1"/>
    <w:basedOn w:val="1"/>
    <w:next w:val="1"/>
    <w:link w:val="33"/>
    <w:qFormat/>
    <w:locked/>
    <w:uiPriority w:val="0"/>
    <w:pPr>
      <w:keepNext/>
      <w:keepLines/>
      <w:spacing w:line="520" w:lineRule="exact"/>
      <w:outlineLvl w:val="0"/>
    </w:pPr>
    <w:rPr>
      <w:rFonts w:eastAsia="黑体"/>
      <w:bCs/>
      <w:kern w:val="44"/>
      <w:szCs w:val="44"/>
    </w:rPr>
  </w:style>
  <w:style w:type="paragraph" w:styleId="3">
    <w:name w:val="heading 2"/>
    <w:basedOn w:val="1"/>
    <w:next w:val="1"/>
    <w:link w:val="34"/>
    <w:unhideWhenUsed/>
    <w:qFormat/>
    <w:locked/>
    <w:uiPriority w:val="0"/>
    <w:pPr>
      <w:keepNext/>
      <w:keepLines/>
      <w:spacing w:line="520" w:lineRule="exact"/>
      <w:outlineLvl w:val="1"/>
    </w:pPr>
    <w:rPr>
      <w:rFonts w:ascii="Calibri Light" w:hAnsi="Calibri Light" w:eastAsia="楷体_GB2312"/>
      <w:bCs/>
      <w:szCs w:val="32"/>
    </w:rPr>
  </w:style>
  <w:style w:type="paragraph" w:styleId="4">
    <w:name w:val="heading 3"/>
    <w:basedOn w:val="1"/>
    <w:next w:val="1"/>
    <w:link w:val="35"/>
    <w:unhideWhenUsed/>
    <w:qFormat/>
    <w:locked/>
    <w:uiPriority w:val="0"/>
    <w:pPr>
      <w:keepNext/>
      <w:keepLines/>
      <w:spacing w:line="520" w:lineRule="exact"/>
      <w:outlineLvl w:val="2"/>
    </w:pPr>
    <w:rPr>
      <w:rFonts w:ascii="仿宋_GB2312"/>
      <w:bCs/>
      <w:szCs w:val="32"/>
    </w:rPr>
  </w:style>
  <w:style w:type="paragraph" w:styleId="5">
    <w:name w:val="heading 4"/>
    <w:basedOn w:val="1"/>
    <w:next w:val="1"/>
    <w:link w:val="44"/>
    <w:semiHidden/>
    <w:unhideWhenUsed/>
    <w:qFormat/>
    <w:locked/>
    <w:uiPriority w:val="0"/>
    <w:pPr>
      <w:keepNext/>
      <w:keepLines/>
      <w:spacing w:before="280" w:after="290" w:line="376" w:lineRule="atLeast"/>
      <w:outlineLvl w:val="3"/>
    </w:pPr>
    <w:rPr>
      <w:rFonts w:asciiTheme="majorHAnsi" w:hAnsiTheme="majorHAnsi" w:eastAsiaTheme="majorEastAsia" w:cstheme="majorBidi"/>
      <w:b/>
      <w:bCs/>
      <w:sz w:val="28"/>
      <w:szCs w:val="28"/>
    </w:rPr>
  </w:style>
  <w:style w:type="character" w:default="1" w:styleId="18">
    <w:name w:val="Default Paragraph Font"/>
    <w:semiHidden/>
    <w:unhideWhenUsed/>
    <w:qFormat/>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6">
    <w:name w:val="annotation text"/>
    <w:basedOn w:val="1"/>
    <w:link w:val="26"/>
    <w:qFormat/>
    <w:uiPriority w:val="0"/>
  </w:style>
  <w:style w:type="paragraph" w:styleId="7">
    <w:name w:val="Plain Text"/>
    <w:basedOn w:val="1"/>
    <w:unhideWhenUsed/>
    <w:qFormat/>
    <w:uiPriority w:val="99"/>
    <w:rPr>
      <w:rFonts w:ascii="宋体" w:hAnsi="Courier New" w:cs="Courier New"/>
      <w:szCs w:val="21"/>
    </w:rPr>
  </w:style>
  <w:style w:type="paragraph" w:styleId="8">
    <w:name w:val="Date"/>
    <w:basedOn w:val="1"/>
    <w:next w:val="1"/>
    <w:link w:val="48"/>
    <w:qFormat/>
    <w:uiPriority w:val="0"/>
    <w:pPr>
      <w:ind w:left="100" w:leftChars="2500"/>
    </w:pPr>
  </w:style>
  <w:style w:type="paragraph" w:styleId="9">
    <w:name w:val="Body Text Indent 2"/>
    <w:basedOn w:val="1"/>
    <w:qFormat/>
    <w:uiPriority w:val="0"/>
    <w:pPr>
      <w:ind w:left="270"/>
      <w:jc w:val="center"/>
    </w:pPr>
    <w:rPr>
      <w:rFonts w:ascii="宋体" w:hAnsi="宋体"/>
      <w:b/>
      <w:sz w:val="36"/>
      <w:szCs w:val="28"/>
    </w:rPr>
  </w:style>
  <w:style w:type="paragraph" w:styleId="10">
    <w:name w:val="Balloon Text"/>
    <w:basedOn w:val="1"/>
    <w:link w:val="28"/>
    <w:semiHidden/>
    <w:qFormat/>
    <w:uiPriority w:val="0"/>
    <w:rPr>
      <w:sz w:val="18"/>
      <w:szCs w:val="18"/>
    </w:rPr>
  </w:style>
  <w:style w:type="paragraph" w:styleId="11">
    <w:name w:val="footer"/>
    <w:basedOn w:val="1"/>
    <w:link w:val="24"/>
    <w:qFormat/>
    <w:uiPriority w:val="99"/>
    <w:pPr>
      <w:tabs>
        <w:tab w:val="center" w:pos="4153"/>
        <w:tab w:val="right" w:pos="8306"/>
      </w:tabs>
      <w:snapToGrid w:val="0"/>
    </w:pPr>
    <w:rPr>
      <w:sz w:val="18"/>
      <w:szCs w:val="18"/>
    </w:rPr>
  </w:style>
  <w:style w:type="paragraph" w:styleId="12">
    <w:name w:val="header"/>
    <w:basedOn w:val="1"/>
    <w:link w:val="23"/>
    <w:semiHidden/>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qFormat/>
    <w:locked/>
    <w:uiPriority w:val="0"/>
    <w:pPr>
      <w:spacing w:before="120"/>
      <w:outlineLvl w:val="1"/>
    </w:pPr>
    <w:rPr>
      <w:rFonts w:ascii="Calibri Light" w:hAnsi="Calibri Light" w:eastAsia="楷体_GB2312"/>
      <w:bCs/>
      <w:kern w:val="28"/>
      <w:szCs w:val="32"/>
    </w:rPr>
  </w:style>
  <w:style w:type="paragraph" w:styleId="14">
    <w:name w:val="Normal (Web)"/>
    <w:basedOn w:val="1"/>
    <w:semiHidden/>
    <w:qFormat/>
    <w:uiPriority w:val="0"/>
    <w:pPr>
      <w:spacing w:before="100" w:beforeAutospacing="1" w:after="100" w:afterAutospacing="1"/>
    </w:pPr>
    <w:rPr>
      <w:rFonts w:ascii="宋体" w:hAnsi="宋体" w:cs="宋体"/>
      <w:kern w:val="0"/>
      <w:sz w:val="24"/>
      <w:szCs w:val="24"/>
    </w:rPr>
  </w:style>
  <w:style w:type="paragraph" w:styleId="15">
    <w:name w:val="Title"/>
    <w:basedOn w:val="1"/>
    <w:next w:val="1"/>
    <w:link w:val="32"/>
    <w:qFormat/>
    <w:locked/>
    <w:uiPriority w:val="0"/>
    <w:pPr>
      <w:spacing w:before="240" w:after="60"/>
      <w:jc w:val="center"/>
      <w:outlineLvl w:val="0"/>
    </w:pPr>
    <w:rPr>
      <w:rFonts w:ascii="Calibri Light" w:hAnsi="Calibri Light" w:eastAsia="方正小标宋_GBK"/>
      <w:b/>
      <w:bCs/>
      <w:sz w:val="44"/>
      <w:szCs w:val="32"/>
    </w:rPr>
  </w:style>
  <w:style w:type="paragraph" w:styleId="16">
    <w:name w:val="annotation subject"/>
    <w:basedOn w:val="6"/>
    <w:next w:val="6"/>
    <w:link w:val="30"/>
    <w:qFormat/>
    <w:uiPriority w:val="0"/>
    <w:rPr>
      <w:b/>
      <w:bCs/>
    </w:rPr>
  </w:style>
  <w:style w:type="character" w:styleId="19">
    <w:name w:val="page number"/>
    <w:qFormat/>
    <w:uiPriority w:val="0"/>
    <w:rPr>
      <w:rFonts w:cs="Times New Roman"/>
    </w:rPr>
  </w:style>
  <w:style w:type="character" w:styleId="20">
    <w:name w:val="line number"/>
    <w:basedOn w:val="18"/>
    <w:semiHidden/>
    <w:unhideWhenUsed/>
    <w:qFormat/>
    <w:uiPriority w:val="0"/>
  </w:style>
  <w:style w:type="character" w:styleId="21">
    <w:name w:val="annotation reference"/>
    <w:qFormat/>
    <w:uiPriority w:val="99"/>
    <w:rPr>
      <w:sz w:val="21"/>
      <w:szCs w:val="21"/>
    </w:rPr>
  </w:style>
  <w:style w:type="paragraph" w:styleId="22">
    <w:name w:val="No Spacing"/>
    <w:qFormat/>
    <w:uiPriority w:val="0"/>
    <w:pPr>
      <w:adjustRightInd w:val="0"/>
      <w:snapToGrid w:val="0"/>
    </w:pPr>
    <w:rPr>
      <w:rFonts w:ascii="Tahoma" w:hAnsi="Tahoma" w:eastAsia="微软雅黑" w:cs="Times New Roman"/>
      <w:sz w:val="22"/>
      <w:szCs w:val="22"/>
      <w:lang w:val="en-US" w:eastAsia="zh-CN" w:bidi="ar-SA"/>
    </w:rPr>
  </w:style>
  <w:style w:type="character" w:customStyle="1" w:styleId="23">
    <w:name w:val="页眉 字符"/>
    <w:link w:val="12"/>
    <w:semiHidden/>
    <w:qFormat/>
    <w:locked/>
    <w:uiPriority w:val="0"/>
    <w:rPr>
      <w:rFonts w:cs="Times New Roman"/>
      <w:sz w:val="18"/>
      <w:szCs w:val="18"/>
    </w:rPr>
  </w:style>
  <w:style w:type="character" w:customStyle="1" w:styleId="24">
    <w:name w:val="页脚 字符"/>
    <w:link w:val="11"/>
    <w:qFormat/>
    <w:locked/>
    <w:uiPriority w:val="99"/>
    <w:rPr>
      <w:rFonts w:cs="Times New Roman"/>
      <w:sz w:val="18"/>
      <w:szCs w:val="18"/>
    </w:rPr>
  </w:style>
  <w:style w:type="character" w:customStyle="1" w:styleId="25">
    <w:name w:val="f101"/>
    <w:qFormat/>
    <w:uiPriority w:val="0"/>
    <w:rPr>
      <w:sz w:val="24"/>
    </w:rPr>
  </w:style>
  <w:style w:type="character" w:customStyle="1" w:styleId="26">
    <w:name w:val="批注文字 字符"/>
    <w:link w:val="6"/>
    <w:qFormat/>
    <w:locked/>
    <w:uiPriority w:val="99"/>
    <w:rPr>
      <w:rFonts w:ascii="Times New Roman" w:hAnsi="Times New Roman" w:eastAsia="宋体" w:cs="Times New Roman"/>
      <w:sz w:val="20"/>
      <w:szCs w:val="20"/>
    </w:rPr>
  </w:style>
  <w:style w:type="paragraph" w:customStyle="1" w:styleId="27">
    <w:name w:val="列出段落1"/>
    <w:basedOn w:val="1"/>
    <w:qFormat/>
    <w:uiPriority w:val="0"/>
    <w:pPr>
      <w:ind w:firstLine="420"/>
    </w:pPr>
    <w:rPr>
      <w:rFonts w:ascii="宋体" w:hAnsi="宋体" w:cs="宋体"/>
      <w:kern w:val="0"/>
      <w:sz w:val="24"/>
      <w:szCs w:val="24"/>
    </w:rPr>
  </w:style>
  <w:style w:type="character" w:customStyle="1" w:styleId="28">
    <w:name w:val="批注框文本 字符"/>
    <w:link w:val="10"/>
    <w:semiHidden/>
    <w:qFormat/>
    <w:locked/>
    <w:uiPriority w:val="0"/>
    <w:rPr>
      <w:rFonts w:ascii="Times New Roman" w:hAnsi="Times New Roman" w:eastAsia="宋体" w:cs="Times New Roman"/>
      <w:sz w:val="18"/>
      <w:szCs w:val="18"/>
    </w:rPr>
  </w:style>
  <w:style w:type="paragraph" w:customStyle="1" w:styleId="29">
    <w:name w:val="默认段落字体 Para Char Char Char Char Char Char Char"/>
    <w:basedOn w:val="1"/>
    <w:qFormat/>
    <w:uiPriority w:val="0"/>
    <w:pPr>
      <w:adjustRightInd w:val="0"/>
      <w:spacing w:line="360" w:lineRule="auto"/>
    </w:pPr>
    <w:rPr>
      <w:rFonts w:ascii="Tahoma" w:hAnsi="Tahoma"/>
      <w:kern w:val="0"/>
      <w:sz w:val="24"/>
    </w:rPr>
  </w:style>
  <w:style w:type="character" w:customStyle="1" w:styleId="30">
    <w:name w:val="批注主题 字符"/>
    <w:link w:val="16"/>
    <w:qFormat/>
    <w:uiPriority w:val="0"/>
    <w:rPr>
      <w:rFonts w:ascii="Times New Roman" w:hAnsi="Times New Roman" w:eastAsia="宋体" w:cs="Times New Roman"/>
      <w:b/>
      <w:bCs/>
      <w:kern w:val="2"/>
      <w:sz w:val="21"/>
      <w:szCs w:val="20"/>
    </w:rPr>
  </w:style>
  <w:style w:type="paragraph" w:customStyle="1" w:styleId="31">
    <w:name w:val="修订1"/>
    <w:hidden/>
    <w:semiHidden/>
    <w:qFormat/>
    <w:uiPriority w:val="99"/>
    <w:rPr>
      <w:rFonts w:ascii="Times New Roman" w:hAnsi="Times New Roman" w:eastAsia="宋体" w:cs="Times New Roman"/>
      <w:kern w:val="2"/>
      <w:sz w:val="21"/>
      <w:lang w:val="en-US" w:eastAsia="zh-CN" w:bidi="ar-SA"/>
    </w:rPr>
  </w:style>
  <w:style w:type="character" w:customStyle="1" w:styleId="32">
    <w:name w:val="标题 字符"/>
    <w:link w:val="15"/>
    <w:qFormat/>
    <w:uiPriority w:val="0"/>
    <w:rPr>
      <w:rFonts w:ascii="Calibri Light" w:hAnsi="Calibri Light" w:eastAsia="方正小标宋_GBK" w:cs="Times New Roman"/>
      <w:b/>
      <w:bCs/>
      <w:kern w:val="2"/>
      <w:sz w:val="44"/>
      <w:szCs w:val="32"/>
    </w:rPr>
  </w:style>
  <w:style w:type="character" w:customStyle="1" w:styleId="33">
    <w:name w:val="标题 1 字符"/>
    <w:link w:val="2"/>
    <w:qFormat/>
    <w:uiPriority w:val="0"/>
    <w:rPr>
      <w:rFonts w:ascii="Times New Roman" w:hAnsi="Times New Roman" w:eastAsia="黑体"/>
      <w:bCs/>
      <w:kern w:val="44"/>
      <w:sz w:val="32"/>
      <w:szCs w:val="44"/>
    </w:rPr>
  </w:style>
  <w:style w:type="character" w:customStyle="1" w:styleId="34">
    <w:name w:val="标题 2 字符"/>
    <w:link w:val="3"/>
    <w:qFormat/>
    <w:uiPriority w:val="0"/>
    <w:rPr>
      <w:rFonts w:ascii="Calibri Light" w:hAnsi="Calibri Light" w:eastAsia="楷体_GB2312"/>
      <w:bCs/>
      <w:kern w:val="2"/>
      <w:sz w:val="32"/>
      <w:szCs w:val="32"/>
    </w:rPr>
  </w:style>
  <w:style w:type="character" w:customStyle="1" w:styleId="35">
    <w:name w:val="标题 3 字符"/>
    <w:link w:val="4"/>
    <w:qFormat/>
    <w:uiPriority w:val="0"/>
    <w:rPr>
      <w:rFonts w:ascii="仿宋_GB2312" w:hAnsi="Times New Roman" w:eastAsia="仿宋_GB2312"/>
      <w:bCs/>
      <w:kern w:val="2"/>
      <w:sz w:val="32"/>
      <w:szCs w:val="32"/>
    </w:rPr>
  </w:style>
  <w:style w:type="paragraph" w:styleId="36">
    <w:name w:val="List Paragraph"/>
    <w:basedOn w:val="1"/>
    <w:link w:val="46"/>
    <w:qFormat/>
    <w:uiPriority w:val="0"/>
    <w:rPr>
      <w:rFonts w:ascii="Calibri" w:hAnsi="Calibri" w:eastAsia="宋体"/>
      <w:sz w:val="21"/>
      <w:szCs w:val="22"/>
    </w:rPr>
  </w:style>
  <w:style w:type="paragraph" w:customStyle="1" w:styleId="37">
    <w:name w:val="标题5"/>
    <w:basedOn w:val="1"/>
    <w:qFormat/>
    <w:uiPriority w:val="0"/>
    <w:pPr>
      <w:snapToGrid w:val="0"/>
      <w:spacing w:before="50" w:after="50" w:line="245" w:lineRule="auto"/>
      <w:outlineLvl w:val="4"/>
    </w:pPr>
    <w:rPr>
      <w:rFonts w:eastAsia="方正小标宋简体"/>
      <w:spacing w:val="4"/>
      <w:sz w:val="20"/>
    </w:rPr>
  </w:style>
  <w:style w:type="paragraph" w:customStyle="1" w:styleId="38">
    <w:name w:val="段"/>
    <w:link w:val="39"/>
    <w:qFormat/>
    <w:uiPriority w:val="99"/>
    <w:pPr>
      <w:autoSpaceDE w:val="0"/>
      <w:autoSpaceDN w:val="0"/>
      <w:ind w:firstLine="200"/>
      <w:jc w:val="both"/>
    </w:pPr>
    <w:rPr>
      <w:rFonts w:ascii="Times New Roman" w:hAnsi="Times New Roman" w:eastAsia="宋体" w:cs="Times New Roman"/>
      <w:sz w:val="21"/>
      <w:lang w:val="en-US" w:eastAsia="zh-CN" w:bidi="ar-SA"/>
    </w:rPr>
  </w:style>
  <w:style w:type="character" w:customStyle="1" w:styleId="39">
    <w:name w:val="段 Char"/>
    <w:link w:val="38"/>
    <w:qFormat/>
    <w:uiPriority w:val="99"/>
    <w:rPr>
      <w:rFonts w:ascii="Times New Roman" w:hAnsi="Times New Roman"/>
      <w:sz w:val="21"/>
    </w:rPr>
  </w:style>
  <w:style w:type="paragraph" w:customStyle="1" w:styleId="40">
    <w:name w:val="表格正文文本"/>
    <w:basedOn w:val="1"/>
    <w:qFormat/>
    <w:uiPriority w:val="0"/>
    <w:pPr>
      <w:jc w:val="center"/>
    </w:pPr>
    <w:rPr>
      <w:rFonts w:ascii="Tahoma" w:hAnsi="Tahoma" w:eastAsia="宋体"/>
      <w:kern w:val="0"/>
      <w:sz w:val="18"/>
    </w:rPr>
  </w:style>
  <w:style w:type="paragraph" w:customStyle="1" w:styleId="41">
    <w:name w:val="调查项目"/>
    <w:basedOn w:val="1"/>
    <w:qFormat/>
    <w:uiPriority w:val="0"/>
    <w:pPr>
      <w:outlineLvl w:val="1"/>
    </w:pPr>
    <w:rPr>
      <w:rFonts w:ascii="Tahoma" w:hAnsi="Tahoma" w:eastAsia="黑体"/>
      <w:bCs/>
      <w:color w:val="333399"/>
      <w:kern w:val="0"/>
      <w:sz w:val="18"/>
      <w:szCs w:val="18"/>
    </w:rPr>
  </w:style>
  <w:style w:type="paragraph" w:customStyle="1" w:styleId="42">
    <w:name w:val="列标题"/>
    <w:basedOn w:val="3"/>
    <w:qFormat/>
    <w:uiPriority w:val="0"/>
    <w:pPr>
      <w:keepNext w:val="0"/>
      <w:keepLines w:val="0"/>
      <w:spacing w:line="240" w:lineRule="auto"/>
      <w:jc w:val="center"/>
    </w:pPr>
    <w:rPr>
      <w:rFonts w:ascii="Tahoma" w:hAnsi="Tahoma" w:eastAsia="黑体"/>
      <w:color w:val="333399"/>
      <w:kern w:val="0"/>
      <w:sz w:val="18"/>
      <w:szCs w:val="18"/>
    </w:rPr>
  </w:style>
  <w:style w:type="character" w:customStyle="1" w:styleId="43">
    <w:name w:val="页脚 Char"/>
    <w:qFormat/>
    <w:uiPriority w:val="99"/>
    <w:rPr>
      <w:rFonts w:ascii="Times New Roman" w:hAnsi="Times New Roman" w:eastAsia="宋体" w:cs="Times New Roman"/>
      <w:sz w:val="18"/>
      <w:szCs w:val="18"/>
    </w:rPr>
  </w:style>
  <w:style w:type="character" w:customStyle="1" w:styleId="44">
    <w:name w:val="标题 4 字符"/>
    <w:basedOn w:val="18"/>
    <w:link w:val="5"/>
    <w:semiHidden/>
    <w:qFormat/>
    <w:uiPriority w:val="0"/>
    <w:rPr>
      <w:rFonts w:asciiTheme="majorHAnsi" w:hAnsiTheme="majorHAnsi" w:eastAsiaTheme="majorEastAsia" w:cstheme="majorBidi"/>
      <w:b/>
      <w:bCs/>
      <w:kern w:val="2"/>
      <w:sz w:val="28"/>
      <w:szCs w:val="28"/>
    </w:rPr>
  </w:style>
  <w:style w:type="character" w:customStyle="1" w:styleId="45">
    <w:name w:val="批注文字 Char"/>
    <w:qFormat/>
    <w:uiPriority w:val="0"/>
    <w:rPr>
      <w:kern w:val="2"/>
      <w:sz w:val="21"/>
      <w:szCs w:val="21"/>
      <w:lang w:val="zh-CN" w:eastAsia="zh-CN"/>
    </w:rPr>
  </w:style>
  <w:style w:type="character" w:customStyle="1" w:styleId="46">
    <w:name w:val="列表段落 字符"/>
    <w:link w:val="36"/>
    <w:qFormat/>
    <w:locked/>
    <w:uiPriority w:val="0"/>
    <w:rPr>
      <w:kern w:val="2"/>
      <w:sz w:val="21"/>
      <w:szCs w:val="22"/>
    </w:rPr>
  </w:style>
  <w:style w:type="paragraph" w:customStyle="1" w:styleId="47">
    <w:name w:val="修订2"/>
    <w:hidden/>
    <w:unhideWhenUsed/>
    <w:qFormat/>
    <w:uiPriority w:val="99"/>
    <w:rPr>
      <w:rFonts w:ascii="Times New Roman" w:hAnsi="Times New Roman" w:eastAsia="仿宋_GB2312" w:cs="Times New Roman"/>
      <w:kern w:val="2"/>
      <w:sz w:val="32"/>
      <w:lang w:val="en-US" w:eastAsia="zh-CN" w:bidi="ar-SA"/>
    </w:rPr>
  </w:style>
  <w:style w:type="character" w:customStyle="1" w:styleId="48">
    <w:name w:val="日期 字符"/>
    <w:basedOn w:val="18"/>
    <w:link w:val="8"/>
    <w:qFormat/>
    <w:uiPriority w:val="0"/>
    <w:rPr>
      <w:rFonts w:eastAsia="仿宋_GB2312"/>
      <w:kern w:val="2"/>
      <w:sz w:val="32"/>
    </w:rPr>
  </w:style>
  <w:style w:type="paragraph" w:customStyle="1" w:styleId="49">
    <w:name w:val="修订3"/>
    <w:hidden/>
    <w:semiHidden/>
    <w:qFormat/>
    <w:uiPriority w:val="99"/>
    <w:rPr>
      <w:rFonts w:ascii="Times New Roman" w:hAnsi="Times New Roman" w:eastAsia="仿宋_GB2312" w:cs="Times New Roman"/>
      <w:kern w:val="2"/>
      <w:sz w:val="32"/>
      <w:lang w:val="en-US" w:eastAsia="zh-CN" w:bidi="ar-SA"/>
    </w:rPr>
  </w:style>
  <w:style w:type="paragraph" w:customStyle="1" w:styleId="50">
    <w:name w:val="修订4"/>
    <w:hidden/>
    <w:unhideWhenUsed/>
    <w:qFormat/>
    <w:uiPriority w:val="99"/>
    <w:rPr>
      <w:rFonts w:ascii="Times New Roman" w:hAnsi="Times New Roman" w:eastAsia="仿宋_GB2312" w:cs="Times New Roman"/>
      <w:kern w:val="2"/>
      <w:sz w:val="32"/>
      <w:lang w:val="en-US" w:eastAsia="zh-CN" w:bidi="ar-SA"/>
    </w:rPr>
  </w:style>
  <w:style w:type="paragraph" w:customStyle="1" w:styleId="51">
    <w:name w:val="Revision"/>
    <w:hidden/>
    <w:unhideWhenUsed/>
    <w:qFormat/>
    <w:uiPriority w:val="99"/>
    <w:rPr>
      <w:rFonts w:ascii="Times New Roman" w:hAnsi="Times New Roman" w:eastAsia="仿宋_GB2312" w:cs="Times New Roman"/>
      <w:kern w:val="2"/>
      <w:sz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A7CD4-2169-476A-A848-96F72A05E142}">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20</Pages>
  <Words>6963</Words>
  <Characters>7622</Characters>
  <Lines>59</Lines>
  <Paragraphs>16</Paragraphs>
  <TotalTime>2</TotalTime>
  <ScaleCrop>false</ScaleCrop>
  <LinksUpToDate>false</LinksUpToDate>
  <CharactersWithSpaces>7685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2026-05-19T06:27:00Z</dcterms:created>
  <dc:creator>红尘笑</dc:creator>
  <cp:lastModifiedBy>Qy</cp:lastModifiedBy>
  <cp:lastPrinted>2024-06-12T18:32:00Z</cp:lastPrinted>
  <dcterms:modified xsi:type="dcterms:W3CDTF">2026-07-24T06:05:52Z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4C6B156FC5E449C49ED21DFC093A5B8E_13</vt:lpwstr>
  </property>
  <property fmtid="{D5CDD505-2E9C-101B-9397-08002B2CF9AE}" pid="4" name="KSOTemplateDocerSaveRecord">
    <vt:lpwstr>eyJoZGlkIjoiZWI2MzdiYWIxOWY1YWQ1ZjM3ZTU5ZDU1NDcwODZlMjAiLCJ1c2VySWQiOiI0NTc5MDYwNDgifQ==</vt:lpwstr>
  </property>
</Properties>
</file>