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67FDA" w14:textId="77777777" w:rsidR="00830061" w:rsidRDefault="004D6FF5">
      <w:pPr>
        <w:widowControl/>
        <w:spacing w:line="520" w:lineRule="exact"/>
        <w:jc w:val="center"/>
        <w:rPr>
          <w:rFonts w:eastAsia="方正小标宋简体"/>
          <w:bCs/>
          <w:sz w:val="44"/>
          <w:szCs w:val="44"/>
          <w:lang w:bidi="ar"/>
        </w:rPr>
      </w:pPr>
      <w:bookmarkStart w:id="0" w:name="_GoBack"/>
      <w:r>
        <w:rPr>
          <w:rFonts w:eastAsia="方正小标宋简体" w:hint="eastAsia"/>
          <w:bCs/>
          <w:sz w:val="44"/>
          <w:szCs w:val="44"/>
          <w:lang w:bidi="ar"/>
        </w:rPr>
        <w:t>平衡测试设备注册审查指导原则</w:t>
      </w:r>
    </w:p>
    <w:bookmarkEnd w:id="0"/>
    <w:p w14:paraId="177214F8" w14:textId="77777777" w:rsidR="00830061" w:rsidRDefault="004D6FF5">
      <w:pPr>
        <w:widowControl/>
        <w:spacing w:line="520" w:lineRule="exact"/>
        <w:jc w:val="center"/>
        <w:rPr>
          <w:rFonts w:eastAsia="方正小标宋简体"/>
          <w:bCs/>
          <w:sz w:val="44"/>
          <w:szCs w:val="44"/>
          <w:lang w:bidi="ar"/>
        </w:rPr>
      </w:pPr>
      <w:r>
        <w:rPr>
          <w:rFonts w:eastAsia="方正小标宋简体" w:hint="eastAsia"/>
          <w:bCs/>
          <w:sz w:val="44"/>
          <w:szCs w:val="44"/>
          <w:lang w:bidi="ar"/>
        </w:rPr>
        <w:t>（征求意见稿）</w:t>
      </w:r>
    </w:p>
    <w:p w14:paraId="32C15C72" w14:textId="77777777" w:rsidR="00830061" w:rsidRDefault="00830061">
      <w:pPr>
        <w:spacing w:line="520" w:lineRule="exact"/>
        <w:ind w:rightChars="-32" w:right="-67" w:firstLine="420"/>
        <w:jc w:val="center"/>
        <w:rPr>
          <w:rFonts w:asciiTheme="minorHAnsi" w:eastAsiaTheme="minorEastAsia" w:hAnsiTheme="minorHAnsi" w:cstheme="minorBidi"/>
        </w:rPr>
      </w:pPr>
    </w:p>
    <w:p w14:paraId="58B05862" w14:textId="77777777" w:rsidR="00830061" w:rsidRDefault="004D6FF5">
      <w:pPr>
        <w:overflowPunct w:val="0"/>
        <w:spacing w:line="520" w:lineRule="exact"/>
        <w:ind w:firstLine="640"/>
        <w:rPr>
          <w:rFonts w:eastAsia="仿宋_GB2312" w:cs="仿宋_GB2312"/>
          <w:snapToGrid w:val="0"/>
          <w:sz w:val="32"/>
          <w:szCs w:val="32"/>
        </w:rPr>
      </w:pPr>
      <w:r>
        <w:rPr>
          <w:rFonts w:eastAsia="仿宋_GB2312" w:cs="仿宋_GB2312" w:hint="eastAsia"/>
          <w:snapToGrid w:val="0"/>
          <w:sz w:val="32"/>
          <w:szCs w:val="32"/>
          <w:lang w:bidi="ar"/>
        </w:rPr>
        <w:t>本指导原则旨在指导注册申请人对平衡测试设备注册申报资料的准备及撰写，同时也为技术审评部门提供参考。</w:t>
      </w:r>
    </w:p>
    <w:p w14:paraId="0A9ADF0B" w14:textId="77777777" w:rsidR="00830061" w:rsidRDefault="004D6FF5">
      <w:pPr>
        <w:overflowPunct w:val="0"/>
        <w:spacing w:line="520" w:lineRule="exact"/>
        <w:ind w:firstLine="640"/>
        <w:rPr>
          <w:rFonts w:eastAsia="仿宋_GB2312" w:cs="仿宋_GB2312"/>
          <w:snapToGrid w:val="0"/>
          <w:sz w:val="32"/>
          <w:szCs w:val="32"/>
        </w:rPr>
      </w:pPr>
      <w:r>
        <w:rPr>
          <w:rFonts w:eastAsia="仿宋_GB2312" w:cs="仿宋_GB2312" w:hint="eastAsia"/>
          <w:snapToGrid w:val="0"/>
          <w:sz w:val="32"/>
          <w:szCs w:val="32"/>
          <w:lang w:bidi="ar"/>
        </w:rPr>
        <w:t>本指导原则是对平衡测试设备的一般要求，申请人应依据产品的具体特性确定其中内容是否适用。若不适用，需具体阐述理由及相应的科学依据，并依据产品的具体特性对注册申报资料的内容进行充实和细化。</w:t>
      </w:r>
    </w:p>
    <w:p w14:paraId="031C0419" w14:textId="77777777" w:rsidR="00830061" w:rsidRDefault="004D6FF5">
      <w:pPr>
        <w:overflowPunct w:val="0"/>
        <w:spacing w:line="520" w:lineRule="exact"/>
        <w:ind w:firstLine="640"/>
        <w:rPr>
          <w:rFonts w:eastAsia="仿宋_GB2312" w:cs="仿宋_GB2312"/>
          <w:snapToGrid w:val="0"/>
          <w:sz w:val="32"/>
          <w:szCs w:val="32"/>
        </w:rPr>
      </w:pPr>
      <w:r>
        <w:rPr>
          <w:rFonts w:eastAsia="仿宋_GB2312" w:cs="仿宋_GB2312" w:hint="eastAsia"/>
          <w:snapToGrid w:val="0"/>
          <w:sz w:val="32"/>
          <w:szCs w:val="32"/>
          <w:lang w:bidi="ar"/>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3EEFD0F2" w14:textId="77777777" w:rsidR="00830061" w:rsidRDefault="004D6FF5">
      <w:pPr>
        <w:overflowPunct w:val="0"/>
        <w:spacing w:line="520" w:lineRule="exact"/>
        <w:ind w:firstLine="640"/>
        <w:rPr>
          <w:rFonts w:asciiTheme="minorHAnsi" w:eastAsiaTheme="minorEastAsia" w:hAnsiTheme="minorHAnsi"/>
        </w:rPr>
      </w:pPr>
      <w:r>
        <w:rPr>
          <w:rFonts w:eastAsia="仿宋_GB2312" w:cs="仿宋_GB2312" w:hint="eastAsia"/>
          <w:snapToGrid w:val="0"/>
          <w:sz w:val="32"/>
          <w:szCs w:val="32"/>
          <w:lang w:bidi="ar"/>
        </w:rPr>
        <w:t>本指导原则是在现行法规和标准体系以及当前认知水平下制定，随着法规和标准的不断完善，以及科学技术的不断发展，相关内容也将适时进行调整。</w:t>
      </w:r>
    </w:p>
    <w:p w14:paraId="0E45B8BD" w14:textId="77777777" w:rsidR="00830061" w:rsidRDefault="004D6FF5">
      <w:pPr>
        <w:spacing w:line="520" w:lineRule="exact"/>
        <w:ind w:firstLine="640"/>
      </w:pPr>
      <w:r>
        <w:rPr>
          <w:rFonts w:eastAsia="黑体" w:hint="eastAsia"/>
          <w:snapToGrid w:val="0"/>
          <w:kern w:val="0"/>
          <w:sz w:val="32"/>
          <w:szCs w:val="32"/>
        </w:rPr>
        <w:t>一、适用范围</w:t>
      </w:r>
    </w:p>
    <w:p w14:paraId="0D6459D9" w14:textId="77777777" w:rsidR="00830061" w:rsidRDefault="004D6FF5">
      <w:pPr>
        <w:spacing w:line="520" w:lineRule="exact"/>
        <w:ind w:firstLine="640"/>
        <w:rPr>
          <w:rFonts w:eastAsia="仿宋_GB2312" w:cs="仿宋_GB2312"/>
          <w:snapToGrid w:val="0"/>
          <w:sz w:val="32"/>
          <w:szCs w:val="32"/>
          <w:lang w:bidi="ar"/>
        </w:rPr>
      </w:pPr>
      <w:r>
        <w:rPr>
          <w:rFonts w:eastAsia="仿宋_GB2312" w:cs="仿宋_GB2312" w:hint="eastAsia"/>
          <w:snapToGrid w:val="0"/>
          <w:sz w:val="32"/>
          <w:szCs w:val="32"/>
          <w:lang w:bidi="ar"/>
        </w:rPr>
        <w:t>本指导原则适用于平衡测试设备的产品注册，按现行《医疗器械分类目录》（</w:t>
      </w:r>
      <w:r>
        <w:rPr>
          <w:rFonts w:eastAsia="仿宋_GB2312" w:cs="仿宋_GB2312" w:hint="eastAsia"/>
          <w:snapToGrid w:val="0"/>
          <w:sz w:val="32"/>
          <w:szCs w:val="32"/>
          <w:lang w:bidi="ar"/>
        </w:rPr>
        <w:t>2017</w:t>
      </w:r>
      <w:r>
        <w:rPr>
          <w:rFonts w:eastAsia="仿宋_GB2312" w:cs="仿宋_GB2312" w:hint="eastAsia"/>
          <w:snapToGrid w:val="0"/>
          <w:sz w:val="32"/>
          <w:szCs w:val="32"/>
          <w:lang w:bidi="ar"/>
        </w:rPr>
        <w:t>年</w:t>
      </w:r>
      <w:r>
        <w:rPr>
          <w:rFonts w:eastAsia="仿宋_GB2312" w:cs="仿宋_GB2312" w:hint="eastAsia"/>
          <w:snapToGrid w:val="0"/>
          <w:sz w:val="32"/>
          <w:szCs w:val="32"/>
          <w:lang w:bidi="ar"/>
        </w:rPr>
        <w:t>104</w:t>
      </w:r>
      <w:r>
        <w:rPr>
          <w:rFonts w:eastAsia="仿宋_GB2312" w:cs="仿宋_GB2312" w:hint="eastAsia"/>
          <w:snapToGrid w:val="0"/>
          <w:sz w:val="32"/>
          <w:szCs w:val="32"/>
          <w:lang w:bidi="ar"/>
        </w:rPr>
        <w:t>号），该类产品分类编</w:t>
      </w:r>
      <w:r>
        <w:rPr>
          <w:rFonts w:eastAsia="仿宋_GB2312" w:cs="仿宋_GB2312" w:hint="eastAsia"/>
          <w:snapToGrid w:val="0"/>
          <w:sz w:val="32"/>
          <w:szCs w:val="32"/>
          <w:lang w:bidi="ar"/>
        </w:rPr>
        <w:t>码为</w:t>
      </w:r>
      <w:r>
        <w:rPr>
          <w:rFonts w:eastAsia="仿宋_GB2312" w:cs="仿宋_GB2312" w:hint="eastAsia"/>
          <w:snapToGrid w:val="0"/>
          <w:sz w:val="32"/>
          <w:szCs w:val="32"/>
          <w:lang w:bidi="ar"/>
        </w:rPr>
        <w:t>07-09-04</w:t>
      </w:r>
      <w:r>
        <w:rPr>
          <w:rFonts w:eastAsia="仿宋_GB2312" w:cs="仿宋_GB2312" w:hint="eastAsia"/>
          <w:snapToGrid w:val="0"/>
          <w:sz w:val="32"/>
          <w:szCs w:val="32"/>
          <w:lang w:bidi="ar"/>
        </w:rPr>
        <w:t>，管理类别为第二类。通常由测量平台、辅助支架、平衡测试软件等组成。通常患者站立或坐在测试平台上，对患者平衡能力进行评估。</w:t>
      </w:r>
      <w:r>
        <w:rPr>
          <w:rFonts w:eastAsia="仿宋_GB2312" w:cs="仿宋_GB2312" w:hint="eastAsia"/>
          <w:snapToGrid w:val="0"/>
          <w:sz w:val="32"/>
          <w:szCs w:val="32"/>
          <w:lang w:bidi="ar"/>
        </w:rPr>
        <w:t>含训练功能的产品不适用本指导原则，相关要求参考《平衡训练设备注册审查指导原则》</w:t>
      </w:r>
      <w:r>
        <w:rPr>
          <w:rFonts w:eastAsia="仿宋_GB2312" w:cs="仿宋_GB2312" w:hint="eastAsia"/>
          <w:snapToGrid w:val="0"/>
          <w:sz w:val="32"/>
          <w:szCs w:val="32"/>
          <w:lang w:bidi="ar"/>
        </w:rPr>
        <w:t>。</w:t>
      </w:r>
    </w:p>
    <w:p w14:paraId="337E4998" w14:textId="77777777" w:rsidR="00830061" w:rsidRDefault="004D6FF5">
      <w:pPr>
        <w:overflowPunct w:val="0"/>
        <w:autoSpaceDE w:val="0"/>
        <w:autoSpaceDN w:val="0"/>
        <w:spacing w:line="520" w:lineRule="exact"/>
        <w:ind w:firstLine="640"/>
        <w:outlineLvl w:val="0"/>
        <w:rPr>
          <w:rFonts w:eastAsia="黑体"/>
          <w:snapToGrid w:val="0"/>
          <w:kern w:val="0"/>
          <w:sz w:val="32"/>
          <w:szCs w:val="32"/>
        </w:rPr>
      </w:pPr>
      <w:r>
        <w:rPr>
          <w:rFonts w:eastAsia="黑体" w:hint="eastAsia"/>
          <w:snapToGrid w:val="0"/>
          <w:kern w:val="0"/>
          <w:sz w:val="32"/>
          <w:szCs w:val="32"/>
        </w:rPr>
        <w:t>二、注册审查要点</w:t>
      </w:r>
    </w:p>
    <w:p w14:paraId="1B22CA25" w14:textId="77777777" w:rsidR="00830061" w:rsidRDefault="004D6FF5">
      <w:pPr>
        <w:spacing w:line="520" w:lineRule="exact"/>
        <w:ind w:firstLine="640"/>
        <w:rPr>
          <w:rFonts w:asciiTheme="minorHAnsi" w:eastAsiaTheme="minorEastAsia" w:hAnsiTheme="minorHAnsi"/>
        </w:rPr>
      </w:pPr>
      <w:r>
        <w:rPr>
          <w:rFonts w:eastAsia="楷体_GB2312" w:hint="eastAsia"/>
          <w:sz w:val="32"/>
          <w:szCs w:val="32"/>
        </w:rPr>
        <w:lastRenderedPageBreak/>
        <w:t>（一）监管信息</w:t>
      </w:r>
    </w:p>
    <w:p w14:paraId="15AC4576" w14:textId="77777777" w:rsidR="00830061" w:rsidRDefault="004D6FF5">
      <w:pPr>
        <w:spacing w:line="520" w:lineRule="exact"/>
        <w:ind w:firstLine="640"/>
        <w:rPr>
          <w:rFonts w:eastAsia="楷体_GB2312"/>
          <w:sz w:val="32"/>
          <w:szCs w:val="32"/>
        </w:rPr>
      </w:pPr>
      <w:r>
        <w:rPr>
          <w:rFonts w:eastAsia="楷体_GB2312" w:hint="eastAsia"/>
          <w:sz w:val="32"/>
          <w:szCs w:val="32"/>
        </w:rPr>
        <w:t>1.</w:t>
      </w:r>
      <w:r>
        <w:rPr>
          <w:rFonts w:eastAsia="楷体_GB2312" w:hint="eastAsia"/>
          <w:sz w:val="32"/>
          <w:szCs w:val="32"/>
        </w:rPr>
        <w:t>产品名称</w:t>
      </w:r>
    </w:p>
    <w:p w14:paraId="781A363E" w14:textId="4834D13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申请人应描述申报产品的通用名称及其确定依据。</w:t>
      </w:r>
      <w:r>
        <w:rPr>
          <w:rFonts w:eastAsia="仿宋_GB2312" w:hint="eastAsia"/>
          <w:snapToGrid w:val="0"/>
          <w:kern w:val="0"/>
          <w:sz w:val="32"/>
          <w:szCs w:val="32"/>
        </w:rPr>
        <w:t>按照《医疗器械分类目录》、《医疗器械通用名称命名规则》及《医疗器械通用名称命名指导原则》确定产品名称，产品通用名称由一个核心词和不超过三个特征词组成</w:t>
      </w:r>
      <w:r>
        <w:rPr>
          <w:rFonts w:eastAsia="仿宋_GB2312" w:hint="eastAsia"/>
          <w:snapToGrid w:val="0"/>
          <w:kern w:val="0"/>
          <w:sz w:val="32"/>
          <w:szCs w:val="32"/>
        </w:rPr>
        <w:t>。</w:t>
      </w:r>
    </w:p>
    <w:p w14:paraId="76136B39" w14:textId="2D4AF90F"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根据应用部分或设备的技术特征和预期用途，申请人可适当地增加特征词，</w:t>
      </w:r>
      <w:r>
        <w:rPr>
          <w:rFonts w:eastAsia="仿宋_GB2312" w:hint="eastAsia"/>
          <w:snapToGrid w:val="0"/>
          <w:kern w:val="0"/>
          <w:sz w:val="32"/>
          <w:szCs w:val="32"/>
        </w:rPr>
        <w:t>对于符合</w:t>
      </w:r>
      <w:r>
        <w:rPr>
          <w:rFonts w:eastAsia="仿宋_GB2312" w:hint="eastAsia"/>
          <w:snapToGrid w:val="0"/>
          <w:kern w:val="0"/>
          <w:sz w:val="32"/>
          <w:szCs w:val="32"/>
        </w:rPr>
        <w:t>GB9706.1-2020</w:t>
      </w:r>
      <w:r>
        <w:rPr>
          <w:rFonts w:eastAsia="仿宋_GB2312" w:hint="eastAsia"/>
          <w:snapToGrid w:val="0"/>
          <w:kern w:val="0"/>
          <w:sz w:val="32"/>
          <w:szCs w:val="32"/>
        </w:rPr>
        <w:t>中“</w:t>
      </w:r>
      <w:r>
        <w:rPr>
          <w:rFonts w:eastAsia="仿宋_GB2312" w:hint="eastAsia"/>
          <w:snapToGrid w:val="0"/>
          <w:kern w:val="0"/>
          <w:sz w:val="32"/>
          <w:szCs w:val="32"/>
        </w:rPr>
        <w:t>ME</w:t>
      </w:r>
      <w:r>
        <w:rPr>
          <w:rFonts w:eastAsia="仿宋_GB2312" w:hint="eastAsia"/>
          <w:snapToGrid w:val="0"/>
          <w:kern w:val="0"/>
          <w:sz w:val="32"/>
          <w:szCs w:val="32"/>
        </w:rPr>
        <w:t>系统”定义的产品可增加“系统”特征词</w:t>
      </w:r>
      <w:r>
        <w:rPr>
          <w:rFonts w:eastAsia="仿宋_GB2312" w:hint="eastAsia"/>
          <w:snapToGrid w:val="0"/>
          <w:kern w:val="0"/>
          <w:sz w:val="32"/>
          <w:szCs w:val="32"/>
        </w:rPr>
        <w:t>。</w:t>
      </w:r>
      <w:r>
        <w:rPr>
          <w:rFonts w:eastAsia="仿宋_GB2312" w:hint="eastAsia"/>
          <w:snapToGrid w:val="0"/>
          <w:kern w:val="0"/>
          <w:sz w:val="32"/>
          <w:szCs w:val="32"/>
        </w:rPr>
        <w:t>例如，平衡测试系统</w:t>
      </w:r>
      <w:r>
        <w:rPr>
          <w:rFonts w:eastAsia="仿宋_GB2312" w:hint="eastAsia"/>
          <w:snapToGrid w:val="0"/>
          <w:kern w:val="0"/>
          <w:sz w:val="32"/>
          <w:szCs w:val="32"/>
        </w:rPr>
        <w:t>。</w:t>
      </w:r>
    </w:p>
    <w:p w14:paraId="278E9644" w14:textId="77777777" w:rsidR="00830061" w:rsidRDefault="004D6FF5">
      <w:pPr>
        <w:spacing w:line="520" w:lineRule="exact"/>
        <w:ind w:firstLine="640"/>
        <w:rPr>
          <w:rFonts w:eastAsia="仿宋_GB2312"/>
          <w:lang w:bidi="ar"/>
        </w:rPr>
      </w:pPr>
      <w:r>
        <w:rPr>
          <w:rFonts w:eastAsia="仿宋_GB2312"/>
          <w:snapToGrid w:val="0"/>
          <w:kern w:val="0"/>
          <w:sz w:val="32"/>
          <w:szCs w:val="32"/>
        </w:rPr>
        <w:t>2.</w:t>
      </w:r>
      <w:r>
        <w:rPr>
          <w:rFonts w:eastAsia="仿宋_GB2312"/>
          <w:snapToGrid w:val="0"/>
          <w:kern w:val="0"/>
          <w:sz w:val="32"/>
          <w:szCs w:val="32"/>
        </w:rPr>
        <w:t>注册单元划分原则</w:t>
      </w:r>
    </w:p>
    <w:p w14:paraId="20057380" w14:textId="77777777" w:rsidR="00830061" w:rsidRDefault="004D6FF5">
      <w:pPr>
        <w:overflowPunct w:val="0"/>
        <w:autoSpaceDE w:val="0"/>
        <w:autoSpaceDN w:val="0"/>
        <w:spacing w:line="520" w:lineRule="exact"/>
        <w:ind w:firstLine="640"/>
        <w:rPr>
          <w:rFonts w:eastAsia="仿宋_GB2312"/>
          <w:snapToGrid w:val="0"/>
          <w:kern w:val="0"/>
          <w:sz w:val="32"/>
          <w:szCs w:val="32"/>
        </w:rPr>
      </w:pPr>
      <w:r>
        <w:rPr>
          <w:rFonts w:eastAsia="仿宋_GB2312"/>
          <w:snapToGrid w:val="0"/>
          <w:kern w:val="0"/>
          <w:sz w:val="32"/>
          <w:szCs w:val="32"/>
        </w:rPr>
        <w:t>注册单元的划分主要考虑产品的管理类别、适用范围、产品结构设计以及性能指标的差异。</w:t>
      </w:r>
    </w:p>
    <w:p w14:paraId="78E40D9D" w14:textId="30417244" w:rsidR="00830061" w:rsidRDefault="004D6FF5">
      <w:pPr>
        <w:overflowPunct w:val="0"/>
        <w:autoSpaceDE w:val="0"/>
        <w:autoSpaceDN w:val="0"/>
        <w:spacing w:line="520" w:lineRule="exact"/>
        <w:ind w:firstLine="640"/>
        <w:rPr>
          <w:rFonts w:eastAsia="仿宋_GB2312"/>
          <w:snapToGrid w:val="0"/>
          <w:kern w:val="0"/>
          <w:sz w:val="32"/>
          <w:szCs w:val="32"/>
        </w:rPr>
      </w:pPr>
      <w:r>
        <w:rPr>
          <w:rFonts w:eastAsia="仿宋_GB2312"/>
          <w:snapToGrid w:val="0"/>
          <w:kern w:val="0"/>
          <w:sz w:val="32"/>
          <w:szCs w:val="32"/>
        </w:rPr>
        <w:t>2.1</w:t>
      </w:r>
      <w:r>
        <w:rPr>
          <w:rFonts w:eastAsia="仿宋_GB2312"/>
          <w:snapToGrid w:val="0"/>
          <w:kern w:val="0"/>
          <w:sz w:val="32"/>
          <w:szCs w:val="32"/>
        </w:rPr>
        <w:t>工作原理不同的产品原则上应划分为不同注册单元，如</w:t>
      </w:r>
      <w:r>
        <w:rPr>
          <w:rFonts w:eastAsia="仿宋_GB2312" w:hint="eastAsia"/>
          <w:snapToGrid w:val="0"/>
          <w:kern w:val="0"/>
          <w:sz w:val="32"/>
          <w:szCs w:val="32"/>
        </w:rPr>
        <w:t>压力测量平台式</w:t>
      </w:r>
      <w:r>
        <w:rPr>
          <w:rFonts w:eastAsia="仿宋_GB2312"/>
          <w:snapToGrid w:val="0"/>
          <w:kern w:val="0"/>
          <w:sz w:val="32"/>
          <w:szCs w:val="32"/>
        </w:rPr>
        <w:t>和</w:t>
      </w:r>
      <w:r>
        <w:rPr>
          <w:rFonts w:eastAsia="仿宋_GB2312" w:hint="eastAsia"/>
          <w:snapToGrid w:val="0"/>
          <w:kern w:val="0"/>
          <w:sz w:val="32"/>
          <w:szCs w:val="32"/>
        </w:rPr>
        <w:t>图</w:t>
      </w:r>
      <w:r>
        <w:rPr>
          <w:rFonts w:eastAsia="仿宋_GB2312" w:hint="eastAsia"/>
          <w:snapToGrid w:val="0"/>
          <w:kern w:val="0"/>
          <w:sz w:val="32"/>
          <w:szCs w:val="32"/>
        </w:rPr>
        <w:t>像捕捉</w:t>
      </w:r>
      <w:r>
        <w:rPr>
          <w:rFonts w:eastAsia="仿宋_GB2312" w:hint="eastAsia"/>
          <w:snapToGrid w:val="0"/>
          <w:kern w:val="0"/>
          <w:sz w:val="32"/>
          <w:szCs w:val="32"/>
        </w:rPr>
        <w:t>分析式</w:t>
      </w:r>
      <w:r>
        <w:rPr>
          <w:rFonts w:eastAsia="仿宋_GB2312"/>
          <w:snapToGrid w:val="0"/>
          <w:kern w:val="0"/>
          <w:sz w:val="32"/>
          <w:szCs w:val="32"/>
        </w:rPr>
        <w:t>的</w:t>
      </w:r>
      <w:r>
        <w:rPr>
          <w:rFonts w:eastAsia="仿宋_GB2312" w:hint="eastAsia"/>
          <w:snapToGrid w:val="0"/>
          <w:kern w:val="0"/>
          <w:sz w:val="32"/>
          <w:szCs w:val="32"/>
        </w:rPr>
        <w:t>平衡测试系统</w:t>
      </w:r>
      <w:r>
        <w:rPr>
          <w:rFonts w:eastAsia="仿宋_GB2312"/>
          <w:snapToGrid w:val="0"/>
          <w:kern w:val="0"/>
          <w:sz w:val="32"/>
          <w:szCs w:val="32"/>
        </w:rPr>
        <w:t>应划分为不同的注册单元。</w:t>
      </w:r>
    </w:p>
    <w:p w14:paraId="478E8093" w14:textId="77777777" w:rsidR="00830061" w:rsidRDefault="004D6FF5">
      <w:pPr>
        <w:overflowPunct w:val="0"/>
        <w:autoSpaceDE w:val="0"/>
        <w:autoSpaceDN w:val="0"/>
        <w:spacing w:line="520" w:lineRule="exact"/>
        <w:ind w:firstLine="640"/>
        <w:rPr>
          <w:rFonts w:eastAsia="仿宋_GB2312"/>
          <w:snapToGrid w:val="0"/>
          <w:kern w:val="0"/>
          <w:sz w:val="32"/>
          <w:szCs w:val="32"/>
        </w:rPr>
      </w:pPr>
      <w:r>
        <w:rPr>
          <w:rFonts w:eastAsia="仿宋_GB2312"/>
          <w:snapToGrid w:val="0"/>
          <w:kern w:val="0"/>
          <w:sz w:val="32"/>
          <w:szCs w:val="32"/>
        </w:rPr>
        <w:t>2.2</w:t>
      </w:r>
      <w:r>
        <w:rPr>
          <w:rFonts w:eastAsia="仿宋_GB2312"/>
          <w:snapToGrid w:val="0"/>
          <w:kern w:val="0"/>
          <w:sz w:val="32"/>
          <w:szCs w:val="32"/>
        </w:rPr>
        <w:t>技术原理相同、产品设计结构的不同对产品安全有效性有影响的</w:t>
      </w:r>
      <w:r>
        <w:rPr>
          <w:rFonts w:eastAsia="仿宋_GB2312" w:hint="eastAsia"/>
          <w:snapToGrid w:val="0"/>
          <w:kern w:val="0"/>
          <w:sz w:val="32"/>
          <w:szCs w:val="32"/>
        </w:rPr>
        <w:t>平衡测试系统</w:t>
      </w:r>
      <w:r>
        <w:rPr>
          <w:rFonts w:eastAsia="仿宋_GB2312"/>
          <w:snapToGrid w:val="0"/>
          <w:kern w:val="0"/>
          <w:sz w:val="32"/>
          <w:szCs w:val="32"/>
        </w:rPr>
        <w:t>原则上划分为不同的注册单元，如</w:t>
      </w:r>
      <w:r>
        <w:rPr>
          <w:rFonts w:eastAsia="仿宋_GB2312" w:hint="eastAsia"/>
          <w:snapToGrid w:val="0"/>
          <w:kern w:val="0"/>
          <w:sz w:val="32"/>
          <w:szCs w:val="32"/>
        </w:rPr>
        <w:t>单元压力传感器测试平台</w:t>
      </w:r>
      <w:r>
        <w:rPr>
          <w:rFonts w:eastAsia="仿宋_GB2312"/>
          <w:snapToGrid w:val="0"/>
          <w:kern w:val="0"/>
          <w:sz w:val="32"/>
          <w:szCs w:val="32"/>
        </w:rPr>
        <w:t>和</w:t>
      </w:r>
      <w:r>
        <w:rPr>
          <w:rFonts w:eastAsia="仿宋_GB2312" w:hint="eastAsia"/>
          <w:snapToGrid w:val="0"/>
          <w:kern w:val="0"/>
          <w:sz w:val="32"/>
          <w:szCs w:val="32"/>
        </w:rPr>
        <w:t>足底压力分布的平衡测试系统</w:t>
      </w:r>
      <w:r>
        <w:rPr>
          <w:rFonts w:eastAsia="仿宋_GB2312"/>
          <w:snapToGrid w:val="0"/>
          <w:kern w:val="0"/>
          <w:sz w:val="32"/>
          <w:szCs w:val="32"/>
        </w:rPr>
        <w:t>应划分为不同注册单元。</w:t>
      </w:r>
    </w:p>
    <w:p w14:paraId="4D129004" w14:textId="77777777" w:rsidR="00830061" w:rsidRDefault="004D6FF5">
      <w:pPr>
        <w:spacing w:line="520" w:lineRule="exact"/>
        <w:ind w:firstLine="640"/>
        <w:rPr>
          <w:rFonts w:eastAsiaTheme="minorEastAsia"/>
        </w:rPr>
      </w:pPr>
      <w:r>
        <w:rPr>
          <w:rFonts w:eastAsia="楷体_GB2312"/>
          <w:sz w:val="32"/>
          <w:szCs w:val="32"/>
        </w:rPr>
        <w:t>（二）综述资料</w:t>
      </w:r>
    </w:p>
    <w:p w14:paraId="436BC270" w14:textId="59C96EEC"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描述产品研发的目的、研发的基础和必要性。</w:t>
      </w:r>
      <w:r>
        <w:rPr>
          <w:rFonts w:eastAsia="仿宋_GB2312" w:hint="eastAsia"/>
          <w:snapToGrid w:val="0"/>
          <w:kern w:val="0"/>
          <w:sz w:val="32"/>
          <w:szCs w:val="32"/>
        </w:rPr>
        <w:t>平衡测试设备</w:t>
      </w:r>
      <w:r>
        <w:rPr>
          <w:rFonts w:eastAsia="仿宋_GB2312"/>
          <w:snapToGrid w:val="0"/>
          <w:kern w:val="0"/>
          <w:sz w:val="32"/>
          <w:szCs w:val="32"/>
        </w:rPr>
        <w:t>的设计开发应以临床需求为导向，应能保证</w:t>
      </w:r>
      <w:r>
        <w:rPr>
          <w:rFonts w:eastAsia="仿宋_GB2312" w:hint="eastAsia"/>
          <w:snapToGrid w:val="0"/>
          <w:kern w:val="0"/>
          <w:sz w:val="32"/>
          <w:szCs w:val="32"/>
        </w:rPr>
        <w:t>平衡测试设备</w:t>
      </w:r>
      <w:r>
        <w:rPr>
          <w:rFonts w:eastAsia="仿宋_GB2312"/>
          <w:snapToGrid w:val="0"/>
          <w:kern w:val="0"/>
          <w:sz w:val="32"/>
          <w:szCs w:val="32"/>
        </w:rPr>
        <w:t>设计的输入、输出、评审、验证、确认、转化、更改等各环节的科学性和合理性。</w:t>
      </w:r>
      <w:r>
        <w:rPr>
          <w:rFonts w:eastAsia="仿宋_GB2312" w:hint="eastAsia"/>
          <w:snapToGrid w:val="0"/>
          <w:kern w:val="0"/>
          <w:sz w:val="32"/>
          <w:szCs w:val="32"/>
        </w:rPr>
        <w:t>重点对产品压力采集、图像分析、机械安全防护等功能进行确认，确保产品安全有效、质量可控</w:t>
      </w:r>
      <w:r>
        <w:rPr>
          <w:rFonts w:eastAsia="仿宋_GB2312"/>
          <w:snapToGrid w:val="0"/>
          <w:kern w:val="0"/>
          <w:sz w:val="32"/>
          <w:szCs w:val="32"/>
        </w:rPr>
        <w:t>。</w:t>
      </w:r>
    </w:p>
    <w:p w14:paraId="430FE57C"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lastRenderedPageBreak/>
        <w:t>1.</w:t>
      </w:r>
      <w:r>
        <w:rPr>
          <w:rFonts w:eastAsia="仿宋_GB2312"/>
          <w:snapToGrid w:val="0"/>
          <w:kern w:val="0"/>
          <w:sz w:val="32"/>
          <w:szCs w:val="32"/>
        </w:rPr>
        <w:t>产品描述</w:t>
      </w:r>
    </w:p>
    <w:p w14:paraId="3A9F076F"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1.1</w:t>
      </w:r>
      <w:r>
        <w:rPr>
          <w:rFonts w:eastAsia="仿宋_GB2312"/>
          <w:snapToGrid w:val="0"/>
          <w:kern w:val="0"/>
          <w:sz w:val="32"/>
          <w:szCs w:val="32"/>
        </w:rPr>
        <w:t>器械及操作原理描述</w:t>
      </w:r>
    </w:p>
    <w:p w14:paraId="4A23A1A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需</w:t>
      </w:r>
      <w:r>
        <w:rPr>
          <w:rFonts w:eastAsia="仿宋_GB2312"/>
          <w:snapToGrid w:val="0"/>
          <w:kern w:val="0"/>
          <w:sz w:val="32"/>
          <w:szCs w:val="32"/>
        </w:rPr>
        <w:t>描述产品的工作原理、结构组成、主要功能及其组成部件</w:t>
      </w:r>
      <w:r>
        <w:rPr>
          <w:rFonts w:eastAsia="仿宋_GB2312"/>
          <w:snapToGrid w:val="0"/>
          <w:kern w:val="0"/>
          <w:sz w:val="32"/>
          <w:szCs w:val="32"/>
          <w:lang w:val="en"/>
        </w:rPr>
        <w:t>（</w:t>
      </w:r>
      <w:r>
        <w:rPr>
          <w:rFonts w:eastAsia="仿宋_GB2312"/>
          <w:snapToGrid w:val="0"/>
          <w:kern w:val="0"/>
          <w:sz w:val="32"/>
          <w:szCs w:val="32"/>
        </w:rPr>
        <w:t>关键组件和软件</w:t>
      </w:r>
      <w:r>
        <w:rPr>
          <w:rFonts w:eastAsia="仿宋_GB2312"/>
          <w:snapToGrid w:val="0"/>
          <w:kern w:val="0"/>
          <w:sz w:val="32"/>
          <w:szCs w:val="32"/>
          <w:lang w:val="en"/>
        </w:rPr>
        <w:t>）</w:t>
      </w:r>
      <w:r>
        <w:rPr>
          <w:rFonts w:eastAsia="仿宋_GB2312"/>
          <w:snapToGrid w:val="0"/>
          <w:kern w:val="0"/>
          <w:sz w:val="32"/>
          <w:szCs w:val="32"/>
        </w:rPr>
        <w:t>的功能，以及区别于其他同类产品的特征等内容。</w:t>
      </w:r>
    </w:p>
    <w:p w14:paraId="255A0749"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平衡测试</w:t>
      </w:r>
      <w:r>
        <w:rPr>
          <w:rFonts w:eastAsia="仿宋_GB2312" w:hint="eastAsia"/>
          <w:snapToGrid w:val="0"/>
          <w:kern w:val="0"/>
          <w:sz w:val="32"/>
          <w:szCs w:val="32"/>
        </w:rPr>
        <w:t>设备工作</w:t>
      </w:r>
      <w:r>
        <w:rPr>
          <w:rFonts w:eastAsia="仿宋_GB2312"/>
          <w:snapToGrid w:val="0"/>
          <w:kern w:val="0"/>
          <w:sz w:val="32"/>
          <w:szCs w:val="32"/>
        </w:rPr>
        <w:t>原理通常包括</w:t>
      </w:r>
      <w:r>
        <w:rPr>
          <w:rFonts w:eastAsia="仿宋_GB2312" w:hint="eastAsia"/>
          <w:snapToGrid w:val="0"/>
          <w:kern w:val="0"/>
          <w:sz w:val="32"/>
          <w:szCs w:val="32"/>
        </w:rPr>
        <w:t>压力平台</w:t>
      </w:r>
      <w:r>
        <w:rPr>
          <w:rFonts w:eastAsia="仿宋_GB2312"/>
          <w:snapToGrid w:val="0"/>
          <w:kern w:val="0"/>
          <w:sz w:val="32"/>
          <w:szCs w:val="32"/>
        </w:rPr>
        <w:t>式、</w:t>
      </w:r>
      <w:r>
        <w:rPr>
          <w:rFonts w:eastAsia="仿宋_GB2312" w:hint="eastAsia"/>
          <w:snapToGrid w:val="0"/>
          <w:kern w:val="0"/>
          <w:sz w:val="32"/>
          <w:szCs w:val="32"/>
        </w:rPr>
        <w:t>图像捕捉式</w:t>
      </w:r>
      <w:r>
        <w:rPr>
          <w:rFonts w:eastAsia="仿宋_GB2312"/>
          <w:snapToGrid w:val="0"/>
          <w:kern w:val="0"/>
          <w:sz w:val="32"/>
          <w:szCs w:val="32"/>
        </w:rPr>
        <w:t>两种。</w:t>
      </w:r>
      <w:r>
        <w:rPr>
          <w:rFonts w:eastAsia="仿宋_GB2312" w:hint="eastAsia"/>
          <w:snapToGrid w:val="0"/>
          <w:kern w:val="0"/>
          <w:sz w:val="32"/>
          <w:szCs w:val="32"/>
        </w:rPr>
        <w:t>提供工作原理示意图、压力平台</w:t>
      </w:r>
      <w:r>
        <w:rPr>
          <w:rFonts w:eastAsia="仿宋_GB2312"/>
          <w:snapToGrid w:val="0"/>
          <w:kern w:val="0"/>
          <w:sz w:val="32"/>
          <w:szCs w:val="32"/>
        </w:rPr>
        <w:t>式</w:t>
      </w:r>
      <w:r>
        <w:rPr>
          <w:rFonts w:eastAsia="仿宋_GB2312" w:hint="eastAsia"/>
          <w:snapToGrid w:val="0"/>
          <w:kern w:val="0"/>
          <w:sz w:val="32"/>
          <w:szCs w:val="32"/>
        </w:rPr>
        <w:t>采用压力平衡技术，记录人体足部压力动态变化，可获得患者稳定性、重心轨迹图，评估自身保持身体平衡指数；图像捕捉式是通过视频人体模型的抓取，分析图像的变化，从而评估自身保持身体平衡指数。</w:t>
      </w:r>
    </w:p>
    <w:p w14:paraId="54AEB666" w14:textId="77777777" w:rsidR="00830061" w:rsidRDefault="004D6FF5">
      <w:pPr>
        <w:spacing w:line="520" w:lineRule="exact"/>
        <w:ind w:firstLineChars="200" w:firstLine="640"/>
        <w:rPr>
          <w:rFonts w:eastAsia="仿宋_GB2312"/>
          <w:snapToGrid w:val="0"/>
          <w:kern w:val="0"/>
          <w:sz w:val="32"/>
          <w:szCs w:val="32"/>
        </w:rPr>
      </w:pPr>
      <w:r>
        <w:rPr>
          <w:rFonts w:eastAsia="仿宋_GB2312"/>
          <w:snapToGrid w:val="0"/>
          <w:kern w:val="0"/>
          <w:sz w:val="32"/>
          <w:szCs w:val="32"/>
        </w:rPr>
        <w:t>介绍产品的各工作模式，结合产品结构设计及关键部件，对产品主要功能的工作原理及技术实现进行详细说明。如产品具有其他功能或新的技术特征，需提供详细描述，说明工作原理、实现方法和临床应用。</w:t>
      </w:r>
    </w:p>
    <w:p w14:paraId="359C3043"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1.2</w:t>
      </w:r>
      <w:r>
        <w:rPr>
          <w:rFonts w:eastAsia="仿宋_GB2312"/>
          <w:snapToGrid w:val="0"/>
          <w:kern w:val="0"/>
          <w:sz w:val="32"/>
          <w:szCs w:val="32"/>
        </w:rPr>
        <w:t>型号规格</w:t>
      </w:r>
    </w:p>
    <w:p w14:paraId="26B567E0" w14:textId="77777777" w:rsidR="00830061" w:rsidRDefault="004D6FF5">
      <w:pPr>
        <w:spacing w:line="520" w:lineRule="exact"/>
        <w:ind w:firstLine="640"/>
        <w:rPr>
          <w:rFonts w:eastAsia="仿宋_GB2312"/>
        </w:rPr>
      </w:pPr>
      <w:r>
        <w:rPr>
          <w:rFonts w:eastAsia="仿宋_GB2312"/>
          <w:snapToGrid w:val="0"/>
          <w:kern w:val="0"/>
          <w:sz w:val="32"/>
          <w:szCs w:val="32"/>
        </w:rPr>
        <w:t>应明确申报产品的型号规格及结构组成</w:t>
      </w:r>
      <w:r>
        <w:rPr>
          <w:rFonts w:eastAsia="仿宋_GB2312"/>
          <w:snapToGrid w:val="0"/>
          <w:kern w:val="0"/>
          <w:sz w:val="32"/>
          <w:szCs w:val="32"/>
          <w:lang w:val="en"/>
        </w:rPr>
        <w:t>（</w:t>
      </w:r>
      <w:r>
        <w:rPr>
          <w:rFonts w:eastAsia="仿宋_GB2312"/>
          <w:snapToGrid w:val="0"/>
          <w:kern w:val="0"/>
          <w:sz w:val="32"/>
          <w:szCs w:val="32"/>
        </w:rPr>
        <w:t>或配置</w:t>
      </w:r>
      <w:r>
        <w:rPr>
          <w:rFonts w:eastAsia="仿宋_GB2312"/>
          <w:snapToGrid w:val="0"/>
          <w:kern w:val="0"/>
          <w:sz w:val="32"/>
          <w:szCs w:val="32"/>
          <w:lang w:val="en"/>
        </w:rPr>
        <w:t>）</w:t>
      </w:r>
      <w:r>
        <w:rPr>
          <w:rFonts w:eastAsia="仿宋_GB2312"/>
          <w:snapToGrid w:val="0"/>
          <w:kern w:val="0"/>
          <w:sz w:val="32"/>
          <w:szCs w:val="32"/>
        </w:rPr>
        <w:t>。对于存在多种型号规格的产品，应当采用对比表及带有说明性文字的图片、图表，对所有拟申报型号规格的结构组成</w:t>
      </w:r>
      <w:r>
        <w:rPr>
          <w:rFonts w:eastAsia="仿宋_GB2312"/>
          <w:snapToGrid w:val="0"/>
          <w:kern w:val="0"/>
          <w:sz w:val="32"/>
          <w:szCs w:val="32"/>
          <w:lang w:val="en"/>
        </w:rPr>
        <w:t>（</w:t>
      </w:r>
      <w:r>
        <w:rPr>
          <w:rFonts w:eastAsia="仿宋_GB2312"/>
          <w:snapToGrid w:val="0"/>
          <w:kern w:val="0"/>
          <w:sz w:val="32"/>
          <w:szCs w:val="32"/>
        </w:rPr>
        <w:t>或配置</w:t>
      </w:r>
      <w:r>
        <w:rPr>
          <w:rFonts w:eastAsia="仿宋_GB2312"/>
          <w:snapToGrid w:val="0"/>
          <w:kern w:val="0"/>
          <w:sz w:val="32"/>
          <w:szCs w:val="32"/>
          <w:lang w:val="en"/>
        </w:rPr>
        <w:t>）</w:t>
      </w:r>
      <w:r>
        <w:rPr>
          <w:rFonts w:eastAsia="仿宋_GB2312"/>
          <w:snapToGrid w:val="0"/>
          <w:kern w:val="0"/>
          <w:sz w:val="32"/>
          <w:szCs w:val="32"/>
        </w:rPr>
        <w:t>、功能、产品特征和运行模式、性能指标等加以描述，明确各型号规格的区别。</w:t>
      </w:r>
    </w:p>
    <w:p w14:paraId="67BE5E0F"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2.</w:t>
      </w:r>
      <w:r>
        <w:rPr>
          <w:rFonts w:eastAsia="仿宋_GB2312"/>
          <w:snapToGrid w:val="0"/>
          <w:kern w:val="0"/>
          <w:sz w:val="32"/>
          <w:szCs w:val="32"/>
        </w:rPr>
        <w:t>适用范围</w:t>
      </w:r>
    </w:p>
    <w:p w14:paraId="715405B6"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明确</w:t>
      </w:r>
      <w:r>
        <w:rPr>
          <w:rFonts w:eastAsia="仿宋_GB2312" w:hint="eastAsia"/>
          <w:snapToGrid w:val="0"/>
          <w:kern w:val="0"/>
          <w:sz w:val="32"/>
          <w:szCs w:val="32"/>
        </w:rPr>
        <w:t>平衡测试设备</w:t>
      </w:r>
      <w:r>
        <w:rPr>
          <w:rFonts w:eastAsia="仿宋_GB2312"/>
          <w:snapToGrid w:val="0"/>
          <w:kern w:val="0"/>
          <w:sz w:val="32"/>
          <w:szCs w:val="32"/>
        </w:rPr>
        <w:t>适用的医疗阶段、使用环境、目标用户，以及操作或使用该产品应当具备的技能</w:t>
      </w:r>
      <w:r>
        <w:rPr>
          <w:rFonts w:eastAsia="仿宋_GB2312"/>
          <w:snapToGrid w:val="0"/>
          <w:kern w:val="0"/>
          <w:sz w:val="32"/>
          <w:szCs w:val="32"/>
        </w:rPr>
        <w:t>/</w:t>
      </w:r>
      <w:r>
        <w:rPr>
          <w:rFonts w:eastAsia="仿宋_GB2312"/>
          <w:snapToGrid w:val="0"/>
          <w:kern w:val="0"/>
          <w:sz w:val="32"/>
          <w:szCs w:val="32"/>
        </w:rPr>
        <w:t>知识</w:t>
      </w:r>
      <w:r>
        <w:rPr>
          <w:rFonts w:eastAsia="仿宋_GB2312"/>
          <w:snapToGrid w:val="0"/>
          <w:kern w:val="0"/>
          <w:sz w:val="32"/>
          <w:szCs w:val="32"/>
        </w:rPr>
        <w:t>/</w:t>
      </w:r>
      <w:r>
        <w:rPr>
          <w:rFonts w:eastAsia="仿宋_GB2312"/>
          <w:snapToGrid w:val="0"/>
          <w:kern w:val="0"/>
          <w:sz w:val="32"/>
          <w:szCs w:val="32"/>
        </w:rPr>
        <w:t>培训</w:t>
      </w:r>
      <w:r>
        <w:rPr>
          <w:rFonts w:eastAsia="仿宋_GB2312"/>
          <w:snapToGrid w:val="0"/>
          <w:kern w:val="0"/>
          <w:sz w:val="32"/>
          <w:szCs w:val="32"/>
        </w:rPr>
        <w:t>。</w:t>
      </w:r>
    </w:p>
    <w:p w14:paraId="77EDCE4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 xml:space="preserve">2.1 </w:t>
      </w:r>
      <w:r>
        <w:rPr>
          <w:rFonts w:eastAsia="仿宋_GB2312" w:hint="eastAsia"/>
          <w:snapToGrid w:val="0"/>
          <w:kern w:val="0"/>
          <w:sz w:val="32"/>
          <w:szCs w:val="32"/>
        </w:rPr>
        <w:t>预期用途</w:t>
      </w:r>
      <w:r>
        <w:rPr>
          <w:rFonts w:eastAsia="仿宋_GB2312"/>
          <w:snapToGrid w:val="0"/>
          <w:kern w:val="0"/>
          <w:sz w:val="32"/>
          <w:szCs w:val="32"/>
        </w:rPr>
        <w:t>：</w:t>
      </w:r>
    </w:p>
    <w:p w14:paraId="4E371253"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用于对患者平衡能力进行评估。</w:t>
      </w:r>
    </w:p>
    <w:p w14:paraId="3DC79EA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lastRenderedPageBreak/>
        <w:t xml:space="preserve">2.2 </w:t>
      </w:r>
      <w:r>
        <w:rPr>
          <w:rFonts w:eastAsia="仿宋_GB2312" w:hint="eastAsia"/>
          <w:snapToGrid w:val="0"/>
          <w:kern w:val="0"/>
          <w:sz w:val="32"/>
          <w:szCs w:val="32"/>
        </w:rPr>
        <w:t>适用人群和适应症</w:t>
      </w:r>
    </w:p>
    <w:p w14:paraId="49687D0C"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申请人应明确目标患者人群、预期监测特定人群的信息，或者提供无预期监测特定人群的声明，例如，儿科人群。</w:t>
      </w:r>
    </w:p>
    <w:p w14:paraId="002B54F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 xml:space="preserve">2.3 </w:t>
      </w:r>
      <w:r>
        <w:rPr>
          <w:rFonts w:eastAsia="仿宋_GB2312" w:hint="eastAsia"/>
          <w:snapToGrid w:val="0"/>
          <w:kern w:val="0"/>
          <w:sz w:val="32"/>
          <w:szCs w:val="32"/>
        </w:rPr>
        <w:t>预期使用环境</w:t>
      </w:r>
    </w:p>
    <w:p w14:paraId="00DFDBC3" w14:textId="1FB133DF"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申请人应明确产品预期使用的地点，例如，</w:t>
      </w:r>
      <w:r>
        <w:rPr>
          <w:rFonts w:eastAsia="仿宋_GB2312" w:hint="eastAsia"/>
          <w:snapToGrid w:val="0"/>
          <w:kern w:val="0"/>
          <w:sz w:val="32"/>
          <w:szCs w:val="32"/>
        </w:rPr>
        <w:t>医疗机构</w:t>
      </w:r>
      <w:r>
        <w:rPr>
          <w:rFonts w:eastAsia="仿宋_GB2312" w:hint="eastAsia"/>
          <w:snapToGrid w:val="0"/>
          <w:kern w:val="0"/>
          <w:sz w:val="32"/>
          <w:szCs w:val="32"/>
        </w:rPr>
        <w:t>。</w:t>
      </w:r>
    </w:p>
    <w:p w14:paraId="4E46C47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申请人应明确产品预期使用的环境条件，而且应重点关注可能影响产品安全性和有效性的环境条件，如温度、湿度、压力、海拔等。</w:t>
      </w:r>
    </w:p>
    <w:p w14:paraId="5F7720D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 xml:space="preserve">2.4 </w:t>
      </w:r>
      <w:r>
        <w:rPr>
          <w:rFonts w:eastAsia="仿宋_GB2312" w:hint="eastAsia"/>
          <w:snapToGrid w:val="0"/>
          <w:kern w:val="0"/>
          <w:sz w:val="32"/>
          <w:szCs w:val="32"/>
        </w:rPr>
        <w:t>对使用者</w:t>
      </w:r>
      <w:r>
        <w:rPr>
          <w:rFonts w:eastAsia="仿宋_GB2312" w:hint="eastAsia"/>
          <w:snapToGrid w:val="0"/>
          <w:kern w:val="0"/>
          <w:sz w:val="32"/>
          <w:szCs w:val="32"/>
        </w:rPr>
        <w:t>/</w:t>
      </w:r>
      <w:r>
        <w:rPr>
          <w:rFonts w:eastAsia="仿宋_GB2312" w:hint="eastAsia"/>
          <w:snapToGrid w:val="0"/>
          <w:kern w:val="0"/>
          <w:sz w:val="32"/>
          <w:szCs w:val="32"/>
        </w:rPr>
        <w:t>操作者要求</w:t>
      </w:r>
    </w:p>
    <w:p w14:paraId="7A2209F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申请人应明确目标用户及其操作或使用产品应当具备的技能</w:t>
      </w:r>
      <w:r>
        <w:rPr>
          <w:rFonts w:eastAsia="仿宋_GB2312" w:hint="eastAsia"/>
          <w:snapToGrid w:val="0"/>
          <w:kern w:val="0"/>
          <w:sz w:val="32"/>
          <w:szCs w:val="32"/>
        </w:rPr>
        <w:t>/</w:t>
      </w:r>
      <w:r>
        <w:rPr>
          <w:rFonts w:eastAsia="仿宋_GB2312" w:hint="eastAsia"/>
          <w:snapToGrid w:val="0"/>
          <w:kern w:val="0"/>
          <w:sz w:val="32"/>
          <w:szCs w:val="32"/>
        </w:rPr>
        <w:t>知识</w:t>
      </w:r>
      <w:r>
        <w:rPr>
          <w:rFonts w:eastAsia="仿宋_GB2312" w:hint="eastAsia"/>
          <w:snapToGrid w:val="0"/>
          <w:kern w:val="0"/>
          <w:sz w:val="32"/>
          <w:szCs w:val="32"/>
        </w:rPr>
        <w:t>/</w:t>
      </w:r>
      <w:r>
        <w:rPr>
          <w:rFonts w:eastAsia="仿宋_GB2312" w:hint="eastAsia"/>
          <w:snapToGrid w:val="0"/>
          <w:kern w:val="0"/>
          <w:sz w:val="32"/>
          <w:szCs w:val="32"/>
        </w:rPr>
        <w:t>培训。</w:t>
      </w:r>
    </w:p>
    <w:p w14:paraId="58734948"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 xml:space="preserve">2.5 </w:t>
      </w:r>
      <w:r>
        <w:rPr>
          <w:rFonts w:eastAsia="仿宋_GB2312" w:hint="eastAsia"/>
          <w:snapToGrid w:val="0"/>
          <w:kern w:val="0"/>
          <w:sz w:val="32"/>
          <w:szCs w:val="32"/>
        </w:rPr>
        <w:t>禁忌证举例</w:t>
      </w:r>
    </w:p>
    <w:p w14:paraId="7D98A1DE"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暂无</w:t>
      </w:r>
    </w:p>
    <w:p w14:paraId="41D465CB"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3.</w:t>
      </w:r>
      <w:r>
        <w:rPr>
          <w:rFonts w:eastAsia="仿宋_GB2312"/>
          <w:snapToGrid w:val="0"/>
          <w:kern w:val="0"/>
          <w:sz w:val="32"/>
          <w:szCs w:val="32"/>
        </w:rPr>
        <w:t>联合使用</w:t>
      </w:r>
    </w:p>
    <w:p w14:paraId="14ECDF7A"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明确预期与申报产品联合使用的外部设备接口尺寸或标准要求等。明确联合使用设备的硬件和软件接口、关键技术参数等要求，提供图示说明各部件间存在的物理、电气等连接方式。</w:t>
      </w:r>
    </w:p>
    <w:p w14:paraId="21EA3C08" w14:textId="77777777" w:rsidR="00830061" w:rsidRDefault="004D6FF5">
      <w:pPr>
        <w:spacing w:line="520" w:lineRule="exact"/>
        <w:ind w:firstLine="640"/>
      </w:pPr>
      <w:r>
        <w:rPr>
          <w:rFonts w:eastAsia="楷体_GB2312"/>
          <w:sz w:val="32"/>
          <w:szCs w:val="32"/>
        </w:rPr>
        <w:t>（三）非临床资料</w:t>
      </w:r>
    </w:p>
    <w:p w14:paraId="61973847"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1.</w:t>
      </w:r>
      <w:r>
        <w:rPr>
          <w:rFonts w:eastAsia="仿宋_GB2312"/>
          <w:snapToGrid w:val="0"/>
          <w:kern w:val="0"/>
          <w:sz w:val="32"/>
          <w:szCs w:val="32"/>
        </w:rPr>
        <w:t>产品风险管理资料</w:t>
      </w:r>
    </w:p>
    <w:p w14:paraId="6598C01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依据</w:t>
      </w:r>
      <w:r>
        <w:rPr>
          <w:rFonts w:eastAsia="仿宋_GB2312" w:hint="eastAsia"/>
          <w:snapToGrid w:val="0"/>
          <w:kern w:val="0"/>
          <w:sz w:val="32"/>
          <w:szCs w:val="32"/>
        </w:rPr>
        <w:t>GB/T 42062</w:t>
      </w:r>
      <w:r>
        <w:rPr>
          <w:rFonts w:eastAsia="仿宋_GB2312" w:hint="eastAsia"/>
          <w:snapToGrid w:val="0"/>
          <w:kern w:val="0"/>
          <w:sz w:val="32"/>
          <w:szCs w:val="32"/>
        </w:rPr>
        <w:t>《医疗器械风险管理对医疗器械的应用》，提供产品风险管理报告。</w:t>
      </w:r>
    </w:p>
    <w:p w14:paraId="69DDA463"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申请人需重点说明：申报产品的研制阶段已对有关可能的危害及产生的风险进行了估计和评价，针对性地实</w:t>
      </w:r>
      <w:r>
        <w:rPr>
          <w:rFonts w:eastAsia="仿宋_GB2312" w:hint="eastAsia"/>
          <w:snapToGrid w:val="0"/>
          <w:kern w:val="0"/>
          <w:sz w:val="32"/>
          <w:szCs w:val="32"/>
        </w:rPr>
        <w:t>施了降低风险的技术和管理方面的措施。产品性能测试对上述措施的有效性进行了验证，达到了通用和专用标准的要求。申请人对所有</w:t>
      </w:r>
      <w:r>
        <w:rPr>
          <w:rFonts w:eastAsia="仿宋_GB2312" w:hint="eastAsia"/>
          <w:snapToGrid w:val="0"/>
          <w:kern w:val="0"/>
          <w:sz w:val="32"/>
          <w:szCs w:val="32"/>
        </w:rPr>
        <w:lastRenderedPageBreak/>
        <w:t>剩余风险进行了评价，全部达到可接受的水平。产品风险分析资料需为申请人关于产品安全性的承诺提供支持。</w:t>
      </w:r>
    </w:p>
    <w:p w14:paraId="4007AC8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风险管理报告一般包括以下内容：</w:t>
      </w:r>
    </w:p>
    <w:p w14:paraId="4B706F4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1.1</w:t>
      </w:r>
      <w:r>
        <w:rPr>
          <w:rFonts w:eastAsia="仿宋_GB2312" w:hint="eastAsia"/>
          <w:snapToGrid w:val="0"/>
          <w:kern w:val="0"/>
          <w:sz w:val="32"/>
          <w:szCs w:val="32"/>
        </w:rPr>
        <w:t>申报产品的风险管理组织。</w:t>
      </w:r>
    </w:p>
    <w:p w14:paraId="6C74589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1.2</w:t>
      </w:r>
      <w:r>
        <w:rPr>
          <w:rFonts w:eastAsia="仿宋_GB2312" w:hint="eastAsia"/>
          <w:snapToGrid w:val="0"/>
          <w:kern w:val="0"/>
          <w:sz w:val="32"/>
          <w:szCs w:val="32"/>
        </w:rPr>
        <w:t>申报产品的组成。</w:t>
      </w:r>
    </w:p>
    <w:p w14:paraId="4427BBBC"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1.3</w:t>
      </w:r>
      <w:r>
        <w:rPr>
          <w:rFonts w:eastAsia="仿宋_GB2312" w:hint="eastAsia"/>
          <w:snapToGrid w:val="0"/>
          <w:kern w:val="0"/>
          <w:sz w:val="32"/>
          <w:szCs w:val="32"/>
        </w:rPr>
        <w:t>申报产品符合的安全标准。</w:t>
      </w:r>
    </w:p>
    <w:p w14:paraId="7291889C"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1.4</w:t>
      </w:r>
      <w:r>
        <w:rPr>
          <w:rFonts w:eastAsia="仿宋_GB2312" w:hint="eastAsia"/>
          <w:snapToGrid w:val="0"/>
          <w:kern w:val="0"/>
          <w:sz w:val="32"/>
          <w:szCs w:val="32"/>
        </w:rPr>
        <w:t>申报产品的预期用途，与安全性有关的特征的判定。</w:t>
      </w:r>
    </w:p>
    <w:p w14:paraId="10057A13"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1.5</w:t>
      </w:r>
      <w:r>
        <w:rPr>
          <w:rFonts w:eastAsia="仿宋_GB2312" w:hint="eastAsia"/>
          <w:snapToGrid w:val="0"/>
          <w:kern w:val="0"/>
          <w:sz w:val="32"/>
          <w:szCs w:val="32"/>
        </w:rPr>
        <w:t>对申报产品的可能危害作出判定（见附件</w:t>
      </w:r>
      <w:r>
        <w:rPr>
          <w:rFonts w:eastAsia="仿宋_GB2312" w:hint="eastAsia"/>
          <w:snapToGrid w:val="0"/>
          <w:kern w:val="0"/>
          <w:sz w:val="32"/>
          <w:szCs w:val="32"/>
        </w:rPr>
        <w:t>1</w:t>
      </w:r>
      <w:r>
        <w:rPr>
          <w:rFonts w:eastAsia="仿宋_GB2312" w:hint="eastAsia"/>
          <w:snapToGrid w:val="0"/>
          <w:kern w:val="0"/>
          <w:sz w:val="32"/>
          <w:szCs w:val="32"/>
        </w:rPr>
        <w:t>）。</w:t>
      </w:r>
    </w:p>
    <w:p w14:paraId="19B12E4B"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1.6</w:t>
      </w:r>
      <w:r>
        <w:rPr>
          <w:rFonts w:eastAsia="仿宋_GB2312" w:hint="eastAsia"/>
          <w:snapToGrid w:val="0"/>
          <w:kern w:val="0"/>
          <w:sz w:val="32"/>
          <w:szCs w:val="32"/>
        </w:rPr>
        <w:t>对所判定的危害采取的降低风险的控制措施。</w:t>
      </w:r>
    </w:p>
    <w:p w14:paraId="5BE23DA6"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1.7</w:t>
      </w:r>
      <w:r>
        <w:rPr>
          <w:rFonts w:eastAsia="仿宋_GB2312" w:hint="eastAsia"/>
          <w:snapToGrid w:val="0"/>
          <w:kern w:val="0"/>
          <w:sz w:val="32"/>
          <w:szCs w:val="32"/>
        </w:rPr>
        <w:t>对采取控制措施后</w:t>
      </w:r>
      <w:r>
        <w:rPr>
          <w:rFonts w:eastAsia="仿宋_GB2312" w:hint="eastAsia"/>
          <w:snapToGrid w:val="0"/>
          <w:kern w:val="0"/>
          <w:sz w:val="32"/>
          <w:szCs w:val="32"/>
        </w:rPr>
        <w:t>的剩余风险进行估计和评价。</w:t>
      </w:r>
    </w:p>
    <w:p w14:paraId="0C60B050" w14:textId="77777777" w:rsidR="00830061" w:rsidRDefault="004D6FF5">
      <w:pPr>
        <w:widowControl/>
        <w:wordWrap w:val="0"/>
        <w:spacing w:line="360" w:lineRule="auto"/>
        <w:ind w:firstLineChars="200" w:firstLine="640"/>
        <w:jc w:val="left"/>
        <w:rPr>
          <w:rFonts w:eastAsia="仿宋_GB2312"/>
          <w:sz w:val="32"/>
          <w:szCs w:val="32"/>
        </w:rPr>
      </w:pPr>
      <w:r>
        <w:rPr>
          <w:rFonts w:eastAsia="仿宋_GB2312" w:hint="eastAsia"/>
          <w:snapToGrid w:val="0"/>
          <w:kern w:val="0"/>
          <w:sz w:val="32"/>
          <w:szCs w:val="32"/>
        </w:rPr>
        <w:t>2</w:t>
      </w:r>
      <w:r>
        <w:rPr>
          <w:rFonts w:eastAsia="仿宋_GB2312"/>
          <w:snapToGrid w:val="0"/>
          <w:kern w:val="0"/>
          <w:sz w:val="32"/>
          <w:szCs w:val="32"/>
        </w:rPr>
        <w:t>.</w:t>
      </w:r>
      <w:r>
        <w:rPr>
          <w:rFonts w:eastAsia="仿宋_GB2312" w:hint="eastAsia"/>
          <w:sz w:val="32"/>
          <w:szCs w:val="32"/>
        </w:rPr>
        <w:t>医疗器械安全和性能基本原则清单</w:t>
      </w:r>
    </w:p>
    <w:p w14:paraId="12E8F588" w14:textId="77777777" w:rsidR="00830061" w:rsidRDefault="004D6FF5">
      <w:pPr>
        <w:spacing w:line="520" w:lineRule="exact"/>
        <w:ind w:firstLineChars="200" w:firstLine="640"/>
        <w:rPr>
          <w:rFonts w:eastAsia="仿宋_GB2312"/>
          <w:sz w:val="32"/>
          <w:szCs w:val="32"/>
        </w:rPr>
      </w:pPr>
      <w:r>
        <w:rPr>
          <w:rFonts w:eastAsia="仿宋_GB2312" w:hint="eastAsia"/>
          <w:sz w:val="32"/>
          <w:szCs w:val="32"/>
        </w:rPr>
        <w:t>参考《医疗器械安全和性能基本原则符合技术指南》的要求，根据《医疗器械安全和性能基本原则清单》中的各项要求明确适用性。对于适用项要求，应逐项说明为符合要求所采用的方法及其证明符合性文件；对于不适用项要求，应当逐条说明不适用的理由。关于证明各项要求符合性的文件，如果包含在产品注册申报资料中，应当说明其在申报资料中的具体位置；</w:t>
      </w:r>
      <w:r>
        <w:rPr>
          <w:rFonts w:eastAsia="仿宋_GB2312" w:cs="仿宋_GB2312" w:hint="eastAsia"/>
          <w:color w:val="000000"/>
          <w:sz w:val="32"/>
          <w:szCs w:val="32"/>
        </w:rPr>
        <w:t>对于未包含在产品注册申报资料中的文件，应当注明该证据文件名称及其在质量管理体系文件中的编号备查。</w:t>
      </w:r>
    </w:p>
    <w:p w14:paraId="13436163"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w:t>
      </w:r>
      <w:r>
        <w:rPr>
          <w:rFonts w:eastAsia="仿宋_GB2312"/>
          <w:snapToGrid w:val="0"/>
          <w:kern w:val="0"/>
          <w:sz w:val="32"/>
          <w:szCs w:val="32"/>
        </w:rPr>
        <w:t>.</w:t>
      </w:r>
      <w:r>
        <w:rPr>
          <w:rFonts w:eastAsia="仿宋_GB2312"/>
          <w:snapToGrid w:val="0"/>
          <w:kern w:val="0"/>
          <w:sz w:val="32"/>
          <w:szCs w:val="32"/>
        </w:rPr>
        <w:t>产品技术要求及检测报告</w:t>
      </w:r>
    </w:p>
    <w:p w14:paraId="2E14F8D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w:t>
      </w:r>
      <w:r>
        <w:rPr>
          <w:rFonts w:eastAsia="仿宋_GB2312"/>
          <w:snapToGrid w:val="0"/>
          <w:kern w:val="0"/>
          <w:sz w:val="32"/>
          <w:szCs w:val="32"/>
        </w:rPr>
        <w:t>.1</w:t>
      </w:r>
      <w:r>
        <w:rPr>
          <w:rFonts w:eastAsia="仿宋_GB2312"/>
          <w:snapToGrid w:val="0"/>
          <w:kern w:val="0"/>
          <w:sz w:val="32"/>
          <w:szCs w:val="32"/>
        </w:rPr>
        <w:t>产品技术要求</w:t>
      </w:r>
    </w:p>
    <w:p w14:paraId="3C886E8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注册申请人应按照《医疗器械产品技术要求编写指导原则》编写产品技术要求。建议注册申请人参考对应的国家标准、行业标准，并根据自身产品的技术特点制定产品技术要求中的性能指标和测试方法。</w:t>
      </w:r>
    </w:p>
    <w:p w14:paraId="4276709A"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lastRenderedPageBreak/>
        <w:t>3.1.1</w:t>
      </w:r>
      <w:r>
        <w:rPr>
          <w:rFonts w:eastAsia="仿宋_GB2312" w:hint="eastAsia"/>
          <w:snapToGrid w:val="0"/>
          <w:kern w:val="0"/>
          <w:sz w:val="32"/>
          <w:szCs w:val="32"/>
        </w:rPr>
        <w:t>规格信息</w:t>
      </w:r>
    </w:p>
    <w:p w14:paraId="48EEC5C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明确软件发布版本和版本命名规则。软件版本命名规则原则上需涵盖算法驱动型更新和数据驱动型更新，明确并区分重大软件更新和轻微软件更新，其中重大软件更新列举常见典型情况。</w:t>
      </w:r>
    </w:p>
    <w:p w14:paraId="7A8AB861"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明确不同型号间产品差异。</w:t>
      </w:r>
    </w:p>
    <w:p w14:paraId="51CC3D1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w:t>
      </w:r>
      <w:r>
        <w:rPr>
          <w:rFonts w:eastAsia="仿宋_GB2312" w:hint="eastAsia"/>
          <w:snapToGrid w:val="0"/>
          <w:kern w:val="0"/>
          <w:sz w:val="32"/>
          <w:szCs w:val="32"/>
        </w:rPr>
        <w:t>主要性能指标</w:t>
      </w:r>
    </w:p>
    <w:p w14:paraId="7896BAFA"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应符合</w:t>
      </w:r>
      <w:r>
        <w:rPr>
          <w:rFonts w:eastAsia="仿宋_GB2312" w:hint="eastAsia"/>
          <w:snapToGrid w:val="0"/>
          <w:kern w:val="0"/>
          <w:sz w:val="32"/>
          <w:szCs w:val="32"/>
        </w:rPr>
        <w:t xml:space="preserve">YY/T </w:t>
      </w:r>
      <w:r>
        <w:rPr>
          <w:rFonts w:eastAsia="仿宋_GB2312" w:hint="eastAsia"/>
          <w:snapToGrid w:val="0"/>
          <w:kern w:val="0"/>
          <w:sz w:val="32"/>
          <w:szCs w:val="32"/>
        </w:rPr>
        <w:t>1410</w:t>
      </w:r>
      <w:r>
        <w:rPr>
          <w:rFonts w:eastAsia="仿宋_GB2312" w:hint="eastAsia"/>
          <w:snapToGrid w:val="0"/>
          <w:kern w:val="0"/>
          <w:sz w:val="32"/>
          <w:szCs w:val="32"/>
        </w:rPr>
        <w:t>《平衡测试训练设备》的要求。主要性能指标包括但不限于以下内容：</w:t>
      </w:r>
    </w:p>
    <w:p w14:paraId="7876EE4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w:t>
      </w:r>
      <w:r>
        <w:rPr>
          <w:rFonts w:eastAsia="仿宋_GB2312" w:hint="eastAsia"/>
          <w:snapToGrid w:val="0"/>
          <w:kern w:val="0"/>
          <w:sz w:val="32"/>
          <w:szCs w:val="32"/>
        </w:rPr>
        <w:t>工作条件：应符合制造商的规定。</w:t>
      </w:r>
    </w:p>
    <w:p w14:paraId="3B3FA30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3.1.2.2</w:t>
      </w:r>
      <w:r>
        <w:rPr>
          <w:rFonts w:eastAsia="仿宋_GB2312" w:hint="eastAsia"/>
          <w:snapToGrid w:val="0"/>
          <w:kern w:val="0"/>
          <w:sz w:val="32"/>
          <w:szCs w:val="32"/>
        </w:rPr>
        <w:t>测试范围及精度：测力板可测试重量范围由制造商规定。具有压力显示功能的平衡系统，当载荷大于</w:t>
      </w:r>
      <w:r>
        <w:rPr>
          <w:rFonts w:eastAsia="仿宋_GB2312" w:hint="eastAsia"/>
          <w:snapToGrid w:val="0"/>
          <w:kern w:val="0"/>
          <w:sz w:val="32"/>
          <w:szCs w:val="32"/>
        </w:rPr>
        <w:t>50kg</w:t>
      </w:r>
      <w:r>
        <w:rPr>
          <w:rFonts w:eastAsia="仿宋_GB2312" w:hint="eastAsia"/>
          <w:snapToGrid w:val="0"/>
          <w:kern w:val="0"/>
          <w:sz w:val="32"/>
          <w:szCs w:val="32"/>
        </w:rPr>
        <w:t>时，其误差应不超过±</w:t>
      </w:r>
      <w:r>
        <w:rPr>
          <w:rFonts w:eastAsia="仿宋_GB2312" w:hint="eastAsia"/>
          <w:snapToGrid w:val="0"/>
          <w:kern w:val="0"/>
          <w:sz w:val="32"/>
          <w:szCs w:val="32"/>
        </w:rPr>
        <w:t>1.5%</w:t>
      </w:r>
      <w:r>
        <w:rPr>
          <w:rFonts w:eastAsia="仿宋_GB2312" w:hint="eastAsia"/>
          <w:snapToGrid w:val="0"/>
          <w:kern w:val="0"/>
          <w:sz w:val="32"/>
          <w:szCs w:val="32"/>
        </w:rPr>
        <w:t>；当载荷小于等于</w:t>
      </w:r>
      <w:r>
        <w:rPr>
          <w:rFonts w:eastAsia="仿宋_GB2312" w:hint="eastAsia"/>
          <w:snapToGrid w:val="0"/>
          <w:kern w:val="0"/>
          <w:sz w:val="32"/>
          <w:szCs w:val="32"/>
        </w:rPr>
        <w:t>50kg</w:t>
      </w:r>
      <w:r>
        <w:rPr>
          <w:rFonts w:eastAsia="仿宋_GB2312" w:hint="eastAsia"/>
          <w:snapToGrid w:val="0"/>
          <w:kern w:val="0"/>
          <w:sz w:val="32"/>
          <w:szCs w:val="32"/>
        </w:rPr>
        <w:t>时，其误差应不超过±</w:t>
      </w:r>
      <w:r>
        <w:rPr>
          <w:rFonts w:eastAsia="仿宋_GB2312" w:hint="eastAsia"/>
          <w:snapToGrid w:val="0"/>
          <w:kern w:val="0"/>
          <w:sz w:val="32"/>
          <w:szCs w:val="32"/>
        </w:rPr>
        <w:t>0.5kg</w:t>
      </w:r>
      <w:r>
        <w:rPr>
          <w:rFonts w:eastAsia="仿宋_GB2312" w:hint="eastAsia"/>
          <w:snapToGrid w:val="0"/>
          <w:kern w:val="0"/>
          <w:sz w:val="32"/>
          <w:szCs w:val="32"/>
        </w:rPr>
        <w:t>。</w:t>
      </w:r>
    </w:p>
    <w:p w14:paraId="74F272C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3.1.2.3</w:t>
      </w:r>
      <w:r>
        <w:rPr>
          <w:rFonts w:eastAsia="仿宋_GB2312" w:hint="eastAsia"/>
          <w:snapToGrid w:val="0"/>
          <w:kern w:val="0"/>
          <w:sz w:val="32"/>
          <w:szCs w:val="32"/>
        </w:rPr>
        <w:t>反应一致性：显示单元应对测量平台测试结果有准确可靠的反应。</w:t>
      </w:r>
    </w:p>
    <w:p w14:paraId="584C452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3.1.2.4</w:t>
      </w:r>
      <w:r>
        <w:rPr>
          <w:rFonts w:eastAsia="仿宋_GB2312" w:hint="eastAsia"/>
          <w:snapToGrid w:val="0"/>
          <w:kern w:val="0"/>
          <w:sz w:val="32"/>
          <w:szCs w:val="32"/>
        </w:rPr>
        <w:t>各测力板间测量误差：具有相同功能的各测力板对相同重物反应应相同，具有压力显示功能的平衡系统，各测力板间测量误差</w:t>
      </w:r>
      <w:r>
        <w:rPr>
          <w:rFonts w:eastAsia="仿宋_GB2312" w:hint="eastAsia"/>
          <w:snapToGrid w:val="0"/>
          <w:kern w:val="0"/>
          <w:sz w:val="32"/>
          <w:szCs w:val="32"/>
        </w:rPr>
        <w:t>应不超过</w:t>
      </w:r>
      <w:r>
        <w:rPr>
          <w:rFonts w:eastAsia="仿宋_GB2312" w:hint="eastAsia"/>
          <w:snapToGrid w:val="0"/>
          <w:kern w:val="0"/>
          <w:sz w:val="32"/>
          <w:szCs w:val="32"/>
        </w:rPr>
        <w:t>1%</w:t>
      </w:r>
    </w:p>
    <w:p w14:paraId="52E1B7EE"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3.1.2.5</w:t>
      </w:r>
      <w:r>
        <w:rPr>
          <w:rFonts w:eastAsia="仿宋_GB2312" w:hint="eastAsia"/>
          <w:snapToGrid w:val="0"/>
          <w:kern w:val="0"/>
          <w:sz w:val="32"/>
          <w:szCs w:val="32"/>
        </w:rPr>
        <w:t>重心轨迹：应具有实时显示重心轨迹的功能。</w:t>
      </w:r>
    </w:p>
    <w:p w14:paraId="7BDE97FC"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3.1.2.6</w:t>
      </w:r>
      <w:r>
        <w:rPr>
          <w:rFonts w:eastAsia="仿宋_GB2312" w:hint="eastAsia"/>
          <w:snapToGrid w:val="0"/>
          <w:kern w:val="0"/>
          <w:sz w:val="32"/>
          <w:szCs w:val="32"/>
        </w:rPr>
        <w:t>测试区域：测力板</w:t>
      </w:r>
      <w:r>
        <w:rPr>
          <w:rFonts w:eastAsia="仿宋_GB2312" w:hint="eastAsia"/>
          <w:snapToGrid w:val="0"/>
          <w:kern w:val="0"/>
          <w:sz w:val="32"/>
          <w:szCs w:val="32"/>
        </w:rPr>
        <w:t>/</w:t>
      </w:r>
      <w:r>
        <w:rPr>
          <w:rFonts w:eastAsia="仿宋_GB2312" w:hint="eastAsia"/>
          <w:snapToGrid w:val="0"/>
          <w:kern w:val="0"/>
          <w:sz w:val="32"/>
          <w:szCs w:val="32"/>
        </w:rPr>
        <w:t>平衡板上应有明确标识，以指示患者正确的坐、立位置。</w:t>
      </w:r>
    </w:p>
    <w:p w14:paraId="79FB4E9E"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3.1.2.7</w:t>
      </w:r>
      <w:r>
        <w:rPr>
          <w:rFonts w:eastAsia="仿宋_GB2312" w:hint="eastAsia"/>
          <w:snapToGrid w:val="0"/>
          <w:kern w:val="0"/>
          <w:sz w:val="32"/>
          <w:szCs w:val="32"/>
        </w:rPr>
        <w:t>稳定性</w:t>
      </w:r>
    </w:p>
    <w:p w14:paraId="7707D6E8"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3.1.2.7.1</w:t>
      </w:r>
      <w:r>
        <w:rPr>
          <w:rFonts w:eastAsia="仿宋_GB2312" w:hint="eastAsia"/>
          <w:snapToGrid w:val="0"/>
          <w:kern w:val="0"/>
          <w:sz w:val="32"/>
          <w:szCs w:val="32"/>
        </w:rPr>
        <w:t>支撑台（椅）应着地平稳，底脚与水平面的差值≤</w:t>
      </w:r>
      <w:r>
        <w:rPr>
          <w:rFonts w:eastAsia="仿宋_GB2312" w:hint="eastAsia"/>
          <w:snapToGrid w:val="0"/>
          <w:kern w:val="0"/>
          <w:sz w:val="32"/>
          <w:szCs w:val="32"/>
        </w:rPr>
        <w:t>2mm</w:t>
      </w:r>
      <w:r>
        <w:rPr>
          <w:rFonts w:eastAsia="仿宋_GB2312" w:hint="eastAsia"/>
          <w:snapToGrid w:val="0"/>
          <w:kern w:val="0"/>
          <w:sz w:val="32"/>
          <w:szCs w:val="32"/>
        </w:rPr>
        <w:t>，并在使用中不应产生晃动。</w:t>
      </w:r>
    </w:p>
    <w:p w14:paraId="47EA9DBC"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lastRenderedPageBreak/>
        <w:t>3.1.2.7.2</w:t>
      </w:r>
      <w:r>
        <w:rPr>
          <w:rFonts w:eastAsia="仿宋_GB2312" w:hint="eastAsia"/>
          <w:snapToGrid w:val="0"/>
          <w:kern w:val="0"/>
          <w:sz w:val="32"/>
          <w:szCs w:val="32"/>
        </w:rPr>
        <w:t>支撑台（椅）倾斜</w:t>
      </w:r>
      <w:r>
        <w:rPr>
          <w:rFonts w:eastAsia="仿宋_GB2312" w:hint="eastAsia"/>
          <w:snapToGrid w:val="0"/>
          <w:kern w:val="0"/>
          <w:sz w:val="32"/>
          <w:szCs w:val="32"/>
        </w:rPr>
        <w:t>10</w:t>
      </w:r>
      <w:r>
        <w:rPr>
          <w:rFonts w:eastAsia="仿宋_GB2312" w:hint="eastAsia"/>
          <w:snapToGrid w:val="0"/>
          <w:kern w:val="0"/>
          <w:sz w:val="32"/>
          <w:szCs w:val="32"/>
        </w:rPr>
        <w:t>°时不应发生倾翻。</w:t>
      </w:r>
    </w:p>
    <w:p w14:paraId="100674F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3.1.2.7.3</w:t>
      </w:r>
      <w:r>
        <w:rPr>
          <w:rFonts w:eastAsia="仿宋_GB2312" w:hint="eastAsia"/>
          <w:snapToGrid w:val="0"/>
          <w:kern w:val="0"/>
          <w:sz w:val="32"/>
          <w:szCs w:val="32"/>
        </w:rPr>
        <w:t>可靠定位后支撑台（椅）不应产生位移。</w:t>
      </w:r>
    </w:p>
    <w:p w14:paraId="6CA55588"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3.1.2.8</w:t>
      </w:r>
      <w:r>
        <w:rPr>
          <w:rFonts w:eastAsia="仿宋_GB2312" w:hint="eastAsia"/>
          <w:snapToGrid w:val="0"/>
          <w:kern w:val="0"/>
          <w:sz w:val="32"/>
          <w:szCs w:val="32"/>
        </w:rPr>
        <w:t>握持装置</w:t>
      </w:r>
      <w:r>
        <w:rPr>
          <w:rFonts w:eastAsia="仿宋_GB2312" w:hint="eastAsia"/>
          <w:snapToGrid w:val="0"/>
          <w:kern w:val="0"/>
          <w:sz w:val="32"/>
          <w:szCs w:val="32"/>
        </w:rPr>
        <w:t>（</w:t>
      </w:r>
      <w:r>
        <w:rPr>
          <w:rFonts w:eastAsia="仿宋_GB2312" w:hint="eastAsia"/>
          <w:snapToGrid w:val="0"/>
          <w:kern w:val="0"/>
          <w:sz w:val="32"/>
          <w:szCs w:val="32"/>
        </w:rPr>
        <w:t>如适用</w:t>
      </w:r>
      <w:r>
        <w:rPr>
          <w:rFonts w:eastAsia="仿宋_GB2312" w:hint="eastAsia"/>
          <w:snapToGrid w:val="0"/>
          <w:kern w:val="0"/>
          <w:sz w:val="32"/>
          <w:szCs w:val="32"/>
        </w:rPr>
        <w:t>）</w:t>
      </w:r>
    </w:p>
    <w:p w14:paraId="38605BD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3.1.2.8.1</w:t>
      </w:r>
      <w:r>
        <w:rPr>
          <w:rFonts w:eastAsia="仿宋_GB2312" w:hint="eastAsia"/>
          <w:snapToGrid w:val="0"/>
          <w:kern w:val="0"/>
          <w:sz w:val="32"/>
          <w:szCs w:val="32"/>
        </w:rPr>
        <w:t>站立式平衡</w:t>
      </w:r>
      <w:r>
        <w:rPr>
          <w:rFonts w:eastAsia="仿宋_GB2312" w:hint="eastAsia"/>
          <w:snapToGrid w:val="0"/>
          <w:kern w:val="0"/>
          <w:sz w:val="32"/>
          <w:szCs w:val="32"/>
        </w:rPr>
        <w:t>测试</w:t>
      </w:r>
      <w:r>
        <w:rPr>
          <w:rFonts w:eastAsia="仿宋_GB2312" w:hint="eastAsia"/>
          <w:snapToGrid w:val="0"/>
          <w:kern w:val="0"/>
          <w:sz w:val="32"/>
          <w:szCs w:val="32"/>
        </w:rPr>
        <w:t>系统应至少具备双侧手握持装置，以辅助患者训练中维持站立或保护</w:t>
      </w:r>
      <w:r>
        <w:rPr>
          <w:rFonts w:eastAsia="仿宋_GB2312" w:hint="eastAsia"/>
          <w:snapToGrid w:val="0"/>
          <w:kern w:val="0"/>
          <w:sz w:val="32"/>
          <w:szCs w:val="32"/>
        </w:rPr>
        <w:t>患者安全。</w:t>
      </w:r>
    </w:p>
    <w:p w14:paraId="6C7734D2"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3.1.2.8.2</w:t>
      </w:r>
      <w:r>
        <w:rPr>
          <w:rFonts w:eastAsia="仿宋_GB2312" w:hint="eastAsia"/>
          <w:snapToGrid w:val="0"/>
          <w:kern w:val="0"/>
          <w:sz w:val="32"/>
          <w:szCs w:val="32"/>
        </w:rPr>
        <w:t>握持装置经静载试验后，应无任何断裂、松动等损坏。</w:t>
      </w:r>
    </w:p>
    <w:p w14:paraId="1E04124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3.1.2.8.3</w:t>
      </w:r>
      <w:r>
        <w:rPr>
          <w:rFonts w:eastAsia="仿宋_GB2312" w:hint="eastAsia"/>
          <w:snapToGrid w:val="0"/>
          <w:kern w:val="0"/>
          <w:sz w:val="32"/>
          <w:szCs w:val="32"/>
        </w:rPr>
        <w:t>握持装置应适合手的握持，防滑；本设备装配把套，把套应无转动现象，不应因配合不当或震动等导致滑动、脱落。</w:t>
      </w:r>
    </w:p>
    <w:p w14:paraId="398410B1"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3.1.2.9</w:t>
      </w:r>
      <w:r>
        <w:rPr>
          <w:rFonts w:eastAsia="仿宋_GB2312" w:hint="eastAsia"/>
          <w:snapToGrid w:val="0"/>
          <w:kern w:val="0"/>
          <w:sz w:val="32"/>
          <w:szCs w:val="32"/>
        </w:rPr>
        <w:t>噪声：设备在正常使用时产生的噪声应不大于</w:t>
      </w:r>
      <w:r>
        <w:rPr>
          <w:rFonts w:eastAsia="仿宋_GB2312" w:hint="eastAsia"/>
          <w:snapToGrid w:val="0"/>
          <w:kern w:val="0"/>
          <w:sz w:val="32"/>
          <w:szCs w:val="32"/>
        </w:rPr>
        <w:t>60dB</w:t>
      </w:r>
      <w:r>
        <w:rPr>
          <w:rFonts w:eastAsia="仿宋_GB2312" w:hint="eastAsia"/>
          <w:snapToGrid w:val="0"/>
          <w:kern w:val="0"/>
          <w:sz w:val="32"/>
          <w:szCs w:val="32"/>
        </w:rPr>
        <w:t>（</w:t>
      </w:r>
      <w:r>
        <w:rPr>
          <w:rFonts w:eastAsia="仿宋_GB2312" w:hint="eastAsia"/>
          <w:snapToGrid w:val="0"/>
          <w:kern w:val="0"/>
          <w:sz w:val="32"/>
          <w:szCs w:val="32"/>
        </w:rPr>
        <w:t>A</w:t>
      </w:r>
      <w:r>
        <w:rPr>
          <w:rFonts w:eastAsia="仿宋_GB2312" w:hint="eastAsia"/>
          <w:snapToGrid w:val="0"/>
          <w:kern w:val="0"/>
          <w:sz w:val="32"/>
          <w:szCs w:val="32"/>
        </w:rPr>
        <w:t>）。</w:t>
      </w:r>
    </w:p>
    <w:p w14:paraId="22E15A4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3.2.2.10</w:t>
      </w:r>
      <w:r>
        <w:rPr>
          <w:rFonts w:eastAsia="仿宋_GB2312" w:hint="eastAsia"/>
          <w:snapToGrid w:val="0"/>
          <w:kern w:val="0"/>
          <w:sz w:val="32"/>
          <w:szCs w:val="32"/>
        </w:rPr>
        <w:t>使用说明书：使用说明书满足</w:t>
      </w:r>
      <w:r>
        <w:rPr>
          <w:rFonts w:eastAsia="仿宋_GB2312" w:hint="eastAsia"/>
          <w:snapToGrid w:val="0"/>
          <w:kern w:val="0"/>
          <w:sz w:val="32"/>
          <w:szCs w:val="32"/>
        </w:rPr>
        <w:t>GB9706.1-2020</w:t>
      </w:r>
      <w:r>
        <w:rPr>
          <w:rFonts w:eastAsia="仿宋_GB2312" w:hint="eastAsia"/>
          <w:snapToGrid w:val="0"/>
          <w:kern w:val="0"/>
          <w:sz w:val="32"/>
          <w:szCs w:val="32"/>
        </w:rPr>
        <w:t>中</w:t>
      </w:r>
      <w:r>
        <w:rPr>
          <w:rFonts w:eastAsia="仿宋_GB2312" w:hint="eastAsia"/>
          <w:snapToGrid w:val="0"/>
          <w:kern w:val="0"/>
          <w:sz w:val="32"/>
          <w:szCs w:val="32"/>
        </w:rPr>
        <w:t>7.9</w:t>
      </w:r>
      <w:r>
        <w:rPr>
          <w:rFonts w:eastAsia="仿宋_GB2312" w:hint="eastAsia"/>
          <w:snapToGrid w:val="0"/>
          <w:kern w:val="0"/>
          <w:sz w:val="32"/>
          <w:szCs w:val="32"/>
        </w:rPr>
        <w:t>要求的同时，还应包括以下内容：</w:t>
      </w:r>
    </w:p>
    <w:p w14:paraId="6E150AB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——设备的使用应在康复医生或康复师的指导下进行；</w:t>
      </w:r>
    </w:p>
    <w:p w14:paraId="22E3B2F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——设备的安全使用期限；</w:t>
      </w:r>
      <w:r>
        <w:rPr>
          <w:rFonts w:eastAsia="仿宋_GB2312" w:hint="eastAsia"/>
          <w:snapToGrid w:val="0"/>
          <w:kern w:val="0"/>
          <w:sz w:val="32"/>
          <w:szCs w:val="32"/>
        </w:rPr>
        <w:t xml:space="preserve"> </w:t>
      </w:r>
    </w:p>
    <w:p w14:paraId="6C898127"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——设备测力板测试重量范围；</w:t>
      </w:r>
    </w:p>
    <w:p w14:paraId="16A98B81"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——设备支撑台（椅）最大承重能力；</w:t>
      </w:r>
    </w:p>
    <w:p w14:paraId="7A21568E"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——软件相关信息（例如名称、型号、版本号、制造商、生产地址、硬件配置、软件环境、网络条件等）；</w:t>
      </w:r>
      <w:r>
        <w:rPr>
          <w:rFonts w:eastAsia="仿宋_GB2312" w:hint="eastAsia"/>
          <w:snapToGrid w:val="0"/>
          <w:kern w:val="0"/>
          <w:sz w:val="32"/>
          <w:szCs w:val="32"/>
        </w:rPr>
        <w:t xml:space="preserve">  </w:t>
      </w:r>
    </w:p>
    <w:p w14:paraId="303E8FC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——设备配合使用的计算机配置要求；</w:t>
      </w:r>
    </w:p>
    <w:p w14:paraId="5F3F5BAF"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——设备安装的设施要求</w:t>
      </w:r>
      <w:r>
        <w:rPr>
          <w:rFonts w:eastAsia="仿宋_GB2312" w:hint="eastAsia"/>
          <w:snapToGrid w:val="0"/>
          <w:kern w:val="0"/>
          <w:sz w:val="32"/>
          <w:szCs w:val="32"/>
        </w:rPr>
        <w:t>(</w:t>
      </w:r>
      <w:r>
        <w:rPr>
          <w:rFonts w:eastAsia="仿宋_GB2312" w:hint="eastAsia"/>
          <w:snapToGrid w:val="0"/>
          <w:kern w:val="0"/>
          <w:sz w:val="32"/>
          <w:szCs w:val="32"/>
        </w:rPr>
        <w:t>如地面等）。</w:t>
      </w:r>
    </w:p>
    <w:p w14:paraId="465AE507"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——紧急保护功能</w:t>
      </w:r>
    </w:p>
    <w:p w14:paraId="21639A2A"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3.1.2.11</w:t>
      </w:r>
      <w:r>
        <w:rPr>
          <w:rFonts w:eastAsia="仿宋_GB2312" w:hint="eastAsia"/>
          <w:snapToGrid w:val="0"/>
          <w:kern w:val="0"/>
          <w:sz w:val="32"/>
          <w:szCs w:val="32"/>
        </w:rPr>
        <w:t>外观</w:t>
      </w:r>
      <w:r>
        <w:rPr>
          <w:rFonts w:eastAsia="仿宋_GB2312" w:hint="eastAsia"/>
          <w:snapToGrid w:val="0"/>
          <w:kern w:val="0"/>
          <w:sz w:val="32"/>
          <w:szCs w:val="32"/>
        </w:rPr>
        <w:t xml:space="preserve"> </w:t>
      </w:r>
    </w:p>
    <w:p w14:paraId="6FD55CF0"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3.1.2.11.1</w:t>
      </w:r>
      <w:r>
        <w:rPr>
          <w:rFonts w:eastAsia="仿宋_GB2312" w:hint="eastAsia"/>
          <w:snapToGrid w:val="0"/>
          <w:kern w:val="0"/>
          <w:sz w:val="32"/>
          <w:szCs w:val="32"/>
        </w:rPr>
        <w:t>表面应平整、色泽均匀，无明显伤斑、划痕、锈蚀和涂层剥落等缺陷，转角处应圆滑、无尖角。</w:t>
      </w:r>
    </w:p>
    <w:p w14:paraId="541C1A4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lastRenderedPageBreak/>
        <w:t>3.1.2.11.2</w:t>
      </w:r>
      <w:r>
        <w:rPr>
          <w:rFonts w:eastAsia="仿宋_GB2312" w:hint="eastAsia"/>
          <w:snapToGrid w:val="0"/>
          <w:kern w:val="0"/>
          <w:sz w:val="32"/>
          <w:szCs w:val="32"/>
        </w:rPr>
        <w:t>标记应清晰可见，操作和调节机构应灵活、可靠，紧固件应无松动。</w:t>
      </w:r>
    </w:p>
    <w:p w14:paraId="4409A50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3.1.2.11.3</w:t>
      </w:r>
      <w:r>
        <w:rPr>
          <w:rFonts w:eastAsia="仿宋_GB2312" w:hint="eastAsia"/>
          <w:snapToGrid w:val="0"/>
          <w:kern w:val="0"/>
          <w:sz w:val="32"/>
          <w:szCs w:val="32"/>
        </w:rPr>
        <w:t>支撑台（椅）、测力板</w:t>
      </w:r>
      <w:r>
        <w:rPr>
          <w:rFonts w:eastAsia="仿宋_GB2312" w:hint="eastAsia"/>
          <w:snapToGrid w:val="0"/>
          <w:kern w:val="0"/>
          <w:sz w:val="32"/>
          <w:szCs w:val="32"/>
        </w:rPr>
        <w:t>/</w:t>
      </w:r>
      <w:r>
        <w:rPr>
          <w:rFonts w:eastAsia="仿宋_GB2312" w:hint="eastAsia"/>
          <w:snapToGrid w:val="0"/>
          <w:kern w:val="0"/>
          <w:sz w:val="32"/>
          <w:szCs w:val="32"/>
        </w:rPr>
        <w:t>平衡板平面应平整、防滑。</w:t>
      </w:r>
    </w:p>
    <w:p w14:paraId="316CBE71"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3.1.2.11.4</w:t>
      </w:r>
      <w:r>
        <w:rPr>
          <w:rFonts w:eastAsia="仿宋_GB2312" w:hint="eastAsia"/>
          <w:snapToGrid w:val="0"/>
          <w:kern w:val="0"/>
          <w:sz w:val="32"/>
          <w:szCs w:val="32"/>
        </w:rPr>
        <w:t>硬质管材末端应有部件或管塞封堵，且不应有因封堵件老化、配合不当、振动或轻度人为损坏等原因导致脱落。</w:t>
      </w:r>
    </w:p>
    <w:p w14:paraId="546D8497"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3.1.2.11.5</w:t>
      </w:r>
      <w:r>
        <w:rPr>
          <w:rFonts w:eastAsia="仿宋_GB2312" w:hint="eastAsia"/>
          <w:snapToGrid w:val="0"/>
          <w:kern w:val="0"/>
          <w:sz w:val="32"/>
          <w:szCs w:val="32"/>
        </w:rPr>
        <w:t>焊接件焊缝表面应均匀平衡，不应有漏焊、虚焊、焊瘤、夹渣、裂缝、烧穿、飞溅物等缺陷。</w:t>
      </w:r>
    </w:p>
    <w:p w14:paraId="5EA90CD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3.1.2.11.6</w:t>
      </w:r>
      <w:r>
        <w:rPr>
          <w:rFonts w:eastAsia="仿宋_GB2312" w:hint="eastAsia"/>
          <w:snapToGrid w:val="0"/>
          <w:kern w:val="0"/>
          <w:sz w:val="32"/>
          <w:szCs w:val="32"/>
        </w:rPr>
        <w:t>薄木和其他材料贴面的拼贴应严密、平整，不允许有脱胶、鼓泡、凹陷和压痕等；</w:t>
      </w:r>
    </w:p>
    <w:p w14:paraId="1749152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3.1.2.1</w:t>
      </w:r>
      <w:r>
        <w:rPr>
          <w:rFonts w:eastAsia="仿宋_GB2312" w:hint="eastAsia"/>
          <w:snapToGrid w:val="0"/>
          <w:kern w:val="0"/>
          <w:sz w:val="32"/>
          <w:szCs w:val="32"/>
        </w:rPr>
        <w:t>2</w:t>
      </w:r>
      <w:r>
        <w:rPr>
          <w:rFonts w:eastAsia="仿宋_GB2312" w:hint="eastAsia"/>
          <w:snapToGrid w:val="0"/>
          <w:kern w:val="0"/>
          <w:sz w:val="32"/>
          <w:szCs w:val="32"/>
        </w:rPr>
        <w:t>软件：应根据《医疗器械软件注册技术审查指导原则》，明确软件性能指标，包括软件的功能、使用限制、接口、访问控制、运行环境（若适用）、性能效率（若适用）等要求。</w:t>
      </w:r>
    </w:p>
    <w:p w14:paraId="7BA597A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3.1.3</w:t>
      </w:r>
      <w:r>
        <w:rPr>
          <w:rFonts w:eastAsia="仿宋_GB2312" w:hint="eastAsia"/>
          <w:snapToGrid w:val="0"/>
          <w:kern w:val="0"/>
          <w:sz w:val="32"/>
          <w:szCs w:val="32"/>
        </w:rPr>
        <w:t>安全要求</w:t>
      </w:r>
    </w:p>
    <w:p w14:paraId="50615F63" w14:textId="6C1FA735"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安全要求应符合</w:t>
      </w:r>
      <w:r>
        <w:rPr>
          <w:rFonts w:eastAsia="仿宋_GB2312"/>
          <w:snapToGrid w:val="0"/>
          <w:kern w:val="0"/>
          <w:sz w:val="32"/>
          <w:szCs w:val="32"/>
        </w:rPr>
        <w:t>GB 9706.1</w:t>
      </w:r>
      <w:r>
        <w:rPr>
          <w:rFonts w:eastAsia="仿宋_GB2312"/>
          <w:snapToGrid w:val="0"/>
          <w:kern w:val="0"/>
          <w:sz w:val="32"/>
          <w:szCs w:val="32"/>
        </w:rPr>
        <w:t>、</w:t>
      </w:r>
      <w:r>
        <w:rPr>
          <w:rFonts w:eastAsia="仿宋_GB2312"/>
          <w:snapToGrid w:val="0"/>
          <w:kern w:val="0"/>
          <w:sz w:val="32"/>
          <w:szCs w:val="32"/>
        </w:rPr>
        <w:t>YY 9706.102</w:t>
      </w:r>
      <w:r>
        <w:rPr>
          <w:rFonts w:eastAsia="仿宋_GB2312"/>
          <w:snapToGrid w:val="0"/>
          <w:kern w:val="0"/>
          <w:sz w:val="32"/>
          <w:szCs w:val="32"/>
        </w:rPr>
        <w:t>、</w:t>
      </w:r>
      <w:r>
        <w:rPr>
          <w:rFonts w:eastAsia="仿宋_GB2312"/>
          <w:snapToGrid w:val="0"/>
          <w:kern w:val="0"/>
          <w:sz w:val="32"/>
          <w:szCs w:val="32"/>
        </w:rPr>
        <w:t>GB/T 7247.1</w:t>
      </w:r>
      <w:r>
        <w:rPr>
          <w:rFonts w:hint="eastAsia"/>
        </w:rPr>
        <w:t>、</w:t>
      </w:r>
      <w:r>
        <w:rPr>
          <w:rFonts w:eastAsia="仿宋_GB2312" w:hint="eastAsia"/>
          <w:snapToGrid w:val="0"/>
          <w:kern w:val="0"/>
          <w:sz w:val="32"/>
          <w:szCs w:val="32"/>
        </w:rPr>
        <w:t>YY 9706.108</w:t>
      </w:r>
      <w:r>
        <w:rPr>
          <w:rFonts w:eastAsia="仿宋_GB2312" w:hint="eastAsia"/>
          <w:snapToGrid w:val="0"/>
          <w:kern w:val="0"/>
          <w:sz w:val="32"/>
          <w:szCs w:val="32"/>
        </w:rPr>
        <w:t>（如适用）、</w:t>
      </w:r>
      <w:r>
        <w:rPr>
          <w:rFonts w:eastAsia="仿宋_GB2312" w:hint="eastAsia"/>
          <w:snapToGrid w:val="0"/>
          <w:kern w:val="0"/>
          <w:sz w:val="32"/>
          <w:szCs w:val="32"/>
        </w:rPr>
        <w:t>YY 9706.111</w:t>
      </w:r>
      <w:r>
        <w:rPr>
          <w:rFonts w:eastAsia="仿宋_GB2312" w:hint="eastAsia"/>
          <w:snapToGrid w:val="0"/>
          <w:kern w:val="0"/>
          <w:sz w:val="32"/>
          <w:szCs w:val="32"/>
        </w:rPr>
        <w:t>（如适用）</w:t>
      </w:r>
      <w:r>
        <w:rPr>
          <w:rFonts w:eastAsia="仿宋_GB2312"/>
          <w:snapToGrid w:val="0"/>
          <w:kern w:val="0"/>
          <w:sz w:val="32"/>
          <w:szCs w:val="32"/>
        </w:rPr>
        <w:t>标准的要求。</w:t>
      </w:r>
    </w:p>
    <w:p w14:paraId="07E42306" w14:textId="155E9B1C"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w:t>
      </w:r>
      <w:r>
        <w:rPr>
          <w:rFonts w:eastAsia="仿宋_GB2312"/>
          <w:snapToGrid w:val="0"/>
          <w:kern w:val="0"/>
          <w:sz w:val="32"/>
          <w:szCs w:val="32"/>
        </w:rPr>
        <w:t>.2</w:t>
      </w:r>
      <w:r>
        <w:rPr>
          <w:rFonts w:eastAsia="仿宋_GB2312"/>
          <w:snapToGrid w:val="0"/>
          <w:kern w:val="0"/>
          <w:sz w:val="32"/>
          <w:szCs w:val="32"/>
        </w:rPr>
        <w:t>产品检验报告</w:t>
      </w:r>
    </w:p>
    <w:p w14:paraId="0C4308EB"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检验报告需注明产品型号规格或配置，样品描述与产品技术要求的部件名称和型号等信息保持一致。</w:t>
      </w:r>
    </w:p>
    <w:p w14:paraId="0EBC30C3" w14:textId="69714894"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w:t>
      </w:r>
      <w:r>
        <w:rPr>
          <w:rFonts w:eastAsia="仿宋_GB2312"/>
          <w:snapToGrid w:val="0"/>
          <w:kern w:val="0"/>
          <w:sz w:val="32"/>
          <w:szCs w:val="32"/>
        </w:rPr>
        <w:t>.2.1</w:t>
      </w:r>
      <w:r>
        <w:rPr>
          <w:rFonts w:eastAsia="仿宋_GB2312"/>
          <w:snapToGrid w:val="0"/>
          <w:kern w:val="0"/>
          <w:sz w:val="32"/>
          <w:szCs w:val="32"/>
        </w:rPr>
        <w:t>同一注册单元的典型检验产品</w:t>
      </w:r>
    </w:p>
    <w:p w14:paraId="4C191FC6"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申请人需按照注册单元进行产品检验，检验结果需要覆盖注册单元内所有产品型号规格或配置。</w:t>
      </w:r>
      <w:r>
        <w:rPr>
          <w:rFonts w:eastAsia="仿宋_GB2312"/>
          <w:sz w:val="32"/>
          <w:szCs w:val="32"/>
        </w:rPr>
        <w:t>性能指标和电气安全检测的</w:t>
      </w:r>
      <w:r>
        <w:rPr>
          <w:rFonts w:eastAsia="仿宋_GB2312"/>
          <w:snapToGrid w:val="0"/>
          <w:kern w:val="0"/>
          <w:sz w:val="32"/>
          <w:szCs w:val="32"/>
        </w:rPr>
        <w:t>典型检验产品需要考虑结构组成、性能指标、预期用途等，一般选取功能最齐全、结构最复杂、</w:t>
      </w:r>
      <w:r>
        <w:rPr>
          <w:rFonts w:eastAsia="仿宋_GB2312"/>
          <w:sz w:val="32"/>
          <w:szCs w:val="28"/>
        </w:rPr>
        <w:t>量程最大、测量精度最高、</w:t>
      </w:r>
      <w:r>
        <w:rPr>
          <w:rFonts w:eastAsia="仿宋_GB2312"/>
          <w:snapToGrid w:val="0"/>
          <w:kern w:val="0"/>
          <w:sz w:val="32"/>
          <w:szCs w:val="32"/>
        </w:rPr>
        <w:t>风险最高的产品型号规格或配置，并提供检验典型性说明，如</w:t>
      </w:r>
      <w:r>
        <w:rPr>
          <w:rFonts w:eastAsia="仿宋_GB2312" w:hint="eastAsia"/>
          <w:snapToGrid w:val="0"/>
          <w:kern w:val="0"/>
          <w:sz w:val="32"/>
          <w:szCs w:val="32"/>
        </w:rPr>
        <w:t>多平台测量可</w:t>
      </w:r>
      <w:r>
        <w:rPr>
          <w:rFonts w:eastAsia="仿宋_GB2312"/>
          <w:snapToGrid w:val="0"/>
          <w:kern w:val="0"/>
          <w:sz w:val="32"/>
          <w:szCs w:val="32"/>
        </w:rPr>
        <w:t>覆盖</w:t>
      </w:r>
      <w:r>
        <w:rPr>
          <w:rFonts w:eastAsia="仿宋_GB2312" w:hint="eastAsia"/>
          <w:snapToGrid w:val="0"/>
          <w:kern w:val="0"/>
          <w:sz w:val="32"/>
          <w:szCs w:val="32"/>
        </w:rPr>
        <w:t>单一平台测量的功能</w:t>
      </w:r>
      <w:r>
        <w:rPr>
          <w:rFonts w:eastAsia="仿宋_GB2312"/>
          <w:snapToGrid w:val="0"/>
          <w:kern w:val="0"/>
          <w:sz w:val="32"/>
          <w:szCs w:val="32"/>
        </w:rPr>
        <w:t>。</w:t>
      </w:r>
      <w:r>
        <w:rPr>
          <w:rFonts w:eastAsia="仿宋_GB2312" w:hint="eastAsia"/>
          <w:snapToGrid w:val="0"/>
          <w:kern w:val="0"/>
          <w:sz w:val="32"/>
          <w:szCs w:val="32"/>
        </w:rPr>
        <w:t>（该内容中期会后形</w:t>
      </w:r>
      <w:r>
        <w:rPr>
          <w:rFonts w:eastAsia="仿宋_GB2312" w:hint="eastAsia"/>
          <w:snapToGrid w:val="0"/>
          <w:kern w:val="0"/>
          <w:sz w:val="32"/>
          <w:szCs w:val="32"/>
        </w:rPr>
        <w:lastRenderedPageBreak/>
        <w:t>成统一意见后修改）</w:t>
      </w:r>
    </w:p>
    <w:p w14:paraId="4ADB97F6"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w:t>
      </w:r>
      <w:r>
        <w:rPr>
          <w:rFonts w:eastAsia="仿宋_GB2312"/>
          <w:snapToGrid w:val="0"/>
          <w:kern w:val="0"/>
          <w:sz w:val="32"/>
          <w:szCs w:val="32"/>
        </w:rPr>
        <w:t>.</w:t>
      </w:r>
      <w:r>
        <w:rPr>
          <w:rFonts w:eastAsia="仿宋_GB2312"/>
          <w:snapToGrid w:val="0"/>
          <w:kern w:val="0"/>
          <w:sz w:val="32"/>
          <w:szCs w:val="32"/>
        </w:rPr>
        <w:t>研究资料</w:t>
      </w:r>
    </w:p>
    <w:p w14:paraId="6717ACAD"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提供产品研究资料，对所有保证产品安全有效性的验证进行总结，形成验证总结报告。</w:t>
      </w:r>
    </w:p>
    <w:p w14:paraId="3C88A202" w14:textId="77777777" w:rsidR="00830061" w:rsidRDefault="004D6FF5">
      <w:pPr>
        <w:widowControl/>
        <w:spacing w:line="520" w:lineRule="exact"/>
        <w:ind w:firstLine="640"/>
        <w:jc w:val="left"/>
        <w:rPr>
          <w:rFonts w:eastAsia="仿宋_GB2312"/>
          <w:snapToGrid w:val="0"/>
          <w:kern w:val="0"/>
          <w:sz w:val="32"/>
          <w:szCs w:val="32"/>
        </w:rPr>
      </w:pPr>
      <w:r>
        <w:rPr>
          <w:rFonts w:eastAsia="仿宋_GB2312" w:hint="eastAsia"/>
          <w:kern w:val="0"/>
          <w:sz w:val="32"/>
          <w:szCs w:val="32"/>
          <w:lang w:bidi="ar"/>
        </w:rPr>
        <w:t>4</w:t>
      </w:r>
      <w:r>
        <w:rPr>
          <w:rFonts w:eastAsia="仿宋_GB2312"/>
          <w:kern w:val="0"/>
          <w:sz w:val="32"/>
          <w:szCs w:val="32"/>
          <w:lang w:bidi="ar"/>
        </w:rPr>
        <w:t>.1</w:t>
      </w:r>
      <w:r>
        <w:rPr>
          <w:rFonts w:eastAsia="仿宋_GB2312"/>
          <w:snapToGrid w:val="0"/>
          <w:kern w:val="0"/>
          <w:sz w:val="32"/>
          <w:szCs w:val="32"/>
          <w:lang w:bidi="ar"/>
        </w:rPr>
        <w:t>物理</w:t>
      </w:r>
      <w:r>
        <w:rPr>
          <w:rFonts w:ascii="仿宋_GB2312" w:eastAsia="仿宋_GB2312" w:cs="仿宋_GB2312" w:hint="eastAsia"/>
          <w:kern w:val="0"/>
          <w:sz w:val="32"/>
          <w:szCs w:val="32"/>
          <w:lang w:bidi="ar"/>
        </w:rPr>
        <w:t>和机械性能研究</w:t>
      </w:r>
    </w:p>
    <w:p w14:paraId="635BFCE7"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明确申报产品所依据的标准或采用的方法、采纳原因及依据。适用的国家</w:t>
      </w:r>
      <w:r>
        <w:rPr>
          <w:rFonts w:eastAsia="仿宋_GB2312" w:hint="eastAsia"/>
          <w:snapToGrid w:val="0"/>
          <w:kern w:val="0"/>
          <w:sz w:val="32"/>
          <w:szCs w:val="32"/>
        </w:rPr>
        <w:t>/</w:t>
      </w:r>
      <w:r>
        <w:rPr>
          <w:rFonts w:eastAsia="仿宋_GB2312" w:hint="eastAsia"/>
          <w:snapToGrid w:val="0"/>
          <w:kern w:val="0"/>
          <w:sz w:val="32"/>
          <w:szCs w:val="32"/>
        </w:rPr>
        <w:t>行业标准中，如有不适用的条款，应将相应条款及不适用的理由予以说明，如有修改引用情况，也需说明修改原因和依据。</w:t>
      </w:r>
    </w:p>
    <w:p w14:paraId="284BAED5"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应关注引用标准中是否给出了具体的指标要求，对于未给出具体要求而由制造商自行制定的指标要求，注册申请人应说明申报产同类产品的相关资料，包括不限于上市证明文件、详细技术资料等。</w:t>
      </w:r>
    </w:p>
    <w:p w14:paraId="0DDF43B0"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建议重点关注以下内容：</w:t>
      </w:r>
    </w:p>
    <w:p w14:paraId="06B8B73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1.</w:t>
      </w:r>
      <w:r>
        <w:rPr>
          <w:rFonts w:eastAsia="仿宋_GB2312" w:hint="eastAsia"/>
          <w:snapToGrid w:val="0"/>
          <w:kern w:val="0"/>
          <w:sz w:val="32"/>
          <w:szCs w:val="32"/>
        </w:rPr>
        <w:t>产品测试结果准确性和一致性的研究资料，应对平衡测试系统的准确性进行验证；提供平台稳定性研究资料；</w:t>
      </w:r>
    </w:p>
    <w:p w14:paraId="5D77790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2.</w:t>
      </w:r>
      <w:r>
        <w:rPr>
          <w:rFonts w:eastAsia="仿宋_GB2312" w:hint="eastAsia"/>
          <w:snapToGrid w:val="0"/>
          <w:kern w:val="0"/>
          <w:sz w:val="32"/>
          <w:szCs w:val="32"/>
        </w:rPr>
        <w:t>应对产品在正常压力、超压保护等情况下进行验证；</w:t>
      </w:r>
    </w:p>
    <w:p w14:paraId="1EE44C9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w:t>
      </w:r>
      <w:r>
        <w:rPr>
          <w:rFonts w:eastAsia="仿宋_GB2312"/>
          <w:snapToGrid w:val="0"/>
          <w:kern w:val="0"/>
          <w:sz w:val="32"/>
          <w:szCs w:val="32"/>
        </w:rPr>
        <w:t>如具有无线通讯功能、遥控功能，应提交相关研究资料；对于产品安全相关的功能，应提交相应研究资料。</w:t>
      </w:r>
    </w:p>
    <w:p w14:paraId="5351EF26"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4.2</w:t>
      </w:r>
      <w:r>
        <w:rPr>
          <w:rFonts w:eastAsia="仿宋_GB2312" w:hint="eastAsia"/>
          <w:snapToGrid w:val="0"/>
          <w:kern w:val="0"/>
          <w:sz w:val="32"/>
          <w:szCs w:val="32"/>
        </w:rPr>
        <w:t>联合使用</w:t>
      </w:r>
    </w:p>
    <w:p w14:paraId="06D0FEE0"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报产品预期与其他医疗器械、非医疗器械产品联合使用实现同一预期用途，还应提供证明联合使用安全有效的研究资料，包括基本互联信息（连接类型、接口、协议、最低性能）、联合使用风险及控制措施、联合使用上的限制、兼容性研究等。如果涉及配用其他制造商产品的情况，应在有配用协议的基础</w:t>
      </w:r>
      <w:r>
        <w:rPr>
          <w:rFonts w:eastAsia="仿宋_GB2312" w:hint="eastAsia"/>
          <w:snapToGrid w:val="0"/>
          <w:kern w:val="0"/>
          <w:sz w:val="32"/>
          <w:szCs w:val="32"/>
        </w:rPr>
        <w:lastRenderedPageBreak/>
        <w:t>上，提交联合使用研究。</w:t>
      </w:r>
    </w:p>
    <w:p w14:paraId="3024BAA0"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4.3</w:t>
      </w:r>
      <w:r>
        <w:rPr>
          <w:rFonts w:eastAsia="仿宋_GB2312" w:hint="eastAsia"/>
          <w:snapToGrid w:val="0"/>
          <w:kern w:val="0"/>
          <w:sz w:val="32"/>
          <w:szCs w:val="32"/>
        </w:rPr>
        <w:t>电气系统安全性研究</w:t>
      </w:r>
    </w:p>
    <w:p w14:paraId="7A423C9E"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申请人应提供医用电气设备</w:t>
      </w:r>
      <w:r>
        <w:rPr>
          <w:rFonts w:eastAsia="仿宋_GB2312" w:hint="eastAsia"/>
          <w:snapToGrid w:val="0"/>
          <w:kern w:val="0"/>
          <w:sz w:val="32"/>
          <w:szCs w:val="32"/>
        </w:rPr>
        <w:t>基本安全与基本性能的通用、并列、专用要求的研究资料，说明</w:t>
      </w:r>
      <w:r>
        <w:rPr>
          <w:rFonts w:eastAsia="仿宋_GB2312" w:hint="eastAsia"/>
          <w:snapToGrid w:val="0"/>
          <w:kern w:val="0"/>
          <w:sz w:val="32"/>
          <w:szCs w:val="32"/>
        </w:rPr>
        <w:t>GB 9706.1</w:t>
      </w:r>
      <w:r>
        <w:rPr>
          <w:rFonts w:eastAsia="仿宋_GB2312" w:hint="eastAsia"/>
          <w:snapToGrid w:val="0"/>
          <w:kern w:val="0"/>
          <w:sz w:val="32"/>
          <w:szCs w:val="32"/>
        </w:rPr>
        <w:t>、</w:t>
      </w:r>
      <w:r>
        <w:rPr>
          <w:rFonts w:eastAsia="仿宋_GB2312" w:hint="eastAsia"/>
          <w:snapToGrid w:val="0"/>
          <w:kern w:val="0"/>
          <w:sz w:val="32"/>
          <w:szCs w:val="32"/>
        </w:rPr>
        <w:t>YY 9706.102</w:t>
      </w:r>
      <w:r>
        <w:rPr>
          <w:rFonts w:eastAsia="仿宋_GB2312" w:hint="eastAsia"/>
          <w:snapToGrid w:val="0"/>
          <w:kern w:val="0"/>
          <w:sz w:val="32"/>
          <w:szCs w:val="32"/>
        </w:rPr>
        <w:t>、</w:t>
      </w:r>
      <w:r>
        <w:rPr>
          <w:rFonts w:eastAsia="仿宋_GB2312" w:hint="eastAsia"/>
          <w:snapToGrid w:val="0"/>
          <w:kern w:val="0"/>
          <w:sz w:val="32"/>
          <w:szCs w:val="32"/>
        </w:rPr>
        <w:t>YY/T 9706.106</w:t>
      </w:r>
      <w:r>
        <w:rPr>
          <w:rFonts w:eastAsia="仿宋_GB2312" w:hint="eastAsia"/>
          <w:snapToGrid w:val="0"/>
          <w:kern w:val="0"/>
          <w:sz w:val="32"/>
          <w:szCs w:val="32"/>
        </w:rPr>
        <w:t>、</w:t>
      </w:r>
      <w:r>
        <w:rPr>
          <w:rFonts w:eastAsia="仿宋_GB2312" w:hint="eastAsia"/>
          <w:snapToGrid w:val="0"/>
          <w:kern w:val="0"/>
          <w:sz w:val="32"/>
          <w:szCs w:val="32"/>
        </w:rPr>
        <w:t>YY 9706.108</w:t>
      </w:r>
      <w:r>
        <w:rPr>
          <w:rFonts w:eastAsia="仿宋_GB2312" w:hint="eastAsia"/>
          <w:snapToGrid w:val="0"/>
          <w:kern w:val="0"/>
          <w:sz w:val="32"/>
          <w:szCs w:val="32"/>
        </w:rPr>
        <w:t>（如适用）、</w:t>
      </w:r>
      <w:r>
        <w:rPr>
          <w:rFonts w:eastAsia="仿宋_GB2312" w:hint="eastAsia"/>
          <w:snapToGrid w:val="0"/>
          <w:kern w:val="0"/>
          <w:sz w:val="32"/>
          <w:szCs w:val="32"/>
        </w:rPr>
        <w:t>YY 9706.111</w:t>
      </w:r>
      <w:r>
        <w:rPr>
          <w:rFonts w:eastAsia="仿宋_GB2312" w:hint="eastAsia"/>
          <w:snapToGrid w:val="0"/>
          <w:kern w:val="0"/>
          <w:sz w:val="32"/>
          <w:szCs w:val="32"/>
        </w:rPr>
        <w:t>（如适用）的适用性以及开展的研究。</w:t>
      </w:r>
    </w:p>
    <w:p w14:paraId="11A07B9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w:t>
      </w:r>
      <w:r>
        <w:rPr>
          <w:rFonts w:eastAsia="仿宋_GB2312"/>
          <w:snapToGrid w:val="0"/>
          <w:kern w:val="0"/>
          <w:sz w:val="32"/>
          <w:szCs w:val="32"/>
        </w:rPr>
        <w:t>.</w:t>
      </w:r>
      <w:r>
        <w:rPr>
          <w:rFonts w:eastAsia="仿宋_GB2312" w:hint="eastAsia"/>
          <w:snapToGrid w:val="0"/>
          <w:kern w:val="0"/>
          <w:sz w:val="32"/>
          <w:szCs w:val="32"/>
        </w:rPr>
        <w:t>4</w:t>
      </w:r>
      <w:r>
        <w:rPr>
          <w:rFonts w:eastAsia="仿宋_GB2312"/>
          <w:snapToGrid w:val="0"/>
          <w:kern w:val="0"/>
          <w:sz w:val="32"/>
          <w:szCs w:val="32"/>
        </w:rPr>
        <w:t>内部电源</w:t>
      </w:r>
      <w:r>
        <w:rPr>
          <w:rFonts w:eastAsia="仿宋_GB2312" w:hint="eastAsia"/>
          <w:snapToGrid w:val="0"/>
          <w:kern w:val="0"/>
          <w:sz w:val="32"/>
          <w:szCs w:val="32"/>
        </w:rPr>
        <w:t>（如适用）</w:t>
      </w:r>
    </w:p>
    <w:p w14:paraId="112D007E" w14:textId="39FA3394"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建议符合可充电内部电源符合</w:t>
      </w:r>
      <w:r>
        <w:rPr>
          <w:rFonts w:eastAsia="仿宋_GB2312" w:hint="eastAsia"/>
          <w:snapToGrid w:val="0"/>
          <w:kern w:val="0"/>
          <w:sz w:val="32"/>
          <w:szCs w:val="32"/>
        </w:rPr>
        <w:t>GB/T 28164</w:t>
      </w:r>
      <w:r>
        <w:rPr>
          <w:rFonts w:eastAsia="仿宋_GB2312" w:hint="eastAsia"/>
          <w:snapToGrid w:val="0"/>
          <w:kern w:val="0"/>
          <w:sz w:val="32"/>
          <w:szCs w:val="32"/>
        </w:rPr>
        <w:t>的相关要求，干电池也需要相关标准。并明确电磁的充放电次数和使用稳定性的相关性</w:t>
      </w:r>
      <w:r>
        <w:rPr>
          <w:rFonts w:eastAsia="仿宋_GB2312"/>
          <w:snapToGrid w:val="0"/>
          <w:kern w:val="0"/>
          <w:sz w:val="32"/>
          <w:szCs w:val="32"/>
        </w:rPr>
        <w:t>。</w:t>
      </w:r>
    </w:p>
    <w:p w14:paraId="2C4B39C8"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w:t>
      </w:r>
      <w:r>
        <w:rPr>
          <w:rFonts w:eastAsia="仿宋_GB2312"/>
          <w:snapToGrid w:val="0"/>
          <w:kern w:val="0"/>
          <w:sz w:val="32"/>
          <w:szCs w:val="32"/>
        </w:rPr>
        <w:t>.</w:t>
      </w:r>
      <w:r>
        <w:rPr>
          <w:rFonts w:eastAsia="仿宋_GB2312" w:hint="eastAsia"/>
          <w:snapToGrid w:val="0"/>
          <w:kern w:val="0"/>
          <w:sz w:val="32"/>
          <w:szCs w:val="32"/>
        </w:rPr>
        <w:t>5</w:t>
      </w:r>
      <w:r>
        <w:rPr>
          <w:rFonts w:eastAsia="仿宋_GB2312"/>
          <w:snapToGrid w:val="0"/>
          <w:kern w:val="0"/>
          <w:sz w:val="32"/>
          <w:szCs w:val="32"/>
        </w:rPr>
        <w:t>软件研究</w:t>
      </w:r>
    </w:p>
    <w:p w14:paraId="34FF6A58"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平</w:t>
      </w:r>
      <w:r>
        <w:rPr>
          <w:rFonts w:eastAsia="仿宋_GB2312" w:hint="eastAsia"/>
          <w:snapToGrid w:val="0"/>
          <w:kern w:val="0"/>
          <w:sz w:val="32"/>
          <w:szCs w:val="32"/>
        </w:rPr>
        <w:t>衡测试设备</w:t>
      </w:r>
      <w:r>
        <w:rPr>
          <w:rFonts w:eastAsia="仿宋_GB2312"/>
          <w:snapToGrid w:val="0"/>
          <w:kern w:val="0"/>
          <w:sz w:val="32"/>
          <w:szCs w:val="32"/>
        </w:rPr>
        <w:t>的软件属于软件组件，一般用来控制</w:t>
      </w:r>
      <w:r>
        <w:rPr>
          <w:rFonts w:eastAsia="仿宋_GB2312" w:hint="eastAsia"/>
          <w:snapToGrid w:val="0"/>
          <w:kern w:val="0"/>
          <w:sz w:val="32"/>
          <w:szCs w:val="32"/>
        </w:rPr>
        <w:t>平衡测试设备</w:t>
      </w:r>
      <w:r>
        <w:rPr>
          <w:rFonts w:eastAsia="仿宋_GB2312"/>
          <w:snapToGrid w:val="0"/>
          <w:kern w:val="0"/>
          <w:sz w:val="32"/>
          <w:szCs w:val="32"/>
        </w:rPr>
        <w:t>的运行及</w:t>
      </w:r>
      <w:r>
        <w:rPr>
          <w:rFonts w:eastAsia="仿宋_GB2312" w:hint="eastAsia"/>
          <w:snapToGrid w:val="0"/>
          <w:kern w:val="0"/>
          <w:sz w:val="32"/>
          <w:szCs w:val="32"/>
        </w:rPr>
        <w:t>数据采集</w:t>
      </w:r>
      <w:r>
        <w:rPr>
          <w:rFonts w:eastAsia="仿宋_GB2312"/>
          <w:snapToGrid w:val="0"/>
          <w:kern w:val="0"/>
          <w:sz w:val="32"/>
          <w:szCs w:val="32"/>
        </w:rPr>
        <w:t>，软件失效可能</w:t>
      </w:r>
      <w:r>
        <w:rPr>
          <w:rFonts w:eastAsia="仿宋_GB2312" w:hint="eastAsia"/>
          <w:snapToGrid w:val="0"/>
          <w:kern w:val="0"/>
          <w:sz w:val="32"/>
          <w:szCs w:val="32"/>
        </w:rPr>
        <w:t>导致测量无法进行，制造商应对软件的安全性级别进行说明</w:t>
      </w:r>
      <w:r>
        <w:rPr>
          <w:rFonts w:eastAsia="仿宋_GB2312"/>
          <w:snapToGrid w:val="0"/>
          <w:kern w:val="0"/>
          <w:sz w:val="32"/>
          <w:szCs w:val="32"/>
        </w:rPr>
        <w:t>。</w:t>
      </w:r>
      <w:r>
        <w:rPr>
          <w:rFonts w:hint="eastAsia"/>
        </w:rPr>
        <w:t>（该内容中期会后形成统一意见后修改）</w:t>
      </w:r>
    </w:p>
    <w:p w14:paraId="31ECB610"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依据《</w:t>
      </w:r>
      <w:r>
        <w:rPr>
          <w:rFonts w:eastAsia="仿宋_GB2312"/>
          <w:kern w:val="0"/>
          <w:sz w:val="32"/>
          <w:szCs w:val="32"/>
        </w:rPr>
        <w:t>医疗器械软件注册审查</w:t>
      </w:r>
      <w:r>
        <w:rPr>
          <w:rFonts w:eastAsia="仿宋_GB2312"/>
          <w:snapToGrid w:val="0"/>
          <w:kern w:val="0"/>
          <w:sz w:val="32"/>
          <w:szCs w:val="32"/>
        </w:rPr>
        <w:t>指导原则（</w:t>
      </w:r>
      <w:r>
        <w:rPr>
          <w:rFonts w:eastAsia="仿宋_GB2312"/>
          <w:snapToGrid w:val="0"/>
          <w:kern w:val="0"/>
          <w:sz w:val="32"/>
          <w:szCs w:val="32"/>
        </w:rPr>
        <w:t>2022</w:t>
      </w:r>
      <w:r>
        <w:rPr>
          <w:rFonts w:eastAsia="仿宋_GB2312"/>
          <w:snapToGrid w:val="0"/>
          <w:kern w:val="0"/>
          <w:sz w:val="32"/>
          <w:szCs w:val="32"/>
        </w:rPr>
        <w:t>年修订版</w:t>
      </w:r>
      <w:r>
        <w:rPr>
          <w:rFonts w:eastAsia="仿宋_GB2312"/>
          <w:kern w:val="0"/>
          <w:sz w:val="32"/>
          <w:szCs w:val="32"/>
        </w:rPr>
        <w:t>）</w:t>
      </w:r>
      <w:r>
        <w:rPr>
          <w:rFonts w:eastAsia="仿宋_GB2312"/>
          <w:snapToGrid w:val="0"/>
          <w:kern w:val="0"/>
          <w:sz w:val="32"/>
          <w:szCs w:val="32"/>
        </w:rPr>
        <w:t>》提交医疗器械软件研究报告。</w:t>
      </w:r>
    </w:p>
    <w:p w14:paraId="25F83023" w14:textId="77777777" w:rsidR="00830061" w:rsidRDefault="004D6FF5">
      <w:pPr>
        <w:spacing w:line="520" w:lineRule="exact"/>
        <w:ind w:firstLine="640"/>
        <w:rPr>
          <w:rFonts w:ascii="宋体" w:hAnsi="宋体"/>
          <w:sz w:val="22"/>
          <w:szCs w:val="22"/>
        </w:rPr>
      </w:pPr>
      <w:r>
        <w:rPr>
          <w:rFonts w:eastAsia="仿宋_GB2312"/>
          <w:snapToGrid w:val="0"/>
          <w:kern w:val="0"/>
          <w:sz w:val="32"/>
          <w:szCs w:val="32"/>
        </w:rPr>
        <w:t>如适用，依据《医疗器械网络安全注册审查指导原则（</w:t>
      </w:r>
      <w:r>
        <w:rPr>
          <w:rFonts w:eastAsia="仿宋_GB2312"/>
          <w:snapToGrid w:val="0"/>
          <w:kern w:val="0"/>
          <w:sz w:val="32"/>
          <w:szCs w:val="32"/>
        </w:rPr>
        <w:t>2022</w:t>
      </w:r>
      <w:r>
        <w:rPr>
          <w:rFonts w:eastAsia="仿宋_GB2312"/>
          <w:snapToGrid w:val="0"/>
          <w:kern w:val="0"/>
          <w:sz w:val="32"/>
          <w:szCs w:val="32"/>
        </w:rPr>
        <w:t>年修订版）》</w:t>
      </w:r>
      <w:r>
        <w:rPr>
          <w:rFonts w:eastAsia="仿宋_GB2312" w:hint="eastAsia"/>
          <w:snapToGrid w:val="0"/>
          <w:kern w:val="0"/>
          <w:sz w:val="32"/>
          <w:szCs w:val="32"/>
        </w:rPr>
        <w:t>及</w:t>
      </w:r>
      <w:r>
        <w:rPr>
          <w:rFonts w:eastAsia="仿宋_GB2312" w:hint="eastAsia"/>
          <w:snapToGrid w:val="0"/>
          <w:kern w:val="0"/>
          <w:sz w:val="32"/>
          <w:szCs w:val="32"/>
        </w:rPr>
        <w:t xml:space="preserve">YY/T1843-2022 </w:t>
      </w:r>
      <w:r>
        <w:rPr>
          <w:rFonts w:eastAsia="仿宋_GB2312" w:hint="eastAsia"/>
          <w:snapToGrid w:val="0"/>
          <w:kern w:val="0"/>
          <w:sz w:val="32"/>
          <w:szCs w:val="32"/>
        </w:rPr>
        <w:t>医用电气设备网络安全基本要求</w:t>
      </w:r>
      <w:r>
        <w:rPr>
          <w:rFonts w:eastAsia="仿宋_GB2312"/>
          <w:snapToGrid w:val="0"/>
          <w:kern w:val="0"/>
          <w:sz w:val="32"/>
          <w:szCs w:val="32"/>
        </w:rPr>
        <w:t>提供网络安全研究报告。</w:t>
      </w:r>
    </w:p>
    <w:p w14:paraId="16794390"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如适用，依据《移动医疗器械注册审查指导原则（</w:t>
      </w:r>
      <w:r>
        <w:rPr>
          <w:rFonts w:eastAsia="仿宋_GB2312" w:hint="eastAsia"/>
          <w:snapToGrid w:val="0"/>
          <w:kern w:val="0"/>
          <w:sz w:val="32"/>
          <w:szCs w:val="32"/>
        </w:rPr>
        <w:t>2025</w:t>
      </w:r>
      <w:r>
        <w:rPr>
          <w:rFonts w:eastAsia="仿宋_GB2312" w:hint="eastAsia"/>
          <w:snapToGrid w:val="0"/>
          <w:kern w:val="0"/>
          <w:sz w:val="32"/>
          <w:szCs w:val="32"/>
        </w:rPr>
        <w:t>年修订版）》提供研究报告。</w:t>
      </w:r>
    </w:p>
    <w:p w14:paraId="676F616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4.6</w:t>
      </w:r>
      <w:r>
        <w:rPr>
          <w:rFonts w:eastAsia="仿宋_GB2312" w:hint="eastAsia"/>
          <w:snapToGrid w:val="0"/>
          <w:kern w:val="0"/>
          <w:sz w:val="32"/>
          <w:szCs w:val="32"/>
        </w:rPr>
        <w:t>生物学特性研</w:t>
      </w:r>
    </w:p>
    <w:p w14:paraId="4165E259"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生物相容性评价应根据预期用途明确预期与人体接触的部位、接触性质、接触时间以及所采用的材料的种类，选择合适</w:t>
      </w:r>
      <w:r>
        <w:rPr>
          <w:rFonts w:eastAsia="仿宋_GB2312" w:hint="eastAsia"/>
          <w:snapToGrid w:val="0"/>
          <w:kern w:val="0"/>
          <w:sz w:val="32"/>
          <w:szCs w:val="32"/>
        </w:rPr>
        <w:lastRenderedPageBreak/>
        <w:t>的评价方式开展评价研究。</w:t>
      </w:r>
    </w:p>
    <w:p w14:paraId="473E2D18"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w:t>
      </w:r>
      <w:r>
        <w:rPr>
          <w:rFonts w:eastAsia="仿宋_GB2312"/>
          <w:snapToGrid w:val="0"/>
          <w:kern w:val="0"/>
          <w:sz w:val="32"/>
          <w:szCs w:val="32"/>
        </w:rPr>
        <w:t>.</w:t>
      </w:r>
      <w:r>
        <w:rPr>
          <w:rFonts w:eastAsia="仿宋_GB2312" w:hint="eastAsia"/>
          <w:snapToGrid w:val="0"/>
          <w:kern w:val="0"/>
          <w:sz w:val="32"/>
          <w:szCs w:val="32"/>
        </w:rPr>
        <w:t>7</w:t>
      </w:r>
      <w:r>
        <w:rPr>
          <w:rFonts w:eastAsia="仿宋_GB2312"/>
          <w:snapToGrid w:val="0"/>
          <w:kern w:val="0"/>
          <w:sz w:val="32"/>
          <w:szCs w:val="32"/>
        </w:rPr>
        <w:t>清洁、消毒研究</w:t>
      </w:r>
    </w:p>
    <w:p w14:paraId="2086FA27"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明确推荐的消毒工艺（方法和参数）以及所推荐消毒方法确定的依据。对消毒效果以及产品材料的耐消毒剂腐蚀性进行验证。</w:t>
      </w:r>
    </w:p>
    <w:p w14:paraId="1C46756A"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w:t>
      </w:r>
      <w:r>
        <w:rPr>
          <w:rFonts w:eastAsia="仿宋_GB2312"/>
          <w:snapToGrid w:val="0"/>
          <w:kern w:val="0"/>
          <w:sz w:val="32"/>
          <w:szCs w:val="32"/>
        </w:rPr>
        <w:t>.</w:t>
      </w:r>
      <w:r>
        <w:rPr>
          <w:rFonts w:eastAsia="仿宋_GB2312" w:hint="eastAsia"/>
          <w:snapToGrid w:val="0"/>
          <w:kern w:val="0"/>
          <w:sz w:val="32"/>
          <w:szCs w:val="32"/>
        </w:rPr>
        <w:t>8</w:t>
      </w:r>
      <w:r>
        <w:rPr>
          <w:rFonts w:eastAsia="仿宋_GB2312"/>
          <w:snapToGrid w:val="0"/>
          <w:kern w:val="0"/>
          <w:sz w:val="32"/>
          <w:szCs w:val="32"/>
        </w:rPr>
        <w:t xml:space="preserve"> </w:t>
      </w:r>
      <w:r>
        <w:rPr>
          <w:rFonts w:eastAsia="仿宋_GB2312"/>
          <w:snapToGrid w:val="0"/>
          <w:kern w:val="0"/>
          <w:sz w:val="32"/>
          <w:szCs w:val="32"/>
        </w:rPr>
        <w:t>可用性</w:t>
      </w:r>
    </w:p>
    <w:p w14:paraId="5403C2F3"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注册申请人需参照《医疗器械可用性工程注册审查指导原则》，按照中使用风险医疗器械要求提交使用错误评估报告，包括基本信息、使用风险级别、核心要素、同类医疗器械上市后使用问题分析、使用风险管理、结论等内容。</w:t>
      </w:r>
    </w:p>
    <w:p w14:paraId="7E571F93"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5</w:t>
      </w:r>
      <w:r>
        <w:rPr>
          <w:rFonts w:eastAsia="仿宋_GB2312"/>
          <w:snapToGrid w:val="0"/>
          <w:kern w:val="0"/>
          <w:sz w:val="32"/>
          <w:szCs w:val="32"/>
        </w:rPr>
        <w:t>.</w:t>
      </w:r>
      <w:r>
        <w:rPr>
          <w:rFonts w:eastAsia="仿宋_GB2312"/>
          <w:snapToGrid w:val="0"/>
          <w:kern w:val="0"/>
          <w:sz w:val="32"/>
          <w:szCs w:val="32"/>
        </w:rPr>
        <w:t>稳定性</w:t>
      </w:r>
      <w:r>
        <w:rPr>
          <w:rFonts w:eastAsia="仿宋_GB2312"/>
          <w:snapToGrid w:val="0"/>
          <w:kern w:val="0"/>
          <w:sz w:val="32"/>
          <w:szCs w:val="32"/>
        </w:rPr>
        <w:t>研究</w:t>
      </w:r>
    </w:p>
    <w:p w14:paraId="09565680"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依据《有源医疗器械使用期限注册技术审查指导原则》的要求明确产品使用期限并进行验证。可分析产品的关键部件，如</w:t>
      </w:r>
      <w:r>
        <w:rPr>
          <w:rFonts w:eastAsia="仿宋_GB2312" w:hint="eastAsia"/>
          <w:snapToGrid w:val="0"/>
          <w:kern w:val="0"/>
          <w:sz w:val="32"/>
          <w:szCs w:val="32"/>
        </w:rPr>
        <w:t>压力传感器</w:t>
      </w:r>
      <w:r>
        <w:rPr>
          <w:rFonts w:eastAsia="仿宋_GB2312"/>
          <w:snapToGrid w:val="0"/>
          <w:kern w:val="0"/>
          <w:sz w:val="32"/>
          <w:szCs w:val="32"/>
        </w:rPr>
        <w:t>、</w:t>
      </w:r>
      <w:r>
        <w:rPr>
          <w:rFonts w:eastAsia="仿宋_GB2312" w:hint="eastAsia"/>
          <w:snapToGrid w:val="0"/>
          <w:kern w:val="0"/>
          <w:sz w:val="32"/>
          <w:szCs w:val="32"/>
        </w:rPr>
        <w:t>控制电路</w:t>
      </w:r>
      <w:r>
        <w:rPr>
          <w:rFonts w:eastAsia="仿宋_GB2312"/>
          <w:snapToGrid w:val="0"/>
          <w:kern w:val="0"/>
          <w:sz w:val="32"/>
          <w:szCs w:val="32"/>
        </w:rPr>
        <w:t>装置等；</w:t>
      </w:r>
    </w:p>
    <w:p w14:paraId="13321304"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描述产品正确运输的环境条件，提供在宣称的运输条件下，保持包装完整性的依据，提供验证总结报告，可包括抗压（堆码）、振动、运输等试验。</w:t>
      </w:r>
    </w:p>
    <w:p w14:paraId="6120D8E9"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参考</w:t>
      </w:r>
      <w:r>
        <w:rPr>
          <w:rFonts w:eastAsia="仿宋_GB2312"/>
          <w:snapToGrid w:val="0"/>
          <w:kern w:val="0"/>
          <w:sz w:val="32"/>
          <w:szCs w:val="32"/>
        </w:rPr>
        <w:t>GB/T 14710</w:t>
      </w:r>
      <w:r>
        <w:rPr>
          <w:rFonts w:eastAsia="仿宋_GB2312"/>
          <w:snapToGrid w:val="0"/>
          <w:kern w:val="0"/>
          <w:sz w:val="32"/>
          <w:szCs w:val="32"/>
        </w:rPr>
        <w:t>提供产品环境试验相关资料，提供环境试验的测试方案，说明测试条件、（中间、最后）测试项目及其制定依据，测试项目至少需涵盖产品技术要求中</w:t>
      </w:r>
      <w:r>
        <w:rPr>
          <w:rFonts w:eastAsia="仿宋_GB2312" w:hint="eastAsia"/>
          <w:snapToGrid w:val="0"/>
          <w:kern w:val="0"/>
          <w:sz w:val="32"/>
          <w:szCs w:val="32"/>
        </w:rPr>
        <w:t>压力测试</w:t>
      </w:r>
      <w:r>
        <w:rPr>
          <w:rFonts w:eastAsia="仿宋_GB2312"/>
          <w:snapToGrid w:val="0"/>
          <w:kern w:val="0"/>
          <w:sz w:val="32"/>
          <w:szCs w:val="32"/>
        </w:rPr>
        <w:t>设置及误差、</w:t>
      </w:r>
      <w:r>
        <w:rPr>
          <w:rFonts w:eastAsia="仿宋_GB2312" w:hint="eastAsia"/>
          <w:snapToGrid w:val="0"/>
          <w:kern w:val="0"/>
          <w:sz w:val="32"/>
          <w:szCs w:val="32"/>
        </w:rPr>
        <w:t>极限</w:t>
      </w:r>
      <w:r>
        <w:rPr>
          <w:rFonts w:eastAsia="仿宋_GB2312"/>
          <w:snapToGrid w:val="0"/>
          <w:kern w:val="0"/>
          <w:sz w:val="32"/>
          <w:szCs w:val="32"/>
        </w:rPr>
        <w:t>压力限制、安全性指标（如适用，如</w:t>
      </w:r>
      <w:r>
        <w:rPr>
          <w:rFonts w:eastAsia="仿宋_GB2312" w:hint="eastAsia"/>
          <w:snapToGrid w:val="0"/>
          <w:kern w:val="0"/>
          <w:sz w:val="32"/>
          <w:szCs w:val="32"/>
        </w:rPr>
        <w:t>压力超范围</w:t>
      </w:r>
      <w:r>
        <w:rPr>
          <w:rFonts w:eastAsia="仿宋_GB2312"/>
          <w:snapToGrid w:val="0"/>
          <w:kern w:val="0"/>
          <w:sz w:val="32"/>
          <w:szCs w:val="32"/>
        </w:rPr>
        <w:t>和</w:t>
      </w:r>
      <w:r>
        <w:rPr>
          <w:rFonts w:eastAsia="仿宋_GB2312" w:hint="eastAsia"/>
          <w:snapToGrid w:val="0"/>
          <w:kern w:val="0"/>
          <w:sz w:val="32"/>
          <w:szCs w:val="32"/>
        </w:rPr>
        <w:t>最小压力</w:t>
      </w:r>
      <w:r>
        <w:rPr>
          <w:rFonts w:eastAsia="仿宋_GB2312"/>
          <w:snapToGrid w:val="0"/>
          <w:kern w:val="0"/>
          <w:sz w:val="32"/>
          <w:szCs w:val="32"/>
        </w:rPr>
        <w:t>的防护、</w:t>
      </w:r>
      <w:r>
        <w:rPr>
          <w:rFonts w:eastAsia="仿宋_GB2312" w:hint="eastAsia"/>
          <w:snapToGrid w:val="0"/>
          <w:kern w:val="0"/>
          <w:sz w:val="32"/>
          <w:szCs w:val="32"/>
        </w:rPr>
        <w:t>扶手极限承载能力</w:t>
      </w:r>
      <w:r>
        <w:rPr>
          <w:rFonts w:eastAsia="仿宋_GB2312"/>
          <w:snapToGrid w:val="0"/>
          <w:kern w:val="0"/>
          <w:sz w:val="32"/>
          <w:szCs w:val="32"/>
        </w:rPr>
        <w:t>检测）等性能指标，提交相应环境试验报告。</w:t>
      </w:r>
    </w:p>
    <w:p w14:paraId="5D8C00FB"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5.</w:t>
      </w:r>
      <w:r>
        <w:rPr>
          <w:rFonts w:eastAsia="仿宋_GB2312"/>
          <w:snapToGrid w:val="0"/>
          <w:kern w:val="0"/>
          <w:sz w:val="32"/>
          <w:szCs w:val="32"/>
        </w:rPr>
        <w:t>其他资料</w:t>
      </w:r>
    </w:p>
    <w:p w14:paraId="0FF6D907" w14:textId="4E997820" w:rsidR="00830061" w:rsidRDefault="004D6FF5">
      <w:pPr>
        <w:spacing w:line="520" w:lineRule="exact"/>
        <w:ind w:firstLine="640"/>
        <w:rPr>
          <w:rFonts w:eastAsia="楷体_GB2312"/>
          <w:sz w:val="32"/>
          <w:szCs w:val="32"/>
        </w:rPr>
      </w:pPr>
      <w:r>
        <w:rPr>
          <w:rFonts w:eastAsia="仿宋_GB2312" w:hint="eastAsia"/>
          <w:snapToGrid w:val="0"/>
          <w:kern w:val="0"/>
          <w:sz w:val="32"/>
          <w:szCs w:val="32"/>
        </w:rPr>
        <w:t>平衡测试设备</w:t>
      </w:r>
      <w:r>
        <w:rPr>
          <w:rFonts w:eastAsia="仿宋_GB2312"/>
          <w:snapToGrid w:val="0"/>
          <w:kern w:val="0"/>
          <w:sz w:val="32"/>
          <w:szCs w:val="32"/>
        </w:rPr>
        <w:t>属于免于进行临床评价的医疗器械，申请人</w:t>
      </w:r>
      <w:r>
        <w:rPr>
          <w:rFonts w:eastAsia="仿宋_GB2312"/>
          <w:snapToGrid w:val="0"/>
          <w:kern w:val="0"/>
          <w:sz w:val="32"/>
          <w:szCs w:val="32"/>
        </w:rPr>
        <w:lastRenderedPageBreak/>
        <w:t>应按照《列入免于进行临床评价医疗器械目录产品对比说明技术指导原则》的要求提交相关资料。对于超出目录范围外的功能应进行临床评价。</w:t>
      </w:r>
    </w:p>
    <w:p w14:paraId="32CBDC87" w14:textId="77777777" w:rsidR="00830061" w:rsidRDefault="004D6FF5">
      <w:pPr>
        <w:spacing w:line="520" w:lineRule="exact"/>
        <w:ind w:firstLine="640"/>
        <w:rPr>
          <w:rFonts w:eastAsia="楷体_GB2312"/>
          <w:sz w:val="32"/>
          <w:szCs w:val="32"/>
        </w:rPr>
      </w:pPr>
      <w:r>
        <w:rPr>
          <w:rFonts w:eastAsia="楷体_GB2312"/>
          <w:sz w:val="32"/>
          <w:szCs w:val="32"/>
        </w:rPr>
        <w:t>（四）产品说明书和标签样稿</w:t>
      </w:r>
    </w:p>
    <w:p w14:paraId="227B8C84"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说明书、标签和包装标识应符合《医疗器械说明书和标签管理规定》及相关标准的规定。</w:t>
      </w:r>
    </w:p>
    <w:p w14:paraId="17F48569" w14:textId="77777777" w:rsidR="00830061" w:rsidRDefault="004D6FF5">
      <w:pPr>
        <w:spacing w:line="520" w:lineRule="exact"/>
        <w:ind w:firstLine="640"/>
        <w:rPr>
          <w:rFonts w:eastAsia="仿宋_GB2312"/>
          <w:snapToGrid w:val="0"/>
          <w:kern w:val="0"/>
          <w:sz w:val="32"/>
          <w:szCs w:val="32"/>
        </w:rPr>
      </w:pPr>
      <w:r>
        <w:rPr>
          <w:rFonts w:eastAsia="仿宋_GB2312"/>
          <w:snapToGrid w:val="0"/>
          <w:kern w:val="0"/>
          <w:sz w:val="32"/>
          <w:szCs w:val="32"/>
        </w:rPr>
        <w:t>1.</w:t>
      </w:r>
      <w:r>
        <w:rPr>
          <w:rFonts w:eastAsia="仿宋_GB2312"/>
          <w:snapToGrid w:val="0"/>
          <w:kern w:val="0"/>
          <w:sz w:val="32"/>
          <w:szCs w:val="32"/>
        </w:rPr>
        <w:t>制造商应根据产品的具体功能，确定其临床适用范围，并明确禁忌证和注意事项，提供使用警示，至少包括：</w:t>
      </w:r>
    </w:p>
    <w:p w14:paraId="74769CF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使用环境的要求，设备正确的</w:t>
      </w:r>
      <w:r>
        <w:rPr>
          <w:rFonts w:eastAsia="仿宋_GB2312"/>
          <w:snapToGrid w:val="0"/>
          <w:kern w:val="0"/>
          <w:sz w:val="32"/>
          <w:szCs w:val="32"/>
        </w:rPr>
        <w:t>连接</w:t>
      </w:r>
      <w:r>
        <w:rPr>
          <w:rFonts w:eastAsia="仿宋_GB2312" w:hint="eastAsia"/>
          <w:snapToGrid w:val="0"/>
          <w:kern w:val="0"/>
          <w:sz w:val="32"/>
          <w:szCs w:val="32"/>
        </w:rPr>
        <w:t>方法及注意事项，软件的正确操作流程，</w:t>
      </w:r>
      <w:r>
        <w:rPr>
          <w:rFonts w:eastAsia="仿宋_GB2312"/>
          <w:snapToGrid w:val="0"/>
          <w:kern w:val="0"/>
          <w:sz w:val="32"/>
          <w:szCs w:val="32"/>
        </w:rPr>
        <w:t>患者</w:t>
      </w:r>
      <w:r>
        <w:rPr>
          <w:rFonts w:eastAsia="仿宋_GB2312" w:hint="eastAsia"/>
          <w:snapToGrid w:val="0"/>
          <w:kern w:val="0"/>
          <w:sz w:val="32"/>
          <w:szCs w:val="32"/>
        </w:rPr>
        <w:t>针对不同姿势下测试的方法及注意事项，需要特别使用附件进行测试时的注意事项</w:t>
      </w:r>
      <w:r>
        <w:rPr>
          <w:rFonts w:eastAsia="仿宋_GB2312"/>
          <w:snapToGrid w:val="0"/>
          <w:kern w:val="0"/>
          <w:sz w:val="32"/>
          <w:szCs w:val="32"/>
        </w:rPr>
        <w:t>；</w:t>
      </w:r>
      <w:r>
        <w:rPr>
          <w:rFonts w:eastAsia="仿宋_GB2312" w:hint="eastAsia"/>
          <w:snapToGrid w:val="0"/>
          <w:kern w:val="0"/>
          <w:sz w:val="32"/>
          <w:szCs w:val="32"/>
        </w:rPr>
        <w:t>操作者在测量过程中应注意的事宜，及常见错误操作或故障的排除方法，日常维护的方法及注意事项</w:t>
      </w:r>
      <w:r>
        <w:rPr>
          <w:rFonts w:eastAsia="仿宋_GB2312"/>
          <w:snapToGrid w:val="0"/>
          <w:kern w:val="0"/>
          <w:sz w:val="32"/>
          <w:szCs w:val="32"/>
        </w:rPr>
        <w:t>。</w:t>
      </w:r>
    </w:p>
    <w:p w14:paraId="2D2E0D06"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2.</w:t>
      </w:r>
      <w:r>
        <w:rPr>
          <w:rFonts w:eastAsia="仿宋_GB2312" w:hint="eastAsia"/>
          <w:snapToGrid w:val="0"/>
          <w:kern w:val="0"/>
          <w:sz w:val="32"/>
          <w:szCs w:val="32"/>
        </w:rPr>
        <w:t>说明书中应对使用人员的资质和培训考核给出具体要求。</w:t>
      </w:r>
    </w:p>
    <w:p w14:paraId="46D672B4"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3.</w:t>
      </w:r>
      <w:r>
        <w:rPr>
          <w:rFonts w:eastAsia="仿宋_GB2312" w:hint="eastAsia"/>
          <w:snapToGrid w:val="0"/>
          <w:kern w:val="0"/>
          <w:sz w:val="32"/>
          <w:szCs w:val="32"/>
        </w:rPr>
        <w:t>说明书中应提供联合使用的耗材及外部设备的信息；</w:t>
      </w:r>
    </w:p>
    <w:p w14:paraId="124351F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4.</w:t>
      </w:r>
      <w:r>
        <w:rPr>
          <w:rFonts w:eastAsia="仿宋_GB2312" w:hint="eastAsia"/>
          <w:snapToGrid w:val="0"/>
          <w:kern w:val="0"/>
          <w:sz w:val="32"/>
          <w:szCs w:val="32"/>
        </w:rPr>
        <w:t>平衡测试设备应在说明书中说明使用环境的具体要求。</w:t>
      </w:r>
    </w:p>
    <w:p w14:paraId="38A5CEDD" w14:textId="77777777" w:rsidR="00830061" w:rsidRDefault="004D6FF5">
      <w:pPr>
        <w:spacing w:line="520" w:lineRule="exact"/>
        <w:ind w:firstLine="640"/>
        <w:rPr>
          <w:rFonts w:eastAsia="仿宋_GB2312"/>
          <w:snapToGrid w:val="0"/>
          <w:kern w:val="0"/>
          <w:sz w:val="32"/>
          <w:szCs w:val="32"/>
        </w:rPr>
      </w:pPr>
      <w:r>
        <w:rPr>
          <w:rFonts w:eastAsia="仿宋_GB2312" w:hint="eastAsia"/>
          <w:snapToGrid w:val="0"/>
          <w:kern w:val="0"/>
          <w:sz w:val="32"/>
          <w:szCs w:val="32"/>
        </w:rPr>
        <w:t>5.</w:t>
      </w:r>
      <w:r>
        <w:rPr>
          <w:rFonts w:eastAsia="仿宋_GB2312" w:hint="eastAsia"/>
          <w:snapToGrid w:val="0"/>
          <w:kern w:val="0"/>
          <w:sz w:val="32"/>
          <w:szCs w:val="32"/>
        </w:rPr>
        <w:t>如产品可用于成人、儿科人群，根据研究资料，明确使用的相关操作说明、特殊防护措施和注意事项。</w:t>
      </w:r>
    </w:p>
    <w:p w14:paraId="7E528F12" w14:textId="77777777" w:rsidR="00830061" w:rsidRDefault="004D6FF5">
      <w:pPr>
        <w:spacing w:line="520" w:lineRule="exact"/>
        <w:ind w:firstLine="640"/>
        <w:rPr>
          <w:rFonts w:eastAsia="楷体_GB2312"/>
          <w:sz w:val="32"/>
          <w:szCs w:val="32"/>
        </w:rPr>
      </w:pPr>
      <w:r>
        <w:rPr>
          <w:rFonts w:eastAsia="楷体_GB2312" w:hint="eastAsia"/>
          <w:sz w:val="32"/>
          <w:szCs w:val="32"/>
        </w:rPr>
        <w:t>（五）质量管理体系文件</w:t>
      </w:r>
    </w:p>
    <w:p w14:paraId="14AECAFB" w14:textId="77777777" w:rsidR="00830061" w:rsidRDefault="004D6FF5">
      <w:pPr>
        <w:spacing w:line="520" w:lineRule="exact"/>
        <w:ind w:firstLine="640"/>
        <w:rPr>
          <w:rFonts w:asciiTheme="minorHAnsi" w:eastAsiaTheme="minorEastAsia" w:hAnsiTheme="minorHAnsi"/>
        </w:rPr>
      </w:pPr>
      <w:r>
        <w:rPr>
          <w:rFonts w:eastAsia="仿宋_GB2312" w:hint="eastAsia"/>
          <w:snapToGrid w:val="0"/>
          <w:kern w:val="0"/>
          <w:sz w:val="32"/>
          <w:szCs w:val="32"/>
        </w:rPr>
        <w:t>提交产品和质量管理体系符</w:t>
      </w:r>
      <w:r>
        <w:rPr>
          <w:rFonts w:eastAsia="仿宋_GB2312" w:hint="eastAsia"/>
          <w:snapToGrid w:val="0"/>
          <w:kern w:val="0"/>
          <w:sz w:val="32"/>
          <w:szCs w:val="32"/>
        </w:rPr>
        <w:t>合要求的申报资料。</w:t>
      </w:r>
    </w:p>
    <w:p w14:paraId="3396407D" w14:textId="77777777" w:rsidR="00830061" w:rsidRDefault="004D6FF5">
      <w:pPr>
        <w:overflowPunct w:val="0"/>
        <w:autoSpaceDE w:val="0"/>
        <w:autoSpaceDN w:val="0"/>
        <w:spacing w:line="520" w:lineRule="exact"/>
        <w:ind w:firstLine="640"/>
        <w:outlineLvl w:val="0"/>
        <w:rPr>
          <w:rFonts w:cstheme="minorBidi"/>
        </w:rPr>
      </w:pPr>
      <w:r>
        <w:rPr>
          <w:rFonts w:eastAsia="黑体" w:hint="eastAsia"/>
          <w:snapToGrid w:val="0"/>
          <w:kern w:val="0"/>
          <w:sz w:val="32"/>
          <w:szCs w:val="32"/>
        </w:rPr>
        <w:t>三、参考文献</w:t>
      </w:r>
    </w:p>
    <w:p w14:paraId="2C97C345"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[1]</w:t>
      </w:r>
      <w:r>
        <w:rPr>
          <w:rFonts w:eastAsia="仿宋_GB2312" w:hint="eastAsia"/>
          <w:bCs/>
          <w:sz w:val="32"/>
          <w:szCs w:val="32"/>
        </w:rPr>
        <w:t>国家市场监督管理总局</w:t>
      </w:r>
      <w:r>
        <w:rPr>
          <w:rFonts w:eastAsia="仿宋_GB2312"/>
          <w:bCs/>
          <w:sz w:val="32"/>
          <w:szCs w:val="32"/>
        </w:rPr>
        <w:t>.</w:t>
      </w:r>
      <w:r>
        <w:rPr>
          <w:rFonts w:eastAsia="仿宋_GB2312" w:hint="eastAsia"/>
          <w:bCs/>
          <w:sz w:val="32"/>
          <w:szCs w:val="32"/>
        </w:rPr>
        <w:t>医疗器械注册与备案管理办法；国家市场监督管理总局令第</w:t>
      </w:r>
      <w:r>
        <w:rPr>
          <w:rFonts w:eastAsia="仿宋_GB2312"/>
          <w:bCs/>
          <w:sz w:val="32"/>
          <w:szCs w:val="32"/>
        </w:rPr>
        <w:t>47</w:t>
      </w:r>
      <w:r>
        <w:rPr>
          <w:rFonts w:eastAsia="仿宋_GB2312" w:hint="eastAsia"/>
          <w:bCs/>
          <w:sz w:val="32"/>
          <w:szCs w:val="32"/>
        </w:rPr>
        <w:t>号</w:t>
      </w:r>
      <w:r>
        <w:rPr>
          <w:rFonts w:eastAsia="仿宋_GB2312"/>
          <w:bCs/>
          <w:sz w:val="32"/>
          <w:szCs w:val="32"/>
        </w:rPr>
        <w:t>[Z].</w:t>
      </w:r>
    </w:p>
    <w:p w14:paraId="2B8F2B84"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[2]</w:t>
      </w:r>
      <w:r>
        <w:rPr>
          <w:rFonts w:eastAsia="仿宋_GB2312" w:hint="eastAsia"/>
          <w:bCs/>
          <w:sz w:val="32"/>
          <w:szCs w:val="32"/>
        </w:rPr>
        <w:t>国家食品药品监督管理总局</w:t>
      </w:r>
      <w:r>
        <w:rPr>
          <w:rFonts w:eastAsia="仿宋_GB2312"/>
          <w:bCs/>
          <w:sz w:val="32"/>
          <w:szCs w:val="32"/>
        </w:rPr>
        <w:t>.</w:t>
      </w:r>
      <w:r>
        <w:rPr>
          <w:rFonts w:eastAsia="仿宋_GB2312" w:hint="eastAsia"/>
          <w:bCs/>
          <w:sz w:val="32"/>
          <w:szCs w:val="32"/>
        </w:rPr>
        <w:t>医疗器械说明书和标签管理规定；国家食品药品监督管理总局令第</w:t>
      </w:r>
      <w:r>
        <w:rPr>
          <w:rFonts w:eastAsia="仿宋_GB2312"/>
          <w:bCs/>
          <w:sz w:val="32"/>
          <w:szCs w:val="32"/>
        </w:rPr>
        <w:t>6</w:t>
      </w:r>
      <w:r>
        <w:rPr>
          <w:rFonts w:eastAsia="仿宋_GB2312" w:hint="eastAsia"/>
          <w:bCs/>
          <w:sz w:val="32"/>
          <w:szCs w:val="32"/>
        </w:rPr>
        <w:t>号</w:t>
      </w:r>
      <w:r>
        <w:rPr>
          <w:rFonts w:eastAsia="仿宋_GB2312"/>
          <w:bCs/>
          <w:sz w:val="32"/>
          <w:szCs w:val="32"/>
        </w:rPr>
        <w:t>[Z].</w:t>
      </w:r>
    </w:p>
    <w:p w14:paraId="52E292E3"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lastRenderedPageBreak/>
        <w:t>[3]</w:t>
      </w:r>
      <w:r>
        <w:rPr>
          <w:rFonts w:eastAsia="仿宋_GB2312" w:hint="eastAsia"/>
          <w:bCs/>
          <w:sz w:val="32"/>
          <w:szCs w:val="32"/>
        </w:rPr>
        <w:t>国家药品监督管理局</w:t>
      </w:r>
      <w:r>
        <w:rPr>
          <w:rFonts w:eastAsia="仿宋_GB2312"/>
          <w:bCs/>
          <w:sz w:val="32"/>
          <w:szCs w:val="32"/>
        </w:rPr>
        <w:t>.</w:t>
      </w:r>
      <w:r>
        <w:rPr>
          <w:rFonts w:eastAsia="仿宋_GB2312" w:hint="eastAsia"/>
          <w:bCs/>
          <w:sz w:val="32"/>
          <w:szCs w:val="32"/>
        </w:rPr>
        <w:t>医疗器械注册申报资料要求和批准证明文件格式；国家药监局公告</w:t>
      </w:r>
      <w:r>
        <w:rPr>
          <w:rFonts w:eastAsia="仿宋_GB2312"/>
          <w:bCs/>
          <w:sz w:val="32"/>
          <w:szCs w:val="32"/>
        </w:rPr>
        <w:t>2021</w:t>
      </w:r>
      <w:r>
        <w:rPr>
          <w:rFonts w:eastAsia="仿宋_GB2312" w:hint="eastAsia"/>
          <w:bCs/>
          <w:sz w:val="32"/>
          <w:szCs w:val="32"/>
        </w:rPr>
        <w:t>年第</w:t>
      </w:r>
      <w:r>
        <w:rPr>
          <w:rFonts w:eastAsia="仿宋_GB2312"/>
          <w:bCs/>
          <w:sz w:val="32"/>
          <w:szCs w:val="32"/>
        </w:rPr>
        <w:t>121</w:t>
      </w:r>
      <w:r>
        <w:rPr>
          <w:rFonts w:eastAsia="仿宋_GB2312" w:hint="eastAsia"/>
          <w:bCs/>
          <w:sz w:val="32"/>
          <w:szCs w:val="32"/>
        </w:rPr>
        <w:t>号</w:t>
      </w:r>
      <w:r>
        <w:rPr>
          <w:rFonts w:eastAsia="仿宋_GB2312"/>
          <w:bCs/>
          <w:sz w:val="32"/>
          <w:szCs w:val="32"/>
        </w:rPr>
        <w:t>[Z].</w:t>
      </w:r>
    </w:p>
    <w:p w14:paraId="7EDCA4F5"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[4]</w:t>
      </w:r>
      <w:r>
        <w:rPr>
          <w:rFonts w:eastAsia="仿宋_GB2312" w:hint="eastAsia"/>
          <w:bCs/>
          <w:sz w:val="32"/>
          <w:szCs w:val="32"/>
        </w:rPr>
        <w:t>国家药品监督管理局</w:t>
      </w:r>
      <w:r>
        <w:rPr>
          <w:rFonts w:eastAsia="仿宋_GB2312"/>
          <w:bCs/>
          <w:sz w:val="32"/>
          <w:szCs w:val="32"/>
        </w:rPr>
        <w:t>.</w:t>
      </w:r>
      <w:r>
        <w:rPr>
          <w:rFonts w:eastAsia="仿宋_GB2312" w:hint="eastAsia"/>
          <w:bCs/>
          <w:sz w:val="32"/>
          <w:szCs w:val="32"/>
        </w:rPr>
        <w:t>医疗器械产品技术要求编写指导原则；国家药监局通告</w:t>
      </w:r>
      <w:r>
        <w:rPr>
          <w:rFonts w:eastAsia="仿宋_GB2312"/>
          <w:bCs/>
          <w:sz w:val="32"/>
          <w:szCs w:val="32"/>
        </w:rPr>
        <w:t>2022</w:t>
      </w:r>
      <w:r>
        <w:rPr>
          <w:rFonts w:eastAsia="仿宋_GB2312" w:hint="eastAsia"/>
          <w:bCs/>
          <w:sz w:val="32"/>
          <w:szCs w:val="32"/>
        </w:rPr>
        <w:t>年第</w:t>
      </w:r>
      <w:r>
        <w:rPr>
          <w:rFonts w:eastAsia="仿宋_GB2312"/>
          <w:bCs/>
          <w:sz w:val="32"/>
          <w:szCs w:val="32"/>
        </w:rPr>
        <w:t>8</w:t>
      </w:r>
      <w:r>
        <w:rPr>
          <w:rFonts w:eastAsia="仿宋_GB2312" w:hint="eastAsia"/>
          <w:bCs/>
          <w:sz w:val="32"/>
          <w:szCs w:val="32"/>
        </w:rPr>
        <w:t>号</w:t>
      </w:r>
      <w:r>
        <w:rPr>
          <w:rFonts w:eastAsia="仿宋_GB2312"/>
          <w:bCs/>
          <w:sz w:val="32"/>
          <w:szCs w:val="32"/>
        </w:rPr>
        <w:t>[Z].</w:t>
      </w:r>
    </w:p>
    <w:p w14:paraId="7466DEAB"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[5]</w:t>
      </w:r>
      <w:r>
        <w:rPr>
          <w:rFonts w:eastAsia="仿宋_GB2312" w:hint="eastAsia"/>
          <w:bCs/>
          <w:sz w:val="32"/>
          <w:szCs w:val="32"/>
        </w:rPr>
        <w:t>国家药品监督管理局医疗器械审评中心</w:t>
      </w:r>
      <w:r>
        <w:rPr>
          <w:rFonts w:eastAsia="仿宋_GB2312"/>
          <w:bCs/>
          <w:sz w:val="32"/>
          <w:szCs w:val="32"/>
        </w:rPr>
        <w:t>.</w:t>
      </w:r>
      <w:r>
        <w:rPr>
          <w:rFonts w:eastAsia="仿宋_GB2312" w:hint="eastAsia"/>
          <w:bCs/>
          <w:sz w:val="32"/>
          <w:szCs w:val="32"/>
        </w:rPr>
        <w:t>医疗器械软件注册审查指导原则（</w:t>
      </w:r>
      <w:r>
        <w:rPr>
          <w:rFonts w:eastAsia="仿宋_GB2312"/>
          <w:bCs/>
          <w:sz w:val="32"/>
          <w:szCs w:val="32"/>
        </w:rPr>
        <w:t>2022</w:t>
      </w:r>
      <w:r>
        <w:rPr>
          <w:rFonts w:eastAsia="仿宋_GB2312" w:hint="eastAsia"/>
          <w:bCs/>
          <w:sz w:val="32"/>
          <w:szCs w:val="32"/>
        </w:rPr>
        <w:t>年修订版）；国家药监局器审中心通告</w:t>
      </w:r>
      <w:r>
        <w:rPr>
          <w:rFonts w:eastAsia="仿宋_GB2312"/>
          <w:bCs/>
          <w:sz w:val="32"/>
          <w:szCs w:val="32"/>
        </w:rPr>
        <w:t>2022</w:t>
      </w:r>
      <w:r>
        <w:rPr>
          <w:rFonts w:eastAsia="仿宋_GB2312" w:hint="eastAsia"/>
          <w:bCs/>
          <w:sz w:val="32"/>
          <w:szCs w:val="32"/>
        </w:rPr>
        <w:t>年第</w:t>
      </w:r>
      <w:r>
        <w:rPr>
          <w:rFonts w:eastAsia="仿宋_GB2312"/>
          <w:bCs/>
          <w:sz w:val="32"/>
          <w:szCs w:val="32"/>
        </w:rPr>
        <w:t>9</w:t>
      </w:r>
      <w:r>
        <w:rPr>
          <w:rFonts w:eastAsia="仿宋_GB2312" w:hint="eastAsia"/>
          <w:bCs/>
          <w:sz w:val="32"/>
          <w:szCs w:val="32"/>
        </w:rPr>
        <w:t>号</w:t>
      </w:r>
      <w:r>
        <w:rPr>
          <w:rFonts w:eastAsia="仿宋_GB2312"/>
          <w:bCs/>
          <w:sz w:val="32"/>
          <w:szCs w:val="32"/>
        </w:rPr>
        <w:t>[Z].</w:t>
      </w:r>
    </w:p>
    <w:p w14:paraId="3ABEF9C0"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[6]</w:t>
      </w:r>
      <w:r>
        <w:rPr>
          <w:rFonts w:eastAsia="仿宋_GB2312" w:hint="eastAsia"/>
          <w:bCs/>
          <w:sz w:val="32"/>
          <w:szCs w:val="32"/>
        </w:rPr>
        <w:t>国家食品药品监督管理局</w:t>
      </w:r>
      <w:r>
        <w:rPr>
          <w:rFonts w:eastAsia="仿宋_GB2312"/>
          <w:bCs/>
          <w:sz w:val="32"/>
          <w:szCs w:val="32"/>
        </w:rPr>
        <w:t>.</w:t>
      </w:r>
      <w:r>
        <w:rPr>
          <w:rFonts w:eastAsia="仿宋_GB2312" w:hint="eastAsia"/>
          <w:bCs/>
          <w:sz w:val="32"/>
          <w:szCs w:val="32"/>
        </w:rPr>
        <w:t>医疗器械分类目录；国家食品药品监督管理总局公告</w:t>
      </w:r>
      <w:r>
        <w:rPr>
          <w:rFonts w:eastAsia="仿宋_GB2312"/>
          <w:bCs/>
          <w:sz w:val="32"/>
          <w:szCs w:val="32"/>
        </w:rPr>
        <w:t>2017</w:t>
      </w:r>
      <w:r>
        <w:rPr>
          <w:rFonts w:eastAsia="仿宋_GB2312" w:hint="eastAsia"/>
          <w:bCs/>
          <w:sz w:val="32"/>
          <w:szCs w:val="32"/>
        </w:rPr>
        <w:t>年第</w:t>
      </w:r>
      <w:r>
        <w:rPr>
          <w:rFonts w:eastAsia="仿宋_GB2312"/>
          <w:bCs/>
          <w:sz w:val="32"/>
          <w:szCs w:val="32"/>
        </w:rPr>
        <w:t>104</w:t>
      </w:r>
      <w:r>
        <w:rPr>
          <w:rFonts w:eastAsia="仿宋_GB2312" w:hint="eastAsia"/>
          <w:bCs/>
          <w:sz w:val="32"/>
          <w:szCs w:val="32"/>
        </w:rPr>
        <w:t>号</w:t>
      </w:r>
      <w:r>
        <w:rPr>
          <w:rFonts w:eastAsia="仿宋_GB2312"/>
          <w:bCs/>
          <w:sz w:val="32"/>
          <w:szCs w:val="32"/>
        </w:rPr>
        <w:t>[Z].</w:t>
      </w:r>
    </w:p>
    <w:p w14:paraId="71582DAB"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[7]</w:t>
      </w:r>
      <w:r>
        <w:rPr>
          <w:rFonts w:eastAsia="仿宋_GB2312" w:hint="eastAsia"/>
          <w:bCs/>
          <w:sz w:val="32"/>
          <w:szCs w:val="32"/>
        </w:rPr>
        <w:t>国家食品药品监督管理局</w:t>
      </w:r>
      <w:r>
        <w:rPr>
          <w:rFonts w:eastAsia="仿宋_GB2312"/>
          <w:bCs/>
          <w:sz w:val="32"/>
          <w:szCs w:val="32"/>
        </w:rPr>
        <w:t>.</w:t>
      </w:r>
      <w:r>
        <w:rPr>
          <w:rFonts w:eastAsia="仿宋_GB2312" w:hint="eastAsia"/>
          <w:bCs/>
          <w:sz w:val="32"/>
          <w:szCs w:val="32"/>
        </w:rPr>
        <w:t>医疗器械通用名称命名规则；国家食品药品监督管理总局令第</w:t>
      </w:r>
      <w:r>
        <w:rPr>
          <w:rFonts w:eastAsia="仿宋_GB2312"/>
          <w:bCs/>
          <w:sz w:val="32"/>
          <w:szCs w:val="32"/>
        </w:rPr>
        <w:t>19</w:t>
      </w:r>
      <w:r>
        <w:rPr>
          <w:rFonts w:eastAsia="仿宋_GB2312" w:hint="eastAsia"/>
          <w:bCs/>
          <w:sz w:val="32"/>
          <w:szCs w:val="32"/>
        </w:rPr>
        <w:t>号</w:t>
      </w:r>
      <w:r>
        <w:rPr>
          <w:rFonts w:eastAsia="仿宋_GB2312"/>
          <w:bCs/>
          <w:sz w:val="32"/>
          <w:szCs w:val="32"/>
        </w:rPr>
        <w:t>[Z].</w:t>
      </w:r>
    </w:p>
    <w:p w14:paraId="2EE13B01"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[8]</w:t>
      </w:r>
      <w:r>
        <w:rPr>
          <w:rFonts w:eastAsia="仿宋_GB2312" w:hint="eastAsia"/>
          <w:bCs/>
          <w:sz w:val="32"/>
          <w:szCs w:val="32"/>
        </w:rPr>
        <w:t>国家药品监督管理局医疗器械审评中心；人工智能医疗器械注册审查指导原则</w:t>
      </w:r>
      <w:r>
        <w:rPr>
          <w:rFonts w:eastAsia="仿宋_GB2312"/>
          <w:bCs/>
          <w:sz w:val="32"/>
          <w:szCs w:val="32"/>
        </w:rPr>
        <w:t>:</w:t>
      </w:r>
      <w:r>
        <w:rPr>
          <w:rFonts w:eastAsia="仿宋_GB2312" w:hint="eastAsia"/>
          <w:bCs/>
          <w:sz w:val="32"/>
          <w:szCs w:val="32"/>
        </w:rPr>
        <w:t>国家药监局器审中心通告</w:t>
      </w:r>
      <w:r>
        <w:rPr>
          <w:rFonts w:eastAsia="仿宋_GB2312"/>
          <w:bCs/>
          <w:sz w:val="32"/>
          <w:szCs w:val="32"/>
        </w:rPr>
        <w:t>2022</w:t>
      </w:r>
      <w:r>
        <w:rPr>
          <w:rFonts w:eastAsia="仿宋_GB2312" w:hint="eastAsia"/>
          <w:bCs/>
          <w:sz w:val="32"/>
          <w:szCs w:val="32"/>
        </w:rPr>
        <w:t>年第</w:t>
      </w:r>
      <w:r>
        <w:rPr>
          <w:rFonts w:eastAsia="仿宋_GB2312"/>
          <w:bCs/>
          <w:sz w:val="32"/>
          <w:szCs w:val="32"/>
        </w:rPr>
        <w:t>8</w:t>
      </w:r>
      <w:r>
        <w:rPr>
          <w:rFonts w:eastAsia="仿宋_GB2312" w:hint="eastAsia"/>
          <w:bCs/>
          <w:sz w:val="32"/>
          <w:szCs w:val="32"/>
        </w:rPr>
        <w:t>号</w:t>
      </w:r>
      <w:r>
        <w:rPr>
          <w:rFonts w:eastAsia="仿宋_GB2312"/>
          <w:bCs/>
          <w:sz w:val="32"/>
          <w:szCs w:val="32"/>
        </w:rPr>
        <w:t>[Z].</w:t>
      </w:r>
    </w:p>
    <w:p w14:paraId="347254DE" w14:textId="77777777" w:rsidR="00830061" w:rsidRDefault="004D6FF5">
      <w:pPr>
        <w:spacing w:line="520" w:lineRule="exact"/>
        <w:ind w:firstLineChars="221" w:firstLine="707"/>
        <w:rPr>
          <w:rFonts w:eastAsia="仿宋_GB2312"/>
          <w:bCs/>
          <w:sz w:val="32"/>
          <w:szCs w:val="32"/>
        </w:rPr>
      </w:pPr>
      <w:r>
        <w:rPr>
          <w:rFonts w:eastAsia="仿宋_GB2312"/>
          <w:bCs/>
          <w:sz w:val="32"/>
          <w:szCs w:val="32"/>
        </w:rPr>
        <w:t>[9]</w:t>
      </w:r>
      <w:r>
        <w:rPr>
          <w:rFonts w:eastAsia="仿宋_GB2312" w:hint="eastAsia"/>
          <w:bCs/>
          <w:sz w:val="32"/>
          <w:szCs w:val="32"/>
        </w:rPr>
        <w:t>国家药品监督管理局医疗器械审评中心</w:t>
      </w:r>
      <w:r>
        <w:rPr>
          <w:rFonts w:eastAsia="仿宋_GB2312"/>
          <w:bCs/>
          <w:sz w:val="32"/>
          <w:szCs w:val="32"/>
        </w:rPr>
        <w:t>.</w:t>
      </w:r>
      <w:r>
        <w:rPr>
          <w:rFonts w:eastAsia="仿宋_GB2312" w:hint="eastAsia"/>
          <w:bCs/>
          <w:sz w:val="32"/>
          <w:szCs w:val="32"/>
        </w:rPr>
        <w:t>医疗器械网络安全注册审查指导原则（</w:t>
      </w:r>
      <w:r>
        <w:rPr>
          <w:rFonts w:eastAsia="仿宋_GB2312"/>
          <w:bCs/>
          <w:sz w:val="32"/>
          <w:szCs w:val="32"/>
        </w:rPr>
        <w:t>2022</w:t>
      </w:r>
      <w:r>
        <w:rPr>
          <w:rFonts w:eastAsia="仿宋_GB2312" w:hint="eastAsia"/>
          <w:bCs/>
          <w:sz w:val="32"/>
          <w:szCs w:val="32"/>
        </w:rPr>
        <w:t>年修订版）；国家药监局器审中心通告</w:t>
      </w:r>
      <w:r>
        <w:rPr>
          <w:rFonts w:eastAsia="仿宋_GB2312"/>
          <w:bCs/>
          <w:sz w:val="32"/>
          <w:szCs w:val="32"/>
        </w:rPr>
        <w:t>2022</w:t>
      </w:r>
      <w:r>
        <w:rPr>
          <w:rFonts w:eastAsia="仿宋_GB2312" w:hint="eastAsia"/>
          <w:bCs/>
          <w:sz w:val="32"/>
          <w:szCs w:val="32"/>
        </w:rPr>
        <w:t>年第</w:t>
      </w:r>
      <w:r>
        <w:rPr>
          <w:rFonts w:eastAsia="仿宋_GB2312"/>
          <w:bCs/>
          <w:sz w:val="32"/>
          <w:szCs w:val="32"/>
        </w:rPr>
        <w:t>7</w:t>
      </w:r>
      <w:r>
        <w:rPr>
          <w:rFonts w:eastAsia="仿宋_GB2312" w:hint="eastAsia"/>
          <w:bCs/>
          <w:sz w:val="32"/>
          <w:szCs w:val="32"/>
        </w:rPr>
        <w:t>号</w:t>
      </w:r>
      <w:r>
        <w:rPr>
          <w:rFonts w:eastAsia="仿宋_GB2312"/>
          <w:bCs/>
          <w:sz w:val="32"/>
          <w:szCs w:val="32"/>
        </w:rPr>
        <w:t>[Z].</w:t>
      </w:r>
    </w:p>
    <w:p w14:paraId="48EF4D20" w14:textId="77777777" w:rsidR="00830061" w:rsidRDefault="004D6FF5">
      <w:pPr>
        <w:spacing w:line="520" w:lineRule="exact"/>
        <w:ind w:firstLine="640"/>
        <w:rPr>
          <w:rFonts w:asciiTheme="minorHAnsi" w:eastAsiaTheme="minorEastAsia" w:hAnsiTheme="minorHAnsi" w:cstheme="minorBidi"/>
        </w:rPr>
      </w:pPr>
      <w:r>
        <w:rPr>
          <w:rFonts w:eastAsia="仿宋_GB2312"/>
          <w:bCs/>
          <w:sz w:val="32"/>
          <w:szCs w:val="32"/>
        </w:rPr>
        <w:t>[11]GB/T 42062,</w:t>
      </w:r>
      <w:r>
        <w:rPr>
          <w:rFonts w:eastAsia="仿宋_GB2312" w:hint="eastAsia"/>
          <w:bCs/>
          <w:sz w:val="32"/>
          <w:szCs w:val="32"/>
        </w:rPr>
        <w:t>医疗器械</w:t>
      </w:r>
      <w:r>
        <w:rPr>
          <w:rFonts w:eastAsia="仿宋_GB2312"/>
          <w:bCs/>
          <w:sz w:val="32"/>
          <w:szCs w:val="32"/>
        </w:rPr>
        <w:t xml:space="preserve"> </w:t>
      </w:r>
      <w:r>
        <w:rPr>
          <w:rFonts w:eastAsia="仿宋_GB2312" w:hint="eastAsia"/>
          <w:bCs/>
          <w:sz w:val="32"/>
          <w:szCs w:val="32"/>
        </w:rPr>
        <w:t>风险管理对医疗器械的应用</w:t>
      </w:r>
      <w:r>
        <w:rPr>
          <w:rFonts w:eastAsia="仿宋_GB2312"/>
          <w:bCs/>
          <w:sz w:val="32"/>
          <w:szCs w:val="32"/>
        </w:rPr>
        <w:t>[S].</w:t>
      </w:r>
    </w:p>
    <w:p w14:paraId="62449CBE" w14:textId="77777777" w:rsidR="00830061" w:rsidRDefault="004D6FF5">
      <w:pPr>
        <w:spacing w:line="520" w:lineRule="exact"/>
        <w:ind w:firstLineChars="221" w:firstLine="707"/>
        <w:rPr>
          <w:rFonts w:eastAsia="仿宋_GB2312"/>
          <w:bCs/>
          <w:sz w:val="32"/>
          <w:szCs w:val="32"/>
        </w:rPr>
      </w:pPr>
      <w:r>
        <w:rPr>
          <w:rFonts w:eastAsia="仿宋_GB2312" w:hint="eastAsia"/>
          <w:bCs/>
          <w:sz w:val="32"/>
          <w:szCs w:val="32"/>
        </w:rPr>
        <w:t>[12]YY/T 1410,</w:t>
      </w:r>
      <w:r>
        <w:rPr>
          <w:rFonts w:eastAsia="仿宋_GB2312" w:hint="eastAsia"/>
          <w:bCs/>
          <w:sz w:val="32"/>
          <w:szCs w:val="32"/>
        </w:rPr>
        <w:t>平衡测试训练系统</w:t>
      </w:r>
      <w:r>
        <w:rPr>
          <w:rFonts w:eastAsia="仿宋_GB2312" w:hint="eastAsia"/>
          <w:bCs/>
          <w:sz w:val="32"/>
          <w:szCs w:val="32"/>
        </w:rPr>
        <w:t>[S].</w:t>
      </w:r>
    </w:p>
    <w:p w14:paraId="33B5D836" w14:textId="77777777" w:rsidR="00830061" w:rsidRDefault="004D6FF5">
      <w:pPr>
        <w:spacing w:line="520" w:lineRule="exact"/>
        <w:ind w:firstLineChars="221" w:firstLine="707"/>
        <w:rPr>
          <w:rFonts w:eastAsia="仿宋_GB2312"/>
          <w:bCs/>
          <w:sz w:val="32"/>
          <w:szCs w:val="32"/>
        </w:rPr>
      </w:pPr>
      <w:r>
        <w:rPr>
          <w:rFonts w:eastAsia="仿宋_GB2312" w:hint="eastAsia"/>
          <w:bCs/>
          <w:sz w:val="32"/>
          <w:szCs w:val="32"/>
        </w:rPr>
        <w:t>[13]GB 9706.1-2020</w:t>
      </w:r>
      <w:r>
        <w:rPr>
          <w:rFonts w:eastAsia="仿宋_GB2312" w:hint="eastAsia"/>
          <w:bCs/>
          <w:sz w:val="32"/>
          <w:szCs w:val="32"/>
        </w:rPr>
        <w:t>医用电气设备第</w:t>
      </w:r>
      <w:r>
        <w:rPr>
          <w:rFonts w:eastAsia="仿宋_GB2312" w:hint="eastAsia"/>
          <w:bCs/>
          <w:sz w:val="32"/>
          <w:szCs w:val="32"/>
        </w:rPr>
        <w:t>1</w:t>
      </w:r>
      <w:r>
        <w:rPr>
          <w:rFonts w:eastAsia="仿宋_GB2312" w:hint="eastAsia"/>
          <w:bCs/>
          <w:sz w:val="32"/>
          <w:szCs w:val="32"/>
        </w:rPr>
        <w:t>部分</w:t>
      </w:r>
      <w:r>
        <w:rPr>
          <w:rFonts w:eastAsia="仿宋_GB2312" w:hint="eastAsia"/>
          <w:bCs/>
          <w:sz w:val="32"/>
          <w:szCs w:val="32"/>
        </w:rPr>
        <w:t>:</w:t>
      </w:r>
      <w:r>
        <w:rPr>
          <w:rFonts w:eastAsia="仿宋_GB2312" w:hint="eastAsia"/>
          <w:bCs/>
          <w:sz w:val="32"/>
          <w:szCs w:val="32"/>
        </w:rPr>
        <w:t>基本安全和基本性能的通用要求</w:t>
      </w:r>
      <w:r>
        <w:rPr>
          <w:rFonts w:eastAsia="仿宋_GB2312" w:hint="eastAsia"/>
          <w:bCs/>
          <w:sz w:val="32"/>
          <w:szCs w:val="32"/>
        </w:rPr>
        <w:t>[S].</w:t>
      </w:r>
    </w:p>
    <w:p w14:paraId="605590B6" w14:textId="77777777" w:rsidR="00830061" w:rsidRDefault="004D6FF5">
      <w:pPr>
        <w:spacing w:line="520" w:lineRule="exact"/>
        <w:ind w:firstLineChars="221" w:firstLine="707"/>
        <w:rPr>
          <w:rFonts w:eastAsia="仿宋_GB2312"/>
          <w:bCs/>
          <w:sz w:val="32"/>
          <w:szCs w:val="32"/>
        </w:rPr>
      </w:pPr>
      <w:r>
        <w:rPr>
          <w:rFonts w:eastAsia="仿宋_GB2312" w:hint="eastAsia"/>
          <w:bCs/>
          <w:sz w:val="32"/>
          <w:szCs w:val="32"/>
        </w:rPr>
        <w:t>[14]YY 9706.102-2021</w:t>
      </w:r>
      <w:r>
        <w:rPr>
          <w:rFonts w:eastAsia="仿宋_GB2312" w:hint="eastAsia"/>
          <w:bCs/>
          <w:sz w:val="32"/>
          <w:szCs w:val="32"/>
        </w:rPr>
        <w:t>医用电气设备第</w:t>
      </w:r>
      <w:r>
        <w:rPr>
          <w:rFonts w:eastAsia="仿宋_GB2312" w:hint="eastAsia"/>
          <w:bCs/>
          <w:sz w:val="32"/>
          <w:szCs w:val="32"/>
        </w:rPr>
        <w:t>1-2</w:t>
      </w:r>
      <w:r>
        <w:rPr>
          <w:rFonts w:eastAsia="仿宋_GB2312" w:hint="eastAsia"/>
          <w:bCs/>
          <w:sz w:val="32"/>
          <w:szCs w:val="32"/>
        </w:rPr>
        <w:t>部分：安全通用要求并列标准：电磁兼容要求和试验</w:t>
      </w:r>
      <w:r>
        <w:rPr>
          <w:rFonts w:eastAsia="仿宋_GB2312" w:hint="eastAsia"/>
          <w:bCs/>
          <w:sz w:val="32"/>
          <w:szCs w:val="32"/>
        </w:rPr>
        <w:t>[S].</w:t>
      </w:r>
    </w:p>
    <w:p w14:paraId="56AC8945" w14:textId="77777777" w:rsidR="00830061" w:rsidRDefault="004D6FF5">
      <w:pPr>
        <w:spacing w:line="520" w:lineRule="exact"/>
        <w:ind w:firstLineChars="221" w:firstLine="707"/>
        <w:rPr>
          <w:rFonts w:eastAsia="仿宋_GB2312"/>
          <w:bCs/>
          <w:sz w:val="32"/>
          <w:szCs w:val="32"/>
        </w:rPr>
      </w:pPr>
      <w:r>
        <w:rPr>
          <w:rFonts w:eastAsia="仿宋_GB2312" w:hint="eastAsia"/>
          <w:bCs/>
          <w:sz w:val="32"/>
          <w:szCs w:val="32"/>
        </w:rPr>
        <w:t>[15]GB/T 25000.51-2016</w:t>
      </w:r>
      <w:r>
        <w:rPr>
          <w:rFonts w:eastAsia="仿宋_GB2312" w:hint="eastAsia"/>
          <w:bCs/>
          <w:sz w:val="32"/>
          <w:szCs w:val="32"/>
        </w:rPr>
        <w:t>系统与软件工程系统与软件质量要求和评价（</w:t>
      </w:r>
      <w:r>
        <w:rPr>
          <w:rFonts w:eastAsia="仿宋_GB2312" w:hint="eastAsia"/>
          <w:bCs/>
          <w:sz w:val="32"/>
          <w:szCs w:val="32"/>
        </w:rPr>
        <w:t>SQuaRE</w:t>
      </w:r>
      <w:r>
        <w:rPr>
          <w:rFonts w:eastAsia="仿宋_GB2312" w:hint="eastAsia"/>
          <w:bCs/>
          <w:sz w:val="32"/>
          <w:szCs w:val="32"/>
        </w:rPr>
        <w:t>）第</w:t>
      </w:r>
      <w:r>
        <w:rPr>
          <w:rFonts w:eastAsia="仿宋_GB2312" w:hint="eastAsia"/>
          <w:bCs/>
          <w:sz w:val="32"/>
          <w:szCs w:val="32"/>
        </w:rPr>
        <w:t xml:space="preserve"> 51 </w:t>
      </w:r>
      <w:r>
        <w:rPr>
          <w:rFonts w:eastAsia="仿宋_GB2312" w:hint="eastAsia"/>
          <w:bCs/>
          <w:sz w:val="32"/>
          <w:szCs w:val="32"/>
        </w:rPr>
        <w:t>部分：就绪可用软件产品（</w:t>
      </w:r>
      <w:r>
        <w:rPr>
          <w:rFonts w:eastAsia="仿宋_GB2312" w:hint="eastAsia"/>
          <w:bCs/>
          <w:sz w:val="32"/>
          <w:szCs w:val="32"/>
        </w:rPr>
        <w:t>RUSP</w:t>
      </w:r>
      <w:r>
        <w:rPr>
          <w:rFonts w:eastAsia="仿宋_GB2312" w:hint="eastAsia"/>
          <w:bCs/>
          <w:sz w:val="32"/>
          <w:szCs w:val="32"/>
        </w:rPr>
        <w:t>）</w:t>
      </w:r>
      <w:r>
        <w:rPr>
          <w:rFonts w:eastAsia="仿宋_GB2312" w:hint="eastAsia"/>
          <w:bCs/>
          <w:sz w:val="32"/>
          <w:szCs w:val="32"/>
        </w:rPr>
        <w:lastRenderedPageBreak/>
        <w:t>的质量要求和测试细则标准要求</w:t>
      </w:r>
      <w:r>
        <w:rPr>
          <w:rFonts w:eastAsia="仿宋_GB2312" w:hint="eastAsia"/>
          <w:bCs/>
          <w:sz w:val="32"/>
          <w:szCs w:val="32"/>
        </w:rPr>
        <w:t>[S].</w:t>
      </w:r>
    </w:p>
    <w:p w14:paraId="45139AA5" w14:textId="77777777" w:rsidR="00830061" w:rsidRDefault="004D6FF5">
      <w:pPr>
        <w:spacing w:line="520" w:lineRule="exact"/>
        <w:ind w:firstLineChars="221" w:firstLine="707"/>
        <w:rPr>
          <w:rFonts w:eastAsia="仿宋_GB2312"/>
          <w:bCs/>
          <w:sz w:val="32"/>
          <w:szCs w:val="32"/>
        </w:rPr>
      </w:pPr>
      <w:r>
        <w:rPr>
          <w:rFonts w:eastAsia="仿宋_GB2312" w:hint="eastAsia"/>
          <w:bCs/>
          <w:sz w:val="32"/>
          <w:szCs w:val="32"/>
        </w:rPr>
        <w:t xml:space="preserve">[16]YY/T1843-2022 </w:t>
      </w:r>
      <w:r>
        <w:rPr>
          <w:rFonts w:eastAsia="仿宋_GB2312" w:hint="eastAsia"/>
          <w:bCs/>
          <w:sz w:val="32"/>
          <w:szCs w:val="32"/>
        </w:rPr>
        <w:t>医用电气设备网络安全基本要求</w:t>
      </w:r>
      <w:r>
        <w:rPr>
          <w:rFonts w:eastAsia="仿宋_GB2312" w:hint="eastAsia"/>
          <w:bCs/>
          <w:sz w:val="32"/>
          <w:szCs w:val="32"/>
        </w:rPr>
        <w:t>[S].</w:t>
      </w:r>
    </w:p>
    <w:p w14:paraId="0C6A85FF" w14:textId="77777777" w:rsidR="00830061" w:rsidRDefault="004D6FF5">
      <w:pPr>
        <w:spacing w:line="520" w:lineRule="exact"/>
        <w:rPr>
          <w:rFonts w:eastAsia="仿宋_GB2312"/>
          <w:bCs/>
          <w:sz w:val="32"/>
          <w:szCs w:val="32"/>
        </w:rPr>
      </w:pPr>
      <w:r>
        <w:rPr>
          <w:rFonts w:eastAsia="仿宋_GB2312" w:hint="eastAsia"/>
          <w:bCs/>
          <w:sz w:val="32"/>
          <w:szCs w:val="32"/>
        </w:rPr>
        <w:br w:type="page"/>
      </w:r>
    </w:p>
    <w:p w14:paraId="2289E7BF" w14:textId="77777777" w:rsidR="00830061" w:rsidRDefault="004D6FF5">
      <w:pPr>
        <w:overflowPunct w:val="0"/>
        <w:autoSpaceDE w:val="0"/>
        <w:autoSpaceDN w:val="0"/>
        <w:spacing w:line="520" w:lineRule="exact"/>
        <w:ind w:left="426" w:hangingChars="133" w:hanging="426"/>
        <w:jc w:val="left"/>
        <w:outlineLvl w:val="0"/>
        <w:rPr>
          <w:rFonts w:eastAsia="黑体" w:cs="黑体"/>
          <w:snapToGrid w:val="0"/>
          <w:kern w:val="0"/>
          <w:sz w:val="32"/>
          <w:szCs w:val="32"/>
        </w:rPr>
      </w:pPr>
      <w:r>
        <w:rPr>
          <w:rFonts w:eastAsia="黑体" w:cs="黑体" w:hint="eastAsia"/>
          <w:snapToGrid w:val="0"/>
          <w:kern w:val="0"/>
          <w:sz w:val="32"/>
          <w:szCs w:val="32"/>
        </w:rPr>
        <w:lastRenderedPageBreak/>
        <w:t>附件</w:t>
      </w:r>
      <w:r>
        <w:rPr>
          <w:rFonts w:eastAsia="黑体" w:cs="黑体"/>
          <w:snapToGrid w:val="0"/>
          <w:kern w:val="0"/>
          <w:sz w:val="32"/>
          <w:szCs w:val="32"/>
        </w:rPr>
        <w:t>1</w:t>
      </w:r>
    </w:p>
    <w:p w14:paraId="76FF35E4" w14:textId="77777777" w:rsidR="00830061" w:rsidRDefault="00830061">
      <w:pPr>
        <w:overflowPunct w:val="0"/>
        <w:autoSpaceDE w:val="0"/>
        <w:autoSpaceDN w:val="0"/>
        <w:spacing w:line="520" w:lineRule="exact"/>
        <w:ind w:left="426" w:hangingChars="133" w:hanging="426"/>
        <w:jc w:val="left"/>
        <w:outlineLvl w:val="0"/>
        <w:rPr>
          <w:rFonts w:eastAsia="黑体" w:cs="黑体"/>
          <w:snapToGrid w:val="0"/>
          <w:kern w:val="0"/>
          <w:sz w:val="32"/>
          <w:szCs w:val="32"/>
        </w:rPr>
      </w:pPr>
    </w:p>
    <w:p w14:paraId="70E82FAF" w14:textId="77777777" w:rsidR="00830061" w:rsidRDefault="004D6FF5">
      <w:pPr>
        <w:spacing w:line="520" w:lineRule="exact"/>
        <w:jc w:val="center"/>
        <w:rPr>
          <w:rFonts w:ascii="方正小标宋简体" w:eastAsia="方正小标宋简体"/>
          <w:sz w:val="44"/>
          <w:szCs w:val="44"/>
        </w:rPr>
      </w:pPr>
      <w:r>
        <w:rPr>
          <w:rFonts w:ascii="方正小标宋简体" w:eastAsia="方正小标宋简体" w:hint="eastAsia"/>
          <w:sz w:val="44"/>
          <w:szCs w:val="44"/>
        </w:rPr>
        <w:t>平衡测试系统常见危险示例</w:t>
      </w:r>
    </w:p>
    <w:p w14:paraId="1F059192" w14:textId="77777777" w:rsidR="00830061" w:rsidRDefault="00830061">
      <w:pPr>
        <w:spacing w:line="520" w:lineRule="exact"/>
        <w:jc w:val="center"/>
        <w:rPr>
          <w:rFonts w:ascii="方正小标宋简体" w:eastAsia="方正小标宋简体" w:hAnsiTheme="minorHAnsi" w:cstheme="minorBidi"/>
          <w:sz w:val="44"/>
          <w:szCs w:val="44"/>
        </w:rPr>
      </w:pPr>
    </w:p>
    <w:tbl>
      <w:tblPr>
        <w:tblW w:w="4997" w:type="pct"/>
        <w:tblLook w:val="04A0" w:firstRow="1" w:lastRow="0" w:firstColumn="1" w:lastColumn="0" w:noHBand="0" w:noVBand="1"/>
      </w:tblPr>
      <w:tblGrid>
        <w:gridCol w:w="2822"/>
        <w:gridCol w:w="6119"/>
      </w:tblGrid>
      <w:tr w:rsidR="00830061" w14:paraId="63799C5B"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52C97445" w14:textId="77777777" w:rsidR="00830061" w:rsidRDefault="004D6FF5">
            <w:pPr>
              <w:spacing w:line="400" w:lineRule="exact"/>
              <w:jc w:val="center"/>
              <w:rPr>
                <w:rFonts w:eastAsia="黑体"/>
                <w:snapToGrid w:val="0"/>
                <w:kern w:val="0"/>
                <w:sz w:val="28"/>
                <w:szCs w:val="28"/>
              </w:rPr>
            </w:pPr>
            <w:r>
              <w:rPr>
                <w:rFonts w:eastAsia="黑体" w:hint="eastAsia"/>
                <w:snapToGrid w:val="0"/>
                <w:kern w:val="0"/>
                <w:sz w:val="28"/>
                <w:szCs w:val="28"/>
              </w:rPr>
              <w:t>危险分类</w:t>
            </w:r>
          </w:p>
        </w:tc>
        <w:tc>
          <w:tcPr>
            <w:tcW w:w="3421" w:type="pct"/>
            <w:tcBorders>
              <w:top w:val="single" w:sz="4" w:space="0" w:color="000000"/>
              <w:left w:val="single" w:sz="4" w:space="0" w:color="000000"/>
              <w:bottom w:val="single" w:sz="4" w:space="0" w:color="000000"/>
              <w:right w:val="single" w:sz="4" w:space="0" w:color="000000"/>
            </w:tcBorders>
            <w:vAlign w:val="center"/>
          </w:tcPr>
          <w:p w14:paraId="2CE63854" w14:textId="77777777" w:rsidR="00830061" w:rsidRDefault="004D6FF5">
            <w:pPr>
              <w:spacing w:line="400" w:lineRule="exact"/>
              <w:jc w:val="center"/>
              <w:rPr>
                <w:rFonts w:eastAsia="黑体"/>
                <w:snapToGrid w:val="0"/>
                <w:kern w:val="0"/>
                <w:sz w:val="28"/>
                <w:szCs w:val="28"/>
              </w:rPr>
            </w:pPr>
            <w:r>
              <w:rPr>
                <w:rFonts w:eastAsia="黑体" w:hint="eastAsia"/>
                <w:snapToGrid w:val="0"/>
                <w:kern w:val="0"/>
                <w:sz w:val="28"/>
                <w:szCs w:val="28"/>
              </w:rPr>
              <w:t>危险示例</w:t>
            </w:r>
          </w:p>
        </w:tc>
      </w:tr>
      <w:tr w:rsidR="00830061" w14:paraId="35875CAC"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2D876626"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电能</w:t>
            </w:r>
          </w:p>
        </w:tc>
        <w:tc>
          <w:tcPr>
            <w:tcW w:w="3421" w:type="pct"/>
            <w:tcBorders>
              <w:top w:val="single" w:sz="4" w:space="0" w:color="000000"/>
              <w:left w:val="single" w:sz="4" w:space="0" w:color="000000"/>
              <w:bottom w:val="single" w:sz="4" w:space="0" w:color="000000"/>
              <w:right w:val="single" w:sz="4" w:space="0" w:color="000000"/>
            </w:tcBorders>
            <w:vAlign w:val="center"/>
          </w:tcPr>
          <w:p w14:paraId="0AB35809"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机器内部应用部分与带电部分隔离不足。</w:t>
            </w:r>
          </w:p>
        </w:tc>
      </w:tr>
      <w:tr w:rsidR="00830061" w14:paraId="146F54EC"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68EF8C72"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电磁能</w:t>
            </w:r>
          </w:p>
        </w:tc>
        <w:tc>
          <w:tcPr>
            <w:tcW w:w="3421" w:type="pct"/>
            <w:tcBorders>
              <w:top w:val="single" w:sz="4" w:space="0" w:color="000000"/>
              <w:left w:val="single" w:sz="4" w:space="0" w:color="000000"/>
              <w:bottom w:val="single" w:sz="4" w:space="0" w:color="000000"/>
              <w:right w:val="single" w:sz="4" w:space="0" w:color="000000"/>
            </w:tcBorders>
            <w:vAlign w:val="center"/>
          </w:tcPr>
          <w:p w14:paraId="692B6476"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预期测试功能</w:t>
            </w:r>
            <w:r>
              <w:rPr>
                <w:rFonts w:eastAsia="仿宋_GB2312" w:hint="eastAsia"/>
                <w:snapToGrid w:val="0"/>
                <w:kern w:val="0"/>
                <w:sz w:val="28"/>
                <w:szCs w:val="28"/>
              </w:rPr>
              <w:t>/</w:t>
            </w:r>
            <w:r>
              <w:rPr>
                <w:rFonts w:eastAsia="仿宋_GB2312" w:hint="eastAsia"/>
                <w:snapToGrid w:val="0"/>
                <w:kern w:val="0"/>
                <w:sz w:val="28"/>
                <w:szCs w:val="28"/>
              </w:rPr>
              <w:t>性能受影响。</w:t>
            </w:r>
          </w:p>
        </w:tc>
      </w:tr>
      <w:tr w:rsidR="00830061" w14:paraId="58D397D1"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0C9FE336"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热能</w:t>
            </w:r>
          </w:p>
        </w:tc>
        <w:tc>
          <w:tcPr>
            <w:tcW w:w="3421" w:type="pct"/>
            <w:tcBorders>
              <w:top w:val="single" w:sz="4" w:space="0" w:color="000000"/>
              <w:left w:val="single" w:sz="4" w:space="0" w:color="000000"/>
              <w:bottom w:val="single" w:sz="4" w:space="0" w:color="000000"/>
              <w:right w:val="single" w:sz="4" w:space="0" w:color="000000"/>
            </w:tcBorders>
            <w:vAlign w:val="center"/>
          </w:tcPr>
          <w:p w14:paraId="4C82FEED"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内部高发热原器件如电机，驱动芯片，电源芯片等工作时温度过高，导致设备表面温度过高，对患者（包括儿童）造成伤害。</w:t>
            </w:r>
          </w:p>
        </w:tc>
      </w:tr>
      <w:tr w:rsidR="00830061" w14:paraId="46906411"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54945BA0"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机械能</w:t>
            </w:r>
          </w:p>
        </w:tc>
        <w:tc>
          <w:tcPr>
            <w:tcW w:w="3421" w:type="pct"/>
            <w:tcBorders>
              <w:top w:val="single" w:sz="4" w:space="0" w:color="000000"/>
              <w:left w:val="single" w:sz="4" w:space="0" w:color="000000"/>
              <w:bottom w:val="single" w:sz="4" w:space="0" w:color="000000"/>
              <w:right w:val="single" w:sz="4" w:space="0" w:color="000000"/>
            </w:tcBorders>
            <w:vAlign w:val="center"/>
          </w:tcPr>
          <w:p w14:paraId="4D8CF78F"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扶手部件磨损和老化，压力传感器断裂。</w:t>
            </w:r>
          </w:p>
        </w:tc>
      </w:tr>
      <w:tr w:rsidR="00830061" w14:paraId="2B4328A3"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4664A565"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清洁消毒</w:t>
            </w:r>
          </w:p>
        </w:tc>
        <w:tc>
          <w:tcPr>
            <w:tcW w:w="3421" w:type="pct"/>
            <w:tcBorders>
              <w:top w:val="single" w:sz="4" w:space="0" w:color="000000"/>
              <w:left w:val="single" w:sz="4" w:space="0" w:color="000000"/>
              <w:bottom w:val="single" w:sz="4" w:space="0" w:color="000000"/>
              <w:right w:val="single" w:sz="4" w:space="0" w:color="000000"/>
            </w:tcBorders>
            <w:vAlign w:val="center"/>
          </w:tcPr>
          <w:p w14:paraId="04AC963A"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外壳经多次清洁消毒处理后脱落</w:t>
            </w:r>
            <w:r>
              <w:rPr>
                <w:rFonts w:eastAsia="仿宋_GB2312"/>
                <w:snapToGrid w:val="0"/>
                <w:kern w:val="0"/>
                <w:sz w:val="28"/>
                <w:szCs w:val="28"/>
              </w:rPr>
              <w:t>/</w:t>
            </w:r>
            <w:r>
              <w:rPr>
                <w:rFonts w:eastAsia="仿宋_GB2312" w:hint="eastAsia"/>
                <w:snapToGrid w:val="0"/>
                <w:kern w:val="0"/>
                <w:sz w:val="28"/>
                <w:szCs w:val="28"/>
              </w:rPr>
              <w:t>起泡</w:t>
            </w:r>
            <w:r>
              <w:rPr>
                <w:rFonts w:eastAsia="仿宋_GB2312"/>
                <w:snapToGrid w:val="0"/>
                <w:kern w:val="0"/>
                <w:sz w:val="28"/>
                <w:szCs w:val="28"/>
              </w:rPr>
              <w:t>/</w:t>
            </w:r>
            <w:r>
              <w:rPr>
                <w:rFonts w:eastAsia="仿宋_GB2312" w:hint="eastAsia"/>
                <w:snapToGrid w:val="0"/>
                <w:kern w:val="0"/>
                <w:sz w:val="28"/>
                <w:szCs w:val="28"/>
              </w:rPr>
              <w:t>变形。</w:t>
            </w:r>
          </w:p>
        </w:tc>
      </w:tr>
      <w:tr w:rsidR="00830061" w14:paraId="6530C8D9"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226073D9"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压力测试功能</w:t>
            </w:r>
          </w:p>
        </w:tc>
        <w:tc>
          <w:tcPr>
            <w:tcW w:w="3421" w:type="pct"/>
            <w:tcBorders>
              <w:top w:val="single" w:sz="4" w:space="0" w:color="000000"/>
              <w:left w:val="single" w:sz="4" w:space="0" w:color="000000"/>
              <w:bottom w:val="single" w:sz="4" w:space="0" w:color="000000"/>
              <w:right w:val="single" w:sz="4" w:space="0" w:color="000000"/>
            </w:tcBorders>
            <w:vAlign w:val="center"/>
          </w:tcPr>
          <w:p w14:paraId="178DAF00"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压力超出测量范围；压力传感器功能失效；测试控制电路失效；压力测试支撑板断裂。</w:t>
            </w:r>
          </w:p>
        </w:tc>
      </w:tr>
      <w:tr w:rsidR="00830061" w14:paraId="57DF28F1"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0577500D"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控制功能</w:t>
            </w:r>
          </w:p>
        </w:tc>
        <w:tc>
          <w:tcPr>
            <w:tcW w:w="3421" w:type="pct"/>
            <w:tcBorders>
              <w:top w:val="single" w:sz="4" w:space="0" w:color="000000"/>
              <w:left w:val="single" w:sz="4" w:space="0" w:color="000000"/>
              <w:bottom w:val="single" w:sz="4" w:space="0" w:color="000000"/>
              <w:right w:val="single" w:sz="4" w:space="0" w:color="000000"/>
            </w:tcBorders>
            <w:vAlign w:val="center"/>
          </w:tcPr>
          <w:p w14:paraId="3C15D7F3"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计算机控制操作与测量平台连接中断、信息丢失；硬件失效。</w:t>
            </w:r>
          </w:p>
        </w:tc>
      </w:tr>
      <w:tr w:rsidR="00830061" w14:paraId="4EAA6C6D" w14:textId="77777777">
        <w:trPr>
          <w:trHeight w:val="283"/>
        </w:trPr>
        <w:tc>
          <w:tcPr>
            <w:tcW w:w="1578" w:type="pct"/>
            <w:tcBorders>
              <w:top w:val="single" w:sz="4" w:space="0" w:color="000000"/>
              <w:left w:val="single" w:sz="4" w:space="0" w:color="000000"/>
              <w:bottom w:val="single" w:sz="4" w:space="0" w:color="000000"/>
              <w:right w:val="single" w:sz="4" w:space="0" w:color="000000"/>
            </w:tcBorders>
            <w:vAlign w:val="center"/>
          </w:tcPr>
          <w:p w14:paraId="0FA340F3"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安全设计</w:t>
            </w:r>
          </w:p>
        </w:tc>
        <w:tc>
          <w:tcPr>
            <w:tcW w:w="3421" w:type="pct"/>
            <w:tcBorders>
              <w:top w:val="single" w:sz="4" w:space="0" w:color="000000"/>
              <w:left w:val="single" w:sz="4" w:space="0" w:color="000000"/>
              <w:bottom w:val="single" w:sz="4" w:space="0" w:color="000000"/>
              <w:right w:val="single" w:sz="4" w:space="0" w:color="000000"/>
            </w:tcBorders>
            <w:vAlign w:val="center"/>
          </w:tcPr>
          <w:p w14:paraId="45A5748E"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压力装置失效；测试平台与计算机控制失效；电路进水损坏；扶手失效；测试平台受外力冲击。</w:t>
            </w:r>
          </w:p>
        </w:tc>
      </w:tr>
      <w:tr w:rsidR="00830061" w14:paraId="242413C3" w14:textId="77777777">
        <w:trPr>
          <w:trHeight w:val="1275"/>
        </w:trPr>
        <w:tc>
          <w:tcPr>
            <w:tcW w:w="1578" w:type="pct"/>
            <w:tcBorders>
              <w:top w:val="single" w:sz="4" w:space="0" w:color="000000"/>
              <w:left w:val="single" w:sz="4" w:space="0" w:color="000000"/>
              <w:bottom w:val="single" w:sz="4" w:space="0" w:color="000000"/>
              <w:right w:val="single" w:sz="4" w:space="0" w:color="000000"/>
            </w:tcBorders>
            <w:vAlign w:val="center"/>
          </w:tcPr>
          <w:p w14:paraId="71103332"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不适当的操作说明</w:t>
            </w:r>
          </w:p>
        </w:tc>
        <w:tc>
          <w:tcPr>
            <w:tcW w:w="3421" w:type="pct"/>
            <w:tcBorders>
              <w:top w:val="single" w:sz="4" w:space="0" w:color="000000"/>
              <w:left w:val="single" w:sz="4" w:space="0" w:color="000000"/>
              <w:bottom w:val="single" w:sz="4" w:space="0" w:color="000000"/>
              <w:right w:val="single" w:sz="4" w:space="0" w:color="000000"/>
            </w:tcBorders>
            <w:vAlign w:val="center"/>
          </w:tcPr>
          <w:p w14:paraId="1D678DC0"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使用不适当的附件</w:t>
            </w:r>
            <w:r>
              <w:rPr>
                <w:rFonts w:eastAsia="仿宋_GB2312" w:hint="eastAsia"/>
                <w:snapToGrid w:val="0"/>
                <w:kern w:val="0"/>
                <w:sz w:val="28"/>
                <w:szCs w:val="28"/>
              </w:rPr>
              <w:t>(</w:t>
            </w:r>
            <w:r>
              <w:rPr>
                <w:rFonts w:eastAsia="仿宋_GB2312" w:hint="eastAsia"/>
                <w:snapToGrid w:val="0"/>
                <w:kern w:val="0"/>
                <w:sz w:val="28"/>
                <w:szCs w:val="28"/>
              </w:rPr>
              <w:t>打印机、外设音频等</w:t>
            </w:r>
            <w:r>
              <w:rPr>
                <w:rFonts w:eastAsia="仿宋_GB2312" w:hint="eastAsia"/>
                <w:snapToGrid w:val="0"/>
                <w:kern w:val="0"/>
                <w:sz w:val="28"/>
                <w:szCs w:val="28"/>
              </w:rPr>
              <w:t>)</w:t>
            </w:r>
            <w:r>
              <w:rPr>
                <w:rFonts w:eastAsia="仿宋_GB2312" w:hint="eastAsia"/>
                <w:snapToGrid w:val="0"/>
                <w:kern w:val="0"/>
                <w:sz w:val="28"/>
                <w:szCs w:val="28"/>
              </w:rPr>
              <w:t>，导致部分功能失效；对日常使用维护、校准规定的不明确、不适当，导致设备偏离正常使用状态；设备使用环境条件规定不明确，或未按规定条件使用，可能导致设备损坏或不能正常工作。</w:t>
            </w:r>
          </w:p>
        </w:tc>
      </w:tr>
      <w:tr w:rsidR="00830061" w14:paraId="5A4C59FE" w14:textId="77777777">
        <w:trPr>
          <w:trHeight w:val="90"/>
        </w:trPr>
        <w:tc>
          <w:tcPr>
            <w:tcW w:w="1578" w:type="pct"/>
            <w:tcBorders>
              <w:top w:val="single" w:sz="4" w:space="0" w:color="000000"/>
              <w:left w:val="single" w:sz="4" w:space="0" w:color="000000"/>
              <w:bottom w:val="single" w:sz="4" w:space="0" w:color="000000"/>
              <w:right w:val="single" w:sz="4" w:space="0" w:color="000000"/>
            </w:tcBorders>
            <w:vAlign w:val="center"/>
          </w:tcPr>
          <w:p w14:paraId="36563323"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由未经培训的人员使用</w:t>
            </w:r>
          </w:p>
        </w:tc>
        <w:tc>
          <w:tcPr>
            <w:tcW w:w="3421" w:type="pct"/>
            <w:tcBorders>
              <w:top w:val="single" w:sz="4" w:space="0" w:color="000000"/>
              <w:left w:val="single" w:sz="4" w:space="0" w:color="000000"/>
              <w:bottom w:val="single" w:sz="4" w:space="0" w:color="000000"/>
              <w:right w:val="single" w:sz="4" w:space="0" w:color="000000"/>
            </w:tcBorders>
            <w:vAlign w:val="center"/>
          </w:tcPr>
          <w:p w14:paraId="7BFBBF72"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测试数据偏差大；测量姿势与软件要求不对应导致测量错误；软件操作错误导致不能输出。</w:t>
            </w:r>
          </w:p>
        </w:tc>
      </w:tr>
      <w:tr w:rsidR="00830061" w14:paraId="4D96AB52" w14:textId="77777777">
        <w:trPr>
          <w:trHeight w:val="557"/>
        </w:trPr>
        <w:tc>
          <w:tcPr>
            <w:tcW w:w="1578" w:type="pct"/>
            <w:tcBorders>
              <w:top w:val="single" w:sz="4" w:space="0" w:color="000000"/>
              <w:left w:val="single" w:sz="4" w:space="0" w:color="000000"/>
              <w:bottom w:val="single" w:sz="4" w:space="0" w:color="000000"/>
              <w:right w:val="single" w:sz="4" w:space="0" w:color="000000"/>
            </w:tcBorders>
            <w:vAlign w:val="center"/>
          </w:tcPr>
          <w:p w14:paraId="5C5B6755"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与耗材</w:t>
            </w:r>
            <w:r>
              <w:rPr>
                <w:rFonts w:eastAsia="仿宋_GB2312" w:hint="eastAsia"/>
                <w:snapToGrid w:val="0"/>
                <w:kern w:val="0"/>
                <w:sz w:val="28"/>
                <w:szCs w:val="28"/>
              </w:rPr>
              <w:t>/</w:t>
            </w:r>
            <w:r>
              <w:rPr>
                <w:rFonts w:eastAsia="仿宋_GB2312" w:hint="eastAsia"/>
                <w:snapToGrid w:val="0"/>
                <w:kern w:val="0"/>
                <w:sz w:val="28"/>
                <w:szCs w:val="28"/>
              </w:rPr>
              <w:t>附件</w:t>
            </w:r>
            <w:r>
              <w:rPr>
                <w:rFonts w:eastAsia="仿宋_GB2312" w:hint="eastAsia"/>
                <w:snapToGrid w:val="0"/>
                <w:kern w:val="0"/>
                <w:sz w:val="28"/>
                <w:szCs w:val="28"/>
              </w:rPr>
              <w:t>/</w:t>
            </w:r>
            <w:r>
              <w:rPr>
                <w:rFonts w:eastAsia="仿宋_GB2312" w:hint="eastAsia"/>
                <w:snapToGrid w:val="0"/>
                <w:kern w:val="0"/>
                <w:sz w:val="28"/>
                <w:szCs w:val="28"/>
              </w:rPr>
              <w:t>其他外设不兼容</w:t>
            </w:r>
          </w:p>
        </w:tc>
        <w:tc>
          <w:tcPr>
            <w:tcW w:w="3421" w:type="pct"/>
            <w:tcBorders>
              <w:top w:val="single" w:sz="4" w:space="0" w:color="000000"/>
              <w:left w:val="single" w:sz="4" w:space="0" w:color="000000"/>
              <w:bottom w:val="single" w:sz="4" w:space="0" w:color="000000"/>
              <w:right w:val="single" w:sz="4" w:space="0" w:color="000000"/>
            </w:tcBorders>
            <w:vAlign w:val="center"/>
          </w:tcPr>
          <w:p w14:paraId="7761246D"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未按要求选用适用的耗材，导致报告不能输出；附件未正常使用可能导致数据采集不准确，影响测量结果；外设不兼容可能导致部分功能失效。</w:t>
            </w:r>
          </w:p>
        </w:tc>
      </w:tr>
      <w:tr w:rsidR="00830061" w14:paraId="4275B3FE" w14:textId="77777777">
        <w:trPr>
          <w:trHeight w:val="1275"/>
        </w:trPr>
        <w:tc>
          <w:tcPr>
            <w:tcW w:w="1578" w:type="pct"/>
            <w:tcBorders>
              <w:top w:val="single" w:sz="4" w:space="0" w:color="000000"/>
              <w:left w:val="single" w:sz="4" w:space="0" w:color="000000"/>
              <w:bottom w:val="single" w:sz="4" w:space="0" w:color="000000"/>
              <w:right w:val="single" w:sz="4" w:space="0" w:color="000000"/>
            </w:tcBorders>
            <w:vAlign w:val="center"/>
          </w:tcPr>
          <w:p w14:paraId="3719372A"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电源或接地引起的危害</w:t>
            </w:r>
          </w:p>
        </w:tc>
        <w:tc>
          <w:tcPr>
            <w:tcW w:w="3421" w:type="pct"/>
            <w:tcBorders>
              <w:top w:val="single" w:sz="4" w:space="0" w:color="000000"/>
              <w:left w:val="single" w:sz="4" w:space="0" w:color="000000"/>
              <w:bottom w:val="single" w:sz="4" w:space="0" w:color="000000"/>
              <w:right w:val="single" w:sz="4" w:space="0" w:color="000000"/>
            </w:tcBorders>
            <w:vAlign w:val="center"/>
          </w:tcPr>
          <w:p w14:paraId="43F38C16"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未按产品要求输入正确电源，导致患者发生安全危害或设备损坏；不正确的接地导致患者发生危害或测量数据不准确。</w:t>
            </w:r>
          </w:p>
        </w:tc>
      </w:tr>
      <w:tr w:rsidR="00830061" w14:paraId="2C9B762E" w14:textId="77777777">
        <w:trPr>
          <w:trHeight w:val="605"/>
        </w:trPr>
        <w:tc>
          <w:tcPr>
            <w:tcW w:w="1578" w:type="pct"/>
            <w:tcBorders>
              <w:top w:val="single" w:sz="4" w:space="0" w:color="000000"/>
              <w:left w:val="single" w:sz="4" w:space="0" w:color="000000"/>
              <w:bottom w:val="single" w:sz="4" w:space="0" w:color="000000"/>
              <w:right w:val="single" w:sz="4" w:space="0" w:color="000000"/>
            </w:tcBorders>
            <w:vAlign w:val="center"/>
          </w:tcPr>
          <w:p w14:paraId="4F8A0D35"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lastRenderedPageBreak/>
              <w:t>不适当的标记</w:t>
            </w:r>
          </w:p>
        </w:tc>
        <w:tc>
          <w:tcPr>
            <w:tcW w:w="3421" w:type="pct"/>
            <w:tcBorders>
              <w:top w:val="single" w:sz="4" w:space="0" w:color="000000"/>
              <w:left w:val="single" w:sz="4" w:space="0" w:color="000000"/>
              <w:bottom w:val="single" w:sz="4" w:space="0" w:color="000000"/>
              <w:right w:val="single" w:sz="4" w:space="0" w:color="000000"/>
            </w:tcBorders>
            <w:vAlign w:val="center"/>
          </w:tcPr>
          <w:p w14:paraId="74355ACB"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设备外部和内部标记不全面、标记不正确或不能够清楚易认，以及标记不能够永久贴牢。</w:t>
            </w:r>
          </w:p>
        </w:tc>
      </w:tr>
      <w:tr w:rsidR="00830061" w14:paraId="6135427A" w14:textId="77777777">
        <w:trPr>
          <w:trHeight w:val="1275"/>
        </w:trPr>
        <w:tc>
          <w:tcPr>
            <w:tcW w:w="1578" w:type="pct"/>
            <w:tcBorders>
              <w:top w:val="single" w:sz="4" w:space="0" w:color="000000"/>
              <w:left w:val="single" w:sz="4" w:space="0" w:color="000000"/>
              <w:bottom w:val="single" w:sz="4" w:space="0" w:color="000000"/>
              <w:right w:val="single" w:sz="4" w:space="0" w:color="000000"/>
            </w:tcBorders>
            <w:vAlign w:val="center"/>
          </w:tcPr>
          <w:p w14:paraId="0FE6409F"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不完整的说明书</w:t>
            </w:r>
          </w:p>
        </w:tc>
        <w:tc>
          <w:tcPr>
            <w:tcW w:w="3421" w:type="pct"/>
            <w:tcBorders>
              <w:top w:val="single" w:sz="4" w:space="0" w:color="000000"/>
              <w:left w:val="single" w:sz="4" w:space="0" w:color="000000"/>
              <w:bottom w:val="single" w:sz="4" w:space="0" w:color="000000"/>
              <w:right w:val="single" w:sz="4" w:space="0" w:color="000000"/>
            </w:tcBorders>
            <w:vAlign w:val="center"/>
          </w:tcPr>
          <w:p w14:paraId="713B694C"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说明书中对产品预期用途、禁忌症、副作用等描述不规范、不完整，导致设备的非预期或超范围使用。</w:t>
            </w:r>
          </w:p>
        </w:tc>
      </w:tr>
      <w:tr w:rsidR="00830061" w14:paraId="0DA971D1" w14:textId="77777777">
        <w:trPr>
          <w:trHeight w:val="635"/>
        </w:trPr>
        <w:tc>
          <w:tcPr>
            <w:tcW w:w="1578" w:type="pct"/>
            <w:tcBorders>
              <w:top w:val="single" w:sz="4" w:space="0" w:color="000000"/>
              <w:left w:val="single" w:sz="4" w:space="0" w:color="000000"/>
              <w:bottom w:val="single" w:sz="4" w:space="0" w:color="000000"/>
              <w:right w:val="single" w:sz="4" w:space="0" w:color="000000"/>
            </w:tcBorders>
            <w:vAlign w:val="center"/>
          </w:tcPr>
          <w:p w14:paraId="7CF61EAB"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不恰当的操作维护</w:t>
            </w:r>
          </w:p>
        </w:tc>
        <w:tc>
          <w:tcPr>
            <w:tcW w:w="3421" w:type="pct"/>
            <w:tcBorders>
              <w:top w:val="single" w:sz="4" w:space="0" w:color="000000"/>
              <w:left w:val="single" w:sz="4" w:space="0" w:color="000000"/>
              <w:bottom w:val="single" w:sz="4" w:space="0" w:color="000000"/>
              <w:right w:val="single" w:sz="4" w:space="0" w:color="000000"/>
            </w:tcBorders>
            <w:vAlign w:val="center"/>
          </w:tcPr>
          <w:p w14:paraId="50ACF27F"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日常使用维护、校准规定不明确、不适当；过于复杂的操作说明。</w:t>
            </w:r>
          </w:p>
        </w:tc>
      </w:tr>
      <w:tr w:rsidR="00830061" w14:paraId="7A3EC99C" w14:textId="77777777">
        <w:trPr>
          <w:trHeight w:val="650"/>
        </w:trPr>
        <w:tc>
          <w:tcPr>
            <w:tcW w:w="1578" w:type="pct"/>
            <w:tcBorders>
              <w:top w:val="single" w:sz="4" w:space="0" w:color="000000"/>
              <w:left w:val="single" w:sz="4" w:space="0" w:color="000000"/>
              <w:bottom w:val="single" w:sz="4" w:space="0" w:color="000000"/>
              <w:right w:val="single" w:sz="4" w:space="0" w:color="000000"/>
            </w:tcBorders>
            <w:vAlign w:val="center"/>
          </w:tcPr>
          <w:p w14:paraId="5061F694"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复杂的控制系统</w:t>
            </w:r>
          </w:p>
        </w:tc>
        <w:tc>
          <w:tcPr>
            <w:tcW w:w="3421" w:type="pct"/>
            <w:tcBorders>
              <w:top w:val="single" w:sz="4" w:space="0" w:color="000000"/>
              <w:left w:val="single" w:sz="4" w:space="0" w:color="000000"/>
              <w:bottom w:val="single" w:sz="4" w:space="0" w:color="000000"/>
              <w:right w:val="single" w:sz="4" w:space="0" w:color="000000"/>
            </w:tcBorders>
            <w:vAlign w:val="center"/>
          </w:tcPr>
          <w:p w14:paraId="51581366"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设备提供的人、机交流的界面过于复杂，容易引起误操作而造成危害。</w:t>
            </w:r>
          </w:p>
        </w:tc>
      </w:tr>
      <w:tr w:rsidR="00830061" w14:paraId="5B891D01" w14:textId="77777777">
        <w:trPr>
          <w:trHeight w:val="440"/>
        </w:trPr>
        <w:tc>
          <w:tcPr>
            <w:tcW w:w="1578" w:type="pct"/>
            <w:tcBorders>
              <w:top w:val="single" w:sz="4" w:space="0" w:color="000000"/>
              <w:left w:val="single" w:sz="4" w:space="0" w:color="000000"/>
              <w:bottom w:val="single" w:sz="4" w:space="0" w:color="000000"/>
              <w:right w:val="single" w:sz="4" w:space="0" w:color="000000"/>
            </w:tcBorders>
            <w:vAlign w:val="center"/>
          </w:tcPr>
          <w:p w14:paraId="495A2C63"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设备寿命终止</w:t>
            </w:r>
          </w:p>
        </w:tc>
        <w:tc>
          <w:tcPr>
            <w:tcW w:w="3421" w:type="pct"/>
            <w:tcBorders>
              <w:top w:val="single" w:sz="4" w:space="0" w:color="000000"/>
              <w:left w:val="single" w:sz="4" w:space="0" w:color="000000"/>
              <w:bottom w:val="single" w:sz="4" w:space="0" w:color="000000"/>
              <w:right w:val="single" w:sz="4" w:space="0" w:color="000000"/>
            </w:tcBorders>
            <w:vAlign w:val="center"/>
          </w:tcPr>
          <w:p w14:paraId="1E263D1D" w14:textId="77777777" w:rsidR="00830061" w:rsidRDefault="004D6FF5">
            <w:pPr>
              <w:spacing w:line="400" w:lineRule="exact"/>
              <w:jc w:val="left"/>
              <w:rPr>
                <w:rFonts w:eastAsia="仿宋_GB2312"/>
                <w:snapToGrid w:val="0"/>
                <w:kern w:val="0"/>
                <w:sz w:val="28"/>
                <w:szCs w:val="28"/>
              </w:rPr>
            </w:pPr>
            <w:r>
              <w:rPr>
                <w:rFonts w:eastAsia="仿宋_GB2312" w:hint="eastAsia"/>
                <w:snapToGrid w:val="0"/>
                <w:kern w:val="0"/>
                <w:sz w:val="28"/>
                <w:szCs w:val="28"/>
              </w:rPr>
              <w:t>设备使用寿命规定不明确，设备主要元件失效可能导致产品失控给患者造成危害。</w:t>
            </w:r>
          </w:p>
        </w:tc>
      </w:tr>
    </w:tbl>
    <w:p w14:paraId="6400E469" w14:textId="77777777" w:rsidR="00830061" w:rsidRDefault="00830061">
      <w:pPr>
        <w:widowControl/>
        <w:jc w:val="left"/>
        <w:rPr>
          <w:sz w:val="24"/>
        </w:rPr>
      </w:pPr>
    </w:p>
    <w:sectPr w:rsidR="00830061">
      <w:footerReference w:type="even" r:id="rId7"/>
      <w:footerReference w:type="default" r:id="rId8"/>
      <w:pgSz w:w="11906" w:h="16838"/>
      <w:pgMar w:top="1701" w:right="1588" w:bottom="1701" w:left="1588" w:header="851" w:footer="1191" w:gutter="0"/>
      <w:lnNumType w:countBy="1" w:restart="continuous"/>
      <w:pgNumType w:chapStyle="1" w:chapSep="emDash"/>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B04A3" w14:textId="77777777" w:rsidR="004D6FF5" w:rsidRDefault="004D6FF5">
      <w:r>
        <w:separator/>
      </w:r>
    </w:p>
  </w:endnote>
  <w:endnote w:type="continuationSeparator" w:id="0">
    <w:p w14:paraId="03BF0248" w14:textId="77777777" w:rsidR="004D6FF5" w:rsidRDefault="004D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Adobe 仿宋 Std R">
    <w:altName w:val="仿宋"/>
    <w:charset w:val="86"/>
    <w:family w:val="roman"/>
    <w:pitch w:val="default"/>
    <w:sig w:usb0="00000000" w:usb1="00000000" w:usb2="00000016" w:usb3="00000000" w:csb0="00060007" w:csb1="00000000"/>
  </w:font>
  <w:font w:name="方正小标宋_GBK">
    <w:charset w:val="86"/>
    <w:family w:val="script"/>
    <w:pitch w:val="default"/>
    <w:sig w:usb0="00000001" w:usb1="080E0000" w:usb2="00000000" w:usb3="00000000" w:csb0="00040000" w:csb1="00000000"/>
  </w:font>
  <w:font w:name="Arial Unicode MS">
    <w:panose1 w:val="020B0604020202020204"/>
    <w:charset w:val="88"/>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TradeGothic CondEighteen">
    <w:altName w:val="宋体"/>
    <w:charset w:val="86"/>
    <w:family w:val="swiss"/>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3B03" w14:textId="4194AF96" w:rsidR="00830061" w:rsidRDefault="004D6FF5">
    <w:pPr>
      <w:pStyle w:val="af0"/>
      <w:rPr>
        <w:rFonts w:ascii="Times New Roman" w:hAnsi="Times New Roman" w:cs="Times New Roman"/>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E8400C" w:rsidRPr="00E8400C">
      <w:rPr>
        <w:rFonts w:ascii="Times New Roman" w:hAnsi="Times New Roman" w:cs="Times New Roman"/>
        <w:noProof/>
        <w:sz w:val="28"/>
        <w:szCs w:val="28"/>
        <w:lang w:val="zh-CN"/>
      </w:rPr>
      <w:t>2</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FEA3E" w14:textId="04320361" w:rsidR="00830061" w:rsidRDefault="004D6FF5">
    <w:pPr>
      <w:pStyle w:val="af0"/>
      <w:jc w:val="right"/>
      <w:rPr>
        <w:rFonts w:ascii="Times New Roman" w:hAnsi="Times New Roman" w:cs="Times New Roman"/>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E8400C" w:rsidRPr="00E8400C">
      <w:rPr>
        <w:rFonts w:ascii="Times New Roman" w:hAnsi="Times New Roman" w:cs="Times New Roman"/>
        <w:noProof/>
        <w:sz w:val="28"/>
        <w:szCs w:val="28"/>
        <w:lang w:val="zh-CN"/>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29C6B" w14:textId="77777777" w:rsidR="004D6FF5" w:rsidRDefault="004D6FF5">
      <w:r>
        <w:separator/>
      </w:r>
    </w:p>
  </w:footnote>
  <w:footnote w:type="continuationSeparator" w:id="0">
    <w:p w14:paraId="7A1523F5" w14:textId="77777777" w:rsidR="004D6FF5" w:rsidRDefault="004D6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trackRevisions/>
  <w:defaultTabStop w:val="420"/>
  <w:evenAndOddHeaders/>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00821123"/>
    <w:rsid w:val="00002AAD"/>
    <w:rsid w:val="0001205C"/>
    <w:rsid w:val="000146D7"/>
    <w:rsid w:val="000329DA"/>
    <w:rsid w:val="000438CB"/>
    <w:rsid w:val="00054ACF"/>
    <w:rsid w:val="00080F42"/>
    <w:rsid w:val="000910C6"/>
    <w:rsid w:val="000A63C1"/>
    <w:rsid w:val="000C6C10"/>
    <w:rsid w:val="000D139A"/>
    <w:rsid w:val="000D32E0"/>
    <w:rsid w:val="000D4E34"/>
    <w:rsid w:val="000E2B28"/>
    <w:rsid w:val="000F2D99"/>
    <w:rsid w:val="000F53E6"/>
    <w:rsid w:val="00106A9D"/>
    <w:rsid w:val="00114E64"/>
    <w:rsid w:val="00122FBD"/>
    <w:rsid w:val="00134ED0"/>
    <w:rsid w:val="00137012"/>
    <w:rsid w:val="00141273"/>
    <w:rsid w:val="00142358"/>
    <w:rsid w:val="00147FF5"/>
    <w:rsid w:val="00150298"/>
    <w:rsid w:val="001509A6"/>
    <w:rsid w:val="00150E66"/>
    <w:rsid w:val="00151932"/>
    <w:rsid w:val="00175298"/>
    <w:rsid w:val="00184973"/>
    <w:rsid w:val="00191F7A"/>
    <w:rsid w:val="001A2470"/>
    <w:rsid w:val="001A4F78"/>
    <w:rsid w:val="001A70F6"/>
    <w:rsid w:val="001B78C4"/>
    <w:rsid w:val="001C4F2E"/>
    <w:rsid w:val="001D11D9"/>
    <w:rsid w:val="001D1A12"/>
    <w:rsid w:val="001D6B0C"/>
    <w:rsid w:val="001F0DF0"/>
    <w:rsid w:val="001F1046"/>
    <w:rsid w:val="001F7BD9"/>
    <w:rsid w:val="00201F93"/>
    <w:rsid w:val="00202431"/>
    <w:rsid w:val="002062EA"/>
    <w:rsid w:val="00217E23"/>
    <w:rsid w:val="00217F03"/>
    <w:rsid w:val="00222BB7"/>
    <w:rsid w:val="00230AE5"/>
    <w:rsid w:val="0023286C"/>
    <w:rsid w:val="00244D02"/>
    <w:rsid w:val="00252B40"/>
    <w:rsid w:val="002548F3"/>
    <w:rsid w:val="002721DC"/>
    <w:rsid w:val="00294F3C"/>
    <w:rsid w:val="00295409"/>
    <w:rsid w:val="00295F3E"/>
    <w:rsid w:val="00295F62"/>
    <w:rsid w:val="002B2CA7"/>
    <w:rsid w:val="002D084E"/>
    <w:rsid w:val="002D5575"/>
    <w:rsid w:val="002F062A"/>
    <w:rsid w:val="002F557C"/>
    <w:rsid w:val="003079E8"/>
    <w:rsid w:val="003100D4"/>
    <w:rsid w:val="003210DE"/>
    <w:rsid w:val="003311B9"/>
    <w:rsid w:val="003438E9"/>
    <w:rsid w:val="003511FE"/>
    <w:rsid w:val="0035732D"/>
    <w:rsid w:val="0036717C"/>
    <w:rsid w:val="003832CA"/>
    <w:rsid w:val="00386FA0"/>
    <w:rsid w:val="00390CE2"/>
    <w:rsid w:val="00393EFB"/>
    <w:rsid w:val="003953C8"/>
    <w:rsid w:val="003B7510"/>
    <w:rsid w:val="003C4213"/>
    <w:rsid w:val="003E3F6A"/>
    <w:rsid w:val="003F0E18"/>
    <w:rsid w:val="0040332E"/>
    <w:rsid w:val="004067A3"/>
    <w:rsid w:val="00412EF1"/>
    <w:rsid w:val="004150EE"/>
    <w:rsid w:val="0041585F"/>
    <w:rsid w:val="00417976"/>
    <w:rsid w:val="004214A4"/>
    <w:rsid w:val="004246F2"/>
    <w:rsid w:val="00436D1B"/>
    <w:rsid w:val="004627AE"/>
    <w:rsid w:val="00470FAE"/>
    <w:rsid w:val="00480C25"/>
    <w:rsid w:val="00482972"/>
    <w:rsid w:val="00483ECD"/>
    <w:rsid w:val="004871DF"/>
    <w:rsid w:val="00494D22"/>
    <w:rsid w:val="004A31E1"/>
    <w:rsid w:val="004A429D"/>
    <w:rsid w:val="004B1017"/>
    <w:rsid w:val="004D6FF5"/>
    <w:rsid w:val="004E6C7B"/>
    <w:rsid w:val="004F1767"/>
    <w:rsid w:val="004F2884"/>
    <w:rsid w:val="004F486F"/>
    <w:rsid w:val="00503A45"/>
    <w:rsid w:val="005040E6"/>
    <w:rsid w:val="00507CB6"/>
    <w:rsid w:val="00510DB3"/>
    <w:rsid w:val="0056091D"/>
    <w:rsid w:val="005648E1"/>
    <w:rsid w:val="005755AA"/>
    <w:rsid w:val="00580051"/>
    <w:rsid w:val="005C6177"/>
    <w:rsid w:val="005D5360"/>
    <w:rsid w:val="005D5874"/>
    <w:rsid w:val="005D71E7"/>
    <w:rsid w:val="005F12D4"/>
    <w:rsid w:val="0060513F"/>
    <w:rsid w:val="0060713A"/>
    <w:rsid w:val="00611357"/>
    <w:rsid w:val="00615B40"/>
    <w:rsid w:val="0061625D"/>
    <w:rsid w:val="00616661"/>
    <w:rsid w:val="00617194"/>
    <w:rsid w:val="006200A5"/>
    <w:rsid w:val="0063084F"/>
    <w:rsid w:val="00631AA9"/>
    <w:rsid w:val="00635BFE"/>
    <w:rsid w:val="006376F5"/>
    <w:rsid w:val="00640B84"/>
    <w:rsid w:val="00641D70"/>
    <w:rsid w:val="006515C5"/>
    <w:rsid w:val="00651DCB"/>
    <w:rsid w:val="00664817"/>
    <w:rsid w:val="0066775D"/>
    <w:rsid w:val="00674AA4"/>
    <w:rsid w:val="00690E61"/>
    <w:rsid w:val="006C0F4B"/>
    <w:rsid w:val="006C14F6"/>
    <w:rsid w:val="006C769A"/>
    <w:rsid w:val="006E697B"/>
    <w:rsid w:val="00710650"/>
    <w:rsid w:val="007459D2"/>
    <w:rsid w:val="00745B62"/>
    <w:rsid w:val="00762F1C"/>
    <w:rsid w:val="00773D78"/>
    <w:rsid w:val="00786DDB"/>
    <w:rsid w:val="0078788F"/>
    <w:rsid w:val="0079267F"/>
    <w:rsid w:val="007A5573"/>
    <w:rsid w:val="007A7B0C"/>
    <w:rsid w:val="007B226A"/>
    <w:rsid w:val="007B7E01"/>
    <w:rsid w:val="007C22B0"/>
    <w:rsid w:val="007C2F1E"/>
    <w:rsid w:val="007E6720"/>
    <w:rsid w:val="00801DA7"/>
    <w:rsid w:val="00803E88"/>
    <w:rsid w:val="00805CCE"/>
    <w:rsid w:val="00807022"/>
    <w:rsid w:val="0080729F"/>
    <w:rsid w:val="00814D41"/>
    <w:rsid w:val="00815364"/>
    <w:rsid w:val="00816FEF"/>
    <w:rsid w:val="00821123"/>
    <w:rsid w:val="00822C26"/>
    <w:rsid w:val="00822C68"/>
    <w:rsid w:val="00827ED2"/>
    <w:rsid w:val="00830061"/>
    <w:rsid w:val="00831214"/>
    <w:rsid w:val="00844620"/>
    <w:rsid w:val="00857E8D"/>
    <w:rsid w:val="00860D78"/>
    <w:rsid w:val="00863986"/>
    <w:rsid w:val="00866BF0"/>
    <w:rsid w:val="00875AE8"/>
    <w:rsid w:val="00894CA1"/>
    <w:rsid w:val="008A50D5"/>
    <w:rsid w:val="008A7314"/>
    <w:rsid w:val="008C4E8F"/>
    <w:rsid w:val="008C7889"/>
    <w:rsid w:val="008D589E"/>
    <w:rsid w:val="008E64B6"/>
    <w:rsid w:val="008E6A31"/>
    <w:rsid w:val="009061D8"/>
    <w:rsid w:val="009116A9"/>
    <w:rsid w:val="00962F71"/>
    <w:rsid w:val="0096346A"/>
    <w:rsid w:val="009678E3"/>
    <w:rsid w:val="00985E9C"/>
    <w:rsid w:val="0099578F"/>
    <w:rsid w:val="00995A66"/>
    <w:rsid w:val="009A49FC"/>
    <w:rsid w:val="009B2A62"/>
    <w:rsid w:val="009B7D19"/>
    <w:rsid w:val="009C0679"/>
    <w:rsid w:val="009C7F29"/>
    <w:rsid w:val="009D0AF5"/>
    <w:rsid w:val="009D2C2D"/>
    <w:rsid w:val="009D751B"/>
    <w:rsid w:val="009E0C86"/>
    <w:rsid w:val="009F09DB"/>
    <w:rsid w:val="009F46C1"/>
    <w:rsid w:val="009F7002"/>
    <w:rsid w:val="00A076CC"/>
    <w:rsid w:val="00A16C43"/>
    <w:rsid w:val="00A21DA8"/>
    <w:rsid w:val="00A346B7"/>
    <w:rsid w:val="00A632DA"/>
    <w:rsid w:val="00A650B1"/>
    <w:rsid w:val="00A81F0C"/>
    <w:rsid w:val="00AA606B"/>
    <w:rsid w:val="00AA7E86"/>
    <w:rsid w:val="00AF37DC"/>
    <w:rsid w:val="00B2671F"/>
    <w:rsid w:val="00B2724F"/>
    <w:rsid w:val="00B27B9C"/>
    <w:rsid w:val="00B313FA"/>
    <w:rsid w:val="00B358A7"/>
    <w:rsid w:val="00B35B77"/>
    <w:rsid w:val="00B52670"/>
    <w:rsid w:val="00B539BD"/>
    <w:rsid w:val="00B61E5F"/>
    <w:rsid w:val="00B66FE3"/>
    <w:rsid w:val="00B7255B"/>
    <w:rsid w:val="00B73BB9"/>
    <w:rsid w:val="00BA6435"/>
    <w:rsid w:val="00BB26D7"/>
    <w:rsid w:val="00BB5B75"/>
    <w:rsid w:val="00BC7D43"/>
    <w:rsid w:val="00BD3433"/>
    <w:rsid w:val="00BD50B5"/>
    <w:rsid w:val="00BD5BB8"/>
    <w:rsid w:val="00BD724C"/>
    <w:rsid w:val="00BE37BC"/>
    <w:rsid w:val="00BE4CAF"/>
    <w:rsid w:val="00BE6AAA"/>
    <w:rsid w:val="00BF33A6"/>
    <w:rsid w:val="00C10FD2"/>
    <w:rsid w:val="00C22178"/>
    <w:rsid w:val="00C25443"/>
    <w:rsid w:val="00C421D8"/>
    <w:rsid w:val="00C44664"/>
    <w:rsid w:val="00C77C14"/>
    <w:rsid w:val="00C811A3"/>
    <w:rsid w:val="00C83662"/>
    <w:rsid w:val="00CA15D0"/>
    <w:rsid w:val="00CB40F3"/>
    <w:rsid w:val="00CC15CF"/>
    <w:rsid w:val="00CC7810"/>
    <w:rsid w:val="00CD1FB9"/>
    <w:rsid w:val="00CD281C"/>
    <w:rsid w:val="00CD3794"/>
    <w:rsid w:val="00CD7359"/>
    <w:rsid w:val="00CD7A74"/>
    <w:rsid w:val="00CE7716"/>
    <w:rsid w:val="00CF3E07"/>
    <w:rsid w:val="00D05F96"/>
    <w:rsid w:val="00D0654B"/>
    <w:rsid w:val="00D07ADF"/>
    <w:rsid w:val="00D2114A"/>
    <w:rsid w:val="00D22218"/>
    <w:rsid w:val="00D31360"/>
    <w:rsid w:val="00D35304"/>
    <w:rsid w:val="00D364F7"/>
    <w:rsid w:val="00D57B53"/>
    <w:rsid w:val="00D9244F"/>
    <w:rsid w:val="00D935D2"/>
    <w:rsid w:val="00D941BF"/>
    <w:rsid w:val="00D96564"/>
    <w:rsid w:val="00DA3197"/>
    <w:rsid w:val="00DB285C"/>
    <w:rsid w:val="00DB63E0"/>
    <w:rsid w:val="00DC2A13"/>
    <w:rsid w:val="00DD3C30"/>
    <w:rsid w:val="00DE4529"/>
    <w:rsid w:val="00DE73B5"/>
    <w:rsid w:val="00DF1104"/>
    <w:rsid w:val="00DF487B"/>
    <w:rsid w:val="00DF6A15"/>
    <w:rsid w:val="00E1589F"/>
    <w:rsid w:val="00E2148D"/>
    <w:rsid w:val="00E42413"/>
    <w:rsid w:val="00E511BD"/>
    <w:rsid w:val="00E8400C"/>
    <w:rsid w:val="00E84CB3"/>
    <w:rsid w:val="00E917E5"/>
    <w:rsid w:val="00EB2334"/>
    <w:rsid w:val="00EC5105"/>
    <w:rsid w:val="00F017EC"/>
    <w:rsid w:val="00F0460C"/>
    <w:rsid w:val="00F1084F"/>
    <w:rsid w:val="00F20FE6"/>
    <w:rsid w:val="00F228D8"/>
    <w:rsid w:val="00F30FB1"/>
    <w:rsid w:val="00F31C51"/>
    <w:rsid w:val="00F32980"/>
    <w:rsid w:val="00F44E8C"/>
    <w:rsid w:val="00F60271"/>
    <w:rsid w:val="00F82827"/>
    <w:rsid w:val="00F83687"/>
    <w:rsid w:val="00F83D79"/>
    <w:rsid w:val="00F91F4F"/>
    <w:rsid w:val="00FA2C4A"/>
    <w:rsid w:val="00FA53B8"/>
    <w:rsid w:val="00FA576D"/>
    <w:rsid w:val="00FB43F0"/>
    <w:rsid w:val="00FB4825"/>
    <w:rsid w:val="00FC0178"/>
    <w:rsid w:val="00FE498C"/>
    <w:rsid w:val="00FE4E41"/>
    <w:rsid w:val="00FF31AA"/>
    <w:rsid w:val="00FF4B9A"/>
    <w:rsid w:val="00FF6DAE"/>
    <w:rsid w:val="043C5180"/>
    <w:rsid w:val="092B7C9F"/>
    <w:rsid w:val="0E9755BD"/>
    <w:rsid w:val="0FA81336"/>
    <w:rsid w:val="101B3E95"/>
    <w:rsid w:val="10A81B43"/>
    <w:rsid w:val="146C3C63"/>
    <w:rsid w:val="14F52936"/>
    <w:rsid w:val="16301A66"/>
    <w:rsid w:val="167F4889"/>
    <w:rsid w:val="16D62D1A"/>
    <w:rsid w:val="1C6D2AAB"/>
    <w:rsid w:val="1C870AAA"/>
    <w:rsid w:val="1D2B1207"/>
    <w:rsid w:val="1F9F7F59"/>
    <w:rsid w:val="1FFE4DEE"/>
    <w:rsid w:val="252C6AFF"/>
    <w:rsid w:val="289E21DE"/>
    <w:rsid w:val="2AF26F65"/>
    <w:rsid w:val="2B2152D3"/>
    <w:rsid w:val="2BC22E69"/>
    <w:rsid w:val="2D4C33CA"/>
    <w:rsid w:val="2E791901"/>
    <w:rsid w:val="2E9A2C57"/>
    <w:rsid w:val="3115045E"/>
    <w:rsid w:val="326042FA"/>
    <w:rsid w:val="32A7021D"/>
    <w:rsid w:val="370169C9"/>
    <w:rsid w:val="38116BF2"/>
    <w:rsid w:val="39147BA4"/>
    <w:rsid w:val="3B9534F2"/>
    <w:rsid w:val="3F536E56"/>
    <w:rsid w:val="44A72099"/>
    <w:rsid w:val="465A240C"/>
    <w:rsid w:val="48E7790C"/>
    <w:rsid w:val="4A9F6E9A"/>
    <w:rsid w:val="4B536D61"/>
    <w:rsid w:val="50D81F61"/>
    <w:rsid w:val="50FB01E6"/>
    <w:rsid w:val="59756146"/>
    <w:rsid w:val="5D98358F"/>
    <w:rsid w:val="5E2373B1"/>
    <w:rsid w:val="5E4A56CF"/>
    <w:rsid w:val="603B70A8"/>
    <w:rsid w:val="60CE5D95"/>
    <w:rsid w:val="62AC3ECF"/>
    <w:rsid w:val="6DC63590"/>
    <w:rsid w:val="701E647A"/>
    <w:rsid w:val="70920A19"/>
    <w:rsid w:val="70EC2641"/>
    <w:rsid w:val="736268A3"/>
    <w:rsid w:val="751533A5"/>
    <w:rsid w:val="7EC00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DCF2F9-2E7F-4037-BAE8-CF2E8995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qFormat="1"/>
    <w:lsdException w:name="line number"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paragraph" w:styleId="2">
    <w:name w:val="heading 2"/>
    <w:basedOn w:val="a"/>
    <w:next w:val="a"/>
    <w:link w:val="20"/>
    <w:uiPriority w:val="9"/>
    <w:unhideWhenUsed/>
    <w:qFormat/>
    <w:pPr>
      <w:keepNext/>
      <w:keepLines/>
      <w:spacing w:line="360" w:lineRule="auto"/>
      <w:ind w:firstLineChars="200" w:firstLine="200"/>
      <w:outlineLvl w:val="1"/>
    </w:pPr>
    <w:rPr>
      <w:rFonts w:asciiTheme="majorHAnsi" w:eastAsia="黑体" w:hAnsiTheme="majorHAnsi" w:cstheme="majorBidi"/>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
    <w:link w:val="50"/>
    <w:qFormat/>
    <w:pPr>
      <w:keepNext/>
      <w:keepLines/>
      <w:spacing w:before="280" w:after="290" w:line="376" w:lineRule="auto"/>
      <w:outlineLvl w:val="4"/>
    </w:pPr>
    <w:rPr>
      <w:b/>
      <w:bCs/>
      <w:sz w:val="28"/>
      <w:szCs w:val="28"/>
    </w:rPr>
  </w:style>
  <w:style w:type="paragraph" w:styleId="6">
    <w:name w:val="heading 6"/>
    <w:basedOn w:val="a"/>
    <w:next w:val="a"/>
    <w:link w:val="60"/>
    <w:qFormat/>
    <w:pPr>
      <w:keepNext/>
      <w:keepLines/>
      <w:spacing w:before="240" w:after="64" w:line="320" w:lineRule="auto"/>
      <w:outlineLvl w:val="5"/>
    </w:pPr>
    <w:rPr>
      <w:rFonts w:ascii="Calibri Light" w:hAnsi="Calibri Light"/>
      <w:b/>
      <w:bCs/>
      <w:sz w:val="24"/>
    </w:rPr>
  </w:style>
  <w:style w:type="paragraph" w:styleId="7">
    <w:name w:val="heading 7"/>
    <w:basedOn w:val="a"/>
    <w:next w:val="a"/>
    <w:link w:val="70"/>
    <w:qFormat/>
    <w:pPr>
      <w:keepNext/>
      <w:keepLines/>
      <w:spacing w:before="240" w:after="64" w:line="320" w:lineRule="auto"/>
      <w:outlineLvl w:val="6"/>
    </w:pPr>
    <w:rPr>
      <w:b/>
      <w:bCs/>
      <w:sz w:val="24"/>
    </w:rPr>
  </w:style>
  <w:style w:type="paragraph" w:styleId="8">
    <w:name w:val="heading 8"/>
    <w:basedOn w:val="a"/>
    <w:next w:val="a"/>
    <w:link w:val="80"/>
    <w:qFormat/>
    <w:pPr>
      <w:keepNext/>
      <w:keepLines/>
      <w:spacing w:before="240" w:after="64" w:line="320" w:lineRule="auto"/>
      <w:outlineLvl w:val="7"/>
    </w:pPr>
    <w:rPr>
      <w:rFonts w:ascii="Calibri Light" w:hAnsi="Calibri Light"/>
      <w:sz w:val="24"/>
    </w:rPr>
  </w:style>
  <w:style w:type="paragraph" w:styleId="9">
    <w:name w:val="heading 9"/>
    <w:basedOn w:val="a"/>
    <w:next w:val="a"/>
    <w:link w:val="90"/>
    <w:unhideWhenUsed/>
    <w:qFormat/>
    <w:pPr>
      <w:keepNext/>
      <w:keepLines/>
      <w:spacing w:before="240" w:after="64" w:line="320" w:lineRule="auto"/>
      <w:outlineLvl w:val="8"/>
    </w:pPr>
    <w:rPr>
      <w:rFonts w:ascii="等线 Light" w:eastAsia="等线 Light" w:hAnsi="等线 Light"/>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leftChars="200" w:left="480"/>
    </w:pPr>
    <w:rPr>
      <w:rFonts w:ascii="Calibri" w:hAnsi="Calibri"/>
    </w:rPr>
  </w:style>
  <w:style w:type="paragraph" w:styleId="a4">
    <w:name w:val="Document Map"/>
    <w:basedOn w:val="a"/>
    <w:link w:val="a5"/>
    <w:semiHidden/>
    <w:qFormat/>
    <w:pPr>
      <w:shd w:val="clear" w:color="auto" w:fill="000080"/>
    </w:pPr>
  </w:style>
  <w:style w:type="paragraph" w:styleId="a6">
    <w:name w:val="annotation text"/>
    <w:basedOn w:val="a"/>
    <w:link w:val="a7"/>
    <w:uiPriority w:val="99"/>
    <w:unhideWhenUsed/>
    <w:qFormat/>
    <w:pPr>
      <w:jc w:val="left"/>
    </w:pPr>
    <w:rPr>
      <w:rFonts w:ascii="宋体" w:hAnsi="宋体" w:cs="宋体"/>
      <w:sz w:val="24"/>
    </w:rPr>
  </w:style>
  <w:style w:type="paragraph" w:styleId="a8">
    <w:name w:val="Body Text"/>
    <w:basedOn w:val="a"/>
    <w:link w:val="a9"/>
    <w:qFormat/>
    <w:pPr>
      <w:spacing w:after="120"/>
    </w:pPr>
    <w:rPr>
      <w:rFonts w:eastAsiaTheme="minorEastAsia" w:cstheme="minorBidi"/>
    </w:rPr>
  </w:style>
  <w:style w:type="paragraph" w:styleId="aa">
    <w:name w:val="Plain Text"/>
    <w:basedOn w:val="a"/>
    <w:link w:val="ab"/>
    <w:uiPriority w:val="99"/>
    <w:unhideWhenUsed/>
    <w:qFormat/>
    <w:rPr>
      <w:rFonts w:ascii="宋体" w:hAnsi="Courier New" w:cs="Courier New"/>
      <w:szCs w:val="21"/>
    </w:rPr>
  </w:style>
  <w:style w:type="paragraph" w:styleId="ac">
    <w:name w:val="Date"/>
    <w:basedOn w:val="a"/>
    <w:next w:val="a"/>
    <w:link w:val="ad"/>
    <w:uiPriority w:val="99"/>
    <w:qFormat/>
    <w:pPr>
      <w:ind w:leftChars="2500" w:left="100"/>
    </w:pPr>
    <w:rPr>
      <w:rFonts w:asciiTheme="minorHAnsi" w:eastAsiaTheme="minorEastAsia" w:hAnsiTheme="minorHAnsi" w:cstheme="minorBidi"/>
    </w:rPr>
  </w:style>
  <w:style w:type="paragraph" w:styleId="ae">
    <w:name w:val="Balloon Text"/>
    <w:basedOn w:val="a"/>
    <w:link w:val="af"/>
    <w:uiPriority w:val="99"/>
    <w:semiHidden/>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f4">
    <w:name w:val="footnote text"/>
    <w:basedOn w:val="a"/>
    <w:link w:val="af5"/>
    <w:unhideWhenUsed/>
    <w:qFormat/>
    <w:pPr>
      <w:snapToGrid w:val="0"/>
      <w:jc w:val="left"/>
    </w:pPr>
    <w:rPr>
      <w:rFonts w:eastAsia="Adobe 仿宋 Std R"/>
      <w:sz w:val="18"/>
      <w:szCs w:val="18"/>
    </w:rPr>
  </w:style>
  <w:style w:type="paragraph" w:styleId="af6">
    <w:name w:val="Normal (Web)"/>
    <w:basedOn w:val="a"/>
    <w:unhideWhenUsed/>
    <w:qFormat/>
    <w:pPr>
      <w:widowControl/>
      <w:spacing w:before="100" w:beforeAutospacing="1" w:after="100" w:afterAutospacing="1"/>
      <w:jc w:val="left"/>
    </w:pPr>
    <w:rPr>
      <w:rFonts w:ascii="宋体" w:hAnsi="宋体" w:cs="宋体"/>
      <w:kern w:val="0"/>
      <w:sz w:val="24"/>
    </w:rPr>
  </w:style>
  <w:style w:type="paragraph" w:styleId="af7">
    <w:name w:val="Title"/>
    <w:basedOn w:val="a"/>
    <w:next w:val="a"/>
    <w:link w:val="af8"/>
    <w:qFormat/>
    <w:pPr>
      <w:spacing w:before="240" w:after="60" w:line="520" w:lineRule="exact"/>
      <w:ind w:firstLineChars="200" w:firstLine="640"/>
      <w:jc w:val="center"/>
      <w:outlineLvl w:val="0"/>
    </w:pPr>
    <w:rPr>
      <w:rFonts w:ascii="Calibri Light" w:eastAsia="方正小标宋_GBK" w:hAnsi="Calibri Light"/>
      <w:b/>
      <w:bCs/>
      <w:sz w:val="44"/>
      <w:szCs w:val="32"/>
    </w:rPr>
  </w:style>
  <w:style w:type="paragraph" w:styleId="af9">
    <w:name w:val="annotation subject"/>
    <w:basedOn w:val="a6"/>
    <w:next w:val="a6"/>
    <w:link w:val="afa"/>
    <w:uiPriority w:val="99"/>
    <w:qFormat/>
    <w:rPr>
      <w:rFonts w:asciiTheme="minorHAnsi" w:eastAsiaTheme="minorEastAsia" w:hAnsiTheme="minorHAnsi" w:cstheme="minorBidi"/>
      <w:b/>
      <w:bCs/>
      <w:sz w:val="21"/>
    </w:r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0"/>
    <w:uiPriority w:val="22"/>
    <w:qFormat/>
    <w:rPr>
      <w:b/>
      <w:bCs/>
    </w:rPr>
  </w:style>
  <w:style w:type="character" w:styleId="afd">
    <w:name w:val="page number"/>
    <w:qFormat/>
  </w:style>
  <w:style w:type="character" w:styleId="afe">
    <w:name w:val="line number"/>
    <w:uiPriority w:val="99"/>
    <w:qFormat/>
  </w:style>
  <w:style w:type="character" w:styleId="aff">
    <w:name w:val="Hyperlink"/>
    <w:basedOn w:val="a0"/>
    <w:uiPriority w:val="99"/>
    <w:qFormat/>
    <w:rPr>
      <w:color w:val="0000FF"/>
      <w:u w:val="single"/>
    </w:rPr>
  </w:style>
  <w:style w:type="character" w:styleId="aff0">
    <w:name w:val="annotation reference"/>
    <w:uiPriority w:val="99"/>
    <w:qFormat/>
    <w:rPr>
      <w:sz w:val="21"/>
      <w:szCs w:val="21"/>
    </w:rPr>
  </w:style>
  <w:style w:type="character" w:styleId="aff1">
    <w:name w:val="footnote reference"/>
    <w:uiPriority w:val="99"/>
    <w:unhideWhenUsed/>
    <w:qFormat/>
    <w:rPr>
      <w:vertAlign w:val="superscript"/>
    </w:rPr>
  </w:style>
  <w:style w:type="character" w:customStyle="1" w:styleId="10">
    <w:name w:val="标题 1 字符"/>
    <w:basedOn w:val="a0"/>
    <w:link w:val="1"/>
    <w:qFormat/>
    <w:rPr>
      <w:b/>
      <w:bCs/>
      <w:kern w:val="44"/>
      <w:sz w:val="44"/>
      <w:szCs w:val="44"/>
    </w:rPr>
  </w:style>
  <w:style w:type="character" w:customStyle="1" w:styleId="20">
    <w:name w:val="标题 2 字符"/>
    <w:basedOn w:val="a0"/>
    <w:link w:val="2"/>
    <w:uiPriority w:val="9"/>
    <w:qFormat/>
    <w:rPr>
      <w:rFonts w:asciiTheme="majorHAnsi" w:eastAsia="黑体" w:hAnsiTheme="majorHAnsi" w:cstheme="majorBidi"/>
      <w:bCs/>
      <w:sz w:val="32"/>
      <w:szCs w:val="32"/>
    </w:rPr>
  </w:style>
  <w:style w:type="character" w:customStyle="1" w:styleId="30">
    <w:name w:val="标题 3 字符"/>
    <w:basedOn w:val="a0"/>
    <w:link w:val="3"/>
    <w:qFormat/>
    <w:rPr>
      <w:rFonts w:ascii="Times New Roman" w:eastAsia="宋体" w:hAnsi="Times New Roman" w:cs="Times New Roman"/>
      <w:b/>
      <w:bCs/>
      <w:sz w:val="32"/>
      <w:szCs w:val="32"/>
    </w:rPr>
  </w:style>
  <w:style w:type="character" w:customStyle="1" w:styleId="40">
    <w:name w:val="标题 4 字符"/>
    <w:basedOn w:val="a0"/>
    <w:link w:val="4"/>
    <w:qFormat/>
    <w:rPr>
      <w:rFonts w:ascii="Calibri Light" w:eastAsia="宋体" w:hAnsi="Calibri Light" w:cs="Times New Roman"/>
      <w:b/>
      <w:bCs/>
      <w:sz w:val="28"/>
      <w:szCs w:val="28"/>
    </w:rPr>
  </w:style>
  <w:style w:type="character" w:customStyle="1" w:styleId="50">
    <w:name w:val="标题 5 字符"/>
    <w:basedOn w:val="a0"/>
    <w:link w:val="5"/>
    <w:qFormat/>
    <w:rPr>
      <w:rFonts w:ascii="Times New Roman" w:eastAsia="宋体" w:hAnsi="Times New Roman" w:cs="Times New Roman"/>
      <w:b/>
      <w:bCs/>
      <w:sz w:val="28"/>
      <w:szCs w:val="28"/>
    </w:rPr>
  </w:style>
  <w:style w:type="character" w:customStyle="1" w:styleId="60">
    <w:name w:val="标题 6 字符"/>
    <w:basedOn w:val="a0"/>
    <w:link w:val="6"/>
    <w:qFormat/>
    <w:rPr>
      <w:rFonts w:ascii="Calibri Light" w:eastAsia="宋体" w:hAnsi="Calibri Light" w:cs="Times New Roman"/>
      <w:b/>
      <w:bCs/>
      <w:sz w:val="24"/>
      <w:szCs w:val="24"/>
    </w:rPr>
  </w:style>
  <w:style w:type="character" w:customStyle="1" w:styleId="70">
    <w:name w:val="标题 7 字符"/>
    <w:basedOn w:val="a0"/>
    <w:link w:val="7"/>
    <w:qFormat/>
    <w:rPr>
      <w:rFonts w:ascii="Times New Roman" w:eastAsia="宋体" w:hAnsi="Times New Roman" w:cs="Times New Roman"/>
      <w:b/>
      <w:bCs/>
      <w:sz w:val="24"/>
      <w:szCs w:val="24"/>
    </w:rPr>
  </w:style>
  <w:style w:type="character" w:customStyle="1" w:styleId="80">
    <w:name w:val="标题 8 字符"/>
    <w:basedOn w:val="a0"/>
    <w:link w:val="8"/>
    <w:qFormat/>
    <w:rPr>
      <w:rFonts w:ascii="Calibri Light" w:eastAsia="宋体" w:hAnsi="Calibri Light" w:cs="Times New Roman"/>
      <w:sz w:val="24"/>
      <w:szCs w:val="24"/>
    </w:rPr>
  </w:style>
  <w:style w:type="character" w:customStyle="1" w:styleId="90">
    <w:name w:val="标题 9 字符"/>
    <w:basedOn w:val="a0"/>
    <w:link w:val="9"/>
    <w:qFormat/>
    <w:rPr>
      <w:rFonts w:ascii="等线 Light" w:eastAsia="等线 Light" w:hAnsi="等线 Light" w:cs="Times New Roman"/>
      <w:szCs w:val="21"/>
    </w:rPr>
  </w:style>
  <w:style w:type="character" w:customStyle="1" w:styleId="af3">
    <w:name w:val="页眉 字符"/>
    <w:basedOn w:val="a0"/>
    <w:link w:val="af2"/>
    <w:uiPriority w:val="99"/>
    <w:qFormat/>
    <w:rPr>
      <w:sz w:val="18"/>
      <w:szCs w:val="18"/>
    </w:rPr>
  </w:style>
  <w:style w:type="character" w:customStyle="1" w:styleId="af1">
    <w:name w:val="页脚 字符"/>
    <w:basedOn w:val="a0"/>
    <w:link w:val="af0"/>
    <w:uiPriority w:val="99"/>
    <w:qFormat/>
    <w:rPr>
      <w:sz w:val="18"/>
      <w:szCs w:val="18"/>
    </w:rPr>
  </w:style>
  <w:style w:type="character" w:customStyle="1" w:styleId="ab">
    <w:name w:val="纯文本 字符"/>
    <w:basedOn w:val="a0"/>
    <w:link w:val="aa"/>
    <w:uiPriority w:val="99"/>
    <w:qFormat/>
    <w:rPr>
      <w:rFonts w:ascii="宋体" w:eastAsia="宋体" w:hAnsi="Courier New" w:cs="Courier New"/>
      <w:szCs w:val="21"/>
    </w:rPr>
  </w:style>
  <w:style w:type="character" w:customStyle="1" w:styleId="FontStyle47">
    <w:name w:val="Font Style47"/>
    <w:qFormat/>
    <w:rPr>
      <w:rFonts w:ascii="Times New Roman" w:hAnsi="Times New Roman" w:cs="Times New Roman"/>
      <w:sz w:val="22"/>
      <w:szCs w:val="22"/>
    </w:rPr>
  </w:style>
  <w:style w:type="paragraph" w:styleId="aff2">
    <w:name w:val="List Paragraph"/>
    <w:basedOn w:val="a"/>
    <w:uiPriority w:val="34"/>
    <w:qFormat/>
    <w:pPr>
      <w:ind w:firstLineChars="200" w:firstLine="420"/>
    </w:pPr>
    <w:rPr>
      <w:rFonts w:asciiTheme="minorHAnsi" w:eastAsiaTheme="minorEastAsia" w:hAnsiTheme="minorHAnsi" w:cstheme="minorBidi"/>
      <w:szCs w:val="22"/>
    </w:rPr>
  </w:style>
  <w:style w:type="character" w:customStyle="1" w:styleId="af">
    <w:name w:val="批注框文本 字符"/>
    <w:basedOn w:val="a0"/>
    <w:link w:val="ae"/>
    <w:uiPriority w:val="99"/>
    <w:semiHidden/>
    <w:qFormat/>
    <w:rPr>
      <w:rFonts w:ascii="Times New Roman" w:eastAsia="宋体" w:hAnsi="Times New Roman" w:cs="Times New Roman"/>
      <w:sz w:val="18"/>
      <w:szCs w:val="18"/>
    </w:rPr>
  </w:style>
  <w:style w:type="paragraph" w:styleId="aff3">
    <w:name w:val="No Spacing"/>
    <w:qFormat/>
    <w:pPr>
      <w:widowControl w:val="0"/>
      <w:jc w:val="both"/>
    </w:pPr>
    <w:rPr>
      <w:kern w:val="2"/>
      <w:sz w:val="21"/>
      <w:szCs w:val="24"/>
    </w:rPr>
  </w:style>
  <w:style w:type="paragraph" w:customStyle="1" w:styleId="21">
    <w:name w:val="列出段落2"/>
    <w:basedOn w:val="a"/>
    <w:qFormat/>
    <w:pPr>
      <w:widowControl/>
      <w:ind w:firstLineChars="200" w:firstLine="420"/>
      <w:jc w:val="left"/>
    </w:pPr>
    <w:rPr>
      <w:rFonts w:ascii="宋体" w:hAnsi="宋体" w:cs="宋体"/>
      <w:kern w:val="0"/>
      <w:sz w:val="24"/>
    </w:rPr>
  </w:style>
  <w:style w:type="character" w:customStyle="1" w:styleId="a7">
    <w:name w:val="批注文字 字符"/>
    <w:basedOn w:val="a0"/>
    <w:link w:val="a6"/>
    <w:uiPriority w:val="99"/>
    <w:qFormat/>
    <w:rPr>
      <w:rFonts w:ascii="宋体" w:eastAsia="宋体" w:hAnsi="宋体" w:cs="宋体"/>
      <w:sz w:val="24"/>
      <w:szCs w:val="24"/>
    </w:rPr>
  </w:style>
  <w:style w:type="paragraph" w:customStyle="1" w:styleId="11">
    <w:name w:val="列出段落1"/>
    <w:basedOn w:val="a"/>
    <w:qFormat/>
    <w:pPr>
      <w:ind w:firstLineChars="200" w:firstLine="420"/>
    </w:pPr>
    <w:rPr>
      <w:rFonts w:ascii="Calibri" w:hAnsi="Calibri" w:cs="黑体"/>
      <w:szCs w:val="22"/>
    </w:rPr>
  </w:style>
  <w:style w:type="character" w:customStyle="1" w:styleId="ad">
    <w:name w:val="日期 字符"/>
    <w:link w:val="ac"/>
    <w:uiPriority w:val="99"/>
    <w:qFormat/>
    <w:rPr>
      <w:szCs w:val="24"/>
    </w:rPr>
  </w:style>
  <w:style w:type="character" w:customStyle="1" w:styleId="afa">
    <w:name w:val="批注主题 字符"/>
    <w:link w:val="af9"/>
    <w:uiPriority w:val="99"/>
    <w:qFormat/>
    <w:rPr>
      <w:b/>
      <w:bCs/>
      <w:szCs w:val="24"/>
    </w:rPr>
  </w:style>
  <w:style w:type="character" w:customStyle="1" w:styleId="a9">
    <w:name w:val="正文文本 字符"/>
    <w:link w:val="a8"/>
    <w:qFormat/>
    <w:rPr>
      <w:rFonts w:ascii="Times New Roman" w:hAnsi="Times New Roman"/>
      <w:szCs w:val="24"/>
    </w:rPr>
  </w:style>
  <w:style w:type="character" w:customStyle="1" w:styleId="a5">
    <w:name w:val="文档结构图 字符"/>
    <w:basedOn w:val="a0"/>
    <w:link w:val="a4"/>
    <w:semiHidden/>
    <w:qFormat/>
    <w:rPr>
      <w:rFonts w:ascii="Times New Roman" w:eastAsia="宋体" w:hAnsi="Times New Roman" w:cs="Times New Roman"/>
      <w:szCs w:val="24"/>
      <w:shd w:val="clear" w:color="auto" w:fill="000080"/>
    </w:rPr>
  </w:style>
  <w:style w:type="character" w:customStyle="1" w:styleId="12">
    <w:name w:val="日期 字符1"/>
    <w:basedOn w:val="a0"/>
    <w:uiPriority w:val="99"/>
    <w:semiHidden/>
    <w:qFormat/>
    <w:rPr>
      <w:rFonts w:ascii="Times New Roman" w:eastAsia="宋体" w:hAnsi="Times New Roman" w:cs="Times New Roman"/>
      <w:szCs w:val="24"/>
    </w:rPr>
  </w:style>
  <w:style w:type="character" w:customStyle="1" w:styleId="13">
    <w:name w:val="正文文本 字符1"/>
    <w:basedOn w:val="a0"/>
    <w:uiPriority w:val="99"/>
    <w:semiHidden/>
    <w:qFormat/>
    <w:rPr>
      <w:rFonts w:ascii="Times New Roman" w:eastAsia="宋体" w:hAnsi="Times New Roman" w:cs="Times New Roman"/>
      <w:szCs w:val="24"/>
    </w:rPr>
  </w:style>
  <w:style w:type="character" w:customStyle="1" w:styleId="14">
    <w:name w:val="批注主题 字符1"/>
    <w:basedOn w:val="a7"/>
    <w:uiPriority w:val="99"/>
    <w:semiHidden/>
    <w:qFormat/>
    <w:rPr>
      <w:rFonts w:ascii="Times New Roman" w:eastAsia="宋体" w:hAnsi="Times New Roman" w:cs="Times New Roman"/>
      <w:b/>
      <w:bCs/>
      <w:sz w:val="24"/>
      <w:szCs w:val="24"/>
    </w:rPr>
  </w:style>
  <w:style w:type="paragraph" w:customStyle="1" w:styleId="15">
    <w:name w:val="修订1"/>
    <w:hidden/>
    <w:uiPriority w:val="99"/>
    <w:unhideWhenUsed/>
    <w:qFormat/>
    <w:rPr>
      <w:kern w:val="2"/>
      <w:sz w:val="21"/>
      <w:szCs w:val="24"/>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 w:type="paragraph" w:customStyle="1" w:styleId="Web">
    <w:name w:val="普通(Web)"/>
    <w:basedOn w:val="a"/>
    <w:qFormat/>
    <w:pPr>
      <w:widowControl/>
      <w:spacing w:before="100" w:beforeAutospacing="1" w:after="100" w:afterAutospacing="1"/>
      <w:jc w:val="left"/>
    </w:pPr>
    <w:rPr>
      <w:rFonts w:ascii="宋体" w:hAnsi="宋体"/>
      <w:color w:val="000000"/>
      <w:kern w:val="0"/>
      <w:sz w:val="24"/>
    </w:rPr>
  </w:style>
  <w:style w:type="character" w:customStyle="1" w:styleId="af5">
    <w:name w:val="脚注文本 字符"/>
    <w:basedOn w:val="a0"/>
    <w:link w:val="af4"/>
    <w:uiPriority w:val="99"/>
    <w:semiHidden/>
    <w:qFormat/>
    <w:rPr>
      <w:rFonts w:ascii="Times New Roman" w:eastAsia="Adobe 仿宋 Std R" w:hAnsi="Times New Roman" w:cs="Times New Roman"/>
      <w:sz w:val="18"/>
      <w:szCs w:val="18"/>
    </w:rPr>
  </w:style>
  <w:style w:type="character" w:customStyle="1" w:styleId="aff4">
    <w:name w:val="无"/>
    <w:qFormat/>
  </w:style>
  <w:style w:type="paragraph" w:customStyle="1" w:styleId="Aff5">
    <w:name w:val="正文 A"/>
    <w:qFormat/>
    <w:pPr>
      <w:widowControl w:val="0"/>
      <w:jc w:val="both"/>
    </w:pPr>
    <w:rPr>
      <w:rFonts w:eastAsia="Arial Unicode MS" w:cs="Arial Unicode MS"/>
      <w:color w:val="000000"/>
      <w:kern w:val="2"/>
      <w:sz w:val="21"/>
      <w:szCs w:val="21"/>
      <w:u w:color="000000"/>
    </w:rPr>
  </w:style>
  <w:style w:type="character" w:customStyle="1" w:styleId="af8">
    <w:name w:val="标题 字符"/>
    <w:basedOn w:val="a0"/>
    <w:link w:val="af7"/>
    <w:qFormat/>
    <w:rPr>
      <w:rFonts w:ascii="Calibri Light" w:eastAsia="方正小标宋_GBK" w:hAnsi="Calibri Light" w:cs="Times New Roman"/>
      <w:b/>
      <w:bCs/>
      <w:sz w:val="44"/>
      <w:szCs w:val="32"/>
    </w:rPr>
  </w:style>
  <w:style w:type="character" w:customStyle="1" w:styleId="f101">
    <w:name w:val="f101"/>
    <w:qFormat/>
    <w:rPr>
      <w:sz w:val="24"/>
    </w:rPr>
  </w:style>
  <w:style w:type="paragraph" w:customStyle="1" w:styleId="ParaCharCharCharCharCharCharChar">
    <w:name w:val="默认段落字体 Para Char Char Char Char Char Char Char"/>
    <w:basedOn w:val="a"/>
    <w:qFormat/>
    <w:pPr>
      <w:adjustRightInd w:val="0"/>
      <w:spacing w:line="360" w:lineRule="auto"/>
      <w:ind w:firstLineChars="200" w:firstLine="640"/>
      <w:jc w:val="left"/>
    </w:pPr>
    <w:rPr>
      <w:rFonts w:ascii="Tahoma" w:eastAsia="仿宋_GB2312" w:hAnsi="Tahoma"/>
      <w:kern w:val="0"/>
      <w:sz w:val="24"/>
      <w:szCs w:val="20"/>
    </w:rPr>
  </w:style>
  <w:style w:type="paragraph" w:customStyle="1" w:styleId="110">
    <w:name w:val="修订11"/>
    <w:hidden/>
    <w:uiPriority w:val="99"/>
    <w:semiHidden/>
    <w:qFormat/>
    <w:rPr>
      <w:kern w:val="2"/>
      <w:sz w:val="21"/>
    </w:rPr>
  </w:style>
  <w:style w:type="paragraph" w:customStyle="1" w:styleId="51">
    <w:name w:val="标题5"/>
    <w:basedOn w:val="a"/>
    <w:qFormat/>
    <w:pPr>
      <w:snapToGrid w:val="0"/>
      <w:spacing w:before="50" w:after="50" w:line="245" w:lineRule="auto"/>
      <w:jc w:val="left"/>
      <w:outlineLvl w:val="4"/>
    </w:pPr>
    <w:rPr>
      <w:rFonts w:eastAsia="方正小标宋简体"/>
      <w:spacing w:val="4"/>
      <w:sz w:val="20"/>
      <w:szCs w:val="20"/>
    </w:rPr>
  </w:style>
  <w:style w:type="paragraph" w:customStyle="1" w:styleId="aff6">
    <w:name w:val="段"/>
    <w:link w:val="Char"/>
    <w:uiPriority w:val="99"/>
    <w:qFormat/>
    <w:pPr>
      <w:autoSpaceDE w:val="0"/>
      <w:autoSpaceDN w:val="0"/>
      <w:ind w:firstLine="200"/>
      <w:jc w:val="both"/>
    </w:pPr>
    <w:rPr>
      <w:sz w:val="21"/>
    </w:rPr>
  </w:style>
  <w:style w:type="character" w:customStyle="1" w:styleId="Char">
    <w:name w:val="段 Char"/>
    <w:link w:val="aff6"/>
    <w:uiPriority w:val="99"/>
    <w:qFormat/>
    <w:rPr>
      <w:rFonts w:ascii="Times New Roman" w:eastAsia="宋体" w:hAnsi="Times New Roman" w:cs="Times New Roman"/>
      <w:kern w:val="0"/>
      <w:szCs w:val="20"/>
    </w:rPr>
  </w:style>
  <w:style w:type="paragraph" w:customStyle="1" w:styleId="aff7">
    <w:name w:val="表格正文文本"/>
    <w:basedOn w:val="a"/>
    <w:qFormat/>
    <w:pPr>
      <w:widowControl/>
      <w:jc w:val="center"/>
    </w:pPr>
    <w:rPr>
      <w:rFonts w:ascii="Tahoma" w:hAnsi="Tahoma"/>
      <w:kern w:val="0"/>
      <w:sz w:val="18"/>
      <w:szCs w:val="20"/>
    </w:rPr>
  </w:style>
  <w:style w:type="paragraph" w:customStyle="1" w:styleId="aff8">
    <w:name w:val="调查项目"/>
    <w:basedOn w:val="a"/>
    <w:qFormat/>
    <w:pPr>
      <w:widowControl/>
      <w:jc w:val="left"/>
      <w:outlineLvl w:val="1"/>
    </w:pPr>
    <w:rPr>
      <w:rFonts w:ascii="Tahoma" w:eastAsia="黑体" w:hAnsi="Tahoma"/>
      <w:bCs/>
      <w:color w:val="333399"/>
      <w:kern w:val="0"/>
      <w:sz w:val="18"/>
      <w:szCs w:val="18"/>
    </w:rPr>
  </w:style>
  <w:style w:type="paragraph" w:customStyle="1" w:styleId="aff9">
    <w:name w:val="列标题"/>
    <w:basedOn w:val="2"/>
    <w:qFormat/>
    <w:pPr>
      <w:keepNext w:val="0"/>
      <w:keepLines w:val="0"/>
      <w:widowControl/>
      <w:spacing w:line="240" w:lineRule="auto"/>
      <w:ind w:firstLineChars="0" w:firstLine="0"/>
      <w:jc w:val="center"/>
    </w:pPr>
    <w:rPr>
      <w:rFonts w:ascii="Tahoma" w:hAnsi="Tahoma" w:cs="Times New Roman"/>
      <w:color w:val="333399"/>
      <w:kern w:val="0"/>
      <w:sz w:val="18"/>
      <w:szCs w:val="18"/>
    </w:rPr>
  </w:style>
  <w:style w:type="character" w:customStyle="1" w:styleId="Char0">
    <w:name w:val="页脚 Char"/>
    <w:uiPriority w:val="99"/>
    <w:qFormat/>
    <w:rPr>
      <w:rFonts w:ascii="Times New Roman" w:eastAsia="宋体" w:hAnsi="Times New Roman" w:cs="Times New Roman"/>
      <w:sz w:val="18"/>
      <w:szCs w:val="18"/>
    </w:rPr>
  </w:style>
  <w:style w:type="character" w:customStyle="1" w:styleId="16">
    <w:name w:val="纯文本 字符1"/>
    <w:uiPriority w:val="99"/>
    <w:qFormat/>
    <w:locked/>
    <w:rPr>
      <w:rFonts w:ascii="宋体" w:hAnsi="Courier New" w:cs="Courier New"/>
      <w:kern w:val="2"/>
      <w:sz w:val="21"/>
      <w:szCs w:val="21"/>
    </w:rPr>
  </w:style>
  <w:style w:type="character" w:customStyle="1" w:styleId="font31">
    <w:name w:val="font31"/>
    <w:basedOn w:val="a0"/>
    <w:qFormat/>
    <w:rPr>
      <w:rFonts w:ascii="Times New Roman" w:hAnsi="Times New Roman" w:cs="Times New Roman" w:hint="default"/>
      <w:color w:val="000000"/>
      <w:sz w:val="28"/>
      <w:szCs w:val="28"/>
      <w:u w:val="none"/>
    </w:rPr>
  </w:style>
  <w:style w:type="character" w:customStyle="1" w:styleId="font41">
    <w:name w:val="font41"/>
    <w:basedOn w:val="a0"/>
    <w:qFormat/>
    <w:rPr>
      <w:rFonts w:ascii="Times New Roman" w:hAnsi="Times New Roman" w:cs="Times New Roman" w:hint="default"/>
      <w:color w:val="000000"/>
      <w:sz w:val="18"/>
      <w:szCs w:val="18"/>
      <w:u w:val="none"/>
    </w:rPr>
  </w:style>
  <w:style w:type="character" w:customStyle="1" w:styleId="font11">
    <w:name w:val="font11"/>
    <w:basedOn w:val="a0"/>
    <w:qFormat/>
    <w:rPr>
      <w:rFonts w:ascii="仿宋_GB2312" w:eastAsia="仿宋_GB2312" w:cs="仿宋_GB2312" w:hint="eastAsia"/>
      <w:color w:val="000000"/>
      <w:sz w:val="28"/>
      <w:szCs w:val="28"/>
      <w:u w:val="none"/>
    </w:rPr>
  </w:style>
  <w:style w:type="character" w:customStyle="1" w:styleId="font51">
    <w:name w:val="font51"/>
    <w:basedOn w:val="a0"/>
    <w:qFormat/>
    <w:rPr>
      <w:rFonts w:ascii="Times New Roman" w:hAnsi="Times New Roman" w:cs="Times New Roman" w:hint="default"/>
      <w:color w:val="000000"/>
      <w:sz w:val="28"/>
      <w:szCs w:val="28"/>
      <w:u w:val="none"/>
    </w:rPr>
  </w:style>
  <w:style w:type="character" w:customStyle="1" w:styleId="font01">
    <w:name w:val="font01"/>
    <w:basedOn w:val="a0"/>
    <w:qFormat/>
    <w:rPr>
      <w:rFonts w:ascii="仿宋_GB2312" w:eastAsia="仿宋_GB2312" w:cs="仿宋_GB2312" w:hint="eastAsia"/>
      <w:color w:val="000000"/>
      <w:sz w:val="28"/>
      <w:szCs w:val="28"/>
      <w:u w:val="none"/>
    </w:rPr>
  </w:style>
  <w:style w:type="character" w:customStyle="1" w:styleId="font21">
    <w:name w:val="font21"/>
    <w:basedOn w:val="a0"/>
    <w:qFormat/>
    <w:rPr>
      <w:rFonts w:ascii="Times New Roman" w:hAnsi="Times New Roman" w:cs="Times New Roman" w:hint="default"/>
      <w:color w:val="000000"/>
      <w:sz w:val="28"/>
      <w:szCs w:val="28"/>
      <w:u w:val="none"/>
    </w:rPr>
  </w:style>
  <w:style w:type="character" w:customStyle="1" w:styleId="A00">
    <w:name w:val="A0"/>
    <w:uiPriority w:val="99"/>
    <w:qFormat/>
    <w:rPr>
      <w:rFonts w:cs="TradeGothic CondEighteen"/>
      <w:b/>
      <w:bCs/>
      <w:color w:val="FFFFFF"/>
      <w:sz w:val="48"/>
      <w:szCs w:val="48"/>
    </w:rPr>
  </w:style>
  <w:style w:type="paragraph" w:customStyle="1" w:styleId="22">
    <w:name w:val="修订2"/>
    <w:hidden/>
    <w:uiPriority w:val="99"/>
    <w:semiHidden/>
    <w:qFormat/>
    <w:rPr>
      <w:kern w:val="2"/>
      <w:sz w:val="21"/>
      <w:szCs w:val="24"/>
    </w:rPr>
  </w:style>
  <w:style w:type="paragraph" w:customStyle="1" w:styleId="31">
    <w:name w:val="修订3"/>
    <w:hidden/>
    <w:uiPriority w:val="99"/>
    <w:unhideWhenUsed/>
    <w:qFormat/>
    <w:rPr>
      <w:kern w:val="2"/>
      <w:sz w:val="21"/>
      <w:szCs w:val="24"/>
    </w:rPr>
  </w:style>
  <w:style w:type="paragraph" w:customStyle="1" w:styleId="41">
    <w:name w:val="修订4"/>
    <w:hidden/>
    <w:uiPriority w:val="99"/>
    <w:semiHidden/>
    <w:qFormat/>
    <w:rPr>
      <w:kern w:val="2"/>
      <w:sz w:val="21"/>
      <w:szCs w:val="24"/>
    </w:rPr>
  </w:style>
  <w:style w:type="table" w:customStyle="1" w:styleId="111">
    <w:name w:val="网格表 1 浅色1"/>
    <w:basedOn w:val="a1"/>
    <w:uiPriority w:val="46"/>
    <w:qFormat/>
    <w:rPr>
      <w:rFonts w:ascii="等线" w:eastAsia="等线" w:hAnsi="等线"/>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网格表 1 浅色2"/>
    <w:basedOn w:val="a1"/>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11">
    <w:name w:val="_Style 11"/>
    <w:basedOn w:val="a"/>
    <w:next w:val="aff2"/>
    <w:qFormat/>
    <w:pPr>
      <w:ind w:firstLineChars="200" w:firstLine="420"/>
    </w:pPr>
    <w:rPr>
      <w:rFonts w:ascii="Calibri" w:hAnsi="Calibri"/>
      <w:szCs w:val="22"/>
    </w:rPr>
  </w:style>
  <w:style w:type="table" w:customStyle="1" w:styleId="17">
    <w:name w:val="网格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宋体" w:eastAsia="宋体" w:hAnsi="宋体" w:hint="eastAsia"/>
      <w:color w:val="000000"/>
      <w:sz w:val="24"/>
      <w:szCs w:val="24"/>
    </w:rPr>
  </w:style>
  <w:style w:type="paragraph" w:customStyle="1" w:styleId="150">
    <w:name w:val="样式 微软雅黑 小四 行距: 1.5 倍行距"/>
    <w:basedOn w:val="a"/>
    <w:qFormat/>
    <w:rPr>
      <w:rFonts w:ascii="微软雅黑" w:eastAsia="微软雅黑" w:hAnsi="微软雅黑" w:cs="宋体"/>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6FFCB-85E7-4D51-BDFB-371A46E98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1198</Words>
  <Characters>6830</Characters>
  <Application>Microsoft Office Word</Application>
  <DocSecurity>0</DocSecurity>
  <Lines>56</Lines>
  <Paragraphs>16</Paragraphs>
  <ScaleCrop>false</ScaleCrop>
  <Company>神州网信技术有限公司</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GT</cp:lastModifiedBy>
  <cp:revision>7</cp:revision>
  <cp:lastPrinted>2026-02-28T06:27:00Z</cp:lastPrinted>
  <dcterms:created xsi:type="dcterms:W3CDTF">2026-03-17T02:22:00Z</dcterms:created>
  <dcterms:modified xsi:type="dcterms:W3CDTF">2026-08-06T08:07:00Z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eyJoZGlkIjoiNWM2MzJlNjZjZWM4NTliODg2Y2FkMjBkNTQwMDk2NjgiLCJ1c2VySWQiOiIyMzgwODAzNjMifQ==</vt:lpwstr>
  </property>
  <property fmtid="{D5CDD505-2E9C-101B-9397-08002B2CF9AE}" pid="3" name="KSOProductBuildVer">
    <vt:lpwstr>2052-12.1.0.26375</vt:lpwstr>
  </property>
  <property fmtid="{D5CDD505-2E9C-101B-9397-08002B2CF9AE}" pid="4" name="ICV">
    <vt:lpwstr>423B484B0E96401A820243CD72C38A07_13</vt:lpwstr>
  </property>
</Properties>
</file>