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740DBA">
      <w:pPr>
        <w:ind w:left="0" w:leftChars="0" w:firstLine="0" w:firstLineChars="0"/>
        <w:rPr>
          <w:rFonts w:eastAsia="方正小标宋简体"/>
          <w:color w:val="000000"/>
          <w:szCs w:val="32"/>
        </w:rPr>
      </w:pPr>
    </w:p>
    <w:p w14:paraId="553F7CC0">
      <w:pPr>
        <w:pStyle w:val="3"/>
        <w:rPr>
          <w:rFonts w:hint="eastAsia"/>
        </w:rPr>
      </w:pPr>
      <w:r>
        <w:rPr>
          <w:rFonts w:hint="eastAsia"/>
        </w:rPr>
        <w:t>电声门图仪注册审查指导原则</w:t>
      </w:r>
    </w:p>
    <w:p w14:paraId="77BC232A">
      <w:pPr>
        <w:pStyle w:val="3"/>
        <w:rPr>
          <w:rFonts w:hint="default"/>
          <w:lang w:val="en-US" w:eastAsia="zh-CN"/>
        </w:rPr>
      </w:pPr>
      <w:r>
        <w:rPr>
          <w:rFonts w:hint="default"/>
          <w:lang w:val="en-US"/>
        </w:rPr>
        <w:t>(</w:t>
      </w:r>
      <w:r>
        <w:rPr>
          <w:rFonts w:hint="eastAsia"/>
          <w:lang w:val="en-US" w:eastAsia="zh-CN"/>
        </w:rPr>
        <w:t>征求意见稿)</w:t>
      </w:r>
    </w:p>
    <w:p w14:paraId="7FA1A5F7">
      <w:pPr>
        <w:pStyle w:val="2"/>
        <w:spacing w:line="520" w:lineRule="exact"/>
        <w:jc w:val="center"/>
        <w:rPr>
          <w:rFonts w:ascii="Times New Roman" w:hAnsi="Times New Roman" w:eastAsia="方正小标宋简体"/>
          <w:kern w:val="2"/>
          <w:sz w:val="44"/>
          <w:szCs w:val="44"/>
        </w:rPr>
      </w:pPr>
    </w:p>
    <w:p w14:paraId="7768FB39">
      <w:pPr>
        <w:keepNext w:val="0"/>
        <w:keepLines w:val="0"/>
        <w:pageBreakBefore w:val="0"/>
        <w:widowControl w:val="0"/>
        <w:kinsoku/>
        <w:wordWrap/>
        <w:overflowPunct/>
        <w:topLinePunct w:val="0"/>
        <w:autoSpaceDE/>
        <w:autoSpaceDN/>
        <w:bidi w:val="0"/>
        <w:adjustRightInd/>
        <w:snapToGrid/>
        <w:spacing w:after="0"/>
        <w:textAlignment w:val="auto"/>
      </w:pPr>
      <w:r>
        <w:t>本指导原则旨在指导注册申请人对</w:t>
      </w:r>
      <w:r>
        <w:rPr>
          <w:rFonts w:hint="eastAsia"/>
        </w:rPr>
        <w:t>电声门图仪</w:t>
      </w:r>
      <w:r>
        <w:t>注册申报资料的准备及撰写，同时也为技术审评部门</w:t>
      </w:r>
      <w:r>
        <w:rPr>
          <w:szCs w:val="32"/>
        </w:rPr>
        <w:t>审评</w:t>
      </w:r>
      <w:r>
        <w:t>注册申报资料提供参考。</w:t>
      </w:r>
    </w:p>
    <w:p w14:paraId="117ABBB6">
      <w:pPr>
        <w:keepNext w:val="0"/>
        <w:keepLines w:val="0"/>
        <w:pageBreakBefore w:val="0"/>
        <w:widowControl w:val="0"/>
        <w:kinsoku/>
        <w:wordWrap/>
        <w:overflowPunct/>
        <w:topLinePunct w:val="0"/>
        <w:autoSpaceDE/>
        <w:autoSpaceDN/>
        <w:bidi w:val="0"/>
        <w:adjustRightInd/>
        <w:snapToGrid/>
        <w:spacing w:after="0"/>
        <w:textAlignment w:val="auto"/>
      </w:pPr>
      <w:r>
        <w:t>本指导原则是对</w:t>
      </w:r>
      <w:r>
        <w:rPr>
          <w:rFonts w:hint="eastAsia"/>
        </w:rPr>
        <w:t>电声门图仪</w:t>
      </w:r>
      <w:r>
        <w:t>的一般要求，申请人应依据产品的具体特性确定其中内容是否适用。若不适用，需具体阐述理由及相应的科学依据，并依据产品的具体特性对注册申报资料的内容进行充实和细化。</w:t>
      </w:r>
    </w:p>
    <w:p w14:paraId="2C7FEE4A">
      <w:pPr>
        <w:keepNext w:val="0"/>
        <w:keepLines w:val="0"/>
        <w:pageBreakBefore w:val="0"/>
        <w:widowControl w:val="0"/>
        <w:kinsoku/>
        <w:wordWrap/>
        <w:overflowPunct/>
        <w:topLinePunct w:val="0"/>
        <w:autoSpaceDE/>
        <w:autoSpaceDN/>
        <w:bidi w:val="0"/>
        <w:adjustRightInd/>
        <w:snapToGrid/>
        <w:spacing w:after="0"/>
        <w:textAlignment w:val="auto"/>
      </w:pPr>
      <w:r>
        <w:t>本指导原则是供</w:t>
      </w:r>
      <w:r>
        <w:rPr>
          <w:rFonts w:hint="eastAsia"/>
        </w:rPr>
        <w:t>注册</w:t>
      </w:r>
      <w:r>
        <w:t>申请人和</w:t>
      </w:r>
      <w:r>
        <w:rPr>
          <w:rFonts w:hint="eastAsia"/>
        </w:rPr>
        <w:t>技术审评</w:t>
      </w:r>
      <w:r>
        <w:t>人员使用的指导</w:t>
      </w:r>
      <w:r>
        <w:rPr>
          <w:rFonts w:hint="eastAsia"/>
        </w:rPr>
        <w:t>性</w:t>
      </w:r>
      <w:r>
        <w:t>文件，不涉及注册审批等行政事项，亦不作为法规强制执行，如有能够满足法规要求的其他方法，也可以采用，但应提供详细的研究资料和验证资料。应在遵循相关法规的前提下使用本指导原则。</w:t>
      </w:r>
    </w:p>
    <w:p w14:paraId="42E55710">
      <w:pPr>
        <w:keepNext w:val="0"/>
        <w:keepLines w:val="0"/>
        <w:pageBreakBefore w:val="0"/>
        <w:widowControl w:val="0"/>
        <w:kinsoku/>
        <w:wordWrap/>
        <w:overflowPunct/>
        <w:topLinePunct w:val="0"/>
        <w:autoSpaceDE/>
        <w:autoSpaceDN/>
        <w:bidi w:val="0"/>
        <w:adjustRightInd/>
        <w:snapToGrid/>
        <w:spacing w:after="0"/>
        <w:textAlignment w:val="auto"/>
        <w:rPr>
          <w:szCs w:val="20"/>
        </w:rPr>
      </w:pPr>
      <w:r>
        <w:rPr>
          <w:szCs w:val="20"/>
        </w:rPr>
        <w:t>本指导原则是在现行法规</w:t>
      </w:r>
      <w:r>
        <w:rPr>
          <w:szCs w:val="32"/>
        </w:rPr>
        <w:t>、</w:t>
      </w:r>
      <w:r>
        <w:rPr>
          <w:szCs w:val="20"/>
        </w:rPr>
        <w:t>标准体系以及当前认知水平下制定，随着法规</w:t>
      </w:r>
      <w:r>
        <w:rPr>
          <w:rFonts w:hint="eastAsia"/>
          <w:szCs w:val="20"/>
        </w:rPr>
        <w:t>、</w:t>
      </w:r>
      <w:r>
        <w:rPr>
          <w:szCs w:val="20"/>
        </w:rPr>
        <w:t>标准</w:t>
      </w:r>
      <w:r>
        <w:rPr>
          <w:rFonts w:hint="eastAsia"/>
          <w:szCs w:val="20"/>
        </w:rPr>
        <w:t>体系</w:t>
      </w:r>
      <w:r>
        <w:rPr>
          <w:szCs w:val="20"/>
        </w:rPr>
        <w:t>的不断完善</w:t>
      </w:r>
      <w:r>
        <w:rPr>
          <w:rFonts w:hint="eastAsia"/>
          <w:szCs w:val="20"/>
        </w:rPr>
        <w:t>和</w:t>
      </w:r>
      <w:r>
        <w:rPr>
          <w:szCs w:val="20"/>
        </w:rPr>
        <w:t>科学技术的不断发展，</w:t>
      </w:r>
      <w:r>
        <w:rPr>
          <w:szCs w:val="32"/>
        </w:rPr>
        <w:t>本指导原则</w:t>
      </w:r>
      <w:r>
        <w:rPr>
          <w:szCs w:val="20"/>
        </w:rPr>
        <w:t>相关内容也将适时进行调整</w:t>
      </w:r>
      <w:r>
        <w:rPr>
          <w:rFonts w:hint="eastAsia"/>
          <w:szCs w:val="20"/>
        </w:rPr>
        <w:t>。</w:t>
      </w:r>
    </w:p>
    <w:p w14:paraId="7349D3E8">
      <w:pPr>
        <w:pStyle w:val="4"/>
        <w:keepNext w:val="0"/>
        <w:keepLines w:val="0"/>
        <w:pageBreakBefore w:val="0"/>
        <w:widowControl w:val="0"/>
        <w:kinsoku/>
        <w:wordWrap/>
        <w:overflowPunct/>
        <w:topLinePunct w:val="0"/>
        <w:autoSpaceDE/>
        <w:autoSpaceDN/>
        <w:bidi w:val="0"/>
        <w:adjustRightInd/>
        <w:snapToGrid/>
        <w:spacing w:after="0"/>
        <w:ind w:firstLine="640"/>
        <w:textAlignment w:val="auto"/>
        <w:rPr>
          <w:rFonts w:hint="eastAsia"/>
        </w:rPr>
      </w:pPr>
      <w:r>
        <w:t>一、适用范围</w:t>
      </w:r>
    </w:p>
    <w:p w14:paraId="725355FA">
      <w:pPr>
        <w:keepNext w:val="0"/>
        <w:keepLines w:val="0"/>
        <w:pageBreakBefore w:val="0"/>
        <w:widowControl w:val="0"/>
        <w:kinsoku/>
        <w:wordWrap/>
        <w:overflowPunct/>
        <w:topLinePunct w:val="0"/>
        <w:autoSpaceDE/>
        <w:autoSpaceDN/>
        <w:bidi w:val="0"/>
        <w:adjustRightInd/>
        <w:snapToGrid/>
        <w:spacing w:after="0"/>
        <w:textAlignment w:val="auto"/>
        <w:rPr>
          <w:snapToGrid w:val="0"/>
        </w:rPr>
      </w:pPr>
      <w:r>
        <w:rPr>
          <w:rFonts w:hint="eastAsia"/>
          <w:snapToGrid w:val="0"/>
        </w:rPr>
        <w:t>本指导原则适用于在医疗机构中使用的电声门图仪的产品注册。按现行《医疗器械分类目录》，该类产品分类编码为</w:t>
      </w:r>
      <w:r>
        <w:rPr>
          <w:rFonts w:hint="eastAsia"/>
          <w:szCs w:val="28"/>
        </w:rPr>
        <w:t>07-</w:t>
      </w:r>
      <w:r>
        <w:rPr>
          <w:szCs w:val="28"/>
        </w:rPr>
        <w:t>0</w:t>
      </w:r>
      <w:r>
        <w:rPr>
          <w:rFonts w:hint="eastAsia"/>
          <w:szCs w:val="28"/>
        </w:rPr>
        <w:t>5-02</w:t>
      </w:r>
      <w:r>
        <w:rPr>
          <w:rFonts w:hint="eastAsia"/>
          <w:snapToGrid w:val="0"/>
        </w:rPr>
        <w:t>，管理类别为Ⅱ类。</w:t>
      </w:r>
    </w:p>
    <w:p w14:paraId="02164AD7">
      <w:pPr>
        <w:keepNext w:val="0"/>
        <w:keepLines w:val="0"/>
        <w:pageBreakBefore w:val="0"/>
        <w:widowControl w:val="0"/>
        <w:kinsoku/>
        <w:wordWrap/>
        <w:overflowPunct/>
        <w:topLinePunct w:val="0"/>
        <w:autoSpaceDE/>
        <w:autoSpaceDN/>
        <w:bidi w:val="0"/>
        <w:adjustRightInd/>
        <w:snapToGrid/>
        <w:spacing w:after="0"/>
        <w:ind w:left="0" w:leftChars="0" w:firstLine="640" w:firstLineChars="200"/>
        <w:textAlignment w:val="auto"/>
        <w:rPr>
          <w:snapToGrid w:val="0"/>
        </w:rPr>
      </w:pPr>
      <w:r>
        <w:rPr>
          <w:rFonts w:hint="eastAsia"/>
          <w:snapToGrid w:val="0"/>
        </w:rPr>
        <w:t>本指导原则不适用于与电声门图仪配合使用的其他医疗器械（如喉镜、嗓音分析设备等），这些产品应参照相应的指导原则或法规要求。</w:t>
      </w:r>
    </w:p>
    <w:p w14:paraId="2C41C6B0">
      <w:pPr>
        <w:pStyle w:val="4"/>
        <w:keepNext w:val="0"/>
        <w:keepLines w:val="0"/>
        <w:pageBreakBefore w:val="0"/>
        <w:widowControl w:val="0"/>
        <w:kinsoku/>
        <w:wordWrap/>
        <w:overflowPunct/>
        <w:topLinePunct w:val="0"/>
        <w:autoSpaceDE/>
        <w:autoSpaceDN/>
        <w:bidi w:val="0"/>
        <w:adjustRightInd/>
        <w:snapToGrid/>
        <w:spacing w:after="0"/>
        <w:ind w:firstLine="640"/>
        <w:textAlignment w:val="auto"/>
        <w:rPr>
          <w:rFonts w:hint="eastAsia"/>
        </w:rPr>
      </w:pPr>
      <w:r>
        <w:rPr>
          <w:rFonts w:hint="eastAsia"/>
        </w:rPr>
        <w:t>二、注册</w:t>
      </w:r>
      <w:r>
        <w:t>审查要点</w:t>
      </w:r>
    </w:p>
    <w:p w14:paraId="72702AB3">
      <w:pPr>
        <w:pStyle w:val="5"/>
        <w:keepNext w:val="0"/>
        <w:keepLines w:val="0"/>
        <w:pageBreakBefore w:val="0"/>
        <w:widowControl w:val="0"/>
        <w:kinsoku/>
        <w:wordWrap/>
        <w:overflowPunct/>
        <w:topLinePunct w:val="0"/>
        <w:autoSpaceDE/>
        <w:autoSpaceDN/>
        <w:bidi w:val="0"/>
        <w:adjustRightInd/>
        <w:snapToGrid/>
        <w:spacing w:before="0" w:after="0"/>
        <w:textAlignment w:val="auto"/>
        <w:rPr>
          <w:rFonts w:hint="eastAsia"/>
          <w:b/>
        </w:rPr>
      </w:pPr>
      <w:r>
        <w:rPr>
          <w:rFonts w:hint="eastAsia"/>
        </w:rPr>
        <w:t>（一）监管信息</w:t>
      </w:r>
    </w:p>
    <w:p w14:paraId="542300EC">
      <w:pPr>
        <w:keepNext w:val="0"/>
        <w:keepLines w:val="0"/>
        <w:pageBreakBefore w:val="0"/>
        <w:widowControl w:val="0"/>
        <w:kinsoku/>
        <w:wordWrap/>
        <w:overflowPunct/>
        <w:topLinePunct w:val="0"/>
        <w:autoSpaceDE/>
        <w:autoSpaceDN/>
        <w:bidi w:val="0"/>
        <w:adjustRightInd/>
        <w:snapToGrid/>
        <w:spacing w:after="0"/>
        <w:textAlignment w:val="auto"/>
      </w:pPr>
      <w:r>
        <w:t>明确申请表中</w:t>
      </w:r>
      <w:r>
        <w:rPr>
          <w:snapToGrid w:val="0"/>
        </w:rPr>
        <w:t>产品名称、管理类别、分类编码、型号规格、产品组成、适用范围等信息。</w:t>
      </w:r>
    </w:p>
    <w:p w14:paraId="5DE74D27">
      <w:pPr>
        <w:pStyle w:val="6"/>
        <w:keepNext w:val="0"/>
        <w:keepLines w:val="0"/>
        <w:pageBreakBefore w:val="0"/>
        <w:widowControl w:val="0"/>
        <w:kinsoku/>
        <w:wordWrap/>
        <w:overflowPunct/>
        <w:topLinePunct w:val="0"/>
        <w:autoSpaceDE/>
        <w:autoSpaceDN/>
        <w:bidi w:val="0"/>
        <w:adjustRightInd/>
        <w:snapToGrid/>
        <w:spacing w:after="0"/>
        <w:ind w:firstLine="640"/>
        <w:textAlignment w:val="auto"/>
        <w:rPr>
          <w:b/>
        </w:rPr>
      </w:pPr>
      <w:r>
        <w:t>1.产品名称</w:t>
      </w:r>
    </w:p>
    <w:p w14:paraId="0D87AED5">
      <w:pPr>
        <w:keepNext w:val="0"/>
        <w:keepLines w:val="0"/>
        <w:pageBreakBefore w:val="0"/>
        <w:widowControl w:val="0"/>
        <w:kinsoku/>
        <w:wordWrap/>
        <w:overflowPunct/>
        <w:topLinePunct w:val="0"/>
        <w:autoSpaceDE/>
        <w:autoSpaceDN/>
        <w:bidi w:val="0"/>
        <w:adjustRightInd/>
        <w:snapToGrid/>
        <w:spacing w:after="0"/>
        <w:textAlignment w:val="auto"/>
      </w:pPr>
      <w:r>
        <w:rPr>
          <w:rFonts w:hint="eastAsia"/>
          <w:color w:val="000000"/>
        </w:rPr>
        <w:t>产品的</w:t>
      </w:r>
      <w:r>
        <w:t>命名</w:t>
      </w:r>
      <w:r>
        <w:rPr>
          <w:rFonts w:hint="eastAsia"/>
          <w:color w:val="000000"/>
        </w:rPr>
        <w:t>应符合《医疗器械通用名称</w:t>
      </w:r>
      <w:r>
        <w:rPr>
          <w:rFonts w:hint="eastAsia" w:cs="仿宋_GB2312"/>
          <w:szCs w:val="28"/>
        </w:rPr>
        <w:t>命名规则》</w:t>
      </w:r>
      <w:r>
        <w:rPr>
          <w:color w:val="000000"/>
        </w:rPr>
        <w:t>《医疗器械分类目录》</w:t>
      </w:r>
      <w:r>
        <w:rPr>
          <w:rFonts w:hint="eastAsia"/>
          <w:color w:val="000000"/>
        </w:rPr>
        <w:t>，参照</w:t>
      </w:r>
      <w:r>
        <w:rPr>
          <w:rFonts w:hint="eastAsia" w:cs="仿宋_GB2312"/>
          <w:szCs w:val="28"/>
        </w:rPr>
        <w:t>《医疗器械通用名称命名指导原则》《医用诊察和监护器械通用名称命名指导原则》</w:t>
      </w:r>
      <w:r>
        <w:rPr>
          <w:rFonts w:hint="eastAsia"/>
        </w:rPr>
        <w:t>和相关法规、规范性文件的要求。</w:t>
      </w:r>
      <w:r>
        <w:t>一般可以按“特征词+核心词”的方式命名，例如：</w:t>
      </w:r>
      <w:r>
        <w:rPr>
          <w:rFonts w:hint="eastAsia"/>
        </w:rPr>
        <w:t>电声门图仪</w:t>
      </w:r>
      <w:r>
        <w:t>等。</w:t>
      </w:r>
    </w:p>
    <w:p w14:paraId="294AD6CE">
      <w:pPr>
        <w:pStyle w:val="6"/>
        <w:keepNext w:val="0"/>
        <w:keepLines w:val="0"/>
        <w:pageBreakBefore w:val="0"/>
        <w:widowControl w:val="0"/>
        <w:kinsoku/>
        <w:wordWrap/>
        <w:overflowPunct/>
        <w:topLinePunct w:val="0"/>
        <w:autoSpaceDE/>
        <w:autoSpaceDN/>
        <w:bidi w:val="0"/>
        <w:adjustRightInd/>
        <w:snapToGrid/>
        <w:spacing w:after="0"/>
        <w:ind w:firstLine="640"/>
        <w:textAlignment w:val="auto"/>
        <w:rPr>
          <w:snapToGrid w:val="0"/>
        </w:rPr>
      </w:pPr>
      <w:r>
        <w:t>2.</w:t>
      </w:r>
      <w:r>
        <w:rPr>
          <w:snapToGrid w:val="0"/>
        </w:rPr>
        <w:t>管理类别</w:t>
      </w:r>
      <w:r>
        <w:rPr>
          <w:rFonts w:hint="eastAsia"/>
          <w:snapToGrid w:val="0"/>
        </w:rPr>
        <w:t>和</w:t>
      </w:r>
      <w:r>
        <w:rPr>
          <w:snapToGrid w:val="0"/>
        </w:rPr>
        <w:t>分类编码</w:t>
      </w:r>
    </w:p>
    <w:p w14:paraId="371F63DE">
      <w:pPr>
        <w:keepNext w:val="0"/>
        <w:keepLines w:val="0"/>
        <w:pageBreakBefore w:val="0"/>
        <w:widowControl w:val="0"/>
        <w:kinsoku/>
        <w:wordWrap/>
        <w:overflowPunct/>
        <w:topLinePunct w:val="0"/>
        <w:autoSpaceDE/>
        <w:autoSpaceDN/>
        <w:bidi w:val="0"/>
        <w:adjustRightInd/>
        <w:snapToGrid/>
        <w:spacing w:after="0"/>
        <w:textAlignment w:val="auto"/>
      </w:pPr>
      <w:r>
        <w:rPr>
          <w:szCs w:val="28"/>
        </w:rPr>
        <w:t>依据《医疗器械分类目录》</w:t>
      </w:r>
      <w:r>
        <w:t>，</w:t>
      </w:r>
      <w:r>
        <w:rPr>
          <w:rFonts w:hint="eastAsia"/>
          <w:snapToGrid w:val="0"/>
        </w:rPr>
        <w:t>本</w:t>
      </w:r>
      <w:r>
        <w:rPr>
          <w:snapToGrid w:val="0"/>
        </w:rPr>
        <w:t>产品管理类别为Ⅱ类</w:t>
      </w:r>
      <w:r>
        <w:rPr>
          <w:rFonts w:hint="eastAsia"/>
          <w:snapToGrid w:val="0"/>
        </w:rPr>
        <w:t>，所属分类子目录为07医用诊察和监护器械，一级产品类别为05生理参数分析测量设备，二级产品类别为02电声门图仪，分类编码07-05-02。</w:t>
      </w:r>
    </w:p>
    <w:p w14:paraId="4A471CFB">
      <w:pPr>
        <w:pStyle w:val="6"/>
        <w:keepNext w:val="0"/>
        <w:keepLines w:val="0"/>
        <w:pageBreakBefore w:val="0"/>
        <w:widowControl w:val="0"/>
        <w:kinsoku/>
        <w:wordWrap/>
        <w:overflowPunct/>
        <w:topLinePunct w:val="0"/>
        <w:autoSpaceDE/>
        <w:autoSpaceDN/>
        <w:bidi w:val="0"/>
        <w:adjustRightInd/>
        <w:snapToGrid/>
        <w:spacing w:after="0"/>
        <w:ind w:firstLine="640"/>
        <w:textAlignment w:val="auto"/>
        <w:rPr>
          <w:b/>
        </w:rPr>
      </w:pPr>
      <w:r>
        <w:t>3.注册单元划分</w:t>
      </w:r>
    </w:p>
    <w:p w14:paraId="252FA127">
      <w:pPr>
        <w:keepNext w:val="0"/>
        <w:keepLines w:val="0"/>
        <w:pageBreakBefore w:val="0"/>
        <w:widowControl w:val="0"/>
        <w:kinsoku/>
        <w:wordWrap/>
        <w:overflowPunct/>
        <w:topLinePunct w:val="0"/>
        <w:autoSpaceDE/>
        <w:autoSpaceDN/>
        <w:bidi w:val="0"/>
        <w:adjustRightInd/>
        <w:snapToGrid/>
        <w:spacing w:after="0"/>
        <w:ind w:firstLine="640"/>
        <w:textAlignment w:val="auto"/>
        <w:rPr>
          <w:rFonts w:cs="仿宋_GB2312"/>
          <w:szCs w:val="32"/>
        </w:rPr>
      </w:pPr>
      <w:r>
        <w:rPr>
          <w:rFonts w:hint="eastAsia"/>
          <w:szCs w:val="32"/>
        </w:rPr>
        <w:t>产品注册单元划分可参照《医疗器械注册单元划分指导原则》的要求，</w:t>
      </w:r>
      <w:r>
        <w:rPr>
          <w:rFonts w:hint="eastAsia"/>
          <w:spacing w:val="-4"/>
          <w:szCs w:val="32"/>
        </w:rPr>
        <w:t>依据产品适用范围、技术原理、结构组成、性能指标等关键要素进行注册单元划分</w:t>
      </w:r>
      <w:r>
        <w:rPr>
          <w:spacing w:val="-4"/>
          <w:szCs w:val="32"/>
        </w:rPr>
        <w:t>。</w:t>
      </w:r>
    </w:p>
    <w:p w14:paraId="2F461216">
      <w:pPr>
        <w:keepNext w:val="0"/>
        <w:keepLines w:val="0"/>
        <w:pageBreakBefore w:val="0"/>
        <w:widowControl w:val="0"/>
        <w:kinsoku/>
        <w:wordWrap/>
        <w:overflowPunct/>
        <w:topLinePunct w:val="0"/>
        <w:autoSpaceDE/>
        <w:autoSpaceDN/>
        <w:bidi w:val="0"/>
        <w:adjustRightInd/>
        <w:snapToGrid/>
        <w:spacing w:after="0"/>
        <w:textAlignment w:val="auto"/>
      </w:pPr>
      <w:r>
        <w:t>技术原理相同，但产品结构组成的不同影响产品安全有效性的</w:t>
      </w:r>
      <w:r>
        <w:rPr>
          <w:rFonts w:hint="eastAsia"/>
        </w:rPr>
        <w:t>，</w:t>
      </w:r>
      <w:r>
        <w:t>原则上</w:t>
      </w:r>
      <w:r>
        <w:rPr>
          <w:rFonts w:hint="eastAsia"/>
        </w:rPr>
        <w:t>应</w:t>
      </w:r>
      <w:r>
        <w:t>划分为不同注册单元。</w:t>
      </w:r>
      <w:r>
        <w:rPr>
          <w:rFonts w:hint="eastAsia"/>
        </w:rPr>
        <w:t>如台式电声门图仪与便携式电声门图仪，若其主要结构组成存在显著差异，应划分为不同注册单元。</w:t>
      </w:r>
    </w:p>
    <w:p w14:paraId="2E30A352">
      <w:pPr>
        <w:pStyle w:val="5"/>
        <w:keepNext w:val="0"/>
        <w:keepLines w:val="0"/>
        <w:pageBreakBefore w:val="0"/>
        <w:widowControl w:val="0"/>
        <w:kinsoku/>
        <w:wordWrap/>
        <w:overflowPunct/>
        <w:topLinePunct w:val="0"/>
        <w:autoSpaceDE/>
        <w:autoSpaceDN/>
        <w:bidi w:val="0"/>
        <w:adjustRightInd/>
        <w:snapToGrid/>
        <w:spacing w:before="0" w:after="0"/>
        <w:textAlignment w:val="auto"/>
        <w:rPr>
          <w:rFonts w:hint="eastAsia"/>
          <w:b/>
        </w:rPr>
      </w:pPr>
      <w:r>
        <w:rPr>
          <w:rFonts w:hint="eastAsia"/>
        </w:rPr>
        <w:t>（二）综述资料</w:t>
      </w:r>
    </w:p>
    <w:p w14:paraId="1AF645A7">
      <w:pPr>
        <w:pStyle w:val="6"/>
        <w:keepNext w:val="0"/>
        <w:keepLines w:val="0"/>
        <w:pageBreakBefore w:val="0"/>
        <w:widowControl w:val="0"/>
        <w:kinsoku/>
        <w:wordWrap/>
        <w:overflowPunct/>
        <w:topLinePunct w:val="0"/>
        <w:autoSpaceDE/>
        <w:autoSpaceDN/>
        <w:bidi w:val="0"/>
        <w:adjustRightInd/>
        <w:snapToGrid/>
        <w:spacing w:after="0"/>
        <w:ind w:firstLine="640"/>
        <w:textAlignment w:val="auto"/>
        <w:rPr>
          <w:szCs w:val="32"/>
        </w:rPr>
      </w:pPr>
      <w:r>
        <w:rPr>
          <w:iCs/>
        </w:rPr>
        <w:t>1</w:t>
      </w:r>
      <w:r>
        <w:rPr>
          <w:rFonts w:hint="eastAsia"/>
          <w:iCs/>
        </w:rPr>
        <w:t>.</w:t>
      </w:r>
      <w:r>
        <w:rPr>
          <w:rFonts w:hint="eastAsia" w:cs="仿宋_GB2312"/>
        </w:rPr>
        <w:t>概述</w:t>
      </w:r>
    </w:p>
    <w:p w14:paraId="74DAC85E">
      <w:pPr>
        <w:keepNext w:val="0"/>
        <w:keepLines w:val="0"/>
        <w:pageBreakBefore w:val="0"/>
        <w:widowControl w:val="0"/>
        <w:kinsoku/>
        <w:wordWrap/>
        <w:overflowPunct/>
        <w:topLinePunct w:val="0"/>
        <w:autoSpaceDE/>
        <w:autoSpaceDN/>
        <w:bidi w:val="0"/>
        <w:adjustRightInd/>
        <w:snapToGrid/>
        <w:spacing w:after="0"/>
        <w:textAlignment w:val="auto"/>
      </w:pPr>
      <w:r>
        <w:rPr>
          <w:rFonts w:hint="eastAsia"/>
        </w:rPr>
        <w:t>申请人应</w:t>
      </w:r>
      <w:r>
        <w:t>描述申报产品的通用名称及其确定依据，描述产品的管理类别、分类编码</w:t>
      </w:r>
      <w:r>
        <w:rPr>
          <w:rFonts w:hint="eastAsia"/>
        </w:rPr>
        <w:t>，描述产品的适用范围</w:t>
      </w:r>
      <w:r>
        <w:t>。</w:t>
      </w:r>
    </w:p>
    <w:p w14:paraId="0845C0E7">
      <w:pPr>
        <w:keepNext w:val="0"/>
        <w:keepLines w:val="0"/>
        <w:pageBreakBefore w:val="0"/>
        <w:widowControl w:val="0"/>
        <w:kinsoku/>
        <w:wordWrap/>
        <w:overflowPunct/>
        <w:topLinePunct w:val="0"/>
        <w:autoSpaceDE/>
        <w:autoSpaceDN/>
        <w:bidi w:val="0"/>
        <w:adjustRightInd/>
        <w:snapToGrid/>
        <w:spacing w:after="0"/>
        <w:textAlignment w:val="auto"/>
      </w:pPr>
      <w:r>
        <w:rPr>
          <w:rFonts w:hint="eastAsia"/>
        </w:rPr>
        <w:t>如适用，应描述有关申报产品的背景信息概述或特别细节，如：申报产品的历史概述、历次提交的信息，与其他经批准上市产品的关系等。</w:t>
      </w:r>
    </w:p>
    <w:p w14:paraId="7706100B">
      <w:pPr>
        <w:pStyle w:val="6"/>
        <w:keepNext w:val="0"/>
        <w:keepLines w:val="0"/>
        <w:pageBreakBefore w:val="0"/>
        <w:widowControl w:val="0"/>
        <w:kinsoku/>
        <w:wordWrap/>
        <w:overflowPunct/>
        <w:topLinePunct w:val="0"/>
        <w:autoSpaceDE/>
        <w:autoSpaceDN/>
        <w:bidi w:val="0"/>
        <w:adjustRightInd/>
        <w:snapToGrid/>
        <w:spacing w:after="0"/>
        <w:ind w:firstLine="640"/>
        <w:textAlignment w:val="auto"/>
      </w:pPr>
      <w:r>
        <w:rPr>
          <w:rFonts w:hint="eastAsia"/>
        </w:rPr>
        <w:t>2.产品描述</w:t>
      </w:r>
    </w:p>
    <w:p w14:paraId="3EA263B1">
      <w:pPr>
        <w:pStyle w:val="7"/>
        <w:keepNext w:val="0"/>
        <w:keepLines w:val="0"/>
        <w:pageBreakBefore w:val="0"/>
        <w:widowControl w:val="0"/>
        <w:kinsoku/>
        <w:wordWrap/>
        <w:overflowPunct/>
        <w:topLinePunct w:val="0"/>
        <w:autoSpaceDE/>
        <w:autoSpaceDN/>
        <w:bidi w:val="0"/>
        <w:adjustRightInd/>
        <w:snapToGrid/>
        <w:spacing w:after="0"/>
        <w:ind w:firstLine="640"/>
        <w:textAlignment w:val="auto"/>
      </w:pPr>
      <w:r>
        <w:rPr>
          <w:rFonts w:hint="eastAsia"/>
        </w:rPr>
        <w:t>2.1器械及操作原理描述</w:t>
      </w:r>
    </w:p>
    <w:p w14:paraId="76D75424">
      <w:pPr>
        <w:pStyle w:val="8"/>
        <w:keepNext w:val="0"/>
        <w:keepLines w:val="0"/>
        <w:pageBreakBefore w:val="0"/>
        <w:widowControl w:val="0"/>
        <w:kinsoku/>
        <w:wordWrap/>
        <w:overflowPunct/>
        <w:topLinePunct w:val="0"/>
        <w:autoSpaceDE/>
        <w:autoSpaceDN/>
        <w:bidi w:val="0"/>
        <w:adjustRightInd/>
        <w:snapToGrid/>
        <w:spacing w:after="0"/>
        <w:ind w:firstLine="640"/>
        <w:textAlignment w:val="auto"/>
      </w:pPr>
      <w:r>
        <w:rPr>
          <w:rFonts w:hint="eastAsia"/>
        </w:rPr>
        <w:t>2.1.1工作原理</w:t>
      </w:r>
    </w:p>
    <w:p w14:paraId="5D4CBE36">
      <w:pPr>
        <w:keepNext w:val="0"/>
        <w:keepLines w:val="0"/>
        <w:pageBreakBefore w:val="0"/>
        <w:widowControl w:val="0"/>
        <w:kinsoku/>
        <w:wordWrap/>
        <w:overflowPunct/>
        <w:topLinePunct w:val="0"/>
        <w:autoSpaceDE/>
        <w:autoSpaceDN/>
        <w:bidi w:val="0"/>
        <w:adjustRightInd/>
        <w:snapToGrid/>
        <w:spacing w:after="0"/>
        <w:textAlignment w:val="auto"/>
        <w:rPr>
          <w:rFonts w:hint="eastAsia"/>
        </w:rPr>
      </w:pPr>
      <w:r>
        <w:rPr>
          <w:rFonts w:hint="eastAsia"/>
        </w:rPr>
        <w:t>电声门图仪基于声带振动时声带接触面积变化引起电阻抗变化的原理工作。将两片电极对称置于</w:t>
      </w:r>
      <w:r>
        <w:t>声带两侧甲状软骨表皮上</w:t>
      </w:r>
      <w:r>
        <w:rPr>
          <w:rFonts w:hint="eastAsia"/>
        </w:rPr>
        <w:t>，声带振动时，声带接触阻抗变化引起调制电流变化，形成电声门图，反映声带振动每一周期中声门闭合阶段的特点以及声带振动时每个周期的运动轨迹。</w:t>
      </w:r>
    </w:p>
    <w:p w14:paraId="3DC3D6EC">
      <w:pPr>
        <w:keepNext w:val="0"/>
        <w:keepLines w:val="0"/>
        <w:pageBreakBefore w:val="0"/>
        <w:widowControl w:val="0"/>
        <w:kinsoku/>
        <w:wordWrap/>
        <w:overflowPunct/>
        <w:topLinePunct w:val="0"/>
        <w:autoSpaceDE/>
        <w:autoSpaceDN/>
        <w:bidi w:val="0"/>
        <w:adjustRightInd/>
        <w:snapToGrid/>
        <w:spacing w:after="0"/>
        <w:textAlignment w:val="auto"/>
        <w:rPr>
          <w:rFonts w:hint="eastAsia"/>
        </w:rPr>
      </w:pPr>
      <w:r>
        <w:rPr>
          <w:rFonts w:hint="eastAsia"/>
        </w:rPr>
        <w:t>电声门图仪对于嗓音功能评估、嗓音疾病诊断具有重要临床价值。产品即可作为单一功能设备，也可与其他设备集成、配套使用，如言语障碍测量仪。</w:t>
      </w:r>
    </w:p>
    <w:p w14:paraId="28E0461B">
      <w:pPr>
        <w:spacing w:line="240" w:lineRule="auto"/>
        <w:ind w:left="0" w:leftChars="0" w:firstLine="0" w:firstLineChars="0"/>
        <w:jc w:val="center"/>
        <w:rPr>
          <w:rFonts w:hint="eastAsia"/>
          <w:lang w:val="en-US" w:eastAsia="zh-CN"/>
        </w:rPr>
      </w:pPr>
      <w:r>
        <w:rPr>
          <w:rFonts w:hint="default"/>
          <w:lang w:val="en-US"/>
        </w:rPr>
        <w:drawing>
          <wp:inline distT="0" distB="0" distL="114300" distR="114300">
            <wp:extent cx="4827270" cy="2889885"/>
            <wp:effectExtent l="0" t="0" r="11430" b="5715"/>
            <wp:docPr id="1" name="图片 1" descr="微信图片_20260720100102_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720100102_1_2"/>
                    <pic:cNvPicPr>
                      <a:picLocks noChangeAspect="1"/>
                    </pic:cNvPicPr>
                  </pic:nvPicPr>
                  <pic:blipFill>
                    <a:blip r:embed="rId8"/>
                    <a:stretch>
                      <a:fillRect/>
                    </a:stretch>
                  </pic:blipFill>
                  <pic:spPr>
                    <a:xfrm>
                      <a:off x="0" y="0"/>
                      <a:ext cx="4827270" cy="2889885"/>
                    </a:xfrm>
                    <a:prstGeom prst="rect">
                      <a:avLst/>
                    </a:prstGeom>
                  </pic:spPr>
                </pic:pic>
              </a:graphicData>
            </a:graphic>
          </wp:inline>
        </w:drawing>
      </w:r>
    </w:p>
    <w:p w14:paraId="1D1900AA">
      <w:pPr>
        <w:spacing w:after="0" w:line="520" w:lineRule="exact"/>
        <w:ind w:firstLine="0"/>
        <w:jc w:val="center"/>
        <w:rPr>
          <w:rFonts w:hint="eastAsia" w:ascii="黑体" w:hAnsi="黑体" w:eastAsia="黑体" w:cs="黑体"/>
          <w:b w:val="0"/>
          <w:bCs w:val="0"/>
          <w:color w:val="000000"/>
          <w:sz w:val="28"/>
          <w:szCs w:val="28"/>
          <w:highlight w:val="none"/>
          <w14:ligatures w14:val="none"/>
        </w:rPr>
      </w:pPr>
      <w:r>
        <w:rPr>
          <w:rFonts w:hint="eastAsia" w:ascii="黑体" w:hAnsi="黑体" w:eastAsia="黑体" w:cs="黑体"/>
          <w:b w:val="0"/>
          <w:bCs w:val="0"/>
          <w:color w:val="000000"/>
          <w:sz w:val="28"/>
          <w:szCs w:val="28"/>
          <w:highlight w:val="none"/>
          <w14:ligatures w14:val="none"/>
        </w:rPr>
        <w:t xml:space="preserve">图1 </w:t>
      </w:r>
      <w:r>
        <w:rPr>
          <w:rFonts w:hint="eastAsia" w:ascii="黑体" w:hAnsi="黑体" w:eastAsia="黑体" w:cs="黑体"/>
          <w:b w:val="0"/>
          <w:bCs w:val="0"/>
          <w:color w:val="000000"/>
          <w:sz w:val="28"/>
          <w:szCs w:val="28"/>
          <w:highlight w:val="none"/>
          <w:lang w:eastAsia="zh-CN"/>
          <w14:ligatures w14:val="none"/>
        </w:rPr>
        <w:t>电原理示意</w:t>
      </w:r>
      <w:r>
        <w:rPr>
          <w:rFonts w:hint="eastAsia" w:ascii="黑体" w:hAnsi="黑体" w:eastAsia="黑体" w:cs="黑体"/>
          <w:b w:val="0"/>
          <w:bCs w:val="0"/>
          <w:color w:val="000000"/>
          <w:sz w:val="28"/>
          <w:szCs w:val="28"/>
          <w:highlight w:val="none"/>
          <w14:ligatures w14:val="none"/>
        </w:rPr>
        <w:t>图</w:t>
      </w:r>
    </w:p>
    <w:p w14:paraId="633B46EF">
      <w:pPr>
        <w:pStyle w:val="8"/>
        <w:keepNext w:val="0"/>
        <w:pageBreakBefore w:val="0"/>
        <w:widowControl w:val="0"/>
        <w:kinsoku/>
        <w:wordWrap/>
        <w:overflowPunct/>
        <w:topLinePunct w:val="0"/>
        <w:autoSpaceDE/>
        <w:autoSpaceDN/>
        <w:bidi w:val="0"/>
        <w:spacing w:after="0"/>
        <w:ind w:right="0" w:rightChars="0" w:firstLine="640"/>
        <w:textAlignment w:val="auto"/>
      </w:pPr>
      <w:r>
        <w:rPr>
          <w:rFonts w:hint="eastAsia"/>
        </w:rPr>
        <w:t>2.1.2结构组成</w:t>
      </w:r>
    </w:p>
    <w:p w14:paraId="741D1C1B">
      <w:pPr>
        <w:keepNext w:val="0"/>
        <w:pageBreakBefore w:val="0"/>
        <w:widowControl w:val="0"/>
        <w:kinsoku/>
        <w:wordWrap/>
        <w:overflowPunct/>
        <w:topLinePunct w:val="0"/>
        <w:autoSpaceDE/>
        <w:autoSpaceDN/>
        <w:bidi w:val="0"/>
        <w:spacing w:after="0"/>
        <w:ind w:right="0" w:rightChars="0"/>
        <w:textAlignment w:val="auto"/>
      </w:pPr>
      <w:r>
        <w:rPr>
          <w:rFonts w:hint="eastAsia"/>
        </w:rPr>
        <w:t>应当明确申报</w:t>
      </w:r>
      <w:bookmarkStart w:id="0" w:name="_GoBack"/>
      <w:bookmarkEnd w:id="0"/>
      <w:r>
        <w:rPr>
          <w:rFonts w:hint="eastAsia"/>
        </w:rPr>
        <w:t>产品的结构和组成。电声门图仪通常由主机、声门图电极、音频输出线组成，有些产品还包括显示单元与软件组件。若含有多个组成部分，应说明其连接或组装关系，如主机与显示单元之间的通讯介质形式（有线、无线）。</w:t>
      </w:r>
    </w:p>
    <w:p w14:paraId="1BCC3D7C">
      <w:pPr>
        <w:keepNext w:val="0"/>
        <w:pageBreakBefore w:val="0"/>
        <w:widowControl w:val="0"/>
        <w:kinsoku/>
        <w:wordWrap/>
        <w:overflowPunct/>
        <w:topLinePunct w:val="0"/>
        <w:autoSpaceDE/>
        <w:autoSpaceDN/>
        <w:bidi w:val="0"/>
        <w:spacing w:after="0"/>
        <w:ind w:right="0" w:rightChars="0"/>
        <w:textAlignment w:val="auto"/>
        <w:rPr>
          <w:iCs/>
          <w:color w:val="000000"/>
          <w:szCs w:val="28"/>
        </w:rPr>
      </w:pPr>
      <w:r>
        <w:rPr>
          <w:rFonts w:hint="eastAsia"/>
        </w:rPr>
        <w:t>2.1.2.1</w:t>
      </w:r>
      <w:r>
        <w:rPr>
          <w:iCs/>
          <w:color w:val="000000"/>
          <w:szCs w:val="28"/>
        </w:rPr>
        <w:t>主机</w:t>
      </w:r>
      <w:r>
        <w:rPr>
          <w:rFonts w:hint="eastAsia"/>
          <w:iCs/>
          <w:color w:val="000000"/>
          <w:szCs w:val="28"/>
        </w:rPr>
        <w:t>：</w:t>
      </w:r>
      <w:r>
        <w:t>包含信号发生器、放大器、滤波器、模数转换器、微处理器等核心电路，负责产生激励信号、处理采集信号、计算分析参数、显示和存储数据等功能。</w:t>
      </w:r>
    </w:p>
    <w:p w14:paraId="055F7353">
      <w:pPr>
        <w:keepNext w:val="0"/>
        <w:pageBreakBefore w:val="0"/>
        <w:widowControl w:val="0"/>
        <w:kinsoku/>
        <w:wordWrap/>
        <w:overflowPunct/>
        <w:topLinePunct w:val="0"/>
        <w:autoSpaceDE/>
        <w:autoSpaceDN/>
        <w:bidi w:val="0"/>
        <w:spacing w:after="0"/>
        <w:ind w:right="0" w:rightChars="0"/>
        <w:textAlignment w:val="auto"/>
      </w:pPr>
      <w:r>
        <w:rPr>
          <w:rFonts w:hint="eastAsia"/>
        </w:rPr>
        <w:t>2.1.2.2声门图电极：通常为一对金属电极，用于在颈部皮肤表面施加高频电流并检测阻抗变化信号。电极材料应具有良好的导电性和生物相容性。</w:t>
      </w:r>
    </w:p>
    <w:p w14:paraId="39D7F040">
      <w:pPr>
        <w:keepNext w:val="0"/>
        <w:pageBreakBefore w:val="0"/>
        <w:widowControl w:val="0"/>
        <w:kinsoku/>
        <w:wordWrap/>
        <w:overflowPunct/>
        <w:topLinePunct w:val="0"/>
        <w:autoSpaceDE/>
        <w:autoSpaceDN/>
        <w:bidi w:val="0"/>
        <w:spacing w:after="0"/>
        <w:ind w:right="0" w:rightChars="0"/>
        <w:textAlignment w:val="auto"/>
        <w:rPr>
          <w:bCs/>
          <w:iCs/>
          <w:color w:val="000000"/>
          <w:szCs w:val="28"/>
        </w:rPr>
      </w:pPr>
      <w:r>
        <w:rPr>
          <w:rFonts w:hint="eastAsia"/>
        </w:rPr>
        <w:t>2.1.2.3</w:t>
      </w:r>
      <w:r>
        <w:rPr>
          <w:rFonts w:hint="eastAsia"/>
          <w:bCs/>
          <w:iCs/>
          <w:color w:val="000000"/>
          <w:szCs w:val="28"/>
        </w:rPr>
        <w:t>音频输出线：</w:t>
      </w:r>
      <w:r>
        <w:rPr>
          <w:rFonts w:hint="eastAsia"/>
        </w:rPr>
        <w:t>用于连接外部音频设备或数据采集系统，输出电声门图信号或音频信号。</w:t>
      </w:r>
    </w:p>
    <w:p w14:paraId="2C288A76">
      <w:pPr>
        <w:keepNext w:val="0"/>
        <w:pageBreakBefore w:val="0"/>
        <w:widowControl w:val="0"/>
        <w:kinsoku/>
        <w:wordWrap/>
        <w:overflowPunct/>
        <w:topLinePunct w:val="0"/>
        <w:autoSpaceDE/>
        <w:autoSpaceDN/>
        <w:bidi w:val="0"/>
        <w:spacing w:after="0"/>
        <w:ind w:right="0" w:rightChars="0"/>
        <w:textAlignment w:val="auto"/>
        <w:rPr>
          <w:bCs/>
          <w:iCs/>
          <w:color w:val="000000"/>
          <w:szCs w:val="28"/>
        </w:rPr>
      </w:pPr>
      <w:r>
        <w:rPr>
          <w:rFonts w:hint="eastAsia"/>
        </w:rPr>
        <w:t>2.1.2.4</w:t>
      </w:r>
      <w:r>
        <w:rPr>
          <w:rFonts w:hint="eastAsia"/>
          <w:bCs/>
          <w:iCs/>
          <w:color w:val="000000"/>
          <w:szCs w:val="28"/>
        </w:rPr>
        <w:t>显示单元：</w:t>
      </w:r>
      <w:r>
        <w:rPr>
          <w:rFonts w:hint="eastAsia"/>
        </w:rPr>
        <w:t>用于显示电声门图波形、分析参数和测量结果等信息。</w:t>
      </w:r>
    </w:p>
    <w:p w14:paraId="2A54A816">
      <w:pPr>
        <w:keepNext w:val="0"/>
        <w:pageBreakBefore w:val="0"/>
        <w:widowControl w:val="0"/>
        <w:kinsoku/>
        <w:wordWrap/>
        <w:overflowPunct/>
        <w:topLinePunct w:val="0"/>
        <w:autoSpaceDE/>
        <w:autoSpaceDN/>
        <w:bidi w:val="0"/>
        <w:spacing w:after="0"/>
        <w:ind w:right="0" w:rightChars="0"/>
        <w:textAlignment w:val="auto"/>
        <w:rPr>
          <w:bCs/>
          <w:iCs/>
          <w:color w:val="000000"/>
          <w:szCs w:val="28"/>
        </w:rPr>
      </w:pPr>
      <w:r>
        <w:rPr>
          <w:rFonts w:hint="eastAsia"/>
        </w:rPr>
        <w:t>2.1.2.5</w:t>
      </w:r>
      <w:r>
        <w:rPr>
          <w:rFonts w:hint="eastAsia"/>
          <w:bCs/>
          <w:iCs/>
          <w:color w:val="000000"/>
          <w:szCs w:val="28"/>
        </w:rPr>
        <w:t>软件组件：</w:t>
      </w:r>
      <w:r>
        <w:rPr>
          <w:rFonts w:hint="eastAsia"/>
        </w:rPr>
        <w:t>负责数据采集、信号处理、参数计算、数据存储和通信等功能。</w:t>
      </w:r>
    </w:p>
    <w:p w14:paraId="0CC117F5">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2.2型号规格</w:t>
      </w:r>
    </w:p>
    <w:p w14:paraId="66C0BBD0">
      <w:pPr>
        <w:keepNext w:val="0"/>
        <w:pageBreakBefore w:val="0"/>
        <w:widowControl w:val="0"/>
        <w:kinsoku/>
        <w:wordWrap/>
        <w:overflowPunct/>
        <w:topLinePunct w:val="0"/>
        <w:autoSpaceDE/>
        <w:autoSpaceDN/>
        <w:bidi w:val="0"/>
        <w:spacing w:after="0"/>
        <w:ind w:right="0" w:rightChars="0"/>
        <w:textAlignment w:val="auto"/>
      </w:pPr>
      <w:r>
        <w:rPr>
          <w:rFonts w:hint="eastAsia"/>
        </w:rPr>
        <w:t>应明确申报产品的型号规格及其划分原则。对于存在多种型号、规格的产品，需明确各型号、规格的区别，应采用对比表及带有说明性文字的图片、图表，对各种型号、规格的结构组成、功能、产品特征和运行模式、技术参数等方面加以描述。</w:t>
      </w:r>
    </w:p>
    <w:p w14:paraId="0AF2020B">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2.3包装说明</w:t>
      </w:r>
    </w:p>
    <w:p w14:paraId="01450D8F">
      <w:pPr>
        <w:keepNext w:val="0"/>
        <w:pageBreakBefore w:val="0"/>
        <w:widowControl w:val="0"/>
        <w:kinsoku/>
        <w:wordWrap/>
        <w:overflowPunct/>
        <w:topLinePunct w:val="0"/>
        <w:autoSpaceDE/>
        <w:autoSpaceDN/>
        <w:bidi w:val="0"/>
        <w:spacing w:after="0"/>
        <w:ind w:right="0" w:rightChars="0"/>
        <w:textAlignment w:val="auto"/>
      </w:pPr>
      <w:r>
        <w:rPr>
          <w:rFonts w:hint="eastAsia"/>
        </w:rPr>
        <w:t>说明所有产品组成的包装信息。描述产品包装的组成部分，对于每个组成部分，详细描述包装清单和包装方式，并提供包装图示。若电极（或导联线）为外购的有注册证的产品，建议说明。</w:t>
      </w:r>
    </w:p>
    <w:p w14:paraId="5125C4D8">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2.4研发历程</w:t>
      </w:r>
    </w:p>
    <w:p w14:paraId="30FD7E85">
      <w:pPr>
        <w:keepNext w:val="0"/>
        <w:pageBreakBefore w:val="0"/>
        <w:widowControl w:val="0"/>
        <w:kinsoku/>
        <w:wordWrap/>
        <w:overflowPunct/>
        <w:topLinePunct w:val="0"/>
        <w:autoSpaceDE/>
        <w:autoSpaceDN/>
        <w:bidi w:val="0"/>
        <w:spacing w:after="0"/>
        <w:ind w:right="0" w:rightChars="0"/>
        <w:textAlignment w:val="auto"/>
      </w:pPr>
      <w:r>
        <w:rPr>
          <w:rFonts w:hint="eastAsia"/>
        </w:rPr>
        <w:t>阐述申请注册产品的研发背景和目的。如有参考的同类产品或前代产品，需提供同类产品或前代产品的信息，并说明选择其作为研发参考的原因。</w:t>
      </w:r>
    </w:p>
    <w:p w14:paraId="07EB706A">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2.5与同类和/或前代产品的参考和比较</w:t>
      </w:r>
    </w:p>
    <w:p w14:paraId="6E44398B">
      <w:pPr>
        <w:keepNext w:val="0"/>
        <w:pageBreakBefore w:val="0"/>
        <w:widowControl w:val="0"/>
        <w:kinsoku/>
        <w:wordWrap/>
        <w:overflowPunct/>
        <w:topLinePunct w:val="0"/>
        <w:autoSpaceDE/>
        <w:autoSpaceDN/>
        <w:bidi w:val="0"/>
        <w:spacing w:after="0"/>
        <w:ind w:right="0" w:rightChars="0"/>
        <w:textAlignment w:val="auto"/>
      </w:pPr>
      <w:r>
        <w:rPr>
          <w:rFonts w:hint="eastAsia"/>
        </w:rPr>
        <w:t>列表比较说明申报产品与同类产品和/或前代产品在工作原理、结构组成、制造材料、性能指标、以及适用范围等方面的异同。</w:t>
      </w:r>
    </w:p>
    <w:p w14:paraId="4A607BB0">
      <w:pPr>
        <w:keepNext w:val="0"/>
        <w:pageBreakBefore w:val="0"/>
        <w:widowControl w:val="0"/>
        <w:kinsoku/>
        <w:wordWrap/>
        <w:overflowPunct/>
        <w:topLinePunct w:val="0"/>
        <w:autoSpaceDE/>
        <w:autoSpaceDN/>
        <w:bidi w:val="0"/>
        <w:spacing w:after="0"/>
        <w:ind w:right="0" w:rightChars="0"/>
        <w:textAlignment w:val="auto"/>
      </w:pPr>
      <w:r>
        <w:rPr>
          <w:rFonts w:hint="eastAsia"/>
        </w:rPr>
        <w:t>如适用，明确与申报产品联合使用实现预期用途的其他产品的详细信息，若配合已获批的电极使用，应提供注册证编号和国家药监局网站公布的注册证信息。</w:t>
      </w:r>
    </w:p>
    <w:p w14:paraId="7275E1E1">
      <w:pPr>
        <w:pStyle w:val="6"/>
        <w:keepNext w:val="0"/>
        <w:pageBreakBefore w:val="0"/>
        <w:widowControl w:val="0"/>
        <w:kinsoku/>
        <w:wordWrap/>
        <w:overflowPunct/>
        <w:topLinePunct w:val="0"/>
        <w:autoSpaceDE/>
        <w:autoSpaceDN/>
        <w:bidi w:val="0"/>
        <w:spacing w:after="0"/>
        <w:ind w:right="0" w:rightChars="0" w:firstLine="640"/>
        <w:textAlignment w:val="auto"/>
      </w:pPr>
      <w:r>
        <w:rPr>
          <w:rFonts w:hint="eastAsia"/>
        </w:rPr>
        <w:t>3.适用范围和禁忌证</w:t>
      </w:r>
    </w:p>
    <w:p w14:paraId="2F6777DD">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3.1适用范围</w:t>
      </w:r>
    </w:p>
    <w:p w14:paraId="2F6E2E55">
      <w:pPr>
        <w:keepNext w:val="0"/>
        <w:pageBreakBefore w:val="0"/>
        <w:widowControl w:val="0"/>
        <w:kinsoku/>
        <w:wordWrap/>
        <w:overflowPunct/>
        <w:topLinePunct w:val="0"/>
        <w:autoSpaceDE/>
        <w:autoSpaceDN/>
        <w:bidi w:val="0"/>
        <w:spacing w:after="0"/>
        <w:ind w:right="0" w:rightChars="0"/>
        <w:textAlignment w:val="auto"/>
        <w:rPr>
          <w:szCs w:val="28"/>
        </w:rPr>
      </w:pPr>
      <w:r>
        <w:t>应当明确申报产品可提供的治疗或诊断功能</w:t>
      </w:r>
      <w:r>
        <w:rPr>
          <w:rFonts w:hint="eastAsia"/>
        </w:rPr>
        <w:t>、</w:t>
      </w:r>
      <w:r>
        <w:t>预期用途</w:t>
      </w:r>
      <w:r>
        <w:rPr>
          <w:rFonts w:hint="eastAsia"/>
          <w:szCs w:val="28"/>
        </w:rPr>
        <w:t>，</w:t>
      </w:r>
      <w:r>
        <w:rPr>
          <w:rFonts w:hint="default"/>
          <w:szCs w:val="28"/>
          <w:lang w:val="en-US"/>
        </w:rPr>
        <w:t>该产品为</w:t>
      </w:r>
      <w:r>
        <w:t>重复使用</w:t>
      </w:r>
      <w:r>
        <w:rPr>
          <w:lang w:val="en-US"/>
        </w:rPr>
        <w:t>，说明声门图电极是一次性使用还是重复使用</w:t>
      </w:r>
      <w:r>
        <w:rPr>
          <w:rFonts w:hint="eastAsia"/>
        </w:rPr>
        <w:t>，以及</w:t>
      </w:r>
      <w:r>
        <w:t>与其组合使用实现预期用途的其他产品</w:t>
      </w:r>
      <w:r>
        <w:rPr>
          <w:rFonts w:hint="eastAsia"/>
        </w:rPr>
        <w:t>。</w:t>
      </w:r>
    </w:p>
    <w:p w14:paraId="30F42C93">
      <w:pPr>
        <w:keepNext w:val="0"/>
        <w:pageBreakBefore w:val="0"/>
        <w:widowControl w:val="0"/>
        <w:kinsoku/>
        <w:wordWrap/>
        <w:overflowPunct/>
        <w:topLinePunct w:val="0"/>
        <w:autoSpaceDE/>
        <w:autoSpaceDN/>
        <w:bidi w:val="0"/>
        <w:spacing w:after="0"/>
        <w:ind w:right="0" w:rightChars="0"/>
        <w:textAlignment w:val="auto"/>
        <w:rPr>
          <w:szCs w:val="28"/>
        </w:rPr>
      </w:pPr>
      <w:r>
        <w:rPr>
          <w:rFonts w:hint="eastAsia"/>
          <w:szCs w:val="28"/>
        </w:rPr>
        <w:t>如电声门图仪的适用范围可表述为：“用于检测声门组织阻抗变化和声带接触面积的变化，反映声带振动每一周期中声门闭合阶段的特点以及声带振动时每个周期的运动轨迹”。</w:t>
      </w:r>
    </w:p>
    <w:p w14:paraId="225ED800">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3.2预期使用环境</w:t>
      </w:r>
    </w:p>
    <w:p w14:paraId="2B912E40">
      <w:pPr>
        <w:keepNext w:val="0"/>
        <w:pageBreakBefore w:val="0"/>
        <w:widowControl w:val="0"/>
        <w:kinsoku/>
        <w:wordWrap/>
        <w:overflowPunct/>
        <w:topLinePunct w:val="0"/>
        <w:autoSpaceDE/>
        <w:autoSpaceDN/>
        <w:bidi w:val="0"/>
        <w:spacing w:after="0"/>
        <w:ind w:right="0" w:rightChars="0"/>
        <w:textAlignment w:val="auto"/>
        <w:rPr>
          <w:szCs w:val="28"/>
        </w:rPr>
      </w:pPr>
      <w:r>
        <w:rPr>
          <w:rFonts w:hint="eastAsia"/>
        </w:rPr>
        <w:t>明确</w:t>
      </w:r>
      <w:r>
        <w:t>该产品预期使用的地点，如医疗机构、实验室等</w:t>
      </w:r>
      <w:r>
        <w:rPr>
          <w:rFonts w:hint="eastAsia"/>
          <w:szCs w:val="28"/>
        </w:rPr>
        <w:t>。</w:t>
      </w:r>
    </w:p>
    <w:p w14:paraId="7BA81434">
      <w:pPr>
        <w:keepNext w:val="0"/>
        <w:pageBreakBefore w:val="0"/>
        <w:widowControl w:val="0"/>
        <w:kinsoku/>
        <w:wordWrap/>
        <w:overflowPunct/>
        <w:topLinePunct w:val="0"/>
        <w:autoSpaceDE/>
        <w:autoSpaceDN/>
        <w:bidi w:val="0"/>
        <w:spacing w:after="0"/>
        <w:ind w:right="0" w:rightChars="0"/>
        <w:textAlignment w:val="auto"/>
        <w:rPr>
          <w:color w:val="FF0000"/>
        </w:rPr>
      </w:pPr>
      <w:r>
        <w:rPr>
          <w:rFonts w:hint="eastAsia"/>
        </w:rPr>
        <w:t>明确可能影响其安全性和有效性的环境条件，如温度、湿度、压力、移动、振动、海拔等。</w:t>
      </w:r>
    </w:p>
    <w:p w14:paraId="7A1C0F9D">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3.3适用人群</w:t>
      </w:r>
    </w:p>
    <w:p w14:paraId="218FFCA3">
      <w:pPr>
        <w:keepNext w:val="0"/>
        <w:pageBreakBefore w:val="0"/>
        <w:widowControl w:val="0"/>
        <w:kinsoku/>
        <w:wordWrap/>
        <w:overflowPunct/>
        <w:topLinePunct w:val="0"/>
        <w:autoSpaceDE/>
        <w:autoSpaceDN/>
        <w:bidi w:val="0"/>
        <w:spacing w:after="0"/>
        <w:ind w:right="0" w:rightChars="0"/>
        <w:textAlignment w:val="auto"/>
      </w:pPr>
      <w:r>
        <w:t>应详述产品的适用人群。</w:t>
      </w:r>
    </w:p>
    <w:p w14:paraId="2BDBC3C5">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3.4禁忌证</w:t>
      </w:r>
    </w:p>
    <w:p w14:paraId="28F22C24">
      <w:pPr>
        <w:keepNext w:val="0"/>
        <w:pageBreakBefore w:val="0"/>
        <w:widowControl w:val="0"/>
        <w:kinsoku/>
        <w:wordWrap/>
        <w:overflowPunct/>
        <w:topLinePunct w:val="0"/>
        <w:autoSpaceDE/>
        <w:autoSpaceDN/>
        <w:bidi w:val="0"/>
        <w:spacing w:after="0"/>
        <w:ind w:right="0" w:rightChars="0"/>
        <w:textAlignment w:val="auto"/>
      </w:pPr>
      <w:r>
        <w:rPr>
          <w:rFonts w:hint="eastAsia"/>
        </w:rPr>
        <w:t>应当明确说明该产品禁忌应用的特定人群、疾病种类等。例如：皮肤破损、对电极材质过敏者禁止使用。</w:t>
      </w:r>
    </w:p>
    <w:p w14:paraId="6D94372B">
      <w:pPr>
        <w:pStyle w:val="6"/>
        <w:keepNext w:val="0"/>
        <w:pageBreakBefore w:val="0"/>
        <w:widowControl w:val="0"/>
        <w:kinsoku/>
        <w:wordWrap/>
        <w:overflowPunct/>
        <w:topLinePunct w:val="0"/>
        <w:autoSpaceDE/>
        <w:autoSpaceDN/>
        <w:bidi w:val="0"/>
        <w:spacing w:after="0"/>
        <w:ind w:right="0" w:rightChars="0" w:firstLine="640"/>
        <w:textAlignment w:val="auto"/>
      </w:pPr>
      <w:r>
        <w:rPr>
          <w:rFonts w:hint="eastAsia"/>
        </w:rPr>
        <w:t>4.</w:t>
      </w:r>
      <w:r>
        <w:rPr>
          <w:rFonts w:hint="eastAsia"/>
          <w:szCs w:val="20"/>
        </w:rPr>
        <w:t xml:space="preserve"> </w:t>
      </w:r>
      <w:r>
        <w:rPr>
          <w:rFonts w:hint="eastAsia"/>
        </w:rPr>
        <w:t>申报产品上市历史</w:t>
      </w:r>
    </w:p>
    <w:p w14:paraId="6A156182">
      <w:pPr>
        <w:keepNext w:val="0"/>
        <w:pageBreakBefore w:val="0"/>
        <w:widowControl w:val="0"/>
        <w:kinsoku/>
        <w:wordWrap/>
        <w:overflowPunct/>
        <w:topLinePunct w:val="0"/>
        <w:autoSpaceDE/>
        <w:autoSpaceDN/>
        <w:bidi w:val="0"/>
        <w:spacing w:after="0"/>
        <w:ind w:right="0" w:rightChars="0"/>
        <w:textAlignment w:val="auto"/>
      </w:pPr>
      <w:r>
        <w:rPr>
          <w:rFonts w:hint="eastAsia"/>
        </w:rPr>
        <w:t>如适用，应提供申报产品的下列资料：</w:t>
      </w:r>
    </w:p>
    <w:p w14:paraId="514A9FDA">
      <w:pPr>
        <w:keepNext w:val="0"/>
        <w:pageBreakBefore w:val="0"/>
        <w:widowControl w:val="0"/>
        <w:kinsoku/>
        <w:wordWrap/>
        <w:overflowPunct/>
        <w:topLinePunct w:val="0"/>
        <w:autoSpaceDE/>
        <w:autoSpaceDN/>
        <w:bidi w:val="0"/>
        <w:spacing w:after="0"/>
        <w:ind w:right="0" w:rightChars="0"/>
        <w:textAlignment w:val="auto"/>
      </w:pPr>
      <w:r>
        <w:rPr>
          <w:rFonts w:hint="eastAsia"/>
        </w:rPr>
        <w:t>4.1</w:t>
      </w:r>
      <w:r>
        <w:rPr>
          <w:rFonts w:hint="default"/>
          <w:lang w:val="en-US"/>
        </w:rPr>
        <w:t>产</w:t>
      </w:r>
      <w:r>
        <w:rPr>
          <w:rFonts w:hint="eastAsia"/>
        </w:rPr>
        <w:t>品在各国家或地区的上市批准时间、销售情况。</w:t>
      </w:r>
    </w:p>
    <w:p w14:paraId="36E3500D">
      <w:pPr>
        <w:keepNext w:val="0"/>
        <w:pageBreakBefore w:val="0"/>
        <w:widowControl w:val="0"/>
        <w:kinsoku/>
        <w:wordWrap/>
        <w:overflowPunct/>
        <w:topLinePunct w:val="0"/>
        <w:autoSpaceDE/>
        <w:autoSpaceDN/>
        <w:bidi w:val="0"/>
        <w:spacing w:after="0"/>
        <w:ind w:right="0" w:rightChars="0"/>
        <w:textAlignment w:val="auto"/>
        <w:rPr>
          <w:b/>
        </w:rPr>
      </w:pPr>
      <w:r>
        <w:rPr>
          <w:rFonts w:hint="eastAsia"/>
        </w:rPr>
        <w:t>4.2</w:t>
      </w:r>
      <w:r>
        <w:rPr>
          <w:rFonts w:hint="default"/>
          <w:lang w:val="en-US"/>
        </w:rPr>
        <w:t>产</w:t>
      </w:r>
      <w:r>
        <w:rPr>
          <w:rFonts w:hint="eastAsia"/>
        </w:rPr>
        <w:t>品上市后不良事件及召回情况，如不良事件及召回情况描述、原因分析、处理和解决方案、对安全有效性影响的分析评价等。</w:t>
      </w:r>
    </w:p>
    <w:p w14:paraId="4982E51A">
      <w:pPr>
        <w:pStyle w:val="5"/>
        <w:keepNext w:val="0"/>
        <w:pageBreakBefore w:val="0"/>
        <w:widowControl w:val="0"/>
        <w:kinsoku/>
        <w:wordWrap/>
        <w:overflowPunct/>
        <w:topLinePunct w:val="0"/>
        <w:autoSpaceDE/>
        <w:autoSpaceDN/>
        <w:bidi w:val="0"/>
        <w:spacing w:before="0" w:after="0"/>
        <w:ind w:right="0" w:rightChars="0"/>
        <w:textAlignment w:val="auto"/>
        <w:rPr>
          <w:rFonts w:hint="eastAsia"/>
          <w:b/>
        </w:rPr>
      </w:pPr>
      <w:r>
        <w:rPr>
          <w:rFonts w:hint="eastAsia"/>
        </w:rPr>
        <w:t>（三）非临床资料</w:t>
      </w:r>
    </w:p>
    <w:p w14:paraId="3D9C033E">
      <w:pPr>
        <w:pStyle w:val="6"/>
        <w:keepNext w:val="0"/>
        <w:pageBreakBefore w:val="0"/>
        <w:widowControl w:val="0"/>
        <w:kinsoku/>
        <w:wordWrap/>
        <w:overflowPunct/>
        <w:topLinePunct w:val="0"/>
        <w:autoSpaceDE/>
        <w:autoSpaceDN/>
        <w:bidi w:val="0"/>
        <w:spacing w:after="0"/>
        <w:ind w:right="0" w:rightChars="0" w:firstLine="640"/>
        <w:textAlignment w:val="auto"/>
      </w:pPr>
      <w:r>
        <w:t>1.</w:t>
      </w:r>
      <w:r>
        <w:rPr>
          <w:rFonts w:hint="eastAsia"/>
        </w:rPr>
        <w:t>产品风险管理资料</w:t>
      </w:r>
    </w:p>
    <w:p w14:paraId="25353179">
      <w:pPr>
        <w:keepNext w:val="0"/>
        <w:pageBreakBefore w:val="0"/>
        <w:widowControl w:val="0"/>
        <w:kinsoku/>
        <w:wordWrap/>
        <w:overflowPunct/>
        <w:topLinePunct w:val="0"/>
        <w:autoSpaceDE/>
        <w:autoSpaceDN/>
        <w:bidi w:val="0"/>
        <w:spacing w:after="0"/>
        <w:ind w:right="0" w:rightChars="0"/>
        <w:textAlignment w:val="auto"/>
        <w:rPr>
          <w:bCs/>
          <w:iCs/>
          <w:szCs w:val="28"/>
        </w:rPr>
      </w:pPr>
      <w:r>
        <w:rPr>
          <w:rFonts w:hint="eastAsia"/>
        </w:rPr>
        <w:t>产品风险管理资料是对产品的风险管理过程及其评审的结果予以记录所形成的资料。</w:t>
      </w:r>
      <w:r>
        <w:rPr>
          <w:rFonts w:hint="eastAsia"/>
          <w:bCs/>
          <w:iCs/>
          <w:szCs w:val="28"/>
        </w:rPr>
        <w:t>申请人可参考GB/T 42062及</w:t>
      </w:r>
      <w:r>
        <w:t>YY/T 1437</w:t>
      </w:r>
      <w:r>
        <w:rPr>
          <w:rFonts w:hint="eastAsia"/>
          <w:bCs/>
          <w:iCs/>
          <w:szCs w:val="28"/>
        </w:rPr>
        <w:t>标准对产品进行全生命周期风险管理，提交产品风险管理资料。</w:t>
      </w:r>
      <w:r>
        <w:rPr>
          <w:rFonts w:hint="eastAsia"/>
        </w:rPr>
        <w:t>应当提供下列内容，并说明对于每项已判定危害的下列各个过程的可追溯性。</w:t>
      </w:r>
    </w:p>
    <w:p w14:paraId="04B7C188">
      <w:pPr>
        <w:keepNext w:val="0"/>
        <w:pageBreakBefore w:val="0"/>
        <w:widowControl w:val="0"/>
        <w:kinsoku/>
        <w:wordWrap/>
        <w:overflowPunct/>
        <w:topLinePunct w:val="0"/>
        <w:autoSpaceDE/>
        <w:autoSpaceDN/>
        <w:bidi w:val="0"/>
        <w:spacing w:after="0"/>
        <w:ind w:right="0" w:rightChars="0" w:firstLine="640" w:firstLineChars="200"/>
        <w:textAlignment w:val="auto"/>
        <w:rPr>
          <w:rFonts w:cs="仿宋_GB2312"/>
          <w:szCs w:val="32"/>
        </w:rPr>
      </w:pPr>
      <w:r>
        <w:rPr>
          <w:rFonts w:hint="eastAsia" w:cs="仿宋_GB2312"/>
          <w:szCs w:val="32"/>
        </w:rPr>
        <w:t>1.1风险分析：包括医疗器械适用范围和与安全性有关特征的识别、危害的识别、估计每个危害处境的风险。</w:t>
      </w:r>
    </w:p>
    <w:p w14:paraId="18883854">
      <w:pPr>
        <w:keepNext w:val="0"/>
        <w:pageBreakBefore w:val="0"/>
        <w:widowControl w:val="0"/>
        <w:kinsoku/>
        <w:wordWrap/>
        <w:overflowPunct/>
        <w:topLinePunct w:val="0"/>
        <w:autoSpaceDE/>
        <w:autoSpaceDN/>
        <w:bidi w:val="0"/>
        <w:spacing w:after="0"/>
        <w:ind w:right="0" w:rightChars="0" w:firstLine="640" w:firstLineChars="200"/>
        <w:textAlignment w:val="auto"/>
        <w:rPr>
          <w:rFonts w:cs="仿宋_GB2312"/>
          <w:szCs w:val="32"/>
        </w:rPr>
      </w:pPr>
      <w:r>
        <w:rPr>
          <w:rFonts w:hint="eastAsia" w:cs="仿宋_GB2312"/>
          <w:szCs w:val="32"/>
        </w:rPr>
        <w:t>1.2风险评价：对于每个已识别的危害处境，评价和决定是否需要降低风险，若需要，描述如何进行相应风险控制。</w:t>
      </w:r>
    </w:p>
    <w:p w14:paraId="3CE5B1A7">
      <w:pPr>
        <w:keepNext w:val="0"/>
        <w:pageBreakBefore w:val="0"/>
        <w:widowControl w:val="0"/>
        <w:kinsoku/>
        <w:wordWrap/>
        <w:overflowPunct/>
        <w:topLinePunct w:val="0"/>
        <w:autoSpaceDE/>
        <w:autoSpaceDN/>
        <w:bidi w:val="0"/>
        <w:spacing w:after="0"/>
        <w:ind w:right="0" w:rightChars="0" w:firstLine="640" w:firstLineChars="200"/>
        <w:textAlignment w:val="auto"/>
        <w:rPr>
          <w:rFonts w:cs="仿宋_GB2312"/>
          <w:szCs w:val="32"/>
        </w:rPr>
      </w:pPr>
      <w:r>
        <w:rPr>
          <w:rFonts w:hint="eastAsia" w:cs="仿宋_GB2312"/>
          <w:szCs w:val="32"/>
        </w:rPr>
        <w:t>1.3风险控制：描述为降低风险所执行风险控制的相关内容。</w:t>
      </w:r>
    </w:p>
    <w:p w14:paraId="52DD23EA">
      <w:pPr>
        <w:keepNext w:val="0"/>
        <w:pageBreakBefore w:val="0"/>
        <w:widowControl w:val="0"/>
        <w:kinsoku/>
        <w:wordWrap/>
        <w:overflowPunct/>
        <w:topLinePunct w:val="0"/>
        <w:autoSpaceDE/>
        <w:autoSpaceDN/>
        <w:bidi w:val="0"/>
        <w:spacing w:after="0"/>
        <w:ind w:right="0" w:rightChars="0" w:firstLine="640" w:firstLineChars="200"/>
        <w:textAlignment w:val="auto"/>
        <w:rPr>
          <w:rFonts w:cs="仿宋_GB2312"/>
          <w:szCs w:val="32"/>
        </w:rPr>
      </w:pPr>
      <w:r>
        <w:rPr>
          <w:rFonts w:hint="eastAsia" w:cs="仿宋_GB2312"/>
          <w:szCs w:val="32"/>
        </w:rPr>
        <w:t>1.4任何一个或多个剩余风险的可接受性评定。</w:t>
      </w:r>
    </w:p>
    <w:p w14:paraId="08B7B675">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rFonts w:hint="eastAsia" w:cs="仿宋_GB2312"/>
          <w:szCs w:val="32"/>
        </w:rPr>
        <w:t>1.5与产品受益相比，综合评价产品风险可接受。</w:t>
      </w:r>
    </w:p>
    <w:p w14:paraId="0ADF4FF1">
      <w:pPr>
        <w:keepNext w:val="0"/>
        <w:pageBreakBefore w:val="0"/>
        <w:widowControl w:val="0"/>
        <w:kinsoku/>
        <w:wordWrap/>
        <w:overflowPunct/>
        <w:topLinePunct w:val="0"/>
        <w:autoSpaceDE/>
        <w:autoSpaceDN/>
        <w:bidi w:val="0"/>
        <w:spacing w:after="0"/>
        <w:ind w:right="0" w:rightChars="0"/>
        <w:textAlignment w:val="auto"/>
      </w:pPr>
      <w:r>
        <w:rPr>
          <w:rFonts w:hint="eastAsia"/>
        </w:rPr>
        <w:t>附表中是电声门图仪常见的主要风险。由于电声门图仪功能和结构的差异，本章给出的主要风险及其示例是常见的而不是全部的。上述部分只是风险管理过程的组成部分，不是风险管理的全部。申请人应按照 GB/T 42062 中规定的过程和方法，在产品整个生命周期内建立、形成文件和保持一个持续的过程，用以判定与医疗器械有关的危险、估计和评价相关的风险、控制这些风险并监视上述控制的有效性，以充分保证产品的安全和有效。</w:t>
      </w:r>
    </w:p>
    <w:p w14:paraId="340A9530">
      <w:pPr>
        <w:pStyle w:val="6"/>
        <w:keepNext w:val="0"/>
        <w:pageBreakBefore w:val="0"/>
        <w:widowControl w:val="0"/>
        <w:kinsoku/>
        <w:wordWrap/>
        <w:overflowPunct/>
        <w:topLinePunct w:val="0"/>
        <w:autoSpaceDE/>
        <w:autoSpaceDN/>
        <w:bidi w:val="0"/>
        <w:spacing w:after="0"/>
        <w:ind w:right="0" w:rightChars="0" w:firstLine="640"/>
        <w:textAlignment w:val="auto"/>
      </w:pPr>
      <w:r>
        <w:t>2.医疗器械安全和性能基本原则清单</w:t>
      </w:r>
    </w:p>
    <w:p w14:paraId="150A149A">
      <w:pPr>
        <w:keepNext w:val="0"/>
        <w:pageBreakBefore w:val="0"/>
        <w:widowControl w:val="0"/>
        <w:kinsoku/>
        <w:wordWrap/>
        <w:overflowPunct/>
        <w:topLinePunct w:val="0"/>
        <w:autoSpaceDE/>
        <w:autoSpaceDN/>
        <w:bidi w:val="0"/>
        <w:spacing w:after="0"/>
        <w:ind w:right="0" w:rightChars="0"/>
        <w:textAlignment w:val="auto"/>
      </w:pPr>
      <w:r>
        <w:rPr>
          <w:rFonts w:hint="eastAsia"/>
        </w:rPr>
        <w:t>应按照《医疗器械注册申报资料要求及说明》的要求提交《医疗器械安全和性能基本原则清单》，说明产品符合《医疗器械安全和性能基本原则清单》各项适用要求所采用的方法，以及证明其符合性的文件。对于《医疗器械安全和性能基本原则清单》中不适用的各项要求，需说明理由。</w:t>
      </w:r>
    </w:p>
    <w:p w14:paraId="3EC51A55">
      <w:pPr>
        <w:keepNext w:val="0"/>
        <w:pageBreakBefore w:val="0"/>
        <w:widowControl w:val="0"/>
        <w:kinsoku/>
        <w:wordWrap/>
        <w:overflowPunct/>
        <w:topLinePunct w:val="0"/>
        <w:autoSpaceDE/>
        <w:autoSpaceDN/>
        <w:bidi w:val="0"/>
        <w:spacing w:after="0"/>
        <w:ind w:right="0" w:rightChars="0"/>
        <w:textAlignment w:val="auto"/>
      </w:pPr>
      <w:r>
        <w:rPr>
          <w:rFonts w:hint="eastAsia"/>
        </w:rPr>
        <w:t>对于包含在产品注册申报资料中的文件，应当说明其在申报资料中的具体位置；对于未包含在产品注册申报资料中的文件，应当注明该证据文件名称及其在质量管理体系文件中的编号备查。</w:t>
      </w:r>
    </w:p>
    <w:p w14:paraId="2A90062C">
      <w:pPr>
        <w:pStyle w:val="6"/>
        <w:keepNext w:val="0"/>
        <w:pageBreakBefore w:val="0"/>
        <w:widowControl w:val="0"/>
        <w:kinsoku/>
        <w:wordWrap/>
        <w:overflowPunct/>
        <w:topLinePunct w:val="0"/>
        <w:autoSpaceDE/>
        <w:autoSpaceDN/>
        <w:bidi w:val="0"/>
        <w:spacing w:after="0"/>
        <w:ind w:right="0" w:rightChars="0" w:firstLine="640"/>
        <w:textAlignment w:val="auto"/>
      </w:pPr>
      <w:r>
        <w:rPr>
          <w:rFonts w:hint="eastAsia"/>
        </w:rPr>
        <w:t>3.产品技术要求及检验报告</w:t>
      </w:r>
    </w:p>
    <w:p w14:paraId="724990E9">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3.1申报产品适用标准情况</w:t>
      </w:r>
    </w:p>
    <w:p w14:paraId="0B492D10">
      <w:pPr>
        <w:keepNext w:val="0"/>
        <w:pageBreakBefore w:val="0"/>
        <w:widowControl w:val="0"/>
        <w:kinsoku/>
        <w:wordWrap/>
        <w:overflowPunct/>
        <w:topLinePunct w:val="0"/>
        <w:autoSpaceDE/>
        <w:autoSpaceDN/>
        <w:bidi w:val="0"/>
        <w:spacing w:after="0"/>
        <w:ind w:right="0" w:rightChars="0"/>
        <w:textAlignment w:val="auto"/>
      </w:pPr>
      <w:r>
        <w:rPr>
          <w:rFonts w:hint="eastAsia"/>
        </w:rPr>
        <w:t>申报产品应当符合适用的强制性标准。对于强制性行业标准，若申报产品结构特征、预期用途、使用方式等与强制性标准的适用范围不一致，申请人应当提出不适用强制性标准的说明，并提供经验证的证明性资料。</w:t>
      </w:r>
    </w:p>
    <w:p w14:paraId="11528061">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3.2</w:t>
      </w:r>
      <w:r>
        <w:t>产品技术要求</w:t>
      </w:r>
    </w:p>
    <w:p w14:paraId="2513BA3E">
      <w:pPr>
        <w:keepNext w:val="0"/>
        <w:pageBreakBefore w:val="0"/>
        <w:widowControl w:val="0"/>
        <w:kinsoku/>
        <w:wordWrap/>
        <w:overflowPunct/>
        <w:topLinePunct w:val="0"/>
        <w:autoSpaceDE/>
        <w:autoSpaceDN/>
        <w:bidi w:val="0"/>
        <w:spacing w:after="0"/>
        <w:ind w:right="0" w:rightChars="0"/>
        <w:textAlignment w:val="auto"/>
      </w:pPr>
      <w:r>
        <w:t>产品技术要求的编制应符合《医疗器械产品技术要求编写指导原则》的要求。本条款给出需要考虑的产品主要性能指标。</w:t>
      </w:r>
      <w:r>
        <w:rPr>
          <w:rFonts w:hint="eastAsia"/>
        </w:rPr>
        <w:t>注册申请人应</w:t>
      </w:r>
      <w:r>
        <w:t>参考相应的国家标准、行业标准，根据产品技术特点制定相应的性能指标</w:t>
      </w:r>
      <w:r>
        <w:rPr>
          <w:rFonts w:hint="eastAsia"/>
        </w:rPr>
        <w:t>要求，</w:t>
      </w:r>
      <w:r>
        <w:t>如不采用以下条款（包括国家标准、行业标准要求），应当说明理由。</w:t>
      </w:r>
    </w:p>
    <w:p w14:paraId="00DCAE6D">
      <w:pPr>
        <w:pStyle w:val="8"/>
        <w:keepNext w:val="0"/>
        <w:pageBreakBefore w:val="0"/>
        <w:widowControl w:val="0"/>
        <w:kinsoku/>
        <w:wordWrap/>
        <w:overflowPunct/>
        <w:topLinePunct w:val="0"/>
        <w:autoSpaceDE/>
        <w:autoSpaceDN/>
        <w:bidi w:val="0"/>
        <w:spacing w:after="0"/>
        <w:ind w:right="0" w:rightChars="0" w:firstLine="640"/>
        <w:textAlignment w:val="auto"/>
      </w:pPr>
      <w:r>
        <w:rPr>
          <w:rFonts w:hint="eastAsia"/>
        </w:rPr>
        <w:t>3.2.1</w:t>
      </w:r>
      <w:r>
        <w:rPr>
          <w:snapToGrid w:val="0"/>
        </w:rPr>
        <w:t>产品型号/规格及其划分说明</w:t>
      </w:r>
    </w:p>
    <w:p w14:paraId="2D1C2D2B">
      <w:pPr>
        <w:keepNext w:val="0"/>
        <w:pageBreakBefore w:val="0"/>
        <w:widowControl w:val="0"/>
        <w:kinsoku/>
        <w:wordWrap/>
        <w:overflowPunct/>
        <w:topLinePunct w:val="0"/>
        <w:autoSpaceDE/>
        <w:autoSpaceDN/>
        <w:bidi w:val="0"/>
        <w:spacing w:after="0"/>
        <w:ind w:right="0" w:rightChars="0"/>
        <w:textAlignment w:val="auto"/>
        <w:rPr>
          <w:snapToGrid w:val="0"/>
        </w:rPr>
      </w:pPr>
      <w:r>
        <w:rPr>
          <w:snapToGrid w:val="0"/>
        </w:rPr>
        <w:t>说明产品的型号、规格，明确产品型号、规格的划分说明，明确不同型号产品</w:t>
      </w:r>
      <w:r>
        <w:rPr>
          <w:rFonts w:hint="eastAsia"/>
          <w:snapToGrid w:val="0"/>
        </w:rPr>
        <w:t>的</w:t>
      </w:r>
      <w:r>
        <w:rPr>
          <w:snapToGrid w:val="0"/>
        </w:rPr>
        <w:t>差异。</w:t>
      </w:r>
    </w:p>
    <w:p w14:paraId="2CFD8C7C">
      <w:pPr>
        <w:keepNext w:val="0"/>
        <w:pageBreakBefore w:val="0"/>
        <w:widowControl w:val="0"/>
        <w:kinsoku/>
        <w:wordWrap/>
        <w:overflowPunct/>
        <w:topLinePunct w:val="0"/>
        <w:autoSpaceDE/>
        <w:autoSpaceDN/>
        <w:bidi w:val="0"/>
        <w:spacing w:after="0"/>
        <w:ind w:right="0" w:rightChars="0"/>
        <w:textAlignment w:val="auto"/>
        <w:rPr>
          <w:snapToGrid w:val="0"/>
        </w:rPr>
      </w:pPr>
      <w:r>
        <w:rPr>
          <w:rFonts w:hint="eastAsia"/>
          <w:snapToGrid w:val="0"/>
        </w:rPr>
        <w:t>产品若包含软件组件</w:t>
      </w:r>
      <w:r>
        <w:rPr>
          <w:snapToGrid w:val="0"/>
        </w:rPr>
        <w:t>，</w:t>
      </w:r>
      <w:r>
        <w:rPr>
          <w:rFonts w:hint="eastAsia"/>
          <w:snapToGrid w:val="0"/>
        </w:rPr>
        <w:t>应明确软件的名称、型号规格（若适用）、发布版本、完整版本命名规则。软件模块（含医用中间件）若有单独的版本、版本命名规则均需说明。</w:t>
      </w:r>
    </w:p>
    <w:p w14:paraId="1603496D">
      <w:pPr>
        <w:pStyle w:val="8"/>
        <w:keepNext w:val="0"/>
        <w:pageBreakBefore w:val="0"/>
        <w:widowControl w:val="0"/>
        <w:kinsoku/>
        <w:wordWrap/>
        <w:overflowPunct/>
        <w:topLinePunct w:val="0"/>
        <w:autoSpaceDE/>
        <w:autoSpaceDN/>
        <w:bidi w:val="0"/>
        <w:spacing w:after="0"/>
        <w:ind w:right="0" w:rightChars="0" w:firstLine="640"/>
        <w:textAlignment w:val="auto"/>
        <w:rPr>
          <w:sz w:val="28"/>
        </w:rPr>
      </w:pPr>
      <w:r>
        <w:rPr>
          <w:rFonts w:hint="eastAsia"/>
        </w:rPr>
        <w:t>3.2.2性能指标</w:t>
      </w:r>
    </w:p>
    <w:p w14:paraId="1724AAA9">
      <w:pPr>
        <w:keepNext w:val="0"/>
        <w:pageBreakBefore w:val="0"/>
        <w:widowControl w:val="0"/>
        <w:kinsoku/>
        <w:wordWrap/>
        <w:overflowPunct/>
        <w:topLinePunct w:val="0"/>
        <w:autoSpaceDE/>
        <w:autoSpaceDN/>
        <w:bidi w:val="0"/>
        <w:spacing w:after="0"/>
        <w:ind w:right="0" w:rightChars="0"/>
        <w:textAlignment w:val="auto"/>
        <w:rPr>
          <w:rFonts w:cs="仿宋_GB2312"/>
          <w:color w:val="000000" w:themeColor="text1"/>
          <w14:textFill>
            <w14:solidFill>
              <w14:schemeClr w14:val="tx1"/>
            </w14:solidFill>
          </w14:textFill>
        </w:rPr>
      </w:pPr>
      <w:r>
        <w:rPr>
          <w:rFonts w:hint="eastAsia"/>
        </w:rPr>
        <w:t>产品性能指标应包含但不限于以下指标</w:t>
      </w:r>
      <w:r>
        <w:rPr>
          <w:rFonts w:hint="eastAsia" w:cs="仿宋_GB2312"/>
          <w:color w:val="000000" w:themeColor="text1"/>
          <w14:textFill>
            <w14:solidFill>
              <w14:schemeClr w14:val="tx1"/>
            </w14:solidFill>
          </w14:textFill>
        </w:rPr>
        <w:t>：</w:t>
      </w:r>
    </w:p>
    <w:p w14:paraId="74B3DF3C">
      <w:pPr>
        <w:keepNext w:val="0"/>
        <w:pageBreakBefore w:val="0"/>
        <w:widowControl w:val="0"/>
        <w:kinsoku/>
        <w:wordWrap/>
        <w:overflowPunct/>
        <w:topLinePunct w:val="0"/>
        <w:autoSpaceDE/>
        <w:autoSpaceDN/>
        <w:bidi w:val="0"/>
        <w:spacing w:after="0"/>
        <w:ind w:right="0" w:rightChars="0"/>
        <w:textAlignment w:val="auto"/>
        <w:rPr>
          <w:rFonts w:cs="仿宋_GB2312"/>
          <w:color w:val="000000" w:themeColor="text1"/>
          <w:szCs w:val="32"/>
          <w14:textFill>
            <w14:solidFill>
              <w14:schemeClr w14:val="tx1"/>
            </w14:solidFill>
          </w14:textFill>
        </w:rPr>
      </w:pPr>
      <w:r>
        <w:rPr>
          <w:rFonts w:hint="eastAsia" w:cs="仿宋_GB2312"/>
          <w:color w:val="000000" w:themeColor="text1"/>
          <w:szCs w:val="32"/>
          <w14:textFill>
            <w14:solidFill>
              <w14:schemeClr w14:val="tx1"/>
            </w14:solidFill>
          </w14:textFill>
        </w:rPr>
        <w:t>3.2.2.1激励信号频率及误差要求。</w:t>
      </w:r>
    </w:p>
    <w:p w14:paraId="3387EE15">
      <w:pPr>
        <w:keepNext w:val="0"/>
        <w:pageBreakBefore w:val="0"/>
        <w:widowControl w:val="0"/>
        <w:kinsoku/>
        <w:wordWrap/>
        <w:overflowPunct/>
        <w:topLinePunct w:val="0"/>
        <w:autoSpaceDE/>
        <w:autoSpaceDN/>
        <w:bidi w:val="0"/>
        <w:spacing w:after="0"/>
        <w:ind w:right="0" w:rightChars="0"/>
        <w:textAlignment w:val="auto"/>
        <w:rPr>
          <w:rFonts w:cs="仿宋_GB2312"/>
          <w:color w:val="000000" w:themeColor="text1"/>
          <w:szCs w:val="32"/>
          <w14:textFill>
            <w14:solidFill>
              <w14:schemeClr w14:val="tx1"/>
            </w14:solidFill>
          </w14:textFill>
        </w:rPr>
      </w:pPr>
      <w:r>
        <w:rPr>
          <w:rFonts w:hint="eastAsia" w:cs="仿宋_GB2312"/>
          <w:color w:val="000000" w:themeColor="text1"/>
          <w:szCs w:val="32"/>
          <w14:textFill>
            <w14:solidFill>
              <w14:schemeClr w14:val="tx1"/>
            </w14:solidFill>
          </w14:textFill>
        </w:rPr>
        <w:t>3.2.2.2激励信号幅度及误差要求。</w:t>
      </w:r>
    </w:p>
    <w:p w14:paraId="00C55F71">
      <w:pPr>
        <w:keepNext w:val="0"/>
        <w:pageBreakBefore w:val="0"/>
        <w:widowControl w:val="0"/>
        <w:kinsoku/>
        <w:wordWrap/>
        <w:overflowPunct/>
        <w:topLinePunct w:val="0"/>
        <w:autoSpaceDE/>
        <w:autoSpaceDN/>
        <w:bidi w:val="0"/>
        <w:spacing w:after="0"/>
        <w:ind w:right="0" w:rightChars="0"/>
        <w:textAlignment w:val="auto"/>
        <w:rPr>
          <w:rFonts w:cs="仿宋_GB2312"/>
          <w:color w:val="000000" w:themeColor="text1"/>
          <w:szCs w:val="32"/>
          <w14:textFill>
            <w14:solidFill>
              <w14:schemeClr w14:val="tx1"/>
            </w14:solidFill>
          </w14:textFill>
        </w:rPr>
      </w:pPr>
      <w:r>
        <w:rPr>
          <w:rFonts w:hint="eastAsia" w:cs="仿宋_GB2312"/>
          <w:color w:val="000000" w:themeColor="text1"/>
          <w:szCs w:val="32"/>
          <w14:textFill>
            <w14:solidFill>
              <w14:schemeClr w14:val="tx1"/>
            </w14:solidFill>
          </w14:textFill>
        </w:rPr>
        <w:t>3.2.2.3输出信号幅度范围及误差要求。</w:t>
      </w:r>
    </w:p>
    <w:p w14:paraId="2EEB344A">
      <w:pPr>
        <w:keepNext w:val="0"/>
        <w:pageBreakBefore w:val="0"/>
        <w:widowControl w:val="0"/>
        <w:kinsoku/>
        <w:wordWrap/>
        <w:overflowPunct/>
        <w:topLinePunct w:val="0"/>
        <w:autoSpaceDE/>
        <w:autoSpaceDN/>
        <w:bidi w:val="0"/>
        <w:spacing w:after="0"/>
        <w:ind w:right="0" w:rightChars="0"/>
        <w:textAlignment w:val="auto"/>
        <w:rPr>
          <w:rFonts w:cs="仿宋_GB2312"/>
          <w:color w:val="000000" w:themeColor="text1"/>
          <w:szCs w:val="32"/>
          <w14:textFill>
            <w14:solidFill>
              <w14:schemeClr w14:val="tx1"/>
            </w14:solidFill>
          </w14:textFill>
        </w:rPr>
      </w:pPr>
      <w:r>
        <w:rPr>
          <w:rFonts w:hint="eastAsia" w:cs="仿宋_GB2312"/>
          <w:color w:val="000000" w:themeColor="text1"/>
          <w:szCs w:val="32"/>
          <w14:textFill>
            <w14:solidFill>
              <w14:schemeClr w14:val="tx1"/>
            </w14:solidFill>
          </w14:textFill>
        </w:rPr>
        <w:t>3.2.2.4接触阻抗要求。</w:t>
      </w:r>
    </w:p>
    <w:p w14:paraId="1041C43E">
      <w:pPr>
        <w:keepNext w:val="0"/>
        <w:pageBreakBefore w:val="0"/>
        <w:widowControl w:val="0"/>
        <w:kinsoku/>
        <w:wordWrap/>
        <w:overflowPunct/>
        <w:topLinePunct w:val="0"/>
        <w:autoSpaceDE/>
        <w:autoSpaceDN/>
        <w:bidi w:val="0"/>
        <w:spacing w:after="0"/>
        <w:ind w:right="0" w:rightChars="0"/>
        <w:textAlignment w:val="auto"/>
        <w:rPr>
          <w:rFonts w:cs="仿宋_GB2312"/>
          <w:color w:val="000000" w:themeColor="text1"/>
          <w:szCs w:val="32"/>
          <w14:textFill>
            <w14:solidFill>
              <w14:schemeClr w14:val="tx1"/>
            </w14:solidFill>
          </w14:textFill>
        </w:rPr>
      </w:pPr>
      <w:r>
        <w:rPr>
          <w:rFonts w:hint="eastAsia" w:cs="仿宋_GB2312"/>
          <w:color w:val="000000" w:themeColor="text1"/>
          <w:szCs w:val="32"/>
          <w14:textFill>
            <w14:solidFill>
              <w14:schemeClr w14:val="tx1"/>
            </w14:solidFill>
          </w14:textFill>
        </w:rPr>
        <w:t>3.2.2.5频率响应范围及误差要求：应覆盖声带振动的频率范围。</w:t>
      </w:r>
    </w:p>
    <w:p w14:paraId="461236D5">
      <w:pPr>
        <w:keepNext w:val="0"/>
        <w:pageBreakBefore w:val="0"/>
        <w:widowControl w:val="0"/>
        <w:kinsoku/>
        <w:wordWrap/>
        <w:overflowPunct/>
        <w:topLinePunct w:val="0"/>
        <w:autoSpaceDE/>
        <w:autoSpaceDN/>
        <w:bidi w:val="0"/>
        <w:spacing w:after="0"/>
        <w:ind w:right="0" w:rightChars="0"/>
        <w:textAlignment w:val="auto"/>
        <w:rPr>
          <w:rFonts w:cs="仿宋_GB2312"/>
          <w:color w:val="000000" w:themeColor="text1"/>
          <w:szCs w:val="32"/>
          <w14:textFill>
            <w14:solidFill>
              <w14:schemeClr w14:val="tx1"/>
            </w14:solidFill>
          </w14:textFill>
        </w:rPr>
      </w:pPr>
      <w:r>
        <w:rPr>
          <w:rFonts w:hint="eastAsia" w:cs="仿宋_GB2312"/>
          <w:color w:val="000000" w:themeColor="text1"/>
          <w:szCs w:val="32"/>
          <w14:textFill>
            <w14:solidFill>
              <w14:schemeClr w14:val="tx1"/>
            </w14:solidFill>
          </w14:textFill>
        </w:rPr>
        <w:t>3.2.2.6信噪比要求：设备信噪比应能确保信号检测准确性。</w:t>
      </w:r>
    </w:p>
    <w:p w14:paraId="3653DA9D">
      <w:pPr>
        <w:keepNext w:val="0"/>
        <w:pageBreakBefore w:val="0"/>
        <w:widowControl w:val="0"/>
        <w:kinsoku/>
        <w:wordWrap/>
        <w:overflowPunct/>
        <w:topLinePunct w:val="0"/>
        <w:autoSpaceDE/>
        <w:autoSpaceDN/>
        <w:bidi w:val="0"/>
        <w:spacing w:after="0"/>
        <w:ind w:right="0" w:rightChars="0"/>
        <w:textAlignment w:val="auto"/>
        <w:rPr>
          <w:rFonts w:cs="仿宋_GB2312"/>
          <w:color w:val="000000" w:themeColor="text1"/>
          <w:szCs w:val="32"/>
          <w14:textFill>
            <w14:solidFill>
              <w14:schemeClr w14:val="tx1"/>
            </w14:solidFill>
          </w14:textFill>
        </w:rPr>
      </w:pPr>
      <w:r>
        <w:rPr>
          <w:rFonts w:hint="eastAsia" w:cs="仿宋_GB2312"/>
          <w:color w:val="000000" w:themeColor="text1"/>
          <w:szCs w:val="32"/>
          <w14:textFill>
            <w14:solidFill>
              <w14:schemeClr w14:val="tx1"/>
            </w14:solidFill>
          </w14:textFill>
        </w:rPr>
        <w:t>3.2.2.7电极要求（若适用）：电极应考虑性能和安全等相关要求。申请人可根据产品的结构组成和工艺特点进行规定，主要包括外形尺寸、电性能、连接性能等。</w:t>
      </w:r>
    </w:p>
    <w:p w14:paraId="49F698F1">
      <w:pPr>
        <w:keepNext w:val="0"/>
        <w:pageBreakBefore w:val="0"/>
        <w:widowControl w:val="0"/>
        <w:kinsoku/>
        <w:wordWrap/>
        <w:overflowPunct/>
        <w:topLinePunct w:val="0"/>
        <w:autoSpaceDE/>
        <w:autoSpaceDN/>
        <w:bidi w:val="0"/>
        <w:spacing w:after="0"/>
        <w:ind w:right="0" w:rightChars="0"/>
        <w:textAlignment w:val="auto"/>
        <w:rPr>
          <w:color w:val="FF0000"/>
          <w:szCs w:val="32"/>
        </w:rPr>
      </w:pPr>
      <w:r>
        <w:rPr>
          <w:rFonts w:hint="eastAsia" w:cs="仿宋_GB2312"/>
          <w:color w:val="000000" w:themeColor="text1"/>
          <w:szCs w:val="32"/>
          <w14:textFill>
            <w14:solidFill>
              <w14:schemeClr w14:val="tx1"/>
            </w14:solidFill>
          </w14:textFill>
        </w:rPr>
        <w:t>3.2.2.8</w:t>
      </w:r>
      <w:r>
        <w:rPr>
          <w:rFonts w:hint="eastAsia"/>
          <w:szCs w:val="28"/>
        </w:rPr>
        <w:t>软件功能：应参照《医疗器械软件注册审查指导原则（2022年修订版）》的要求，明确软件功能、使用限制、接口（如适用）、访问控制（如适用）、运行环境（如适用）、性能效率（如适用）。</w:t>
      </w:r>
    </w:p>
    <w:p w14:paraId="14564293">
      <w:pPr>
        <w:keepNext w:val="0"/>
        <w:pageBreakBefore w:val="0"/>
        <w:widowControl w:val="0"/>
        <w:kinsoku/>
        <w:wordWrap/>
        <w:overflowPunct/>
        <w:topLinePunct w:val="0"/>
        <w:autoSpaceDE/>
        <w:autoSpaceDN/>
        <w:bidi w:val="0"/>
        <w:spacing w:after="0"/>
        <w:ind w:right="0" w:rightChars="0"/>
        <w:textAlignment w:val="auto"/>
        <w:rPr>
          <w:rFonts w:cs="仿宋_GB2312"/>
          <w:szCs w:val="32"/>
        </w:rPr>
      </w:pPr>
      <w:r>
        <w:rPr>
          <w:rFonts w:hint="eastAsia" w:cs="仿宋_GB2312"/>
          <w:color w:val="000000" w:themeColor="text1"/>
          <w:szCs w:val="32"/>
          <w14:textFill>
            <w14:solidFill>
              <w14:schemeClr w14:val="tx1"/>
            </w14:solidFill>
          </w14:textFill>
        </w:rPr>
        <w:t>3.2.2.9</w:t>
      </w:r>
      <w:r>
        <w:rPr>
          <w:rFonts w:hint="eastAsia"/>
          <w:szCs w:val="28"/>
        </w:rPr>
        <w:t>电气安全：应符合GB 9706.1中规定的要求。</w:t>
      </w:r>
    </w:p>
    <w:p w14:paraId="4C44BFE4">
      <w:pPr>
        <w:keepNext w:val="0"/>
        <w:pageBreakBefore w:val="0"/>
        <w:widowControl w:val="0"/>
        <w:kinsoku/>
        <w:wordWrap/>
        <w:overflowPunct/>
        <w:topLinePunct w:val="0"/>
        <w:autoSpaceDE/>
        <w:autoSpaceDN/>
        <w:bidi w:val="0"/>
        <w:spacing w:after="0"/>
        <w:ind w:right="0" w:rightChars="0"/>
        <w:textAlignment w:val="auto"/>
        <w:rPr>
          <w:szCs w:val="28"/>
        </w:rPr>
      </w:pPr>
      <w:r>
        <w:rPr>
          <w:rFonts w:hint="eastAsia" w:cs="仿宋_GB2312"/>
          <w:color w:val="000000" w:themeColor="text1"/>
          <w:szCs w:val="32"/>
          <w14:textFill>
            <w14:solidFill>
              <w14:schemeClr w14:val="tx1"/>
            </w14:solidFill>
          </w14:textFill>
        </w:rPr>
        <w:t>3.2.2.10</w:t>
      </w:r>
      <w:r>
        <w:rPr>
          <w:szCs w:val="32"/>
        </w:rPr>
        <w:t>电磁兼容性</w:t>
      </w:r>
      <w:r>
        <w:rPr>
          <w:rFonts w:hint="eastAsia"/>
          <w:szCs w:val="32"/>
        </w:rPr>
        <w:t>：</w:t>
      </w:r>
      <w:r>
        <w:rPr>
          <w:rFonts w:hint="eastAsia" w:cs="仿宋_GB2312"/>
          <w:szCs w:val="32"/>
        </w:rPr>
        <w:t>应符合YY 9706.102</w:t>
      </w:r>
      <w:r>
        <w:rPr>
          <w:rFonts w:hint="eastAsia"/>
          <w:szCs w:val="28"/>
        </w:rPr>
        <w:t>中规定的要求</w:t>
      </w:r>
      <w:r>
        <w:rPr>
          <w:rFonts w:hint="eastAsia" w:cs="仿宋_GB2312"/>
          <w:szCs w:val="32"/>
        </w:rPr>
        <w:t>。</w:t>
      </w:r>
    </w:p>
    <w:p w14:paraId="04827A67">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3.3产品检验报告</w:t>
      </w:r>
    </w:p>
    <w:p w14:paraId="1C9E7C77">
      <w:pPr>
        <w:keepNext w:val="0"/>
        <w:pageBreakBefore w:val="0"/>
        <w:widowControl w:val="0"/>
        <w:kinsoku/>
        <w:wordWrap/>
        <w:overflowPunct/>
        <w:topLinePunct w:val="0"/>
        <w:autoSpaceDE/>
        <w:autoSpaceDN/>
        <w:bidi w:val="0"/>
        <w:spacing w:after="0"/>
        <w:ind w:right="0" w:rightChars="0"/>
        <w:textAlignment w:val="auto"/>
      </w:pPr>
      <w:r>
        <w:rPr>
          <w:rFonts w:hint="eastAsia"/>
        </w:rPr>
        <w:t>注册申请人应按照《医疗器械自检管理规定》的要求提供产品检验报告，检验报告可以是注册申请人出具的自检报告，也可以是委托有资质的医疗器械检验机构出具的检验报告。</w:t>
      </w:r>
    </w:p>
    <w:p w14:paraId="071999CE">
      <w:pPr>
        <w:keepNext w:val="0"/>
        <w:pageBreakBefore w:val="0"/>
        <w:widowControl w:val="0"/>
        <w:kinsoku/>
        <w:wordWrap/>
        <w:overflowPunct/>
        <w:topLinePunct w:val="0"/>
        <w:autoSpaceDE/>
        <w:autoSpaceDN/>
        <w:bidi w:val="0"/>
        <w:spacing w:after="0"/>
        <w:ind w:right="0" w:rightChars="0"/>
        <w:textAlignment w:val="auto"/>
      </w:pPr>
      <w:r>
        <w:rPr>
          <w:rFonts w:hint="eastAsia"/>
        </w:rPr>
        <w:t>检验报告中的产品结构组成、标识标签等信息应当与其他申报资料中的一致。检验报告应提供包含软件版本信息的软件用户界面图片，包括软件发布版本及软件完整版本。如无用户界面需列明软件完整版本</w:t>
      </w:r>
      <w:r>
        <w:rPr>
          <w:rFonts w:hint="eastAsia"/>
          <w:bCs/>
        </w:rPr>
        <w:t>。</w:t>
      </w:r>
    </w:p>
    <w:p w14:paraId="7C2E2CA1">
      <w:pPr>
        <w:keepNext w:val="0"/>
        <w:pageBreakBefore w:val="0"/>
        <w:widowControl w:val="0"/>
        <w:kinsoku/>
        <w:wordWrap/>
        <w:overflowPunct/>
        <w:topLinePunct w:val="0"/>
        <w:autoSpaceDE/>
        <w:autoSpaceDN/>
        <w:bidi w:val="0"/>
        <w:spacing w:after="0"/>
        <w:ind w:right="0" w:rightChars="0"/>
        <w:textAlignment w:val="auto"/>
        <w:rPr>
          <w:szCs w:val="28"/>
        </w:rPr>
      </w:pPr>
      <w:r>
        <w:rPr>
          <w:rFonts w:hint="eastAsia"/>
          <w:bCs/>
        </w:rPr>
        <w:t>如选择同一注册单元中的典型产品型号规格进行检验，</w:t>
      </w:r>
      <w:r>
        <w:rPr>
          <w:bCs/>
        </w:rPr>
        <w:t>应说</w:t>
      </w:r>
      <w:r>
        <w:rPr>
          <w:rFonts w:hint="eastAsia"/>
          <w:szCs w:val="28"/>
        </w:rPr>
        <w:t>明检验用型号规格的典型性。同一注册单元内所检验的典型产品型号规格应当是能够代表本注册单元内其他产品型号规格安全性和有效性的产品型号规格。若申报的产品包括多个型号规格，原则上选取功能最齐全、结构最复杂、风险最高的型号规格进行检验。如果检测一个典型型号不能覆盖其他型号的全部性能指标，可以选择多个典型型号规格，也可对其他型号规格不能被覆盖的部分进行差异检测。</w:t>
      </w:r>
    </w:p>
    <w:p w14:paraId="1273108E">
      <w:pPr>
        <w:pStyle w:val="6"/>
        <w:keepNext w:val="0"/>
        <w:pageBreakBefore w:val="0"/>
        <w:widowControl w:val="0"/>
        <w:kinsoku/>
        <w:wordWrap/>
        <w:overflowPunct/>
        <w:topLinePunct w:val="0"/>
        <w:autoSpaceDE/>
        <w:autoSpaceDN/>
        <w:bidi w:val="0"/>
        <w:spacing w:after="0"/>
        <w:ind w:right="0" w:rightChars="0" w:firstLine="640"/>
        <w:textAlignment w:val="auto"/>
      </w:pPr>
      <w:r>
        <w:rPr>
          <w:rFonts w:hint="eastAsia"/>
        </w:rPr>
        <w:t>4.研究资料</w:t>
      </w:r>
    </w:p>
    <w:p w14:paraId="634ED8FF">
      <w:pPr>
        <w:keepNext w:val="0"/>
        <w:pageBreakBefore w:val="0"/>
        <w:widowControl w:val="0"/>
        <w:kinsoku/>
        <w:wordWrap/>
        <w:overflowPunct/>
        <w:topLinePunct w:val="0"/>
        <w:autoSpaceDE/>
        <w:autoSpaceDN/>
        <w:bidi w:val="0"/>
        <w:spacing w:after="0"/>
        <w:ind w:right="0" w:rightChars="0"/>
        <w:textAlignment w:val="auto"/>
      </w:pPr>
      <w:r>
        <w:rPr>
          <w:rFonts w:hint="eastAsia"/>
          <w:lang w:val="zh-TW" w:eastAsia="zh-TW"/>
        </w:rPr>
        <w:t>根据申报产品适用范围和技术特征，提供非临床研究综述，逐项描述所开展的研究，概述研究方法和研究结论。根据非临床研究综述，提供相应的研究资料，各项研究可通过文献研究、实验室研究、模型研究等方式开展，一般应当包含研究方案、研究报告。采用建模研究的，应当提供产品建模研究资料。</w:t>
      </w:r>
    </w:p>
    <w:p w14:paraId="62E79E6E">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4.1性能研究</w:t>
      </w:r>
    </w:p>
    <w:p w14:paraId="6AB5BC19">
      <w:pPr>
        <w:keepNext w:val="0"/>
        <w:pageBreakBefore w:val="0"/>
        <w:widowControl w:val="0"/>
        <w:kinsoku/>
        <w:wordWrap/>
        <w:overflowPunct/>
        <w:topLinePunct w:val="0"/>
        <w:autoSpaceDE/>
        <w:autoSpaceDN/>
        <w:bidi w:val="0"/>
        <w:spacing w:after="0"/>
        <w:ind w:right="0" w:rightChars="0"/>
        <w:textAlignment w:val="auto"/>
      </w:pPr>
      <w:r>
        <w:rPr>
          <w:rFonts w:hint="eastAsia"/>
        </w:rPr>
        <w:t>应当提供产品物理和/或机械性能指标的确定依据、设计输入来源以及临床意义，所采用的标准或方法、采用的原因及理论基础。对于适用的国家标准、行业标准中不适用的条款，说明不适用的理由。</w:t>
      </w:r>
    </w:p>
    <w:p w14:paraId="266ED336">
      <w:pPr>
        <w:keepNext w:val="0"/>
        <w:pageBreakBefore w:val="0"/>
        <w:widowControl w:val="0"/>
        <w:kinsoku/>
        <w:wordWrap/>
        <w:overflowPunct/>
        <w:topLinePunct w:val="0"/>
        <w:autoSpaceDE/>
        <w:autoSpaceDN/>
        <w:bidi w:val="0"/>
        <w:spacing w:after="0"/>
        <w:ind w:right="0" w:rightChars="0"/>
        <w:textAlignment w:val="auto"/>
      </w:pPr>
      <w:r>
        <w:rPr>
          <w:rFonts w:hint="eastAsia"/>
        </w:rPr>
        <w:t>产品适用的相关标准如附表2所示。</w:t>
      </w:r>
      <w:r>
        <w:rPr>
          <w:rFonts w:hint="eastAsia"/>
          <w:szCs w:val="28"/>
        </w:rPr>
        <w:t>表中标准包括了产品技术要求中可能涉及到的标准，申请人可以根据申报产品特征进行分析，确定引用标准；不包括根据产品的特点所引用的一些行业外标准或其他标准。表中标准如有新版发布实施，应执行最新版本。</w:t>
      </w:r>
    </w:p>
    <w:p w14:paraId="04A9905E">
      <w:pPr>
        <w:keepNext w:val="0"/>
        <w:pageBreakBefore w:val="0"/>
        <w:widowControl w:val="0"/>
        <w:kinsoku/>
        <w:wordWrap/>
        <w:overflowPunct/>
        <w:topLinePunct w:val="0"/>
        <w:autoSpaceDE/>
        <w:autoSpaceDN/>
        <w:bidi w:val="0"/>
        <w:spacing w:after="0"/>
        <w:ind w:right="0" w:rightChars="0"/>
        <w:textAlignment w:val="auto"/>
      </w:pPr>
      <w:r>
        <w:t>4.1.1应说明产品</w:t>
      </w:r>
      <w:r>
        <w:rPr>
          <w:rFonts w:hint="eastAsia"/>
        </w:rPr>
        <w:t>测量的</w:t>
      </w:r>
      <w:r>
        <w:t>各项技术参数，</w:t>
      </w:r>
      <w:r>
        <w:rPr>
          <w:rFonts w:hint="eastAsia"/>
        </w:rPr>
        <w:t>提供测量参数准确性的研究资料，如基频F</w:t>
      </w:r>
      <w:r>
        <w:rPr>
          <w:rFonts w:hint="eastAsia"/>
          <w:vertAlign w:val="subscript"/>
        </w:rPr>
        <w:t>0</w:t>
      </w:r>
      <w:r>
        <w:rPr>
          <w:rFonts w:hint="eastAsia"/>
        </w:rPr>
        <w:t>开放相OP、闭合相CP、声门接触率CQ等</w:t>
      </w:r>
      <w:r>
        <w:t>。</w:t>
      </w:r>
    </w:p>
    <w:p w14:paraId="78142024">
      <w:pPr>
        <w:keepNext w:val="0"/>
        <w:pageBreakBefore w:val="0"/>
        <w:widowControl w:val="0"/>
        <w:kinsoku/>
        <w:wordWrap/>
        <w:overflowPunct/>
        <w:topLinePunct w:val="0"/>
        <w:autoSpaceDE/>
        <w:autoSpaceDN/>
        <w:bidi w:val="0"/>
        <w:spacing w:after="0"/>
        <w:ind w:right="0" w:rightChars="0"/>
        <w:textAlignment w:val="auto"/>
      </w:pPr>
      <w:r>
        <w:t>4.1.</w:t>
      </w:r>
      <w:r>
        <w:rPr>
          <w:rFonts w:hint="eastAsia"/>
        </w:rPr>
        <w:t>2若电声门图仪</w:t>
      </w:r>
      <w:r>
        <w:t>产品预期与其他医疗器械联合使用，应当提供证明联合使用安全有效的研究资料。</w:t>
      </w:r>
    </w:p>
    <w:p w14:paraId="3721F58C">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4.2电气系统安全性研究</w:t>
      </w:r>
    </w:p>
    <w:p w14:paraId="2CD5C810">
      <w:pPr>
        <w:keepNext w:val="0"/>
        <w:pageBreakBefore w:val="0"/>
        <w:widowControl w:val="0"/>
        <w:kinsoku/>
        <w:wordWrap/>
        <w:overflowPunct/>
        <w:topLinePunct w:val="0"/>
        <w:autoSpaceDE/>
        <w:autoSpaceDN/>
        <w:bidi w:val="0"/>
        <w:spacing w:after="0"/>
        <w:ind w:right="0" w:rightChars="0"/>
        <w:textAlignment w:val="auto"/>
      </w:pPr>
      <w:r>
        <w:rPr>
          <w:rFonts w:hint="eastAsia"/>
        </w:rPr>
        <w:t>应当提供电气安全、机械和环境保护以及电磁兼容性的研究资料，说明适用的标准以及开展的研究。</w:t>
      </w:r>
    </w:p>
    <w:p w14:paraId="2068DD3D">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4</w:t>
      </w:r>
      <w:r>
        <w:t>.</w:t>
      </w:r>
      <w:r>
        <w:rPr>
          <w:rFonts w:hint="eastAsia"/>
        </w:rPr>
        <w:t>3</w:t>
      </w:r>
      <w:r>
        <w:rPr>
          <w:rFonts w:hint="eastAsia" w:cs="仿宋_GB2312"/>
          <w:szCs w:val="28"/>
        </w:rPr>
        <w:t>软件研究</w:t>
      </w:r>
    </w:p>
    <w:p w14:paraId="71FC3550">
      <w:pPr>
        <w:keepNext w:val="0"/>
        <w:pageBreakBefore w:val="0"/>
        <w:widowControl w:val="0"/>
        <w:kinsoku/>
        <w:wordWrap/>
        <w:overflowPunct/>
        <w:topLinePunct w:val="0"/>
        <w:autoSpaceDE/>
        <w:autoSpaceDN/>
        <w:bidi w:val="0"/>
        <w:spacing w:after="0"/>
        <w:ind w:right="0" w:rightChars="0"/>
        <w:textAlignment w:val="auto"/>
      </w:pPr>
      <w:r>
        <w:rPr>
          <w:rFonts w:hint="eastAsia"/>
        </w:rPr>
        <w:t>电声门图仪产品通常含有软件组件，注册申请人应参照《医疗器械软件注册审查指导原则》的要求，提交自研软件研究报告、外部软件环境评估报告（若适用）以及GB/T 25000.51自测报告（亦可提交自检报告或检验报告代替自测报告）。若使用现成软件组件，根据其使用方式提交相应研究资料。</w:t>
      </w:r>
    </w:p>
    <w:p w14:paraId="73963B31">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szCs w:val="32"/>
        </w:rPr>
        <w:t>4.4</w:t>
      </w:r>
      <w:r>
        <w:rPr>
          <w:rFonts w:hint="eastAsia"/>
        </w:rPr>
        <w:t>网络安全研究</w:t>
      </w:r>
    </w:p>
    <w:p w14:paraId="6569ADD3">
      <w:pPr>
        <w:keepNext w:val="0"/>
        <w:pageBreakBefore w:val="0"/>
        <w:widowControl w:val="0"/>
        <w:kinsoku/>
        <w:wordWrap/>
        <w:overflowPunct/>
        <w:topLinePunct w:val="0"/>
        <w:autoSpaceDE/>
        <w:autoSpaceDN/>
        <w:bidi w:val="0"/>
        <w:spacing w:after="0"/>
        <w:ind w:right="0" w:rightChars="0"/>
        <w:textAlignment w:val="auto"/>
      </w:pPr>
      <w:r>
        <w:t>若申报产品具备电子数据交换、远程控制或用户访问功能，</w:t>
      </w:r>
      <w:r>
        <w:rPr>
          <w:rFonts w:hint="eastAsia"/>
          <w:spacing w:val="-4"/>
          <w:szCs w:val="28"/>
        </w:rPr>
        <w:t>注册申请人应参照《医疗器械网络安全注册审查指导原则》的要求，</w:t>
      </w:r>
      <w:r>
        <w:rPr>
          <w:rFonts w:hint="eastAsia"/>
        </w:rPr>
        <w:t>提交自研软件网络安全研究报告。若使用现成软件组件，根据其使用方式提交相应研究资料。</w:t>
      </w:r>
    </w:p>
    <w:p w14:paraId="223E6E91">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4</w:t>
      </w:r>
      <w:r>
        <w:t>.</w:t>
      </w:r>
      <w:r>
        <w:rPr>
          <w:rFonts w:hint="eastAsia"/>
        </w:rPr>
        <w:t>5生物学特性研究</w:t>
      </w:r>
    </w:p>
    <w:p w14:paraId="50246E44">
      <w:pPr>
        <w:keepNext w:val="0"/>
        <w:pageBreakBefore w:val="0"/>
        <w:widowControl w:val="0"/>
        <w:kinsoku/>
        <w:wordWrap/>
        <w:overflowPunct/>
        <w:topLinePunct w:val="0"/>
        <w:autoSpaceDE/>
        <w:autoSpaceDN/>
        <w:bidi w:val="0"/>
        <w:spacing w:after="0"/>
        <w:ind w:right="0" w:rightChars="0"/>
        <w:textAlignment w:val="auto"/>
      </w:pPr>
      <w:r>
        <w:rPr>
          <w:rFonts w:hint="eastAsia" w:cs="仿宋_GB2312"/>
        </w:rPr>
        <w:t>应根据GB/T 16886.1标准</w:t>
      </w:r>
      <w:r>
        <w:rPr>
          <w:rFonts w:hint="eastAsia"/>
        </w:rPr>
        <w:t>对产品结构组成中与患者接触的部分</w:t>
      </w:r>
      <w:r>
        <w:rPr>
          <w:rFonts w:hint="eastAsia" w:cs="仿宋_GB2312"/>
        </w:rPr>
        <w:t>进行生物学特性评价。</w:t>
      </w:r>
      <w:r>
        <w:t>生物相容性评价研究资料应当包括：生物相容性评价的依据和方法；产品所用材料的描述及与人体接触的性质；实施或豁免生物学试验的理由和论证；对于现有数据或试验结果的评价。</w:t>
      </w:r>
    </w:p>
    <w:p w14:paraId="20A70C62">
      <w:pPr>
        <w:keepNext w:val="0"/>
        <w:pageBreakBefore w:val="0"/>
        <w:widowControl w:val="0"/>
        <w:kinsoku/>
        <w:wordWrap/>
        <w:overflowPunct/>
        <w:topLinePunct w:val="0"/>
        <w:autoSpaceDE/>
        <w:autoSpaceDN/>
        <w:bidi w:val="0"/>
        <w:spacing w:after="0"/>
        <w:ind w:right="0" w:rightChars="0"/>
        <w:textAlignment w:val="auto"/>
      </w:pPr>
      <w:r>
        <w:rPr>
          <w:rFonts w:hint="eastAsia"/>
        </w:rPr>
        <w:t>电声门图仪</w:t>
      </w:r>
      <w:r>
        <w:t>中作为应用部分的附件（如</w:t>
      </w:r>
      <w:r>
        <w:rPr>
          <w:rFonts w:hint="eastAsia"/>
        </w:rPr>
        <w:t>声门图电极</w:t>
      </w:r>
      <w:r>
        <w:t>）直接接触患者皮肤</w:t>
      </w:r>
      <w:r>
        <w:rPr>
          <w:rFonts w:hint="eastAsia" w:cs="仿宋_GB2312"/>
          <w:szCs w:val="28"/>
        </w:rPr>
        <w:t>。如提交生物学试验报告按照GB/T 16886.1的要求，</w:t>
      </w:r>
      <w:r>
        <w:rPr>
          <w:color w:val="000000"/>
        </w:rPr>
        <w:t>至少</w:t>
      </w:r>
      <w:r>
        <w:rPr>
          <w:rFonts w:hint="eastAsia"/>
          <w:color w:val="000000"/>
        </w:rPr>
        <w:t>应包括</w:t>
      </w:r>
      <w:r>
        <w:rPr>
          <w:color w:val="000000"/>
        </w:rPr>
        <w:t>细胞毒</w:t>
      </w:r>
      <w:r>
        <w:t>性</w:t>
      </w:r>
      <w:r>
        <w:rPr>
          <w:rFonts w:hint="eastAsia"/>
        </w:rPr>
        <w:t>、致敏反应、刺激反应</w:t>
      </w:r>
      <w:r>
        <w:rPr>
          <w:rFonts w:hint="eastAsia"/>
          <w:color w:val="000000"/>
        </w:rPr>
        <w:t>。</w:t>
      </w:r>
      <w:r>
        <w:t>若采购一次性使用电极，需提供电极的产品注册证</w:t>
      </w:r>
      <w:r>
        <w:rPr>
          <w:lang w:val="en-US"/>
        </w:rPr>
        <w:t>或备案证</w:t>
      </w:r>
      <w:r>
        <w:rPr>
          <w:rFonts w:hint="eastAsia"/>
        </w:rPr>
        <w:t>。</w:t>
      </w:r>
    </w:p>
    <w:p w14:paraId="4392D1BC">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4.6清洁、消毒及灭菌研究</w:t>
      </w:r>
    </w:p>
    <w:p w14:paraId="7284F3BC">
      <w:pPr>
        <w:keepNext w:val="0"/>
        <w:pageBreakBefore w:val="0"/>
        <w:widowControl w:val="0"/>
        <w:kinsoku/>
        <w:wordWrap/>
        <w:overflowPunct/>
        <w:topLinePunct w:val="0"/>
        <w:autoSpaceDE/>
        <w:autoSpaceDN/>
        <w:bidi w:val="0"/>
        <w:spacing w:after="0"/>
        <w:ind w:right="0" w:rightChars="0"/>
        <w:textAlignment w:val="auto"/>
      </w:pPr>
      <w:r>
        <w:rPr>
          <w:rFonts w:hint="eastAsia"/>
        </w:rPr>
        <w:t>对于主机、导联线、患者电缆、电线，应提供清洁、消毒的研究资料。应当明确推荐的清洗和消毒工艺（方法和参数）、工艺的确定依据以及验证的相关研究资料。</w:t>
      </w:r>
    </w:p>
    <w:p w14:paraId="71875659">
      <w:pPr>
        <w:keepNext w:val="0"/>
        <w:pageBreakBefore w:val="0"/>
        <w:widowControl w:val="0"/>
        <w:kinsoku/>
        <w:wordWrap/>
        <w:overflowPunct/>
        <w:topLinePunct w:val="0"/>
        <w:autoSpaceDE/>
        <w:autoSpaceDN/>
        <w:bidi w:val="0"/>
        <w:spacing w:after="0"/>
        <w:ind w:right="0" w:rightChars="0"/>
        <w:textAlignment w:val="auto"/>
      </w:pPr>
      <w:r>
        <w:rPr>
          <w:rFonts w:hint="eastAsia"/>
        </w:rPr>
        <w:t>若产品具有无菌提供的部件，应当明确灭菌工艺（方法和参数）和无菌保证水平（SAL），并提供灭菌验证及确认的相关研究资料。</w:t>
      </w:r>
    </w:p>
    <w:p w14:paraId="700899A0">
      <w:pPr>
        <w:keepNext w:val="0"/>
        <w:pageBreakBefore w:val="0"/>
        <w:widowControl w:val="0"/>
        <w:kinsoku/>
        <w:wordWrap/>
        <w:overflowPunct/>
        <w:topLinePunct w:val="0"/>
        <w:autoSpaceDE/>
        <w:autoSpaceDN/>
        <w:bidi w:val="0"/>
        <w:spacing w:after="0"/>
        <w:ind w:right="0" w:rightChars="0"/>
        <w:textAlignment w:val="auto"/>
      </w:pPr>
      <w:r>
        <w:rPr>
          <w:rFonts w:hint="eastAsia"/>
        </w:rPr>
        <w:t>若产品经消毒或灭菌后可能产生残留物质，应当对灭菌或消毒后的产品进行残留毒性的研究，明确残留物质信息及采取的处理方法，并提供相关研究资料。</w:t>
      </w:r>
    </w:p>
    <w:p w14:paraId="14FA94BA">
      <w:pPr>
        <w:keepNext w:val="0"/>
        <w:pageBreakBefore w:val="0"/>
        <w:widowControl w:val="0"/>
        <w:kinsoku/>
        <w:wordWrap/>
        <w:overflowPunct/>
        <w:topLinePunct w:val="0"/>
        <w:autoSpaceDE/>
        <w:autoSpaceDN/>
        <w:bidi w:val="0"/>
        <w:spacing w:after="0"/>
        <w:ind w:right="0" w:rightChars="0"/>
        <w:textAlignment w:val="auto"/>
      </w:pPr>
      <w:r>
        <w:rPr>
          <w:rFonts w:hint="eastAsia"/>
        </w:rPr>
        <w:t>若附件为使用者灭菌，应当明确推荐的灭菌工艺（方法和参数）、所推荐灭菌工艺的确定依据以及验证的相关研究资料。对可耐受两次或多次灭菌的产品，应当提供产品所推荐灭菌工艺耐受性的研究资料。</w:t>
      </w:r>
    </w:p>
    <w:p w14:paraId="6C2851F3">
      <w:pPr>
        <w:keepNext w:val="0"/>
        <w:pageBreakBefore w:val="0"/>
        <w:widowControl w:val="0"/>
        <w:kinsoku/>
        <w:wordWrap/>
        <w:overflowPunct/>
        <w:topLinePunct w:val="0"/>
        <w:autoSpaceDE/>
        <w:autoSpaceDN/>
        <w:bidi w:val="0"/>
        <w:spacing w:after="0"/>
        <w:ind w:right="0" w:rightChars="0"/>
        <w:textAlignment w:val="auto"/>
      </w:pPr>
      <w:r>
        <w:rPr>
          <w:rFonts w:hint="eastAsia"/>
        </w:rPr>
        <w:t>若附件为已注册或备案的产品，应明确按照附件说明书推荐的方法进行清洗、消毒或灭菌。</w:t>
      </w:r>
    </w:p>
    <w:p w14:paraId="61DCC1D3">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4</w:t>
      </w:r>
      <w:r>
        <w:t>.</w:t>
      </w:r>
      <w:r>
        <w:rPr>
          <w:rFonts w:hint="eastAsia"/>
        </w:rPr>
        <w:t>7稳定性研究</w:t>
      </w:r>
    </w:p>
    <w:p w14:paraId="6D04A0E1">
      <w:pPr>
        <w:keepNext w:val="0"/>
        <w:pageBreakBefore w:val="0"/>
        <w:widowControl w:val="0"/>
        <w:kinsoku/>
        <w:wordWrap/>
        <w:overflowPunct/>
        <w:topLinePunct w:val="0"/>
        <w:autoSpaceDE/>
        <w:autoSpaceDN/>
        <w:bidi w:val="0"/>
        <w:spacing w:after="0"/>
        <w:ind w:right="0" w:rightChars="0"/>
        <w:textAlignment w:val="auto"/>
      </w:pPr>
      <w:r>
        <w:rPr>
          <w:rFonts w:hint="eastAsia"/>
        </w:rPr>
        <w:t>4.7.1货架有效期</w:t>
      </w:r>
    </w:p>
    <w:p w14:paraId="659CC0C9">
      <w:pPr>
        <w:keepNext w:val="0"/>
        <w:pageBreakBefore w:val="0"/>
        <w:widowControl w:val="0"/>
        <w:kinsoku/>
        <w:wordWrap/>
        <w:overflowPunct/>
        <w:topLinePunct w:val="0"/>
        <w:autoSpaceDE/>
        <w:autoSpaceDN/>
        <w:bidi w:val="0"/>
        <w:spacing w:after="0"/>
        <w:ind w:right="0" w:rightChars="0"/>
        <w:textAlignment w:val="auto"/>
      </w:pPr>
      <w:r>
        <w:rPr>
          <w:rFonts w:hint="eastAsia"/>
        </w:rPr>
        <w:t>若产品结构组成包含一次性使用附件，应参照对应指导原则或标准提交货架有效期和包装研究资料，证明在货架有效期内，在规定的运输贮存条件下，产品可保持性能功能满足使用要求。</w:t>
      </w:r>
    </w:p>
    <w:p w14:paraId="499CD255">
      <w:pPr>
        <w:keepNext w:val="0"/>
        <w:pageBreakBefore w:val="0"/>
        <w:widowControl w:val="0"/>
        <w:kinsoku/>
        <w:wordWrap/>
        <w:overflowPunct/>
        <w:topLinePunct w:val="0"/>
        <w:autoSpaceDE/>
        <w:autoSpaceDN/>
        <w:bidi w:val="0"/>
        <w:spacing w:after="0"/>
        <w:ind w:right="0" w:rightChars="0"/>
        <w:textAlignment w:val="auto"/>
      </w:pPr>
      <w:r>
        <w:rPr>
          <w:rFonts w:hint="eastAsia"/>
        </w:rPr>
        <w:t>4.7.2使用稳定性</w:t>
      </w:r>
    </w:p>
    <w:p w14:paraId="203DF5A0">
      <w:pPr>
        <w:keepNext w:val="0"/>
        <w:pageBreakBefore w:val="0"/>
        <w:widowControl w:val="0"/>
        <w:kinsoku/>
        <w:wordWrap/>
        <w:overflowPunct/>
        <w:topLinePunct w:val="0"/>
        <w:autoSpaceDE/>
        <w:autoSpaceDN/>
        <w:bidi w:val="0"/>
        <w:spacing w:after="0"/>
        <w:ind w:right="0" w:rightChars="0"/>
        <w:textAlignment w:val="auto"/>
      </w:pPr>
      <w:r>
        <w:rPr>
          <w:rFonts w:hint="eastAsia"/>
        </w:rPr>
        <w:t>应</w:t>
      </w:r>
      <w:r>
        <w:t>参照《有源医疗器械使用期限注册技术审查指导原则》提供产品使用稳定性的</w:t>
      </w:r>
      <w:r>
        <w:rPr>
          <w:rFonts w:hint="eastAsia"/>
        </w:rPr>
        <w:t>研究</w:t>
      </w:r>
      <w:r>
        <w:t>资料。可以对该产品进行使用状态列举，完整分析出临床使用的情况，直接进行产品的老化试验研究</w:t>
      </w:r>
      <w:r>
        <w:rPr>
          <w:rFonts w:hint="eastAsia"/>
        </w:rPr>
        <w:t>；</w:t>
      </w:r>
      <w:r>
        <w:t>也可以将产品分解为不同子部件（如主机、</w:t>
      </w:r>
      <w:r>
        <w:rPr>
          <w:rFonts w:hint="eastAsia"/>
        </w:rPr>
        <w:t>附件</w:t>
      </w:r>
      <w:r>
        <w:t>）进行评价</w:t>
      </w:r>
      <w:r>
        <w:rPr>
          <w:rFonts w:hint="eastAsia"/>
        </w:rPr>
        <w:t>。</w:t>
      </w:r>
      <w:r>
        <w:t>应详细分析分解关系，在此基础上</w:t>
      </w:r>
      <w:r>
        <w:rPr>
          <w:rFonts w:hint="eastAsia"/>
        </w:rPr>
        <w:t>采用适当</w:t>
      </w:r>
      <w:r>
        <w:t>的分解方式（如将产品分为关键部件及非关键部件等）确定产品的使用期限。</w:t>
      </w:r>
    </w:p>
    <w:p w14:paraId="0404C070">
      <w:pPr>
        <w:keepNext w:val="0"/>
        <w:pageBreakBefore w:val="0"/>
        <w:widowControl w:val="0"/>
        <w:kinsoku/>
        <w:wordWrap/>
        <w:overflowPunct/>
        <w:topLinePunct w:val="0"/>
        <w:autoSpaceDE/>
        <w:autoSpaceDN/>
        <w:bidi w:val="0"/>
        <w:spacing w:after="0"/>
        <w:ind w:right="0" w:rightChars="0"/>
        <w:textAlignment w:val="auto"/>
        <w:rPr>
          <w:rFonts w:eastAsia="微软雅黑"/>
        </w:rPr>
      </w:pPr>
      <w:r>
        <w:rPr>
          <w:rFonts w:hint="eastAsia" w:cs="仿宋_GB2312"/>
          <w:spacing w:val="-4"/>
          <w:szCs w:val="28"/>
        </w:rPr>
        <w:t>若通过分析关键部件寿命来确定产品使用期限，关键部件包括但不限于显示屏、电源模块、电极接口等。产品若具有可更换部件，应明确定期保养维护的时间间隔和更换频次，且应给出支持性资料。</w:t>
      </w:r>
    </w:p>
    <w:p w14:paraId="45573CD6">
      <w:pPr>
        <w:keepNext w:val="0"/>
        <w:pageBreakBefore w:val="0"/>
        <w:widowControl w:val="0"/>
        <w:kinsoku/>
        <w:wordWrap/>
        <w:overflowPunct/>
        <w:topLinePunct w:val="0"/>
        <w:autoSpaceDE/>
        <w:autoSpaceDN/>
        <w:bidi w:val="0"/>
        <w:spacing w:after="0"/>
        <w:ind w:right="0" w:rightChars="0"/>
        <w:textAlignment w:val="auto"/>
      </w:pPr>
      <w:r>
        <w:rPr>
          <w:rFonts w:hint="eastAsia"/>
        </w:rPr>
        <w:t>4.7.3运输稳定性</w:t>
      </w:r>
    </w:p>
    <w:p w14:paraId="3EC5C7C4">
      <w:pPr>
        <w:keepNext w:val="0"/>
        <w:pageBreakBefore w:val="0"/>
        <w:widowControl w:val="0"/>
        <w:kinsoku/>
        <w:wordWrap/>
        <w:overflowPunct/>
        <w:topLinePunct w:val="0"/>
        <w:autoSpaceDE/>
        <w:autoSpaceDN/>
        <w:bidi w:val="0"/>
        <w:spacing w:after="0"/>
        <w:ind w:right="0" w:rightChars="0"/>
        <w:textAlignment w:val="auto"/>
        <w:rPr>
          <w:szCs w:val="32"/>
        </w:rPr>
      </w:pPr>
      <w:r>
        <w:rPr>
          <w:szCs w:val="32"/>
        </w:rPr>
        <w:t>应当提供运输稳定性和包装研究资料，证明在生产企业规定的运输条件下，运输过程中的环境条件（例如：震动、振动、温度和湿度的波动）不会对医疗器械的特性和性能</w:t>
      </w:r>
      <w:r>
        <w:rPr>
          <w:rFonts w:hint="eastAsia"/>
          <w:szCs w:val="32"/>
        </w:rPr>
        <w:t>，包括完整性和清洁度，</w:t>
      </w:r>
      <w:r>
        <w:rPr>
          <w:szCs w:val="32"/>
        </w:rPr>
        <w:t>造成不利影响</w:t>
      </w:r>
      <w:r>
        <w:rPr>
          <w:rFonts w:hint="eastAsia"/>
          <w:szCs w:val="32"/>
        </w:rPr>
        <w:t>。</w:t>
      </w:r>
    </w:p>
    <w:p w14:paraId="448D84DE">
      <w:pPr>
        <w:keepNext w:val="0"/>
        <w:pageBreakBefore w:val="0"/>
        <w:widowControl w:val="0"/>
        <w:kinsoku/>
        <w:wordWrap/>
        <w:overflowPunct/>
        <w:topLinePunct w:val="0"/>
        <w:autoSpaceDE/>
        <w:autoSpaceDN/>
        <w:bidi w:val="0"/>
        <w:spacing w:after="0"/>
        <w:ind w:right="0" w:rightChars="0"/>
        <w:textAlignment w:val="auto"/>
        <w:rPr>
          <w:color w:val="000000" w:themeColor="text1"/>
          <w14:textFill>
            <w14:solidFill>
              <w14:schemeClr w14:val="tx1"/>
            </w14:solidFill>
          </w14:textFill>
        </w:rPr>
      </w:pPr>
      <w:r>
        <w:rPr>
          <w:szCs w:val="32"/>
        </w:rPr>
        <w:t>可参考GB/T 14710</w:t>
      </w:r>
      <w:r>
        <w:rPr>
          <w:rFonts w:hint="eastAsia"/>
          <w:szCs w:val="32"/>
        </w:rPr>
        <w:t>等标准</w:t>
      </w:r>
      <w:r>
        <w:rPr>
          <w:szCs w:val="32"/>
        </w:rPr>
        <w:t>的要求</w:t>
      </w:r>
      <w:r>
        <w:rPr>
          <w:rFonts w:hint="eastAsia"/>
          <w:szCs w:val="32"/>
        </w:rPr>
        <w:t>开展环境试验</w:t>
      </w:r>
      <w:r>
        <w:rPr>
          <w:szCs w:val="32"/>
        </w:rPr>
        <w:t>研究。</w:t>
      </w:r>
      <w:r>
        <w:rPr>
          <w:rFonts w:hint="eastAsia"/>
          <w:szCs w:val="32"/>
        </w:rPr>
        <w:t>评价产品在各种工作环境和模拟贮存、运输环境下的适应性。也可以采用其他方法或者标准进行研究，但需说明理由。</w:t>
      </w:r>
    </w:p>
    <w:p w14:paraId="042F0A40">
      <w:pPr>
        <w:pStyle w:val="7"/>
        <w:keepNext w:val="0"/>
        <w:pageBreakBefore w:val="0"/>
        <w:widowControl w:val="0"/>
        <w:kinsoku/>
        <w:wordWrap/>
        <w:overflowPunct/>
        <w:topLinePunct w:val="0"/>
        <w:autoSpaceDE/>
        <w:autoSpaceDN/>
        <w:bidi w:val="0"/>
        <w:spacing w:after="0"/>
        <w:ind w:right="0" w:rightChars="0" w:firstLine="640"/>
        <w:textAlignment w:val="auto"/>
      </w:pPr>
      <w:r>
        <w:rPr>
          <w:szCs w:val="32"/>
        </w:rPr>
        <w:t>4.</w:t>
      </w:r>
      <w:r>
        <w:rPr>
          <w:rFonts w:hint="eastAsia"/>
          <w:szCs w:val="32"/>
        </w:rPr>
        <w:t>8</w:t>
      </w:r>
      <w:r>
        <w:rPr>
          <w:rFonts w:hint="eastAsia"/>
        </w:rPr>
        <w:t>可用性工程</w:t>
      </w:r>
    </w:p>
    <w:p w14:paraId="1BA8E54F">
      <w:pPr>
        <w:keepNext w:val="0"/>
        <w:pageBreakBefore w:val="0"/>
        <w:widowControl w:val="0"/>
        <w:kinsoku/>
        <w:wordWrap/>
        <w:overflowPunct/>
        <w:topLinePunct w:val="0"/>
        <w:autoSpaceDE/>
        <w:autoSpaceDN/>
        <w:bidi w:val="0"/>
        <w:spacing w:after="0"/>
        <w:ind w:right="0" w:rightChars="0"/>
        <w:textAlignment w:val="auto"/>
        <w:rPr>
          <w:szCs w:val="32"/>
        </w:rPr>
      </w:pPr>
      <w:r>
        <w:rPr>
          <w:rFonts w:hint="eastAsia"/>
        </w:rPr>
        <w:t>电声门图仪</w:t>
      </w:r>
      <w:r>
        <w:t>产品</w:t>
      </w:r>
      <w:r>
        <w:rPr>
          <w:rFonts w:hint="eastAsia"/>
        </w:rPr>
        <w:t>属</w:t>
      </w:r>
      <w:r>
        <w:t>于中、低使用风险医疗器械，</w:t>
      </w:r>
      <w:r>
        <w:rPr>
          <w:rFonts w:hint="eastAsia"/>
        </w:rPr>
        <w:t>应参照《医疗器械可用性工程注册审查指导原则》</w:t>
      </w:r>
      <w:r>
        <w:t>提交使用错误评估报告</w:t>
      </w:r>
      <w:r>
        <w:rPr>
          <w:rFonts w:hint="eastAsia"/>
        </w:rPr>
        <w:t>，包括基本信息、使用风险级别、核心要素、同类医疗器械上市后使用问题分析、使用风险管理、结论等内容</w:t>
      </w:r>
      <w:r>
        <w:t>。若前期已开展可用性工程工作，亦可提交可用性工程研究报告，用于替代使用错误评估报告。</w:t>
      </w:r>
    </w:p>
    <w:p w14:paraId="3971DA0C">
      <w:pPr>
        <w:pStyle w:val="7"/>
        <w:keepNext w:val="0"/>
        <w:pageBreakBefore w:val="0"/>
        <w:widowControl w:val="0"/>
        <w:kinsoku/>
        <w:wordWrap/>
        <w:overflowPunct/>
        <w:topLinePunct w:val="0"/>
        <w:autoSpaceDE/>
        <w:autoSpaceDN/>
        <w:bidi w:val="0"/>
        <w:spacing w:after="0"/>
        <w:ind w:right="0" w:rightChars="0" w:firstLine="640"/>
        <w:textAlignment w:val="auto"/>
      </w:pPr>
      <w:r>
        <w:rPr>
          <w:rFonts w:hint="eastAsia"/>
        </w:rPr>
        <w:t>4.9其他资料</w:t>
      </w:r>
    </w:p>
    <w:p w14:paraId="7CF6EAA9">
      <w:pPr>
        <w:keepNext w:val="0"/>
        <w:pageBreakBefore w:val="0"/>
        <w:widowControl w:val="0"/>
        <w:kinsoku/>
        <w:wordWrap/>
        <w:overflowPunct/>
        <w:topLinePunct w:val="0"/>
        <w:autoSpaceDE/>
        <w:autoSpaceDN/>
        <w:bidi w:val="0"/>
        <w:spacing w:after="0"/>
        <w:ind w:right="0" w:rightChars="0"/>
        <w:textAlignment w:val="auto"/>
        <w:rPr>
          <w:bCs/>
          <w:color w:val="000000"/>
          <w:szCs w:val="32"/>
        </w:rPr>
      </w:pPr>
      <w:r>
        <w:rPr>
          <w:bCs/>
          <w:color w:val="000000"/>
          <w:szCs w:val="32"/>
        </w:rPr>
        <w:t>电声门图仪属于列入《</w:t>
      </w:r>
      <w:r>
        <w:rPr>
          <w:rFonts w:hint="eastAsia"/>
          <w:szCs w:val="32"/>
        </w:rPr>
        <w:t>免于进行临床评价医疗器械目录</w:t>
      </w:r>
      <w:r>
        <w:rPr>
          <w:bCs/>
          <w:color w:val="000000"/>
          <w:szCs w:val="32"/>
        </w:rPr>
        <w:t>》中的产品，</w:t>
      </w:r>
      <w:r>
        <w:t>申请人应按照《列入免于临床评价医疗器械目录产品对比说明技术指导原则》的要求，从基本原理、结构组成、性能、安全性、适用范围等方面，证明产品的安全有效性</w:t>
      </w:r>
      <w:r>
        <w:rPr>
          <w:rFonts w:hint="eastAsia"/>
          <w:bCs/>
          <w:color w:val="000000"/>
          <w:szCs w:val="32"/>
        </w:rPr>
        <w:t>。</w:t>
      </w:r>
    </w:p>
    <w:p w14:paraId="5FC6C9BC">
      <w:pPr>
        <w:pStyle w:val="5"/>
        <w:keepNext w:val="0"/>
        <w:pageBreakBefore w:val="0"/>
        <w:widowControl w:val="0"/>
        <w:kinsoku/>
        <w:wordWrap/>
        <w:overflowPunct/>
        <w:topLinePunct w:val="0"/>
        <w:autoSpaceDE/>
        <w:autoSpaceDN/>
        <w:bidi w:val="0"/>
        <w:spacing w:before="0" w:after="0"/>
        <w:ind w:right="0" w:rightChars="0"/>
        <w:textAlignment w:val="auto"/>
        <w:rPr>
          <w:rFonts w:hint="eastAsia" w:cs="仿宋_GB2312"/>
          <w:spacing w:val="-4"/>
          <w:szCs w:val="28"/>
        </w:rPr>
      </w:pPr>
      <w:r>
        <w:rPr>
          <w:rFonts w:hint="eastAsia"/>
        </w:rPr>
        <w:t>（四）临床评价资料</w:t>
      </w:r>
    </w:p>
    <w:p w14:paraId="68362728">
      <w:pPr>
        <w:keepNext w:val="0"/>
        <w:pageBreakBefore w:val="0"/>
        <w:widowControl w:val="0"/>
        <w:kinsoku/>
        <w:wordWrap/>
        <w:overflowPunct/>
        <w:topLinePunct w:val="0"/>
        <w:autoSpaceDE/>
        <w:autoSpaceDN/>
        <w:bidi w:val="0"/>
        <w:spacing w:after="0"/>
        <w:ind w:right="0" w:rightChars="0" w:firstLine="624" w:firstLineChars="200"/>
        <w:textAlignment w:val="auto"/>
        <w:rPr>
          <w:rFonts w:cs="仿宋_GB2312"/>
          <w:spacing w:val="-4"/>
          <w:szCs w:val="28"/>
        </w:rPr>
      </w:pPr>
      <w:r>
        <w:rPr>
          <w:rFonts w:hint="eastAsia" w:cs="仿宋_GB2312"/>
          <w:spacing w:val="-4"/>
          <w:szCs w:val="28"/>
        </w:rPr>
        <w:t>电声门图仪产品</w:t>
      </w:r>
      <w:r>
        <w:rPr>
          <w:rFonts w:cs="仿宋_GB2312"/>
          <w:spacing w:val="-4"/>
          <w:szCs w:val="28"/>
        </w:rPr>
        <w:t>属于</w:t>
      </w:r>
      <w:r>
        <w:rPr>
          <w:szCs w:val="32"/>
        </w:rPr>
        <w:t>《</w:t>
      </w:r>
      <w:r>
        <w:rPr>
          <w:rFonts w:hint="eastAsia"/>
          <w:szCs w:val="32"/>
        </w:rPr>
        <w:t>免于进行临床评价医疗器械目录</w:t>
      </w:r>
      <w:r>
        <w:rPr>
          <w:szCs w:val="32"/>
        </w:rPr>
        <w:t>》（以下简称《目录》）</w:t>
      </w:r>
      <w:r>
        <w:rPr>
          <w:rFonts w:hint="eastAsia"/>
          <w:szCs w:val="32"/>
        </w:rPr>
        <w:t>内产品</w:t>
      </w:r>
      <w:r>
        <w:rPr>
          <w:rFonts w:cs="仿宋_GB2312"/>
          <w:spacing w:val="-4"/>
          <w:szCs w:val="28"/>
        </w:rPr>
        <w:t>，申请人应按照《列入免于临床评价医疗器械目录产品对比说明技术指导原则》的要求</w:t>
      </w:r>
      <w:r>
        <w:rPr>
          <w:szCs w:val="32"/>
        </w:rPr>
        <w:t>要求提交</w:t>
      </w:r>
      <w:r>
        <w:rPr>
          <w:rFonts w:hint="eastAsia"/>
          <w:szCs w:val="32"/>
        </w:rPr>
        <w:t>相关资料。超出免于临床评价的部分，申请人应按照《医疗器械临床评价注册审查指导原则》的要求提交相关资料</w:t>
      </w:r>
    </w:p>
    <w:p w14:paraId="00891F06">
      <w:pPr>
        <w:pStyle w:val="5"/>
        <w:keepNext w:val="0"/>
        <w:pageBreakBefore w:val="0"/>
        <w:widowControl w:val="0"/>
        <w:kinsoku/>
        <w:wordWrap/>
        <w:overflowPunct/>
        <w:topLinePunct w:val="0"/>
        <w:autoSpaceDE/>
        <w:autoSpaceDN/>
        <w:bidi w:val="0"/>
        <w:spacing w:before="0" w:after="0"/>
        <w:ind w:right="0" w:rightChars="0"/>
        <w:textAlignment w:val="auto"/>
        <w:rPr>
          <w:rFonts w:hint="eastAsia"/>
        </w:rPr>
      </w:pPr>
      <w:r>
        <w:rPr>
          <w:rFonts w:hint="eastAsia"/>
        </w:rPr>
        <w:t>（五）产品说明书和标签样稿</w:t>
      </w:r>
    </w:p>
    <w:p w14:paraId="2777D577">
      <w:pPr>
        <w:keepNext w:val="0"/>
        <w:pageBreakBefore w:val="0"/>
        <w:widowControl w:val="0"/>
        <w:kinsoku/>
        <w:wordWrap/>
        <w:overflowPunct/>
        <w:topLinePunct w:val="0"/>
        <w:autoSpaceDE/>
        <w:autoSpaceDN/>
        <w:bidi w:val="0"/>
        <w:spacing w:after="0"/>
        <w:ind w:right="0" w:rightChars="0"/>
        <w:textAlignment w:val="auto"/>
      </w:pPr>
      <w:r>
        <w:rPr>
          <w:rFonts w:hint="eastAsia"/>
        </w:rPr>
        <w:t>电声门图仪</w:t>
      </w:r>
      <w:r>
        <w:t>产品的说明书、标签应符合《医疗器械说明书和标签管理规定》（国家食品药品监督管理总局令第6号）和YY/T 0466.1</w:t>
      </w:r>
      <w:r>
        <w:rPr>
          <w:rFonts w:hint="eastAsia"/>
        </w:rPr>
        <w:t>和相关法规、规范性文件、强制性标准的要求</w:t>
      </w:r>
      <w:r>
        <w:t>。</w:t>
      </w:r>
    </w:p>
    <w:p w14:paraId="3B44F71F">
      <w:pPr>
        <w:keepNext w:val="0"/>
        <w:pageBreakBefore w:val="0"/>
        <w:widowControl w:val="0"/>
        <w:kinsoku/>
        <w:wordWrap/>
        <w:overflowPunct/>
        <w:topLinePunct w:val="0"/>
        <w:autoSpaceDE/>
        <w:autoSpaceDN/>
        <w:bidi w:val="0"/>
        <w:spacing w:after="0"/>
        <w:ind w:right="0" w:rightChars="0"/>
        <w:textAlignment w:val="auto"/>
      </w:pPr>
      <w:r>
        <w:rPr>
          <w:rFonts w:hint="eastAsia" w:cs="仿宋_GB2312"/>
          <w:spacing w:val="-4"/>
          <w:szCs w:val="28"/>
        </w:rPr>
        <w:t>说明书中必须告知用户的信息应当完整，如产品预期使用的环境、适用人群和限制使用的情况，应明确产品一次性使用附件的使用注意事项等。</w:t>
      </w:r>
    </w:p>
    <w:p w14:paraId="5FC92AC7">
      <w:pPr>
        <w:keepNext w:val="0"/>
        <w:pageBreakBefore w:val="0"/>
        <w:widowControl w:val="0"/>
        <w:kinsoku/>
        <w:wordWrap/>
        <w:overflowPunct/>
        <w:topLinePunct w:val="0"/>
        <w:autoSpaceDE/>
        <w:autoSpaceDN/>
        <w:bidi w:val="0"/>
        <w:spacing w:after="0"/>
        <w:ind w:right="0" w:rightChars="0"/>
        <w:textAlignment w:val="auto"/>
        <w:rPr>
          <w:rFonts w:cs="仿宋_GB2312"/>
          <w:spacing w:val="-4"/>
          <w:szCs w:val="28"/>
        </w:rPr>
      </w:pPr>
      <w:r>
        <w:rPr>
          <w:rFonts w:hint="eastAsia" w:cs="仿宋_GB2312"/>
          <w:spacing w:val="-4"/>
          <w:szCs w:val="28"/>
        </w:rPr>
        <w:t>建议在说明书中明确下列内容：</w:t>
      </w:r>
    </w:p>
    <w:p w14:paraId="437AF39A">
      <w:pPr>
        <w:keepNext w:val="0"/>
        <w:pageBreakBefore w:val="0"/>
        <w:widowControl w:val="0"/>
        <w:kinsoku/>
        <w:wordWrap/>
        <w:overflowPunct/>
        <w:topLinePunct w:val="0"/>
        <w:autoSpaceDE/>
        <w:autoSpaceDN/>
        <w:bidi w:val="0"/>
        <w:spacing w:after="0"/>
        <w:ind w:right="0" w:rightChars="0"/>
        <w:textAlignment w:val="auto"/>
        <w:rPr>
          <w:rFonts w:cs="仿宋_GB2312"/>
          <w:spacing w:val="-4"/>
          <w:szCs w:val="28"/>
        </w:rPr>
      </w:pPr>
      <w:r>
        <w:rPr>
          <w:rFonts w:cs="仿宋_GB2312"/>
          <w:spacing w:val="-4"/>
          <w:szCs w:val="28"/>
        </w:rPr>
        <w:t>1.</w:t>
      </w:r>
      <w:r>
        <w:rPr>
          <w:rFonts w:hint="eastAsia" w:cs="仿宋_GB2312"/>
          <w:spacing w:val="-4"/>
          <w:szCs w:val="28"/>
        </w:rPr>
        <w:t>对操作人员的要求：明确操作人员应具备的专业资质和培训要求。</w:t>
      </w:r>
    </w:p>
    <w:p w14:paraId="5EE03695">
      <w:pPr>
        <w:keepNext w:val="0"/>
        <w:pageBreakBefore w:val="0"/>
        <w:widowControl w:val="0"/>
        <w:kinsoku/>
        <w:wordWrap/>
        <w:overflowPunct/>
        <w:topLinePunct w:val="0"/>
        <w:autoSpaceDE/>
        <w:autoSpaceDN/>
        <w:bidi w:val="0"/>
        <w:spacing w:after="0"/>
        <w:ind w:right="0" w:rightChars="0"/>
        <w:textAlignment w:val="auto"/>
        <w:rPr>
          <w:rFonts w:cs="仿宋_GB2312"/>
          <w:spacing w:val="-4"/>
          <w:szCs w:val="28"/>
        </w:rPr>
      </w:pPr>
      <w:r>
        <w:rPr>
          <w:rFonts w:hint="eastAsia" w:cs="仿宋_GB2312"/>
          <w:spacing w:val="-4"/>
          <w:szCs w:val="28"/>
        </w:rPr>
        <w:t>2.声门图电极的安放方法：详细说明电极的正确放置位置和固定方法。</w:t>
      </w:r>
    </w:p>
    <w:p w14:paraId="5A9AD196">
      <w:pPr>
        <w:keepNext w:val="0"/>
        <w:pageBreakBefore w:val="0"/>
        <w:widowControl w:val="0"/>
        <w:kinsoku/>
        <w:wordWrap/>
        <w:overflowPunct/>
        <w:topLinePunct w:val="0"/>
        <w:autoSpaceDE/>
        <w:autoSpaceDN/>
        <w:bidi w:val="0"/>
        <w:spacing w:after="0"/>
        <w:ind w:right="0" w:rightChars="0"/>
        <w:textAlignment w:val="auto"/>
        <w:rPr>
          <w:rFonts w:cs="仿宋_GB2312"/>
          <w:spacing w:val="-4"/>
          <w:szCs w:val="28"/>
        </w:rPr>
      </w:pPr>
      <w:r>
        <w:rPr>
          <w:rFonts w:cs="仿宋_GB2312"/>
          <w:spacing w:val="-4"/>
          <w:szCs w:val="28"/>
        </w:rPr>
        <w:t>3.</w:t>
      </w:r>
      <w:r>
        <w:rPr>
          <w:rFonts w:hint="eastAsia" w:cs="仿宋_GB2312"/>
          <w:spacing w:val="-4"/>
          <w:szCs w:val="28"/>
        </w:rPr>
        <w:t>如有重复使用电极，应给出重复使用电极的清洁、消毒和保存方法。</w:t>
      </w:r>
    </w:p>
    <w:p w14:paraId="00675112">
      <w:pPr>
        <w:keepNext w:val="0"/>
        <w:pageBreakBefore w:val="0"/>
        <w:widowControl w:val="0"/>
        <w:kinsoku/>
        <w:wordWrap/>
        <w:overflowPunct/>
        <w:topLinePunct w:val="0"/>
        <w:autoSpaceDE/>
        <w:autoSpaceDN/>
        <w:bidi w:val="0"/>
        <w:spacing w:after="0"/>
        <w:ind w:right="0" w:rightChars="0"/>
        <w:textAlignment w:val="auto"/>
        <w:rPr>
          <w:spacing w:val="-4"/>
          <w:szCs w:val="28"/>
        </w:rPr>
      </w:pPr>
      <w:r>
        <w:rPr>
          <w:rFonts w:hint="eastAsia" w:cs="仿宋_GB2312"/>
          <w:spacing w:val="-4"/>
          <w:szCs w:val="28"/>
        </w:rPr>
        <w:t>4</w:t>
      </w:r>
      <w:r>
        <w:rPr>
          <w:rFonts w:cs="仿宋_GB2312"/>
          <w:spacing w:val="-4"/>
          <w:szCs w:val="28"/>
        </w:rPr>
        <w:t>.</w:t>
      </w:r>
      <w:r>
        <w:rPr>
          <w:rFonts w:hint="eastAsia" w:cs="仿宋_GB2312"/>
          <w:spacing w:val="-4"/>
          <w:szCs w:val="28"/>
        </w:rPr>
        <w:t>电声门图信号的解读方法：说明电声门图波形的基本特征和临床意义</w:t>
      </w:r>
      <w:r>
        <w:rPr>
          <w:rFonts w:hint="eastAsia"/>
          <w:spacing w:val="-4"/>
          <w:szCs w:val="28"/>
        </w:rPr>
        <w:t>。</w:t>
      </w:r>
    </w:p>
    <w:p w14:paraId="169DD065">
      <w:pPr>
        <w:keepNext w:val="0"/>
        <w:pageBreakBefore w:val="0"/>
        <w:widowControl w:val="0"/>
        <w:kinsoku/>
        <w:wordWrap/>
        <w:overflowPunct/>
        <w:topLinePunct w:val="0"/>
        <w:autoSpaceDE/>
        <w:autoSpaceDN/>
        <w:bidi w:val="0"/>
        <w:spacing w:after="0"/>
        <w:ind w:right="0" w:rightChars="0"/>
        <w:textAlignment w:val="auto"/>
        <w:rPr>
          <w:rFonts w:cs="仿宋_GB2312"/>
          <w:spacing w:val="-4"/>
          <w:szCs w:val="28"/>
        </w:rPr>
      </w:pPr>
      <w:r>
        <w:rPr>
          <w:rFonts w:hint="eastAsia" w:cs="仿宋_GB2312"/>
          <w:spacing w:val="-4"/>
          <w:szCs w:val="28"/>
        </w:rPr>
        <w:t>5</w:t>
      </w:r>
      <w:r>
        <w:rPr>
          <w:rFonts w:cs="仿宋_GB2312"/>
          <w:spacing w:val="-4"/>
          <w:szCs w:val="28"/>
        </w:rPr>
        <w:t>.</w:t>
      </w:r>
      <w:r>
        <w:rPr>
          <w:rFonts w:hint="eastAsia" w:cs="仿宋_GB2312"/>
          <w:spacing w:val="-4"/>
          <w:szCs w:val="28"/>
        </w:rPr>
        <w:t>测量参数的说明：解释基频、开商、速度商、闭合商等参数的定义和正常参考范围。</w:t>
      </w:r>
    </w:p>
    <w:p w14:paraId="3F5076A7">
      <w:pPr>
        <w:keepNext w:val="0"/>
        <w:pageBreakBefore w:val="0"/>
        <w:widowControl w:val="0"/>
        <w:kinsoku/>
        <w:wordWrap/>
        <w:overflowPunct/>
        <w:topLinePunct w:val="0"/>
        <w:autoSpaceDE/>
        <w:autoSpaceDN/>
        <w:bidi w:val="0"/>
        <w:spacing w:after="0"/>
        <w:ind w:right="0" w:rightChars="0"/>
        <w:textAlignment w:val="auto"/>
        <w:rPr>
          <w:rFonts w:cs="仿宋_GB2312"/>
          <w:spacing w:val="-4"/>
          <w:szCs w:val="28"/>
        </w:rPr>
      </w:pPr>
      <w:r>
        <w:rPr>
          <w:rFonts w:hint="eastAsia" w:cs="仿宋_GB2312"/>
          <w:spacing w:val="-4"/>
          <w:szCs w:val="28"/>
        </w:rPr>
        <w:t>6.禁忌证和注意事项：明确产品的禁忌证和使用时的注意事项。</w:t>
      </w:r>
    </w:p>
    <w:p w14:paraId="0CE4C336">
      <w:pPr>
        <w:keepNext w:val="0"/>
        <w:pageBreakBefore w:val="0"/>
        <w:widowControl w:val="0"/>
        <w:kinsoku/>
        <w:wordWrap/>
        <w:overflowPunct/>
        <w:topLinePunct w:val="0"/>
        <w:autoSpaceDE/>
        <w:autoSpaceDN/>
        <w:bidi w:val="0"/>
        <w:spacing w:after="0"/>
        <w:ind w:right="0" w:rightChars="0"/>
        <w:textAlignment w:val="auto"/>
        <w:rPr>
          <w:rFonts w:cs="仿宋_GB2312"/>
          <w:spacing w:val="-4"/>
          <w:szCs w:val="28"/>
        </w:rPr>
      </w:pPr>
      <w:r>
        <w:rPr>
          <w:rFonts w:hint="eastAsia" w:cs="仿宋_GB2312"/>
          <w:spacing w:val="-4"/>
          <w:szCs w:val="28"/>
        </w:rPr>
        <w:t>7.故障排除指南：提供常见故障的诊断和处理方法。</w:t>
      </w:r>
    </w:p>
    <w:p w14:paraId="3F21B2CD">
      <w:pPr>
        <w:keepNext w:val="0"/>
        <w:pageBreakBefore w:val="0"/>
        <w:widowControl w:val="0"/>
        <w:kinsoku/>
        <w:wordWrap/>
        <w:overflowPunct/>
        <w:topLinePunct w:val="0"/>
        <w:autoSpaceDE/>
        <w:autoSpaceDN/>
        <w:bidi w:val="0"/>
        <w:spacing w:after="0"/>
        <w:ind w:right="0" w:rightChars="0"/>
        <w:textAlignment w:val="auto"/>
        <w:rPr>
          <w:rFonts w:cs="仿宋_GB2312"/>
          <w:spacing w:val="-4"/>
          <w:szCs w:val="28"/>
        </w:rPr>
      </w:pPr>
      <w:r>
        <w:rPr>
          <w:rFonts w:hint="eastAsia" w:cs="仿宋_GB2312"/>
          <w:spacing w:val="-4"/>
          <w:szCs w:val="28"/>
        </w:rPr>
        <w:t>8.产品日常校准方法：说明产品的日常校准程序和周期。</w:t>
      </w:r>
    </w:p>
    <w:p w14:paraId="0AD5478E">
      <w:pPr>
        <w:keepNext w:val="0"/>
        <w:pageBreakBefore w:val="0"/>
        <w:widowControl w:val="0"/>
        <w:kinsoku/>
        <w:wordWrap/>
        <w:overflowPunct/>
        <w:topLinePunct w:val="0"/>
        <w:autoSpaceDE/>
        <w:autoSpaceDN/>
        <w:bidi w:val="0"/>
        <w:spacing w:after="0"/>
        <w:ind w:right="0" w:rightChars="0"/>
        <w:textAlignment w:val="auto"/>
        <w:rPr>
          <w:rFonts w:cs="仿宋_GB2312"/>
          <w:spacing w:val="-4"/>
          <w:szCs w:val="28"/>
        </w:rPr>
      </w:pPr>
      <w:r>
        <w:rPr>
          <w:rFonts w:hint="eastAsia" w:cs="仿宋_GB2312"/>
          <w:spacing w:val="-4"/>
          <w:szCs w:val="28"/>
        </w:rPr>
        <w:t>9.产品使用期限和维护保养要求。</w:t>
      </w:r>
    </w:p>
    <w:p w14:paraId="3326C756">
      <w:pPr>
        <w:pStyle w:val="5"/>
        <w:keepNext w:val="0"/>
        <w:pageBreakBefore w:val="0"/>
        <w:widowControl w:val="0"/>
        <w:kinsoku/>
        <w:wordWrap/>
        <w:overflowPunct/>
        <w:topLinePunct w:val="0"/>
        <w:autoSpaceDE/>
        <w:autoSpaceDN/>
        <w:bidi w:val="0"/>
        <w:spacing w:before="0" w:after="0"/>
        <w:ind w:right="0" w:rightChars="0"/>
        <w:textAlignment w:val="auto"/>
        <w:rPr>
          <w:rFonts w:hint="eastAsia"/>
        </w:rPr>
      </w:pPr>
      <w:r>
        <w:rPr>
          <w:rFonts w:hint="eastAsia"/>
        </w:rPr>
        <w:t>（六）质量管理体系文件</w:t>
      </w:r>
    </w:p>
    <w:p w14:paraId="71BA0348">
      <w:pPr>
        <w:keepNext w:val="0"/>
        <w:pageBreakBefore w:val="0"/>
        <w:widowControl w:val="0"/>
        <w:kinsoku/>
        <w:wordWrap/>
        <w:overflowPunct/>
        <w:topLinePunct w:val="0"/>
        <w:autoSpaceDE/>
        <w:autoSpaceDN/>
        <w:bidi w:val="0"/>
        <w:spacing w:after="0"/>
        <w:ind w:right="0" w:rightChars="0"/>
        <w:textAlignment w:val="auto"/>
      </w:pPr>
      <w:r>
        <w:rPr>
          <w:rFonts w:hint="eastAsia"/>
        </w:rPr>
        <w:t>应依据《关于公布医疗器械注册申报资料要求和批准证明文件格式的公告》要求提供质量管理体系核查文件。</w:t>
      </w:r>
    </w:p>
    <w:p w14:paraId="081CE795">
      <w:pPr>
        <w:keepNext w:val="0"/>
        <w:pageBreakBefore w:val="0"/>
        <w:widowControl w:val="0"/>
        <w:kinsoku/>
        <w:wordWrap/>
        <w:overflowPunct/>
        <w:topLinePunct w:val="0"/>
        <w:autoSpaceDE/>
        <w:autoSpaceDN/>
        <w:bidi w:val="0"/>
        <w:spacing w:after="0"/>
        <w:ind w:right="0" w:rightChars="0"/>
        <w:textAlignment w:val="auto"/>
      </w:pPr>
      <w:r>
        <w:t>1.应明确产品生产工艺过程（</w:t>
      </w:r>
      <w:r>
        <w:rPr>
          <w:rFonts w:hint="eastAsia"/>
        </w:rPr>
        <w:t>如</w:t>
      </w:r>
      <w:r>
        <w:t>原材料外购外协、部件组装、整机组装、整机调试、老化试验、检验、入库</w:t>
      </w:r>
      <w:r>
        <w:rPr>
          <w:rFonts w:hint="eastAsia"/>
        </w:rPr>
        <w:t>等</w:t>
      </w:r>
      <w:r>
        <w:t>），可采用流程图的形式，所提供工艺流程图需识别并注明主要控制点及关键工艺、特殊工艺，说明关键工艺和特殊工艺要求。</w:t>
      </w:r>
    </w:p>
    <w:p w14:paraId="57ECED82">
      <w:pPr>
        <w:keepNext w:val="0"/>
        <w:pageBreakBefore w:val="0"/>
        <w:widowControl w:val="0"/>
        <w:kinsoku/>
        <w:wordWrap/>
        <w:overflowPunct/>
        <w:topLinePunct w:val="0"/>
        <w:autoSpaceDE/>
        <w:autoSpaceDN/>
        <w:bidi w:val="0"/>
        <w:spacing w:after="0"/>
        <w:ind w:right="0" w:rightChars="0"/>
        <w:textAlignment w:val="auto"/>
      </w:pPr>
      <w:r>
        <w:rPr>
          <w:rFonts w:hint="eastAsia"/>
        </w:rPr>
        <w:t>对于</w:t>
      </w:r>
      <w:r>
        <w:t>关键工艺及控制点</w:t>
      </w:r>
      <w:r>
        <w:rPr>
          <w:rFonts w:hint="eastAsia"/>
        </w:rPr>
        <w:t>，不同</w:t>
      </w:r>
      <w:r>
        <w:t>企业的实际情况各有不同</w:t>
      </w:r>
      <w:r>
        <w:rPr>
          <w:rFonts w:hint="eastAsia"/>
        </w:rPr>
        <w:t>。</w:t>
      </w:r>
      <w:r>
        <w:t>企业</w:t>
      </w:r>
      <w:r>
        <w:rPr>
          <w:rFonts w:hint="eastAsia"/>
        </w:rPr>
        <w:t>应</w:t>
      </w:r>
      <w:r>
        <w:t>根据生产的具体情况，提交相关的控制点资料</w:t>
      </w:r>
      <w:r>
        <w:rPr>
          <w:rFonts w:hint="eastAsia"/>
        </w:rPr>
        <w:t>，</w:t>
      </w:r>
      <w:r>
        <w:t>如防静电、焊接、老化。</w:t>
      </w:r>
    </w:p>
    <w:p w14:paraId="37607EC7">
      <w:pPr>
        <w:keepNext w:val="0"/>
        <w:pageBreakBefore w:val="0"/>
        <w:widowControl w:val="0"/>
        <w:kinsoku/>
        <w:wordWrap/>
        <w:overflowPunct/>
        <w:topLinePunct w:val="0"/>
        <w:autoSpaceDE/>
        <w:autoSpaceDN/>
        <w:bidi w:val="0"/>
        <w:spacing w:after="0"/>
        <w:ind w:right="0" w:rightChars="0"/>
        <w:textAlignment w:val="auto"/>
      </w:pPr>
      <w:r>
        <w:rPr>
          <w:rFonts w:hint="eastAsia"/>
        </w:rPr>
        <w:t>当上述过程中的一个或多个通过外包的方式来实现时，生产企业需对外包过程实施有效控制。</w:t>
      </w:r>
    </w:p>
    <w:p w14:paraId="0BEC5703">
      <w:pPr>
        <w:keepNext w:val="0"/>
        <w:pageBreakBefore w:val="0"/>
        <w:widowControl w:val="0"/>
        <w:kinsoku/>
        <w:wordWrap/>
        <w:overflowPunct/>
        <w:topLinePunct w:val="0"/>
        <w:autoSpaceDE/>
        <w:autoSpaceDN/>
        <w:bidi w:val="0"/>
        <w:spacing w:after="0"/>
        <w:ind w:right="0" w:rightChars="0"/>
        <w:textAlignment w:val="auto"/>
      </w:pPr>
      <w:r>
        <w:t>2.产品生产如涉及多场地，</w:t>
      </w:r>
      <w:r>
        <w:rPr>
          <w:rFonts w:hint="eastAsia"/>
        </w:rPr>
        <w:t>应</w:t>
      </w:r>
      <w:r>
        <w:t>在生产流程图中注明各场地的工序设置。若有多个研制场地，应概述每个研制场地的实际情况。</w:t>
      </w:r>
    </w:p>
    <w:p w14:paraId="04D2C2D8">
      <w:pPr>
        <w:keepNext w:val="0"/>
        <w:pageBreakBefore w:val="0"/>
        <w:widowControl w:val="0"/>
        <w:kinsoku/>
        <w:wordWrap/>
        <w:overflowPunct/>
        <w:topLinePunct w:val="0"/>
        <w:autoSpaceDE/>
        <w:autoSpaceDN/>
        <w:bidi w:val="0"/>
        <w:spacing w:after="0"/>
        <w:ind w:right="0" w:rightChars="0"/>
        <w:textAlignment w:val="auto"/>
      </w:pPr>
      <w:r>
        <w:t>3.提供产品主要元器件清单，清单中包括所用主要元器件</w:t>
      </w:r>
      <w:r>
        <w:rPr>
          <w:rFonts w:hint="eastAsia"/>
        </w:rPr>
        <w:t>，</w:t>
      </w:r>
      <w:r>
        <w:t>如网电源开关、开关电源、电源线组件、熔断器、患者电缆、电极、主板、软件版本等的信息（如规格型号、制造商等）。</w:t>
      </w:r>
    </w:p>
    <w:p w14:paraId="24898727">
      <w:pPr>
        <w:pStyle w:val="4"/>
        <w:keepNext w:val="0"/>
        <w:pageBreakBefore w:val="0"/>
        <w:widowControl w:val="0"/>
        <w:kinsoku/>
        <w:wordWrap/>
        <w:overflowPunct/>
        <w:topLinePunct w:val="0"/>
        <w:autoSpaceDE/>
        <w:autoSpaceDN/>
        <w:bidi w:val="0"/>
        <w:spacing w:after="0"/>
        <w:ind w:right="0" w:rightChars="0" w:firstLine="640"/>
        <w:textAlignment w:val="auto"/>
        <w:rPr>
          <w:rFonts w:hint="eastAsia"/>
          <w:b/>
        </w:rPr>
      </w:pPr>
      <w:r>
        <w:rPr>
          <w:rFonts w:hint="eastAsia"/>
        </w:rPr>
        <w:t>三、参考文献</w:t>
      </w:r>
    </w:p>
    <w:p w14:paraId="4B129CDD">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rFonts w:hint="eastAsia"/>
          <w:szCs w:val="32"/>
        </w:rPr>
        <w:t>[1]中华人民共和国国务院.医疗器械监督管理条例:中华人民共和国国务院令第739号[Z].</w:t>
      </w:r>
    </w:p>
    <w:p w14:paraId="24189EE2">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rFonts w:hint="eastAsia"/>
          <w:szCs w:val="32"/>
        </w:rPr>
        <w:t>[2]国家市场监督管理总局.医疗器械注册与备案管理办法：</w:t>
      </w:r>
    </w:p>
    <w:p w14:paraId="5F93FA59">
      <w:pPr>
        <w:keepNext w:val="0"/>
        <w:pageBreakBefore w:val="0"/>
        <w:widowControl w:val="0"/>
        <w:kinsoku/>
        <w:wordWrap/>
        <w:overflowPunct/>
        <w:topLinePunct w:val="0"/>
        <w:autoSpaceDE/>
        <w:autoSpaceDN/>
        <w:bidi w:val="0"/>
        <w:spacing w:after="0"/>
        <w:ind w:right="0" w:rightChars="0" w:firstLine="0"/>
        <w:textAlignment w:val="auto"/>
        <w:rPr>
          <w:szCs w:val="32"/>
        </w:rPr>
      </w:pPr>
      <w:r>
        <w:rPr>
          <w:rFonts w:hint="eastAsia"/>
          <w:szCs w:val="32"/>
        </w:rPr>
        <w:t>国家市场监管总局令第47号[Z].</w:t>
      </w:r>
    </w:p>
    <w:p w14:paraId="4AF815A7">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rFonts w:hint="eastAsia"/>
          <w:szCs w:val="32"/>
        </w:rPr>
        <w:t>[3]国家食品药品监督管理局.医疗器械分类目录:国家食品药品监督管理总局公告2017年第104号[Z].</w:t>
      </w:r>
    </w:p>
    <w:p w14:paraId="2A638208">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szCs w:val="32"/>
        </w:rPr>
        <w:t>[4]</w:t>
      </w:r>
      <w:r>
        <w:rPr>
          <w:szCs w:val="28"/>
        </w:rPr>
        <w:t>国家食品药品监督管理局</w:t>
      </w:r>
      <w:r>
        <w:rPr>
          <w:szCs w:val="32"/>
        </w:rPr>
        <w:t>.医疗器械通用名称命名规则：</w:t>
      </w:r>
      <w:r>
        <w:rPr>
          <w:szCs w:val="28"/>
        </w:rPr>
        <w:t>国家食品药品监督管理总局令第19号</w:t>
      </w:r>
      <w:r>
        <w:rPr>
          <w:szCs w:val="32"/>
        </w:rPr>
        <w:t>[Z].</w:t>
      </w:r>
    </w:p>
    <w:p w14:paraId="468048FE">
      <w:pPr>
        <w:keepNext w:val="0"/>
        <w:pageBreakBefore w:val="0"/>
        <w:widowControl w:val="0"/>
        <w:kinsoku/>
        <w:wordWrap/>
        <w:overflowPunct/>
        <w:topLinePunct w:val="0"/>
        <w:autoSpaceDE/>
        <w:autoSpaceDN/>
        <w:bidi w:val="0"/>
        <w:spacing w:after="0"/>
        <w:ind w:right="0" w:rightChars="0" w:firstLine="640" w:firstLineChars="200"/>
        <w:textAlignment w:val="auto"/>
      </w:pPr>
      <w:r>
        <w:rPr>
          <w:szCs w:val="32"/>
        </w:rPr>
        <w:t>[5</w:t>
      </w:r>
      <w:r>
        <w:rPr>
          <w:szCs w:val="28"/>
        </w:rPr>
        <w:t>]</w:t>
      </w:r>
      <w:r>
        <w:rPr>
          <w:rFonts w:hint="eastAsia"/>
          <w:szCs w:val="28"/>
        </w:rPr>
        <w:t>国家药品监督管理局</w:t>
      </w:r>
      <w:r>
        <w:rPr>
          <w:szCs w:val="28"/>
        </w:rPr>
        <w:t>.医用诊察和监护器械通用名称命名指导原则：</w:t>
      </w:r>
      <w:r>
        <w:rPr>
          <w:rFonts w:hint="eastAsia"/>
          <w:szCs w:val="32"/>
        </w:rPr>
        <w:t>国家药监局公告202</w:t>
      </w:r>
      <w:r>
        <w:rPr>
          <w:szCs w:val="32"/>
        </w:rPr>
        <w:t>1</w:t>
      </w:r>
      <w:r>
        <w:rPr>
          <w:rFonts w:hint="eastAsia"/>
          <w:szCs w:val="32"/>
        </w:rPr>
        <w:t>年第</w:t>
      </w:r>
      <w:r>
        <w:rPr>
          <w:szCs w:val="32"/>
        </w:rPr>
        <w:t>62</w:t>
      </w:r>
      <w:r>
        <w:rPr>
          <w:rFonts w:hint="eastAsia"/>
          <w:szCs w:val="32"/>
        </w:rPr>
        <w:t>号</w:t>
      </w:r>
      <w:r>
        <w:rPr>
          <w:szCs w:val="28"/>
        </w:rPr>
        <w:t>[Z].</w:t>
      </w:r>
    </w:p>
    <w:p w14:paraId="427D1B2E">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szCs w:val="32"/>
        </w:rPr>
        <w:t>[6]国家食品药品监督管理局.医疗器械注册单元划分指导原则:总局关于发布医疗器械注册单元划分指导原则的通告2017年第187号[Z].</w:t>
      </w:r>
    </w:p>
    <w:p w14:paraId="5488848F">
      <w:pPr>
        <w:keepNext w:val="0"/>
        <w:pageBreakBefore w:val="0"/>
        <w:widowControl w:val="0"/>
        <w:kinsoku/>
        <w:wordWrap/>
        <w:overflowPunct/>
        <w:topLinePunct w:val="0"/>
        <w:autoSpaceDE/>
        <w:autoSpaceDN/>
        <w:bidi w:val="0"/>
        <w:spacing w:after="0"/>
        <w:ind w:right="0" w:rightChars="0" w:firstLine="640" w:firstLineChars="200"/>
        <w:textAlignment w:val="auto"/>
      </w:pPr>
      <w:r>
        <w:rPr>
          <w:szCs w:val="32"/>
        </w:rPr>
        <w:t>[</w:t>
      </w:r>
      <w:r>
        <w:rPr>
          <w:rFonts w:hint="eastAsia"/>
          <w:szCs w:val="32"/>
        </w:rPr>
        <w:t>7]国家药品监督管理局.关于公布医疗器械注册申报资料要求和批准证明文件格式的公告：国家药品监督管理局公告2021年第121号[Z].</w:t>
      </w:r>
    </w:p>
    <w:p w14:paraId="14523B6B">
      <w:pPr>
        <w:pStyle w:val="2"/>
        <w:keepNext w:val="0"/>
        <w:pageBreakBefore w:val="0"/>
        <w:widowControl w:val="0"/>
        <w:kinsoku/>
        <w:wordWrap/>
        <w:overflowPunct/>
        <w:topLinePunct w:val="0"/>
        <w:autoSpaceDE/>
        <w:autoSpaceDN/>
        <w:bidi w:val="0"/>
        <w:spacing w:after="0" w:line="520" w:lineRule="exact"/>
        <w:ind w:right="0" w:rightChars="0"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[8</w:t>
      </w:r>
      <w:r>
        <w:rPr>
          <w:rFonts w:hint="eastAsia" w:ascii="Times New Roman" w:hAnsi="Times New Roman" w:eastAsia="仿宋_GB2312"/>
          <w:sz w:val="32"/>
          <w:szCs w:val="32"/>
        </w:rPr>
        <w:t>]国家药品监督管理局.</w:t>
      </w:r>
      <w:r>
        <w:rPr>
          <w:rFonts w:ascii="Times New Roman" w:hAnsi="Times New Roman" w:eastAsia="仿宋_GB2312"/>
          <w:sz w:val="32"/>
          <w:szCs w:val="32"/>
        </w:rPr>
        <w:t>医疗器械产品技术要求编写指导原则</w:t>
      </w:r>
      <w:r>
        <w:rPr>
          <w:rFonts w:hint="eastAsia" w:ascii="Times New Roman" w:hAnsi="Times New Roman" w:eastAsia="仿宋_GB2312"/>
          <w:sz w:val="32"/>
          <w:szCs w:val="32"/>
        </w:rPr>
        <w:t>:国家药监局通告2022年第8号[Z].</w:t>
      </w:r>
    </w:p>
    <w:p w14:paraId="31BE26B4">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szCs w:val="32"/>
        </w:rPr>
        <w:t>[</w:t>
      </w:r>
      <w:r>
        <w:rPr>
          <w:rFonts w:hint="eastAsia"/>
          <w:szCs w:val="32"/>
        </w:rPr>
        <w:t>9</w:t>
      </w:r>
      <w:r>
        <w:rPr>
          <w:szCs w:val="32"/>
        </w:rPr>
        <w:t>]</w:t>
      </w:r>
      <w:r>
        <w:rPr>
          <w:rFonts w:hint="eastAsia"/>
          <w:kern w:val="0"/>
          <w:szCs w:val="32"/>
        </w:rPr>
        <w:t>国家药品监督管理局医疗器械审评中心.</w:t>
      </w:r>
      <w:r>
        <w:rPr>
          <w:szCs w:val="32"/>
        </w:rPr>
        <w:t>医疗器械安全和性能基本原则符合性技术指南</w:t>
      </w:r>
      <w:r>
        <w:rPr>
          <w:rFonts w:hint="eastAsia"/>
          <w:szCs w:val="32"/>
        </w:rPr>
        <w:t>:</w:t>
      </w:r>
      <w:r>
        <w:rPr>
          <w:szCs w:val="32"/>
        </w:rPr>
        <w:t>国家药监局器审中心通告2022年第29号[Z].</w:t>
      </w:r>
    </w:p>
    <w:p w14:paraId="66DF8F05">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szCs w:val="32"/>
        </w:rPr>
        <w:t>[1</w:t>
      </w:r>
      <w:r>
        <w:rPr>
          <w:rFonts w:hint="eastAsia"/>
          <w:szCs w:val="32"/>
        </w:rPr>
        <w:t>0</w:t>
      </w:r>
      <w:r>
        <w:rPr>
          <w:szCs w:val="32"/>
        </w:rPr>
        <w:t>]国家药品监督管理局</w:t>
      </w:r>
      <w:r>
        <w:rPr>
          <w:rFonts w:hint="eastAsia"/>
          <w:szCs w:val="32"/>
        </w:rPr>
        <w:t>.</w:t>
      </w:r>
      <w:r>
        <w:rPr>
          <w:szCs w:val="32"/>
        </w:rPr>
        <w:t>医疗器械安全和性能的基本原则</w:t>
      </w:r>
      <w:r>
        <w:rPr>
          <w:rFonts w:hint="eastAsia"/>
          <w:szCs w:val="32"/>
        </w:rPr>
        <w:t>:</w:t>
      </w:r>
      <w:r>
        <w:rPr>
          <w:szCs w:val="32"/>
        </w:rPr>
        <w:t>国家药监局通告2020年第18号[Z].</w:t>
      </w:r>
    </w:p>
    <w:p w14:paraId="7AA12FC3">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rFonts w:hint="eastAsia"/>
          <w:szCs w:val="32"/>
        </w:rPr>
        <w:t>[11]</w:t>
      </w:r>
      <w:r>
        <w:rPr>
          <w:szCs w:val="32"/>
        </w:rPr>
        <w:t>国家药品监督管理局</w:t>
      </w:r>
      <w:r>
        <w:rPr>
          <w:rFonts w:hint="eastAsia"/>
          <w:szCs w:val="32"/>
        </w:rPr>
        <w:t>.</w:t>
      </w:r>
      <w:r>
        <w:rPr>
          <w:szCs w:val="32"/>
        </w:rPr>
        <w:t>有源医疗器械使用期限注册技术审查指导原则</w:t>
      </w:r>
      <w:r>
        <w:rPr>
          <w:rFonts w:hint="eastAsia"/>
          <w:szCs w:val="32"/>
        </w:rPr>
        <w:t>:</w:t>
      </w:r>
      <w:r>
        <w:rPr>
          <w:szCs w:val="32"/>
        </w:rPr>
        <w:t>国家药品监督管理局</w:t>
      </w:r>
      <w:r>
        <w:rPr>
          <w:rFonts w:hint="eastAsia"/>
          <w:szCs w:val="32"/>
        </w:rPr>
        <w:t>通</w:t>
      </w:r>
      <w:r>
        <w:rPr>
          <w:szCs w:val="32"/>
        </w:rPr>
        <w:t>告2019年第23号[Z].</w:t>
      </w:r>
    </w:p>
    <w:p w14:paraId="14B2587C">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rFonts w:hint="eastAsia"/>
          <w:szCs w:val="32"/>
        </w:rPr>
        <w:t>[12]</w:t>
      </w:r>
      <w:r>
        <w:rPr>
          <w:rFonts w:hint="eastAsia"/>
          <w:kern w:val="0"/>
          <w:szCs w:val="32"/>
        </w:rPr>
        <w:t>国家药品监督管理局医疗器械审评中心.</w:t>
      </w:r>
      <w:r>
        <w:rPr>
          <w:kern w:val="0"/>
          <w:szCs w:val="32"/>
        </w:rPr>
        <w:t>医疗器械软件注册审查指导原则</w:t>
      </w:r>
      <w:r>
        <w:rPr>
          <w:rFonts w:hint="eastAsia"/>
          <w:kern w:val="0"/>
          <w:szCs w:val="32"/>
        </w:rPr>
        <w:t>(2022年修订版):国家药监局器审中心通告2022年第9号</w:t>
      </w:r>
      <w:r>
        <w:rPr>
          <w:szCs w:val="32"/>
        </w:rPr>
        <w:t>[Z].</w:t>
      </w:r>
    </w:p>
    <w:p w14:paraId="18F93E47">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szCs w:val="32"/>
        </w:rPr>
        <w:t>[</w:t>
      </w:r>
      <w:r>
        <w:rPr>
          <w:rFonts w:hint="eastAsia"/>
          <w:szCs w:val="32"/>
        </w:rPr>
        <w:t>13</w:t>
      </w:r>
      <w:r>
        <w:rPr>
          <w:szCs w:val="32"/>
        </w:rPr>
        <w:t>]国家药品监督管理局医疗器械审评中心.医疗器械网络安全注册审查指导原则（2022年修订版）:国家药监局器审中心通告2022年第7号[Z].</w:t>
      </w:r>
    </w:p>
    <w:p w14:paraId="2CD6EA3C">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rFonts w:hint="eastAsia"/>
          <w:szCs w:val="32"/>
        </w:rPr>
        <w:t>[14]国家药品监督管理局医疗器械审评中心. 医疗器械可用性工程注册审查指导原则: 国家药监局器审中心通告2024年第13号[Z].</w:t>
      </w:r>
    </w:p>
    <w:p w14:paraId="4BE4BB5D">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rFonts w:hint="eastAsia"/>
          <w:szCs w:val="32"/>
        </w:rPr>
        <w:t>[15]国家药品监督管理局.列入免于临床评价医疗器械目录产品对比说明技术指导原则:国家药监局通告2021年第73号[Z].</w:t>
      </w:r>
    </w:p>
    <w:p w14:paraId="20F4C823">
      <w:pPr>
        <w:keepNext w:val="0"/>
        <w:pageBreakBefore w:val="0"/>
        <w:widowControl w:val="0"/>
        <w:kinsoku/>
        <w:wordWrap/>
        <w:overflowPunct/>
        <w:topLinePunct w:val="0"/>
        <w:autoSpaceDE/>
        <w:autoSpaceDN/>
        <w:bidi w:val="0"/>
        <w:spacing w:after="0"/>
        <w:ind w:right="0" w:rightChars="0" w:firstLine="640" w:firstLineChars="200"/>
        <w:textAlignment w:val="auto"/>
      </w:pPr>
      <w:r>
        <w:rPr>
          <w:rFonts w:hint="eastAsia"/>
          <w:szCs w:val="32"/>
        </w:rPr>
        <w:t>[16]国家药品监督管理局.免于进行临床评价医疗器械目录：国家药监局通告2025年第19号[Z].</w:t>
      </w:r>
    </w:p>
    <w:p w14:paraId="69AEA906">
      <w:pPr>
        <w:keepNext w:val="0"/>
        <w:pageBreakBefore w:val="0"/>
        <w:widowControl w:val="0"/>
        <w:kinsoku/>
        <w:wordWrap/>
        <w:overflowPunct/>
        <w:topLinePunct w:val="0"/>
        <w:autoSpaceDE/>
        <w:autoSpaceDN/>
        <w:bidi w:val="0"/>
        <w:spacing w:after="0"/>
        <w:ind w:right="0" w:rightChars="0" w:firstLine="640" w:firstLineChars="200"/>
        <w:textAlignment w:val="auto"/>
        <w:rPr>
          <w:szCs w:val="28"/>
        </w:rPr>
      </w:pPr>
      <w:r>
        <w:rPr>
          <w:rFonts w:hint="eastAsia"/>
          <w:szCs w:val="28"/>
        </w:rPr>
        <w:t>[17]国家药品监督管理局.医疗器械临床评价技术指导原则:国家药监局通告2021年第73号[Z].</w:t>
      </w:r>
    </w:p>
    <w:p w14:paraId="6C9741DD">
      <w:pPr>
        <w:keepNext w:val="0"/>
        <w:pageBreakBefore w:val="0"/>
        <w:widowControl w:val="0"/>
        <w:kinsoku/>
        <w:wordWrap/>
        <w:overflowPunct/>
        <w:topLinePunct w:val="0"/>
        <w:autoSpaceDE/>
        <w:autoSpaceDN/>
        <w:bidi w:val="0"/>
        <w:spacing w:after="0"/>
        <w:ind w:right="0" w:rightChars="0" w:firstLine="640" w:firstLineChars="200"/>
        <w:textAlignment w:val="auto"/>
      </w:pPr>
      <w:r>
        <w:rPr>
          <w:rFonts w:hint="eastAsia"/>
          <w:szCs w:val="32"/>
        </w:rPr>
        <w:t>[18]国家食品药品监督管理总局.医疗器械说明书和标签管理规定: 国家食品药品监督管理总局令第6号[Z]</w:t>
      </w:r>
    </w:p>
    <w:p w14:paraId="01C6B0B4">
      <w:pPr>
        <w:keepNext w:val="0"/>
        <w:pageBreakBefore w:val="0"/>
        <w:widowControl w:val="0"/>
        <w:kinsoku/>
        <w:wordWrap/>
        <w:overflowPunct/>
        <w:topLinePunct w:val="0"/>
        <w:autoSpaceDE/>
        <w:autoSpaceDN/>
        <w:bidi w:val="0"/>
        <w:spacing w:after="0"/>
        <w:ind w:right="0" w:rightChars="0" w:firstLine="480" w:firstLineChars="150"/>
        <w:textAlignment w:val="auto"/>
        <w:rPr>
          <w:kern w:val="0"/>
          <w:szCs w:val="32"/>
        </w:rPr>
      </w:pPr>
      <w:r>
        <w:rPr>
          <w:szCs w:val="32"/>
        </w:rPr>
        <w:t xml:space="preserve"> [</w:t>
      </w:r>
      <w:r>
        <w:rPr>
          <w:rFonts w:hint="eastAsia"/>
          <w:szCs w:val="32"/>
        </w:rPr>
        <w:t>19</w:t>
      </w:r>
      <w:r>
        <w:rPr>
          <w:szCs w:val="32"/>
        </w:rPr>
        <w:t>]</w:t>
      </w:r>
      <w:r>
        <w:rPr>
          <w:rFonts w:hint="eastAsia"/>
          <w:szCs w:val="32"/>
        </w:rPr>
        <w:t>GB</w:t>
      </w:r>
      <w:r>
        <w:rPr>
          <w:rFonts w:hint="eastAsia"/>
          <w:kern w:val="0"/>
          <w:szCs w:val="32"/>
        </w:rPr>
        <w:t>/T 42062-2022，</w:t>
      </w:r>
      <w:r>
        <w:rPr>
          <w:kern w:val="0"/>
          <w:szCs w:val="32"/>
        </w:rPr>
        <w:t xml:space="preserve">医疗器械 风险管理对医疗器械的应用[S]. </w:t>
      </w:r>
    </w:p>
    <w:p w14:paraId="3E758EC8">
      <w:pPr>
        <w:keepNext w:val="0"/>
        <w:pageBreakBefore w:val="0"/>
        <w:widowControl w:val="0"/>
        <w:kinsoku/>
        <w:wordWrap/>
        <w:overflowPunct/>
        <w:topLinePunct w:val="0"/>
        <w:autoSpaceDE/>
        <w:autoSpaceDN/>
        <w:bidi w:val="0"/>
        <w:spacing w:after="0"/>
        <w:ind w:right="0" w:rightChars="0" w:firstLine="640" w:firstLineChars="200"/>
        <w:textAlignment w:val="auto"/>
        <w:rPr>
          <w:kern w:val="0"/>
          <w:szCs w:val="32"/>
        </w:rPr>
      </w:pPr>
      <w:r>
        <w:rPr>
          <w:szCs w:val="32"/>
        </w:rPr>
        <w:t>[</w:t>
      </w:r>
      <w:r>
        <w:rPr>
          <w:rFonts w:hint="eastAsia"/>
          <w:szCs w:val="32"/>
        </w:rPr>
        <w:t>20</w:t>
      </w:r>
      <w:r>
        <w:rPr>
          <w:szCs w:val="32"/>
        </w:rPr>
        <w:t>]YY/T 1437-2023</w:t>
      </w:r>
      <w:r>
        <w:rPr>
          <w:rFonts w:hint="eastAsia"/>
          <w:szCs w:val="32"/>
        </w:rPr>
        <w:t>，</w:t>
      </w:r>
      <w:r>
        <w:rPr>
          <w:szCs w:val="32"/>
        </w:rPr>
        <w:t>医疗器械 GB/T 42062医用指南[S].</w:t>
      </w:r>
    </w:p>
    <w:p w14:paraId="3EF35AA3">
      <w:pPr>
        <w:keepNext w:val="0"/>
        <w:pageBreakBefore w:val="0"/>
        <w:widowControl w:val="0"/>
        <w:kinsoku/>
        <w:wordWrap/>
        <w:overflowPunct/>
        <w:topLinePunct w:val="0"/>
        <w:autoSpaceDE/>
        <w:autoSpaceDN/>
        <w:bidi w:val="0"/>
        <w:spacing w:after="0"/>
        <w:ind w:right="0" w:rightChars="0" w:firstLine="640" w:firstLineChars="200"/>
        <w:textAlignment w:val="auto"/>
      </w:pPr>
      <w:r>
        <w:rPr>
          <w:rFonts w:hint="eastAsia"/>
          <w:szCs w:val="32"/>
        </w:rPr>
        <w:t>[21]</w:t>
      </w:r>
      <w:r>
        <w:rPr>
          <w:szCs w:val="32"/>
        </w:rPr>
        <w:t>YY/T 0466.1-2023</w:t>
      </w:r>
      <w:r>
        <w:rPr>
          <w:rFonts w:hint="eastAsia"/>
          <w:kern w:val="0"/>
          <w:szCs w:val="32"/>
        </w:rPr>
        <w:t>，</w:t>
      </w:r>
      <w:r>
        <w:rPr>
          <w:szCs w:val="32"/>
        </w:rPr>
        <w:t>医疗器械</w:t>
      </w:r>
      <w:r>
        <w:rPr>
          <w:rFonts w:hint="eastAsia"/>
          <w:szCs w:val="32"/>
        </w:rPr>
        <w:t xml:space="preserve"> </w:t>
      </w:r>
      <w:r>
        <w:rPr>
          <w:szCs w:val="32"/>
        </w:rPr>
        <w:t>用于制造商提供信息的符号</w:t>
      </w:r>
      <w:r>
        <w:rPr>
          <w:rFonts w:hint="eastAsia"/>
          <w:szCs w:val="32"/>
        </w:rPr>
        <w:t xml:space="preserve"> </w:t>
      </w:r>
      <w:r>
        <w:rPr>
          <w:szCs w:val="32"/>
        </w:rPr>
        <w:t>第1部分：通用要求</w:t>
      </w:r>
      <w:r>
        <w:rPr>
          <w:rFonts w:hint="eastAsia"/>
          <w:szCs w:val="32"/>
        </w:rPr>
        <w:t>[S].</w:t>
      </w:r>
    </w:p>
    <w:p w14:paraId="18E8F0BD">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szCs w:val="32"/>
        </w:rPr>
        <w:t>[</w:t>
      </w:r>
      <w:r>
        <w:rPr>
          <w:rFonts w:hint="eastAsia"/>
          <w:szCs w:val="32"/>
        </w:rPr>
        <w:t>22</w:t>
      </w:r>
      <w:r>
        <w:rPr>
          <w:szCs w:val="32"/>
        </w:rPr>
        <w:t>]WS/T 367-2012</w:t>
      </w:r>
      <w:r>
        <w:rPr>
          <w:rFonts w:hint="eastAsia"/>
          <w:szCs w:val="32"/>
        </w:rPr>
        <w:t>，</w:t>
      </w:r>
      <w:r>
        <w:rPr>
          <w:szCs w:val="32"/>
        </w:rPr>
        <w:t>医疗机构消毒技术规范[S].</w:t>
      </w:r>
    </w:p>
    <w:p w14:paraId="3B684E1D">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rFonts w:hint="eastAsia"/>
          <w:szCs w:val="32"/>
        </w:rPr>
        <w:t>[23]GB 9706.1-2020，医用电气设备 第1部分：基本安全和基本性能的通用要求[S].</w:t>
      </w:r>
    </w:p>
    <w:p w14:paraId="4045D9AC">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rFonts w:hint="eastAsia"/>
          <w:szCs w:val="32"/>
        </w:rPr>
        <w:t>[24]YY 9706.102-2021，医用电气设备 第1-2部分：基本安全和基本性能的通用要求 并列标准：电磁兼容 要求和试验[S].</w:t>
      </w:r>
    </w:p>
    <w:p w14:paraId="2B898501">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rFonts w:hint="eastAsia"/>
          <w:szCs w:val="32"/>
        </w:rPr>
        <w:t>[25]GB/T 14710-2009，医用电器设备环境要求及试验方法[S].</w:t>
      </w:r>
    </w:p>
    <w:p w14:paraId="55C0425E">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rFonts w:hint="eastAsia"/>
          <w:szCs w:val="32"/>
        </w:rPr>
        <w:t>[26]GB/T 16886.1-2022，医疗器械生物学评价 第1部分：风险管理过程中的评价与试验[S].</w:t>
      </w:r>
    </w:p>
    <w:p w14:paraId="4BBEE32B">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rFonts w:hint="eastAsia"/>
          <w:szCs w:val="32"/>
        </w:rPr>
        <w:t>[27]GB/T 16886.5-2017，医疗器械生物学评价 第5部分：体外细胞毒性试验[S].</w:t>
      </w:r>
    </w:p>
    <w:p w14:paraId="751DCC59">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rFonts w:hint="eastAsia"/>
          <w:szCs w:val="32"/>
        </w:rPr>
        <w:t>[28]GB/T 16886.10-2024，医疗器械生物学评价 第10部分：刺激与迟发型超敏反应试验[S].</w:t>
      </w:r>
    </w:p>
    <w:p w14:paraId="13356979">
      <w:pPr>
        <w:keepNext w:val="0"/>
        <w:pageBreakBefore w:val="0"/>
        <w:widowControl w:val="0"/>
        <w:kinsoku/>
        <w:wordWrap/>
        <w:overflowPunct/>
        <w:topLinePunct w:val="0"/>
        <w:autoSpaceDE/>
        <w:autoSpaceDN/>
        <w:bidi w:val="0"/>
        <w:spacing w:after="0"/>
        <w:ind w:right="0" w:rightChars="0" w:firstLine="640" w:firstLineChars="200"/>
        <w:textAlignment w:val="auto"/>
        <w:rPr>
          <w:szCs w:val="32"/>
        </w:rPr>
      </w:pPr>
      <w:r>
        <w:rPr>
          <w:rFonts w:hint="eastAsia"/>
          <w:szCs w:val="32"/>
        </w:rPr>
        <w:t>[29]GB/T 25000.51-2016，系统与软件工程 系统与软件质量要求和评价（SQuaRE）第51部分：就绪可用软件（RUSP）的质量要求和测试细则[S].</w:t>
      </w:r>
    </w:p>
    <w:p w14:paraId="624F5269">
      <w:pPr>
        <w:ind w:firstLine="640" w:firstLineChars="200"/>
        <w:rPr>
          <w:szCs w:val="32"/>
        </w:rPr>
      </w:pPr>
    </w:p>
    <w:p w14:paraId="18196B87">
      <w:pPr>
        <w:ind w:firstLine="640" w:firstLineChars="200"/>
        <w:rPr>
          <w:szCs w:val="32"/>
        </w:rPr>
      </w:pPr>
    </w:p>
    <w:p w14:paraId="7FDFBACC">
      <w:pPr>
        <w:widowControl/>
        <w:spacing w:after="160" w:line="278" w:lineRule="auto"/>
        <w:ind w:firstLine="0"/>
        <w:rPr>
          <w:rFonts w:eastAsia="黑体"/>
          <w:bCs/>
          <w:kern w:val="0"/>
          <w:szCs w:val="32"/>
        </w:rPr>
      </w:pPr>
      <w:r>
        <w:rPr>
          <w:rFonts w:eastAsia="黑体"/>
          <w:bCs/>
          <w:kern w:val="0"/>
          <w:szCs w:val="32"/>
        </w:rPr>
        <w:br w:type="page"/>
      </w:r>
    </w:p>
    <w:p w14:paraId="4CCFE926">
      <w:pPr>
        <w:pStyle w:val="4"/>
        <w:ind w:firstLine="640"/>
        <w:rPr>
          <w:rFonts w:hint="eastAsia"/>
        </w:rPr>
      </w:pPr>
      <w:r>
        <w:t>附</w:t>
      </w:r>
      <w:r>
        <w:rPr>
          <w:rFonts w:hint="eastAsia"/>
        </w:rPr>
        <w:t>表</w:t>
      </w:r>
      <w:r>
        <w:t>1</w:t>
      </w:r>
    </w:p>
    <w:p w14:paraId="5F302FAB">
      <w:pPr>
        <w:spacing w:after="156" w:afterLines="50"/>
        <w:ind w:firstLine="0"/>
        <w:jc w:val="center"/>
        <w:rPr>
          <w:b/>
          <w:bCs/>
          <w:sz w:val="36"/>
          <w:szCs w:val="28"/>
          <w:lang w:val="zh-CN"/>
        </w:rPr>
      </w:pPr>
      <w:r>
        <w:rPr>
          <w:rFonts w:hint="eastAsia"/>
          <w:b/>
          <w:bCs/>
          <w:sz w:val="36"/>
          <w:szCs w:val="28"/>
          <w:lang w:val="zh-CN"/>
        </w:rPr>
        <w:t>产品主要风险</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0"/>
        <w:gridCol w:w="3326"/>
        <w:gridCol w:w="1917"/>
        <w:gridCol w:w="1973"/>
      </w:tblGrid>
      <w:tr w14:paraId="0A648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tcPr>
          <w:p w14:paraId="417CAEE8">
            <w:pPr>
              <w:spacing w:line="240" w:lineRule="auto"/>
              <w:ind w:firstLine="0"/>
              <w:jc w:val="center"/>
              <w:rPr>
                <w:rFonts w:hint="eastAsia" w:ascii="宋体" w:hAnsi="宋体" w:eastAsia="宋体" w:cs="宋体"/>
                <w:kern w:val="0"/>
                <w:sz w:val="22"/>
                <w:szCs w:val="22"/>
              </w:rPr>
            </w:pPr>
            <w:r>
              <w:rPr>
                <w:rFonts w:ascii="黑体" w:hAnsi="黑体" w:eastAsia="黑体" w:cs="黑体"/>
                <w:b/>
                <w:bCs/>
                <w:kern w:val="0"/>
                <w:sz w:val="22"/>
                <w:szCs w:val="22"/>
              </w:rPr>
              <w:t>风险分类</w:t>
            </w:r>
          </w:p>
        </w:tc>
        <w:tc>
          <w:tcPr>
            <w:tcW w:w="3500" w:type="dxa"/>
          </w:tcPr>
          <w:p w14:paraId="674EDBC3">
            <w:pPr>
              <w:spacing w:line="240" w:lineRule="auto"/>
              <w:ind w:firstLine="0"/>
              <w:jc w:val="center"/>
              <w:rPr>
                <w:rFonts w:hint="eastAsia" w:ascii="宋体" w:hAnsi="宋体" w:eastAsia="宋体" w:cs="宋体"/>
                <w:kern w:val="0"/>
                <w:sz w:val="22"/>
                <w:szCs w:val="22"/>
              </w:rPr>
            </w:pPr>
            <w:r>
              <w:rPr>
                <w:rFonts w:ascii="黑体" w:hAnsi="黑体" w:eastAsia="黑体" w:cs="黑体"/>
                <w:b/>
                <w:bCs/>
                <w:kern w:val="0"/>
                <w:sz w:val="22"/>
                <w:szCs w:val="22"/>
              </w:rPr>
              <w:t>可预见的事件序列</w:t>
            </w:r>
          </w:p>
        </w:tc>
        <w:tc>
          <w:tcPr>
            <w:tcW w:w="2000" w:type="dxa"/>
          </w:tcPr>
          <w:p w14:paraId="5751ADBE">
            <w:pPr>
              <w:spacing w:line="240" w:lineRule="auto"/>
              <w:ind w:firstLine="0"/>
              <w:jc w:val="center"/>
              <w:rPr>
                <w:rFonts w:hint="eastAsia" w:ascii="宋体" w:hAnsi="宋体" w:eastAsia="宋体" w:cs="宋体"/>
                <w:kern w:val="0"/>
                <w:sz w:val="22"/>
                <w:szCs w:val="22"/>
              </w:rPr>
            </w:pPr>
            <w:r>
              <w:rPr>
                <w:rFonts w:ascii="黑体" w:hAnsi="黑体" w:eastAsia="黑体" w:cs="黑体"/>
                <w:b/>
                <w:bCs/>
                <w:kern w:val="0"/>
                <w:sz w:val="22"/>
                <w:szCs w:val="22"/>
              </w:rPr>
              <w:t>风险情况</w:t>
            </w:r>
          </w:p>
        </w:tc>
        <w:tc>
          <w:tcPr>
            <w:tcW w:w="2060" w:type="dxa"/>
          </w:tcPr>
          <w:p w14:paraId="73832D0F">
            <w:pPr>
              <w:spacing w:line="240" w:lineRule="auto"/>
              <w:ind w:firstLine="0"/>
              <w:jc w:val="center"/>
              <w:rPr>
                <w:rFonts w:hint="eastAsia" w:ascii="宋体" w:hAnsi="宋体" w:eastAsia="宋体" w:cs="宋体"/>
                <w:kern w:val="0"/>
                <w:sz w:val="22"/>
                <w:szCs w:val="22"/>
              </w:rPr>
            </w:pPr>
            <w:r>
              <w:rPr>
                <w:rFonts w:ascii="黑体" w:hAnsi="黑体" w:eastAsia="黑体" w:cs="黑体"/>
                <w:b/>
                <w:bCs/>
                <w:kern w:val="0"/>
                <w:sz w:val="22"/>
                <w:szCs w:val="22"/>
              </w:rPr>
              <w:t>可能的后果</w:t>
            </w:r>
          </w:p>
        </w:tc>
      </w:tr>
      <w:tr w14:paraId="2BA49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tcPr>
          <w:p w14:paraId="4E7DC4CB">
            <w:pPr>
              <w:spacing w:line="240" w:lineRule="auto"/>
              <w:ind w:firstLine="0"/>
              <w:jc w:val="center"/>
              <w:rPr>
                <w:rFonts w:hint="eastAsia" w:ascii="仿宋_GB2312" w:hAnsi="宋体" w:cs="宋体"/>
                <w:kern w:val="0"/>
                <w:sz w:val="24"/>
              </w:rPr>
            </w:pPr>
            <w:r>
              <w:rPr>
                <w:rFonts w:hint="eastAsia" w:ascii="仿宋_GB2312" w:hAnsi="宋体" w:cs="宋体"/>
                <w:kern w:val="0"/>
                <w:sz w:val="24"/>
              </w:rPr>
              <w:t>电能（电击危害）</w:t>
            </w:r>
          </w:p>
        </w:tc>
        <w:tc>
          <w:tcPr>
            <w:tcW w:w="3500" w:type="dxa"/>
          </w:tcPr>
          <w:p w14:paraId="49F381E7">
            <w:pPr>
              <w:spacing w:line="240" w:lineRule="auto"/>
              <w:ind w:left="80" w:firstLine="0"/>
              <w:rPr>
                <w:rFonts w:hint="eastAsia" w:ascii="仿宋_GB2312" w:hAnsi="宋体" w:cs="宋体"/>
                <w:kern w:val="0"/>
                <w:sz w:val="24"/>
              </w:rPr>
            </w:pPr>
            <w:r>
              <w:rPr>
                <w:rFonts w:hint="eastAsia" w:ascii="仿宋_GB2312" w:hAnsi="宋体" w:cs="宋体"/>
                <w:kern w:val="0"/>
                <w:sz w:val="24"/>
              </w:rPr>
              <w:t>如保护接地阻抗、漏电流、电介质强度不符合要求，应用部分与带电部分隔离不够，产品电源插头剩余电压过高，产品没有足够的外壳机械强度和刚度等。</w:t>
            </w:r>
          </w:p>
        </w:tc>
        <w:tc>
          <w:tcPr>
            <w:tcW w:w="2000" w:type="dxa"/>
          </w:tcPr>
          <w:p w14:paraId="1DCB52D0">
            <w:pPr>
              <w:spacing w:line="240" w:lineRule="auto"/>
              <w:ind w:firstLine="0"/>
              <w:jc w:val="center"/>
              <w:rPr>
                <w:rFonts w:hint="eastAsia" w:ascii="仿宋_GB2312" w:hAnsi="宋体" w:cs="宋体"/>
                <w:kern w:val="0"/>
                <w:sz w:val="24"/>
              </w:rPr>
            </w:pPr>
            <w:r>
              <w:rPr>
                <w:rFonts w:hint="eastAsia" w:ascii="仿宋_GB2312" w:hAnsi="宋体" w:cs="宋体"/>
                <w:kern w:val="0"/>
                <w:sz w:val="24"/>
              </w:rPr>
              <w:t>中止检查</w:t>
            </w:r>
          </w:p>
        </w:tc>
        <w:tc>
          <w:tcPr>
            <w:tcW w:w="2060" w:type="dxa"/>
          </w:tcPr>
          <w:p w14:paraId="1C34AB83">
            <w:pPr>
              <w:spacing w:line="240" w:lineRule="auto"/>
              <w:ind w:firstLine="0"/>
              <w:jc w:val="center"/>
              <w:rPr>
                <w:rFonts w:hint="eastAsia" w:ascii="仿宋_GB2312" w:hAnsi="宋体" w:cs="宋体"/>
                <w:kern w:val="0"/>
                <w:sz w:val="24"/>
              </w:rPr>
            </w:pPr>
            <w:r>
              <w:rPr>
                <w:rFonts w:hint="eastAsia" w:ascii="仿宋_GB2312" w:hAnsi="宋体" w:cs="宋体"/>
                <w:kern w:val="0"/>
                <w:sz w:val="24"/>
              </w:rPr>
              <w:t>造成使用者或患者的电击伤害。</w:t>
            </w:r>
          </w:p>
        </w:tc>
      </w:tr>
      <w:tr w14:paraId="5E2E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tcPr>
          <w:p w14:paraId="63834E1E">
            <w:pPr>
              <w:spacing w:line="240" w:lineRule="auto"/>
              <w:ind w:firstLine="0"/>
              <w:jc w:val="center"/>
              <w:rPr>
                <w:rFonts w:hint="eastAsia" w:ascii="仿宋_GB2312" w:hAnsi="宋体" w:cs="宋体"/>
                <w:kern w:val="0"/>
                <w:sz w:val="24"/>
              </w:rPr>
            </w:pPr>
            <w:r>
              <w:rPr>
                <w:rFonts w:hint="eastAsia" w:ascii="仿宋_GB2312" w:hAnsi="宋体" w:cs="宋体"/>
                <w:kern w:val="0"/>
                <w:sz w:val="24"/>
              </w:rPr>
              <w:t>生物相容性</w:t>
            </w:r>
          </w:p>
        </w:tc>
        <w:tc>
          <w:tcPr>
            <w:tcW w:w="3500" w:type="dxa"/>
          </w:tcPr>
          <w:p w14:paraId="3F58AF7D">
            <w:pPr>
              <w:spacing w:line="240" w:lineRule="auto"/>
              <w:ind w:left="80" w:firstLine="0"/>
              <w:rPr>
                <w:rFonts w:hint="eastAsia" w:ascii="仿宋_GB2312" w:hAnsi="宋体" w:cs="宋体"/>
                <w:kern w:val="0"/>
                <w:sz w:val="24"/>
              </w:rPr>
            </w:pPr>
            <w:r>
              <w:rPr>
                <w:rFonts w:hint="eastAsia" w:ascii="仿宋_GB2312" w:hAnsi="宋体" w:cs="宋体"/>
                <w:kern w:val="0"/>
                <w:sz w:val="24"/>
              </w:rPr>
              <w:t>如与人体可能接触的部件（如电极）材料不符合生物相容性要求。</w:t>
            </w:r>
          </w:p>
        </w:tc>
        <w:tc>
          <w:tcPr>
            <w:tcW w:w="2000" w:type="dxa"/>
          </w:tcPr>
          <w:p w14:paraId="4851190A">
            <w:pPr>
              <w:spacing w:line="240" w:lineRule="auto"/>
              <w:ind w:firstLine="0"/>
              <w:jc w:val="center"/>
              <w:rPr>
                <w:rFonts w:hint="eastAsia" w:ascii="仿宋_GB2312" w:hAnsi="宋体" w:cs="宋体"/>
                <w:kern w:val="0"/>
                <w:sz w:val="24"/>
              </w:rPr>
            </w:pPr>
            <w:r>
              <w:rPr>
                <w:rFonts w:hint="eastAsia" w:ascii="仿宋_GB2312" w:hAnsi="宋体" w:cs="宋体"/>
                <w:kern w:val="0"/>
                <w:sz w:val="24"/>
              </w:rPr>
              <w:t>与人体组织不相容的器械使用于人体。</w:t>
            </w:r>
          </w:p>
        </w:tc>
        <w:tc>
          <w:tcPr>
            <w:tcW w:w="2060" w:type="dxa"/>
          </w:tcPr>
          <w:p w14:paraId="6A3A6B2C">
            <w:pPr>
              <w:spacing w:line="240" w:lineRule="auto"/>
              <w:ind w:firstLine="0"/>
              <w:jc w:val="center"/>
              <w:rPr>
                <w:rFonts w:hint="eastAsia" w:ascii="仿宋_GB2312" w:hAnsi="宋体" w:cs="宋体"/>
                <w:kern w:val="0"/>
                <w:sz w:val="24"/>
              </w:rPr>
            </w:pPr>
            <w:r>
              <w:rPr>
                <w:rFonts w:hint="eastAsia" w:ascii="仿宋_GB2312" w:hAnsi="宋体" w:cs="宋体"/>
                <w:kern w:val="0"/>
                <w:sz w:val="24"/>
              </w:rPr>
              <w:t>出现细胞毒性、致敏、刺激等症状，伤害患者健康。</w:t>
            </w:r>
          </w:p>
        </w:tc>
      </w:tr>
      <w:tr w14:paraId="2E961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tcPr>
          <w:p w14:paraId="36716BB1">
            <w:pPr>
              <w:spacing w:line="240" w:lineRule="auto"/>
              <w:ind w:firstLine="0"/>
              <w:jc w:val="center"/>
              <w:rPr>
                <w:rFonts w:hint="eastAsia" w:ascii="仿宋_GB2312" w:hAnsi="宋体" w:cs="宋体"/>
                <w:kern w:val="0"/>
                <w:sz w:val="24"/>
              </w:rPr>
            </w:pPr>
            <w:r>
              <w:rPr>
                <w:rFonts w:hint="eastAsia" w:ascii="仿宋_GB2312" w:hAnsi="宋体" w:cs="宋体"/>
                <w:kern w:val="0"/>
                <w:sz w:val="24"/>
              </w:rPr>
              <w:t>生物危害</w:t>
            </w:r>
          </w:p>
        </w:tc>
        <w:tc>
          <w:tcPr>
            <w:tcW w:w="3500" w:type="dxa"/>
          </w:tcPr>
          <w:p w14:paraId="383D230B">
            <w:pPr>
              <w:spacing w:line="240" w:lineRule="auto"/>
              <w:ind w:left="80" w:firstLine="0"/>
              <w:rPr>
                <w:rFonts w:hint="eastAsia" w:ascii="仿宋_GB2312" w:hAnsi="宋体" w:cs="宋体"/>
                <w:kern w:val="0"/>
                <w:sz w:val="24"/>
              </w:rPr>
            </w:pPr>
            <w:r>
              <w:rPr>
                <w:rFonts w:hint="eastAsia" w:ascii="仿宋_GB2312" w:hAnsi="宋体" w:cs="宋体"/>
                <w:kern w:val="0"/>
                <w:sz w:val="24"/>
              </w:rPr>
              <w:t>如可重复使用的与人体接触的电极，在使用前后不按规范严格地清洗、消毒。</w:t>
            </w:r>
          </w:p>
        </w:tc>
        <w:tc>
          <w:tcPr>
            <w:tcW w:w="2000" w:type="dxa"/>
          </w:tcPr>
          <w:p w14:paraId="1C762A40">
            <w:pPr>
              <w:spacing w:line="240" w:lineRule="auto"/>
              <w:ind w:firstLine="0"/>
              <w:jc w:val="center"/>
              <w:rPr>
                <w:rFonts w:hint="eastAsia" w:ascii="仿宋_GB2312" w:hAnsi="宋体" w:cs="宋体"/>
                <w:kern w:val="0"/>
                <w:sz w:val="24"/>
              </w:rPr>
            </w:pPr>
            <w:r>
              <w:rPr>
                <w:rFonts w:hint="eastAsia" w:ascii="仿宋_GB2312" w:hAnsi="宋体" w:cs="宋体"/>
                <w:kern w:val="0"/>
                <w:sz w:val="24"/>
              </w:rPr>
              <w:t>未消毒产品接触到患者。</w:t>
            </w:r>
          </w:p>
        </w:tc>
        <w:tc>
          <w:tcPr>
            <w:tcW w:w="2060" w:type="dxa"/>
          </w:tcPr>
          <w:p w14:paraId="7C3F9723">
            <w:pPr>
              <w:spacing w:line="240" w:lineRule="auto"/>
              <w:ind w:firstLine="0"/>
              <w:jc w:val="center"/>
              <w:rPr>
                <w:rFonts w:hint="eastAsia" w:ascii="仿宋_GB2312" w:hAnsi="宋体" w:cs="宋体"/>
                <w:kern w:val="0"/>
                <w:sz w:val="24"/>
              </w:rPr>
            </w:pPr>
            <w:r>
              <w:rPr>
                <w:rFonts w:hint="eastAsia" w:ascii="仿宋_GB2312" w:hAnsi="宋体" w:cs="宋体"/>
                <w:kern w:val="0"/>
                <w:sz w:val="24"/>
              </w:rPr>
              <w:t>患者产生交叉感染的伤害。</w:t>
            </w:r>
          </w:p>
        </w:tc>
      </w:tr>
      <w:tr w14:paraId="1FE61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tcPr>
          <w:p w14:paraId="4FA0DBCA">
            <w:pPr>
              <w:spacing w:line="240" w:lineRule="auto"/>
              <w:ind w:firstLine="0"/>
              <w:jc w:val="center"/>
              <w:rPr>
                <w:rFonts w:hint="eastAsia" w:ascii="仿宋_GB2312" w:hAnsi="宋体" w:cs="宋体"/>
                <w:kern w:val="0"/>
                <w:sz w:val="24"/>
              </w:rPr>
            </w:pPr>
            <w:r>
              <w:rPr>
                <w:rFonts w:hint="eastAsia" w:ascii="仿宋_GB2312" w:hAnsi="宋体" w:cs="宋体"/>
                <w:kern w:val="0"/>
                <w:sz w:val="24"/>
              </w:rPr>
              <w:t>信息危害</w:t>
            </w:r>
          </w:p>
        </w:tc>
        <w:tc>
          <w:tcPr>
            <w:tcW w:w="3500" w:type="dxa"/>
          </w:tcPr>
          <w:p w14:paraId="691CB749">
            <w:pPr>
              <w:spacing w:line="240" w:lineRule="auto"/>
              <w:ind w:left="80" w:firstLine="0"/>
              <w:rPr>
                <w:rFonts w:hint="eastAsia" w:ascii="仿宋_GB2312" w:hAnsi="宋体" w:cs="宋体"/>
                <w:kern w:val="0"/>
                <w:sz w:val="24"/>
              </w:rPr>
            </w:pPr>
            <w:r>
              <w:rPr>
                <w:rFonts w:hint="eastAsia" w:ascii="仿宋_GB2312" w:hAnsi="宋体" w:cs="宋体"/>
                <w:kern w:val="0"/>
                <w:sz w:val="24"/>
              </w:rPr>
              <w:t>如产品外部和内部标记不全面、标记不正确或不能够清楚易认，元器件标记不正确，标记不能够永久贴牢，缺少必要的警告说明、使用方法、技术参数等。</w:t>
            </w:r>
          </w:p>
        </w:tc>
        <w:tc>
          <w:tcPr>
            <w:tcW w:w="2000" w:type="dxa"/>
          </w:tcPr>
          <w:p w14:paraId="0DB062BC">
            <w:pPr>
              <w:spacing w:line="240" w:lineRule="auto"/>
              <w:ind w:firstLine="0"/>
              <w:jc w:val="center"/>
              <w:rPr>
                <w:rFonts w:hint="eastAsia" w:ascii="仿宋_GB2312" w:hAnsi="宋体" w:cs="宋体"/>
                <w:kern w:val="0"/>
                <w:sz w:val="24"/>
              </w:rPr>
            </w:pPr>
            <w:r>
              <w:rPr>
                <w:rFonts w:hint="eastAsia" w:ascii="仿宋_GB2312" w:hAnsi="宋体" w:cs="宋体"/>
                <w:kern w:val="0"/>
                <w:sz w:val="24"/>
              </w:rPr>
              <w:t>未能按用途正确使用相应产品。</w:t>
            </w:r>
          </w:p>
        </w:tc>
        <w:tc>
          <w:tcPr>
            <w:tcW w:w="2060" w:type="dxa"/>
          </w:tcPr>
          <w:p w14:paraId="42C87966">
            <w:pPr>
              <w:spacing w:line="240" w:lineRule="auto"/>
              <w:ind w:firstLine="0"/>
              <w:jc w:val="center"/>
              <w:rPr>
                <w:rFonts w:hint="eastAsia" w:ascii="仿宋_GB2312" w:hAnsi="宋体" w:cs="宋体"/>
                <w:kern w:val="0"/>
                <w:sz w:val="24"/>
              </w:rPr>
            </w:pPr>
            <w:r>
              <w:rPr>
                <w:rFonts w:hint="eastAsia" w:ascii="仿宋_GB2312" w:hAnsi="宋体" w:cs="宋体"/>
                <w:kern w:val="0"/>
                <w:sz w:val="24"/>
              </w:rPr>
              <w:t>导致操作者的错误操作。</w:t>
            </w:r>
          </w:p>
        </w:tc>
      </w:tr>
      <w:tr w14:paraId="38CE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tcPr>
          <w:p w14:paraId="587D45E1">
            <w:pPr>
              <w:spacing w:line="240" w:lineRule="auto"/>
              <w:ind w:firstLine="0"/>
              <w:jc w:val="center"/>
              <w:rPr>
                <w:rFonts w:hint="eastAsia" w:ascii="仿宋_GB2312" w:hAnsi="宋体" w:cs="宋体"/>
                <w:kern w:val="0"/>
                <w:sz w:val="24"/>
              </w:rPr>
            </w:pPr>
            <w:r>
              <w:rPr>
                <w:rFonts w:hint="eastAsia" w:ascii="仿宋_GB2312" w:hAnsi="宋体" w:cs="宋体"/>
                <w:kern w:val="0"/>
                <w:sz w:val="24"/>
              </w:rPr>
              <w:t>操作危害</w:t>
            </w:r>
          </w:p>
        </w:tc>
        <w:tc>
          <w:tcPr>
            <w:tcW w:w="3500" w:type="dxa"/>
          </w:tcPr>
          <w:p w14:paraId="58EEBB74">
            <w:pPr>
              <w:spacing w:line="240" w:lineRule="auto"/>
              <w:ind w:left="80" w:firstLine="0"/>
              <w:rPr>
                <w:rFonts w:hint="eastAsia" w:ascii="仿宋_GB2312" w:hAnsi="宋体" w:cs="宋体"/>
                <w:kern w:val="0"/>
                <w:sz w:val="24"/>
              </w:rPr>
            </w:pPr>
            <w:r>
              <w:rPr>
                <w:rFonts w:hint="eastAsia" w:ascii="仿宋_GB2312" w:hAnsi="宋体" w:cs="宋体"/>
                <w:kern w:val="0"/>
                <w:sz w:val="24"/>
              </w:rPr>
              <w:t>该类产品使用比较复杂，操作人员未经过培训。</w:t>
            </w:r>
          </w:p>
        </w:tc>
        <w:tc>
          <w:tcPr>
            <w:tcW w:w="2000" w:type="dxa"/>
          </w:tcPr>
          <w:p w14:paraId="599A2E80">
            <w:pPr>
              <w:spacing w:line="240" w:lineRule="auto"/>
              <w:ind w:firstLine="0"/>
              <w:jc w:val="center"/>
              <w:rPr>
                <w:rFonts w:hint="eastAsia" w:ascii="仿宋_GB2312" w:hAnsi="宋体" w:cs="宋体"/>
                <w:kern w:val="0"/>
                <w:sz w:val="24"/>
              </w:rPr>
            </w:pPr>
            <w:r>
              <w:rPr>
                <w:rFonts w:hint="eastAsia" w:ascii="仿宋_GB2312" w:hAnsi="宋体" w:cs="宋体"/>
                <w:kern w:val="0"/>
                <w:sz w:val="24"/>
              </w:rPr>
              <w:t>操作失败，需重新操作；检查时间延长。</w:t>
            </w:r>
          </w:p>
        </w:tc>
        <w:tc>
          <w:tcPr>
            <w:tcW w:w="2060" w:type="dxa"/>
          </w:tcPr>
          <w:p w14:paraId="0AF6CAC8">
            <w:pPr>
              <w:spacing w:line="240" w:lineRule="auto"/>
              <w:ind w:firstLine="0"/>
              <w:jc w:val="center"/>
              <w:rPr>
                <w:rFonts w:hint="eastAsia" w:ascii="仿宋_GB2312" w:hAnsi="宋体" w:cs="宋体"/>
                <w:kern w:val="0"/>
                <w:sz w:val="24"/>
              </w:rPr>
            </w:pPr>
            <w:r>
              <w:rPr>
                <w:rFonts w:hint="eastAsia" w:ascii="仿宋_GB2312" w:hAnsi="宋体" w:cs="宋体"/>
                <w:kern w:val="0"/>
                <w:sz w:val="24"/>
              </w:rPr>
              <w:t>有可能导致无法准确获取数据，需要重新检查，对患者造成间接伤害。</w:t>
            </w:r>
          </w:p>
        </w:tc>
      </w:tr>
      <w:tr w14:paraId="3F3C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tcPr>
          <w:p w14:paraId="53A7E408">
            <w:pPr>
              <w:spacing w:line="240" w:lineRule="auto"/>
              <w:ind w:firstLine="0"/>
              <w:jc w:val="center"/>
              <w:rPr>
                <w:rFonts w:hint="eastAsia" w:ascii="仿宋_GB2312" w:hAnsi="宋体" w:cs="宋体"/>
                <w:kern w:val="0"/>
                <w:sz w:val="24"/>
              </w:rPr>
            </w:pPr>
            <w:r>
              <w:rPr>
                <w:rFonts w:hint="eastAsia" w:ascii="仿宋_GB2312" w:hAnsi="宋体" w:cs="宋体"/>
                <w:kern w:val="0"/>
                <w:sz w:val="24"/>
              </w:rPr>
              <w:t>软件危害</w:t>
            </w:r>
          </w:p>
        </w:tc>
        <w:tc>
          <w:tcPr>
            <w:tcW w:w="3500" w:type="dxa"/>
          </w:tcPr>
          <w:p w14:paraId="6AE3ECF5">
            <w:pPr>
              <w:spacing w:line="240" w:lineRule="auto"/>
              <w:ind w:left="80" w:firstLine="0"/>
              <w:rPr>
                <w:rFonts w:hint="eastAsia" w:ascii="仿宋_GB2312" w:hAnsi="宋体" w:cs="宋体"/>
                <w:kern w:val="0"/>
                <w:sz w:val="24"/>
              </w:rPr>
            </w:pPr>
            <w:r>
              <w:rPr>
                <w:rFonts w:hint="eastAsia" w:ascii="仿宋_GB2312" w:hAnsi="宋体" w:cs="宋体"/>
                <w:kern w:val="0"/>
                <w:sz w:val="24"/>
              </w:rPr>
              <w:t>使用中软件出现故障。</w:t>
            </w:r>
          </w:p>
        </w:tc>
        <w:tc>
          <w:tcPr>
            <w:tcW w:w="2000" w:type="dxa"/>
          </w:tcPr>
          <w:p w14:paraId="45065BFA">
            <w:pPr>
              <w:spacing w:line="240" w:lineRule="auto"/>
              <w:ind w:firstLine="0"/>
              <w:jc w:val="center"/>
              <w:rPr>
                <w:rFonts w:hint="eastAsia" w:ascii="仿宋_GB2312" w:hAnsi="宋体" w:cs="宋体"/>
                <w:kern w:val="0"/>
                <w:sz w:val="24"/>
              </w:rPr>
            </w:pPr>
            <w:r>
              <w:rPr>
                <w:rFonts w:hint="eastAsia" w:ascii="仿宋_GB2312" w:hAnsi="宋体" w:cs="宋体"/>
                <w:kern w:val="0"/>
                <w:sz w:val="24"/>
              </w:rPr>
              <w:t>操作失败，需重新启动操作。</w:t>
            </w:r>
          </w:p>
        </w:tc>
        <w:tc>
          <w:tcPr>
            <w:tcW w:w="2060" w:type="dxa"/>
          </w:tcPr>
          <w:p w14:paraId="20037218">
            <w:pPr>
              <w:spacing w:line="240" w:lineRule="auto"/>
              <w:ind w:firstLine="0"/>
              <w:jc w:val="center"/>
              <w:rPr>
                <w:rFonts w:hint="eastAsia" w:ascii="仿宋_GB2312" w:hAnsi="宋体" w:cs="宋体"/>
                <w:kern w:val="0"/>
                <w:sz w:val="24"/>
              </w:rPr>
            </w:pPr>
            <w:r>
              <w:rPr>
                <w:rFonts w:hint="eastAsia" w:ascii="仿宋_GB2312" w:hAnsi="宋体" w:cs="宋体"/>
                <w:kern w:val="0"/>
                <w:sz w:val="24"/>
              </w:rPr>
              <w:t>软件功能不正确，影响产品使用，延误诊断或引起错误的诊断。</w:t>
            </w:r>
          </w:p>
        </w:tc>
      </w:tr>
      <w:tr w14:paraId="2E9E5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dxa"/>
          </w:tcPr>
          <w:p w14:paraId="19DB2EAC">
            <w:pPr>
              <w:spacing w:line="240" w:lineRule="auto"/>
              <w:ind w:firstLine="0"/>
              <w:jc w:val="center"/>
              <w:rPr>
                <w:rFonts w:hint="eastAsia" w:ascii="仿宋_GB2312" w:hAnsi="宋体" w:cs="宋体"/>
                <w:kern w:val="0"/>
                <w:sz w:val="24"/>
              </w:rPr>
            </w:pPr>
            <w:r>
              <w:rPr>
                <w:rFonts w:hint="eastAsia" w:ascii="仿宋_GB2312" w:hAnsi="宋体" w:cs="宋体"/>
                <w:kern w:val="0"/>
                <w:sz w:val="24"/>
              </w:rPr>
              <w:t>电磁兼容危害</w:t>
            </w:r>
          </w:p>
        </w:tc>
        <w:tc>
          <w:tcPr>
            <w:tcW w:w="3500" w:type="dxa"/>
          </w:tcPr>
          <w:p w14:paraId="089A33C9">
            <w:pPr>
              <w:spacing w:line="240" w:lineRule="auto"/>
              <w:ind w:left="80" w:firstLine="0"/>
              <w:rPr>
                <w:rFonts w:hint="eastAsia" w:ascii="仿宋_GB2312" w:hAnsi="宋体" w:cs="宋体"/>
                <w:kern w:val="0"/>
                <w:sz w:val="24"/>
              </w:rPr>
            </w:pPr>
            <w:r>
              <w:rPr>
                <w:rFonts w:hint="eastAsia" w:ascii="仿宋_GB2312" w:hAnsi="宋体" w:cs="宋体"/>
                <w:kern w:val="0"/>
                <w:sz w:val="24"/>
              </w:rPr>
              <w:t>产品在强电磁环境下使用，抗干扰能力不足。</w:t>
            </w:r>
          </w:p>
        </w:tc>
        <w:tc>
          <w:tcPr>
            <w:tcW w:w="2000" w:type="dxa"/>
          </w:tcPr>
          <w:p w14:paraId="1EC15B72">
            <w:pPr>
              <w:spacing w:line="240" w:lineRule="auto"/>
              <w:ind w:firstLine="0"/>
              <w:jc w:val="center"/>
              <w:rPr>
                <w:rFonts w:hint="eastAsia" w:ascii="仿宋_GB2312" w:hAnsi="宋体" w:cs="宋体"/>
                <w:kern w:val="0"/>
                <w:sz w:val="24"/>
              </w:rPr>
            </w:pPr>
            <w:r>
              <w:rPr>
                <w:rFonts w:hint="eastAsia" w:ascii="仿宋_GB2312" w:hAnsi="宋体" w:cs="宋体"/>
                <w:kern w:val="0"/>
                <w:sz w:val="24"/>
              </w:rPr>
              <w:t>信号干扰，测量不准确。</w:t>
            </w:r>
          </w:p>
        </w:tc>
        <w:tc>
          <w:tcPr>
            <w:tcW w:w="2060" w:type="dxa"/>
          </w:tcPr>
          <w:p w14:paraId="7ADDEB71">
            <w:pPr>
              <w:spacing w:line="240" w:lineRule="auto"/>
              <w:ind w:firstLine="0"/>
              <w:jc w:val="center"/>
              <w:rPr>
                <w:rFonts w:hint="eastAsia" w:ascii="仿宋_GB2312" w:hAnsi="宋体" w:cs="宋体"/>
                <w:kern w:val="0"/>
                <w:sz w:val="24"/>
              </w:rPr>
            </w:pPr>
            <w:r>
              <w:rPr>
                <w:rFonts w:hint="eastAsia" w:ascii="仿宋_GB2312" w:hAnsi="宋体" w:cs="宋体"/>
                <w:kern w:val="0"/>
                <w:sz w:val="24"/>
              </w:rPr>
              <w:t>影响测量结果的准确性，可能导致误诊。</w:t>
            </w:r>
          </w:p>
        </w:tc>
      </w:tr>
    </w:tbl>
    <w:p w14:paraId="2841A8C9">
      <w:pPr>
        <w:jc w:val="center"/>
        <w:rPr>
          <w:rFonts w:eastAsia="黑体"/>
          <w:bCs/>
          <w:szCs w:val="32"/>
        </w:rPr>
      </w:pPr>
    </w:p>
    <w:p w14:paraId="6260A603">
      <w:pPr>
        <w:spacing w:line="360" w:lineRule="auto"/>
        <w:ind w:firstLine="0"/>
        <w:rPr>
          <w:color w:val="000000"/>
          <w:szCs w:val="32"/>
        </w:rPr>
      </w:pPr>
    </w:p>
    <w:p w14:paraId="5DCE2AD3">
      <w:pPr>
        <w:pStyle w:val="4"/>
        <w:ind w:firstLine="198" w:firstLineChars="45"/>
        <w:rPr>
          <w:rFonts w:hint="eastAsia"/>
        </w:rPr>
      </w:pPr>
      <w:r>
        <w:rPr>
          <w:rFonts w:eastAsia="方正小标宋简体"/>
          <w:kern w:val="0"/>
          <w:sz w:val="44"/>
          <w:szCs w:val="44"/>
        </w:rPr>
        <w:br w:type="page"/>
      </w:r>
      <w:r>
        <w:rPr>
          <w:bCs/>
        </w:rPr>
        <w:t>附表</w:t>
      </w:r>
      <w:r>
        <w:t>2</w:t>
      </w:r>
    </w:p>
    <w:p w14:paraId="49C6B99B">
      <w:pPr>
        <w:spacing w:after="156" w:afterLines="50"/>
        <w:ind w:firstLine="0"/>
        <w:jc w:val="center"/>
        <w:rPr>
          <w:b/>
          <w:bCs/>
          <w:sz w:val="36"/>
          <w:szCs w:val="28"/>
        </w:rPr>
      </w:pPr>
      <w:r>
        <w:rPr>
          <w:rFonts w:hint="eastAsia"/>
          <w:b/>
          <w:bCs/>
          <w:sz w:val="36"/>
          <w:szCs w:val="28"/>
        </w:rPr>
        <w:t>相关产品标准</w:t>
      </w:r>
    </w:p>
    <w:p w14:paraId="00155F8A">
      <w:pPr>
        <w:spacing w:after="156" w:afterLines="50"/>
        <w:ind w:firstLine="640" w:firstLineChars="200"/>
        <w:rPr>
          <w:szCs w:val="32"/>
        </w:rPr>
      </w:pPr>
      <w:r>
        <w:rPr>
          <w:rFonts w:hint="eastAsia" w:cs="仿宋_GB2312"/>
          <w:szCs w:val="32"/>
        </w:rPr>
        <w:t>下表列出了产品适用的标准。申请人可以根据申报产品特征进行分析，确定引用标准。下列标准如有新版发布实施，应执行最新版本。</w:t>
      </w:r>
    </w:p>
    <w:tbl>
      <w:tblPr>
        <w:tblStyle w:val="16"/>
        <w:tblW w:w="88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80"/>
        <w:gridCol w:w="6076"/>
      </w:tblGrid>
      <w:tr w14:paraId="2EFB0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2" w:hRule="atLeast"/>
          <w:tblHeader/>
        </w:trPr>
        <w:tc>
          <w:tcPr>
            <w:tcW w:w="2780" w:type="dxa"/>
            <w:tcBorders>
              <w:top w:val="single" w:color="000000" w:sz="4" w:space="0"/>
              <w:left w:val="single" w:color="000000" w:sz="4" w:space="0"/>
              <w:bottom w:val="single" w:color="000000" w:sz="4" w:space="0"/>
              <w:right w:val="single" w:color="000000" w:sz="4" w:space="0"/>
            </w:tcBorders>
            <w:vAlign w:val="center"/>
          </w:tcPr>
          <w:p w14:paraId="4EFEE5A8">
            <w:pPr>
              <w:widowControl/>
              <w:spacing w:before="100" w:beforeAutospacing="1" w:after="100" w:afterAutospacing="1" w:line="156" w:lineRule="atLeast"/>
              <w:ind w:firstLine="0"/>
              <w:jc w:val="center"/>
              <w:rPr>
                <w:rFonts w:cs="仿宋_GB2312"/>
                <w:b/>
                <w:bCs/>
                <w:kern w:val="0"/>
                <w:sz w:val="28"/>
                <w:szCs w:val="28"/>
              </w:rPr>
            </w:pPr>
            <w:r>
              <w:rPr>
                <w:rFonts w:cs="仿宋_GB2312"/>
                <w:b/>
                <w:bCs/>
                <w:kern w:val="0"/>
                <w:sz w:val="28"/>
                <w:szCs w:val="28"/>
              </w:rPr>
              <w:t>标准编号</w:t>
            </w:r>
          </w:p>
        </w:tc>
        <w:tc>
          <w:tcPr>
            <w:tcW w:w="6076" w:type="dxa"/>
            <w:tcBorders>
              <w:top w:val="single" w:color="000000" w:sz="4" w:space="0"/>
              <w:left w:val="nil"/>
              <w:bottom w:val="single" w:color="000000" w:sz="4" w:space="0"/>
              <w:right w:val="single" w:color="000000" w:sz="4" w:space="0"/>
            </w:tcBorders>
            <w:vAlign w:val="center"/>
          </w:tcPr>
          <w:p w14:paraId="23BD4489">
            <w:pPr>
              <w:widowControl/>
              <w:spacing w:before="100" w:beforeAutospacing="1" w:after="100" w:afterAutospacing="1" w:line="156" w:lineRule="atLeast"/>
              <w:ind w:firstLine="0"/>
              <w:jc w:val="center"/>
              <w:rPr>
                <w:rFonts w:cs="仿宋_GB2312"/>
                <w:b/>
                <w:bCs/>
                <w:kern w:val="0"/>
                <w:sz w:val="28"/>
                <w:szCs w:val="28"/>
              </w:rPr>
            </w:pPr>
            <w:r>
              <w:rPr>
                <w:rFonts w:cs="仿宋_GB2312"/>
                <w:b/>
                <w:bCs/>
                <w:kern w:val="0"/>
                <w:sz w:val="28"/>
                <w:szCs w:val="28"/>
              </w:rPr>
              <w:t>标准名称</w:t>
            </w:r>
          </w:p>
        </w:tc>
      </w:tr>
      <w:tr w14:paraId="7B18D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2780" w:type="dxa"/>
            <w:tcBorders>
              <w:top w:val="single" w:color="000000" w:sz="4" w:space="0"/>
              <w:left w:val="single" w:color="000000" w:sz="4" w:space="0"/>
              <w:bottom w:val="single" w:color="000000" w:sz="4" w:space="0"/>
              <w:right w:val="single" w:color="000000" w:sz="4" w:space="0"/>
            </w:tcBorders>
          </w:tcPr>
          <w:p w14:paraId="708D1DF2">
            <w:pPr>
              <w:spacing w:line="400" w:lineRule="exact"/>
              <w:ind w:firstLine="0"/>
              <w:jc w:val="center"/>
              <w:rPr>
                <w:sz w:val="28"/>
                <w:szCs w:val="28"/>
              </w:rPr>
            </w:pPr>
            <w:r>
              <w:rPr>
                <w:sz w:val="28"/>
                <w:szCs w:val="28"/>
              </w:rPr>
              <w:t>GB 9706.1</w:t>
            </w:r>
          </w:p>
        </w:tc>
        <w:tc>
          <w:tcPr>
            <w:tcW w:w="6076" w:type="dxa"/>
            <w:tcBorders>
              <w:top w:val="single" w:color="000000" w:sz="4" w:space="0"/>
              <w:left w:val="nil"/>
              <w:bottom w:val="single" w:color="000000" w:sz="4" w:space="0"/>
              <w:right w:val="single" w:color="000000" w:sz="4" w:space="0"/>
            </w:tcBorders>
          </w:tcPr>
          <w:p w14:paraId="70C2C552">
            <w:pPr>
              <w:spacing w:line="400" w:lineRule="exact"/>
              <w:ind w:firstLine="0"/>
              <w:jc w:val="center"/>
              <w:rPr>
                <w:sz w:val="28"/>
                <w:szCs w:val="28"/>
              </w:rPr>
            </w:pPr>
            <w:r>
              <w:rPr>
                <w:rFonts w:hint="eastAsia" w:cs="仿宋_GB2312"/>
                <w:kern w:val="0"/>
                <w:sz w:val="28"/>
                <w:szCs w:val="28"/>
              </w:rPr>
              <w:t>《医用电气设备 第1部分：基本安全和基本性能的通用要求》</w:t>
            </w:r>
          </w:p>
        </w:tc>
      </w:tr>
      <w:tr w14:paraId="52E2F1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2780" w:type="dxa"/>
            <w:tcBorders>
              <w:top w:val="single" w:color="000000" w:sz="4" w:space="0"/>
              <w:left w:val="single" w:color="000000" w:sz="4" w:space="0"/>
              <w:bottom w:val="single" w:color="000000" w:sz="4" w:space="0"/>
              <w:right w:val="single" w:color="000000" w:sz="4" w:space="0"/>
            </w:tcBorders>
          </w:tcPr>
          <w:p w14:paraId="03009AC0">
            <w:pPr>
              <w:spacing w:line="400" w:lineRule="exact"/>
              <w:ind w:firstLine="0"/>
              <w:jc w:val="center"/>
              <w:rPr>
                <w:sz w:val="28"/>
                <w:szCs w:val="28"/>
              </w:rPr>
            </w:pPr>
            <w:r>
              <w:rPr>
                <w:sz w:val="28"/>
                <w:szCs w:val="28"/>
              </w:rPr>
              <w:t>YY 9706.102</w:t>
            </w:r>
          </w:p>
        </w:tc>
        <w:tc>
          <w:tcPr>
            <w:tcW w:w="6076" w:type="dxa"/>
            <w:tcBorders>
              <w:top w:val="single" w:color="000000" w:sz="4" w:space="0"/>
              <w:left w:val="nil"/>
              <w:bottom w:val="single" w:color="000000" w:sz="4" w:space="0"/>
              <w:right w:val="single" w:color="000000" w:sz="4" w:space="0"/>
            </w:tcBorders>
          </w:tcPr>
          <w:p w14:paraId="493D61EF">
            <w:pPr>
              <w:spacing w:line="400" w:lineRule="exact"/>
              <w:ind w:firstLine="0"/>
              <w:jc w:val="center"/>
              <w:rPr>
                <w:sz w:val="28"/>
                <w:szCs w:val="28"/>
              </w:rPr>
            </w:pPr>
            <w:r>
              <w:rPr>
                <w:rFonts w:hint="eastAsia" w:ascii="仿宋_GB2312" w:hAnsi="宋体" w:cs="宋体"/>
                <w:sz w:val="28"/>
                <w:szCs w:val="28"/>
              </w:rPr>
              <w:t>《医用电气设备 第1-2部分：基本安全和基本性能的通用要求 并列标准：电磁兼容 要求和试验》</w:t>
            </w:r>
          </w:p>
        </w:tc>
      </w:tr>
      <w:tr w14:paraId="1E65D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2780" w:type="dxa"/>
            <w:tcBorders>
              <w:top w:val="single" w:color="000000" w:sz="4" w:space="0"/>
              <w:left w:val="single" w:color="000000" w:sz="4" w:space="0"/>
              <w:bottom w:val="single" w:color="000000" w:sz="4" w:space="0"/>
              <w:right w:val="single" w:color="000000" w:sz="4" w:space="0"/>
            </w:tcBorders>
            <w:vAlign w:val="center"/>
          </w:tcPr>
          <w:p w14:paraId="67625BF9">
            <w:pPr>
              <w:autoSpaceDE w:val="0"/>
              <w:autoSpaceDN w:val="0"/>
              <w:adjustRightInd w:val="0"/>
              <w:spacing w:line="400" w:lineRule="exact"/>
              <w:ind w:firstLine="0"/>
              <w:jc w:val="center"/>
              <w:rPr>
                <w:sz w:val="28"/>
                <w:szCs w:val="28"/>
              </w:rPr>
            </w:pPr>
            <w:r>
              <w:rPr>
                <w:sz w:val="28"/>
                <w:szCs w:val="28"/>
              </w:rPr>
              <w:t>GB/T 14710</w:t>
            </w:r>
          </w:p>
        </w:tc>
        <w:tc>
          <w:tcPr>
            <w:tcW w:w="6076" w:type="dxa"/>
            <w:tcBorders>
              <w:top w:val="single" w:color="000000" w:sz="4" w:space="0"/>
              <w:left w:val="nil"/>
              <w:bottom w:val="single" w:color="000000" w:sz="4" w:space="0"/>
              <w:right w:val="single" w:color="000000" w:sz="4" w:space="0"/>
            </w:tcBorders>
            <w:vAlign w:val="center"/>
          </w:tcPr>
          <w:p w14:paraId="436F42E3">
            <w:pPr>
              <w:autoSpaceDE w:val="0"/>
              <w:autoSpaceDN w:val="0"/>
              <w:adjustRightInd w:val="0"/>
              <w:spacing w:line="400" w:lineRule="exact"/>
              <w:ind w:firstLine="0"/>
              <w:jc w:val="center"/>
              <w:rPr>
                <w:sz w:val="28"/>
                <w:szCs w:val="28"/>
              </w:rPr>
            </w:pPr>
            <w:r>
              <w:rPr>
                <w:rFonts w:hint="eastAsia"/>
                <w:sz w:val="28"/>
                <w:szCs w:val="28"/>
              </w:rPr>
              <w:t>《</w:t>
            </w:r>
            <w:r>
              <w:rPr>
                <w:sz w:val="28"/>
                <w:szCs w:val="28"/>
              </w:rPr>
              <w:t>医用电器环境要求及试验方法</w:t>
            </w:r>
            <w:r>
              <w:rPr>
                <w:rFonts w:hint="eastAsia"/>
                <w:sz w:val="28"/>
                <w:szCs w:val="28"/>
              </w:rPr>
              <w:t>》</w:t>
            </w:r>
          </w:p>
        </w:tc>
      </w:tr>
      <w:tr w14:paraId="2E1B5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2780" w:type="dxa"/>
            <w:tcBorders>
              <w:top w:val="single" w:color="000000" w:sz="4" w:space="0"/>
              <w:left w:val="single" w:color="000000" w:sz="4" w:space="0"/>
              <w:bottom w:val="single" w:color="000000" w:sz="4" w:space="0"/>
              <w:right w:val="single" w:color="000000" w:sz="4" w:space="0"/>
            </w:tcBorders>
            <w:vAlign w:val="center"/>
          </w:tcPr>
          <w:p w14:paraId="445E978D">
            <w:pPr>
              <w:autoSpaceDE w:val="0"/>
              <w:autoSpaceDN w:val="0"/>
              <w:adjustRightInd w:val="0"/>
              <w:spacing w:line="400" w:lineRule="exact"/>
              <w:ind w:firstLine="0"/>
              <w:jc w:val="center"/>
              <w:rPr>
                <w:rFonts w:cs="仿宋_GB2312"/>
                <w:kern w:val="0"/>
                <w:sz w:val="28"/>
                <w:szCs w:val="28"/>
              </w:rPr>
            </w:pPr>
            <w:r>
              <w:rPr>
                <w:sz w:val="28"/>
                <w:szCs w:val="28"/>
              </w:rPr>
              <w:t>GB/T 16886.1</w:t>
            </w:r>
          </w:p>
        </w:tc>
        <w:tc>
          <w:tcPr>
            <w:tcW w:w="6076" w:type="dxa"/>
            <w:tcBorders>
              <w:top w:val="single" w:color="000000" w:sz="4" w:space="0"/>
              <w:left w:val="nil"/>
              <w:bottom w:val="single" w:color="000000" w:sz="4" w:space="0"/>
              <w:right w:val="single" w:color="000000" w:sz="4" w:space="0"/>
            </w:tcBorders>
            <w:vAlign w:val="center"/>
          </w:tcPr>
          <w:p w14:paraId="7BE8D409">
            <w:pPr>
              <w:autoSpaceDE w:val="0"/>
              <w:autoSpaceDN w:val="0"/>
              <w:adjustRightInd w:val="0"/>
              <w:spacing w:line="400" w:lineRule="exact"/>
              <w:ind w:firstLine="0"/>
              <w:jc w:val="center"/>
              <w:rPr>
                <w:rFonts w:cs="仿宋_GB2312"/>
                <w:kern w:val="0"/>
                <w:sz w:val="28"/>
                <w:szCs w:val="28"/>
              </w:rPr>
            </w:pPr>
            <w:r>
              <w:rPr>
                <w:rFonts w:hint="eastAsia"/>
                <w:sz w:val="28"/>
                <w:szCs w:val="28"/>
              </w:rPr>
              <w:t>《</w:t>
            </w:r>
            <w:r>
              <w:rPr>
                <w:sz w:val="28"/>
                <w:szCs w:val="28"/>
              </w:rPr>
              <w:t>医疗器械生物学评价 第1</w:t>
            </w:r>
            <w:r>
              <w:rPr>
                <w:rFonts w:hint="eastAsia" w:cs="仿宋_GB2312"/>
                <w:sz w:val="28"/>
                <w:szCs w:val="28"/>
              </w:rPr>
              <w:t>部分：风险管理过程中的评价与试验</w:t>
            </w:r>
            <w:r>
              <w:rPr>
                <w:rFonts w:hint="eastAsia"/>
                <w:sz w:val="28"/>
                <w:szCs w:val="28"/>
              </w:rPr>
              <w:t>》</w:t>
            </w:r>
          </w:p>
        </w:tc>
      </w:tr>
      <w:tr w14:paraId="7CDB3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2780" w:type="dxa"/>
            <w:tcBorders>
              <w:top w:val="single" w:color="000000" w:sz="4" w:space="0"/>
              <w:left w:val="single" w:color="000000" w:sz="4" w:space="0"/>
              <w:bottom w:val="single" w:color="000000" w:sz="4" w:space="0"/>
              <w:right w:val="single" w:color="000000" w:sz="4" w:space="0"/>
            </w:tcBorders>
            <w:vAlign w:val="center"/>
          </w:tcPr>
          <w:p w14:paraId="6A314476">
            <w:pPr>
              <w:autoSpaceDE w:val="0"/>
              <w:autoSpaceDN w:val="0"/>
              <w:adjustRightInd w:val="0"/>
              <w:spacing w:line="400" w:lineRule="exact"/>
              <w:ind w:firstLine="0"/>
              <w:jc w:val="center"/>
              <w:rPr>
                <w:rFonts w:cs="仿宋_GB2312"/>
                <w:kern w:val="0"/>
                <w:sz w:val="28"/>
                <w:szCs w:val="28"/>
              </w:rPr>
            </w:pPr>
            <w:r>
              <w:rPr>
                <w:sz w:val="28"/>
                <w:szCs w:val="28"/>
              </w:rPr>
              <w:t>GB/T 16886.5</w:t>
            </w:r>
          </w:p>
        </w:tc>
        <w:tc>
          <w:tcPr>
            <w:tcW w:w="6076" w:type="dxa"/>
            <w:tcBorders>
              <w:top w:val="single" w:color="000000" w:sz="4" w:space="0"/>
              <w:left w:val="nil"/>
              <w:bottom w:val="single" w:color="000000" w:sz="4" w:space="0"/>
              <w:right w:val="single" w:color="000000" w:sz="4" w:space="0"/>
            </w:tcBorders>
            <w:vAlign w:val="center"/>
          </w:tcPr>
          <w:p w14:paraId="7F1C544E">
            <w:pPr>
              <w:autoSpaceDE w:val="0"/>
              <w:autoSpaceDN w:val="0"/>
              <w:adjustRightInd w:val="0"/>
              <w:spacing w:line="400" w:lineRule="exact"/>
              <w:ind w:firstLine="0"/>
              <w:jc w:val="center"/>
              <w:rPr>
                <w:rFonts w:cs="仿宋_GB2312"/>
                <w:kern w:val="0"/>
                <w:sz w:val="28"/>
                <w:szCs w:val="28"/>
              </w:rPr>
            </w:pPr>
            <w:r>
              <w:rPr>
                <w:rFonts w:hint="eastAsia"/>
                <w:sz w:val="28"/>
                <w:szCs w:val="28"/>
              </w:rPr>
              <w:t>《</w:t>
            </w:r>
            <w:r>
              <w:rPr>
                <w:sz w:val="28"/>
                <w:szCs w:val="28"/>
              </w:rPr>
              <w:t>医疗器械生物学评价 第5</w:t>
            </w:r>
            <w:r>
              <w:rPr>
                <w:rFonts w:hint="eastAsia" w:cs="仿宋_GB2312"/>
                <w:sz w:val="28"/>
                <w:szCs w:val="28"/>
              </w:rPr>
              <w:t>部分：体外细胞毒性试验</w:t>
            </w:r>
            <w:r>
              <w:rPr>
                <w:rFonts w:hint="eastAsia"/>
                <w:sz w:val="28"/>
                <w:szCs w:val="28"/>
              </w:rPr>
              <w:t>》</w:t>
            </w:r>
          </w:p>
        </w:tc>
      </w:tr>
      <w:tr w14:paraId="4220F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2780" w:type="dxa"/>
            <w:tcBorders>
              <w:top w:val="single" w:color="000000" w:sz="4" w:space="0"/>
              <w:left w:val="single" w:color="000000" w:sz="4" w:space="0"/>
              <w:bottom w:val="single" w:color="000000" w:sz="4" w:space="0"/>
              <w:right w:val="single" w:color="000000" w:sz="4" w:space="0"/>
            </w:tcBorders>
            <w:vAlign w:val="center"/>
          </w:tcPr>
          <w:p w14:paraId="008123A0">
            <w:pPr>
              <w:autoSpaceDE w:val="0"/>
              <w:autoSpaceDN w:val="0"/>
              <w:adjustRightInd w:val="0"/>
              <w:spacing w:line="400" w:lineRule="exact"/>
              <w:ind w:firstLine="0"/>
              <w:jc w:val="center"/>
              <w:rPr>
                <w:rFonts w:cs="仿宋_GB2312"/>
                <w:kern w:val="0"/>
                <w:sz w:val="28"/>
                <w:szCs w:val="28"/>
              </w:rPr>
            </w:pPr>
            <w:r>
              <w:rPr>
                <w:sz w:val="28"/>
                <w:szCs w:val="28"/>
              </w:rPr>
              <w:t>GB/T 16886.10</w:t>
            </w:r>
          </w:p>
        </w:tc>
        <w:tc>
          <w:tcPr>
            <w:tcW w:w="6076" w:type="dxa"/>
            <w:tcBorders>
              <w:top w:val="single" w:color="000000" w:sz="4" w:space="0"/>
              <w:left w:val="nil"/>
              <w:bottom w:val="single" w:color="000000" w:sz="4" w:space="0"/>
              <w:right w:val="single" w:color="000000" w:sz="4" w:space="0"/>
            </w:tcBorders>
            <w:vAlign w:val="center"/>
          </w:tcPr>
          <w:p w14:paraId="754062F3">
            <w:pPr>
              <w:autoSpaceDE w:val="0"/>
              <w:autoSpaceDN w:val="0"/>
              <w:adjustRightInd w:val="0"/>
              <w:spacing w:line="400" w:lineRule="exact"/>
              <w:ind w:firstLine="0"/>
              <w:jc w:val="center"/>
              <w:rPr>
                <w:rFonts w:cs="仿宋_GB2312"/>
                <w:kern w:val="0"/>
                <w:sz w:val="28"/>
                <w:szCs w:val="28"/>
              </w:rPr>
            </w:pPr>
            <w:r>
              <w:rPr>
                <w:rFonts w:hint="eastAsia"/>
                <w:sz w:val="28"/>
                <w:szCs w:val="28"/>
              </w:rPr>
              <w:t>《</w:t>
            </w:r>
            <w:r>
              <w:rPr>
                <w:sz w:val="28"/>
                <w:szCs w:val="28"/>
              </w:rPr>
              <w:t>医疗器械生物学评价 第10</w:t>
            </w:r>
            <w:r>
              <w:rPr>
                <w:rFonts w:hint="eastAsia" w:cs="仿宋_GB2312"/>
                <w:sz w:val="28"/>
                <w:szCs w:val="28"/>
              </w:rPr>
              <w:t>部分：刺激与</w:t>
            </w:r>
            <w:r>
              <w:rPr>
                <w:rFonts w:hint="eastAsia"/>
                <w:sz w:val="28"/>
                <w:szCs w:val="28"/>
              </w:rPr>
              <w:t>皮肤致敏</w:t>
            </w:r>
            <w:r>
              <w:rPr>
                <w:sz w:val="28"/>
                <w:szCs w:val="28"/>
              </w:rPr>
              <w:t>试验</w:t>
            </w:r>
            <w:r>
              <w:rPr>
                <w:rFonts w:hint="eastAsia"/>
                <w:sz w:val="28"/>
                <w:szCs w:val="28"/>
              </w:rPr>
              <w:t>》</w:t>
            </w:r>
          </w:p>
        </w:tc>
      </w:tr>
      <w:tr w14:paraId="57299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2780" w:type="dxa"/>
            <w:tcBorders>
              <w:top w:val="single" w:color="000000" w:sz="4" w:space="0"/>
              <w:left w:val="single" w:color="000000" w:sz="4" w:space="0"/>
              <w:bottom w:val="single" w:color="000000" w:sz="4" w:space="0"/>
              <w:right w:val="single" w:color="000000" w:sz="4" w:space="0"/>
            </w:tcBorders>
            <w:vAlign w:val="center"/>
          </w:tcPr>
          <w:p w14:paraId="06822DBC">
            <w:pPr>
              <w:widowControl/>
              <w:spacing w:before="100" w:beforeAutospacing="1" w:after="100" w:afterAutospacing="1" w:line="156" w:lineRule="atLeast"/>
              <w:ind w:firstLine="0"/>
              <w:jc w:val="center"/>
              <w:rPr>
                <w:sz w:val="28"/>
                <w:szCs w:val="28"/>
              </w:rPr>
            </w:pPr>
            <w:r>
              <w:rPr>
                <w:rFonts w:hint="eastAsia" w:cs="仿宋_GB2312"/>
                <w:kern w:val="0"/>
                <w:sz w:val="28"/>
                <w:szCs w:val="28"/>
              </w:rPr>
              <w:t>GB/T 25000.51</w:t>
            </w:r>
          </w:p>
        </w:tc>
        <w:tc>
          <w:tcPr>
            <w:tcW w:w="6076" w:type="dxa"/>
            <w:tcBorders>
              <w:top w:val="single" w:color="000000" w:sz="4" w:space="0"/>
              <w:left w:val="nil"/>
              <w:bottom w:val="single" w:color="000000" w:sz="4" w:space="0"/>
              <w:right w:val="single" w:color="000000" w:sz="4" w:space="0"/>
            </w:tcBorders>
            <w:vAlign w:val="center"/>
          </w:tcPr>
          <w:p w14:paraId="4B214A3B">
            <w:pPr>
              <w:widowControl/>
              <w:spacing w:before="100" w:beforeAutospacing="1" w:after="100" w:afterAutospacing="1" w:line="156" w:lineRule="atLeast"/>
              <w:ind w:firstLine="0"/>
              <w:jc w:val="center"/>
              <w:rPr>
                <w:sz w:val="28"/>
                <w:szCs w:val="28"/>
              </w:rPr>
            </w:pPr>
            <w:r>
              <w:rPr>
                <w:rFonts w:hint="eastAsia" w:cs="仿宋_GB2312"/>
                <w:kern w:val="0"/>
                <w:sz w:val="28"/>
                <w:szCs w:val="28"/>
              </w:rPr>
              <w:t>《系统与软件工程　系统与软件质量要求和评价(SQuaRE)第51部分：就绪可用软件产品(RUSP)的质量要求和测试细则》</w:t>
            </w:r>
          </w:p>
        </w:tc>
      </w:tr>
      <w:tr w14:paraId="686F5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2780" w:type="dxa"/>
            <w:tcBorders>
              <w:top w:val="single" w:color="000000" w:sz="4" w:space="0"/>
              <w:left w:val="single" w:color="000000" w:sz="4" w:space="0"/>
              <w:bottom w:val="single" w:color="000000" w:sz="4" w:space="0"/>
              <w:right w:val="single" w:color="000000" w:sz="4" w:space="0"/>
            </w:tcBorders>
            <w:vAlign w:val="center"/>
          </w:tcPr>
          <w:p w14:paraId="71A4AEDB">
            <w:pPr>
              <w:widowControl/>
              <w:spacing w:before="100" w:beforeAutospacing="1" w:after="100" w:afterAutospacing="1" w:line="156" w:lineRule="atLeast"/>
              <w:ind w:firstLine="0"/>
              <w:jc w:val="center"/>
              <w:rPr>
                <w:rFonts w:cs="仿宋_GB2312"/>
                <w:kern w:val="0"/>
                <w:sz w:val="28"/>
                <w:szCs w:val="28"/>
              </w:rPr>
            </w:pPr>
            <w:r>
              <w:rPr>
                <w:rFonts w:hint="eastAsia" w:cs="仿宋_GB2312"/>
                <w:kern w:val="0"/>
                <w:sz w:val="28"/>
                <w:szCs w:val="28"/>
              </w:rPr>
              <w:t>GB/T 42062</w:t>
            </w:r>
          </w:p>
        </w:tc>
        <w:tc>
          <w:tcPr>
            <w:tcW w:w="6076" w:type="dxa"/>
            <w:tcBorders>
              <w:top w:val="single" w:color="000000" w:sz="4" w:space="0"/>
              <w:left w:val="nil"/>
              <w:bottom w:val="single" w:color="000000" w:sz="4" w:space="0"/>
              <w:right w:val="single" w:color="000000" w:sz="4" w:space="0"/>
            </w:tcBorders>
            <w:vAlign w:val="center"/>
          </w:tcPr>
          <w:p w14:paraId="55D506B6">
            <w:pPr>
              <w:widowControl/>
              <w:spacing w:before="100" w:beforeAutospacing="1" w:after="100" w:afterAutospacing="1" w:line="156" w:lineRule="atLeast"/>
              <w:ind w:firstLine="0"/>
              <w:jc w:val="center"/>
              <w:rPr>
                <w:rFonts w:cs="仿宋_GB2312"/>
                <w:kern w:val="0"/>
                <w:sz w:val="28"/>
                <w:szCs w:val="28"/>
              </w:rPr>
            </w:pPr>
            <w:r>
              <w:rPr>
                <w:rFonts w:hint="eastAsia" w:cs="仿宋_GB2312"/>
                <w:kern w:val="0"/>
                <w:sz w:val="28"/>
                <w:szCs w:val="28"/>
              </w:rPr>
              <w:t>《医疗器械 风险管理对医疗器械的应用》</w:t>
            </w:r>
          </w:p>
        </w:tc>
      </w:tr>
    </w:tbl>
    <w:p w14:paraId="7A4C84CC">
      <w:pPr>
        <w:ind w:firstLine="640" w:firstLineChars="200"/>
        <w:rPr>
          <w:szCs w:val="32"/>
        </w:rPr>
      </w:pPr>
    </w:p>
    <w:p w14:paraId="42AC5DDC">
      <w:pPr>
        <w:adjustRightInd w:val="0"/>
        <w:spacing w:line="560" w:lineRule="exact"/>
        <w:ind w:firstLine="0"/>
        <w:rPr>
          <w:sz w:val="28"/>
          <w:szCs w:val="28"/>
        </w:rPr>
      </w:pPr>
    </w:p>
    <w:sectPr>
      <w:footerReference r:id="rId5" w:type="default"/>
      <w:footerReference r:id="rId6" w:type="even"/>
      <w:pgSz w:w="11906" w:h="16838"/>
      <w:pgMar w:top="1701" w:right="1588" w:bottom="1701" w:left="1588" w:header="851" w:footer="1247" w:gutter="0"/>
      <w:lnNumType w:countBy="1" w:restart="continuous"/>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altName w:val="Droid Sans"/>
    <w:panose1 w:val="020B0604030504040204"/>
    <w:charset w:val="00"/>
    <w:family w:val="swiss"/>
    <w:pitch w:val="default"/>
    <w:sig w:usb0="00000000" w:usb1="00000000" w:usb2="00000029" w:usb3="00000000" w:csb0="000101FF" w:csb1="00000000"/>
  </w:font>
  <w:font w:name="Droid Sans">
    <w:panose1 w:val="020B0606030804020204"/>
    <w:charset w:val="00"/>
    <w:family w:val="auto"/>
    <w:pitch w:val="default"/>
    <w:sig w:usb0="E00002EF" w:usb1="4000205B" w:usb2="00000028" w:usb3="00000000" w:csb0="2000019F" w:csb1="00000000"/>
  </w:font>
  <w:font w:name="微软雅黑">
    <w:altName w:val="黑体"/>
    <w:panose1 w:val="020B0503020204020204"/>
    <w:charset w:val="86"/>
    <w:family w:val="swiss"/>
    <w:pitch w:val="default"/>
    <w:sig w:usb0="00000000" w:usb1="00000000"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Light">
    <w:altName w:val="仿宋"/>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8BB11">
    <w:pPr>
      <w:pStyle w:val="12"/>
      <w:wordWrap w:val="0"/>
      <w:jc w:val="right"/>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11573D">
                          <w:pPr>
                            <w:pStyle w:val="12"/>
                            <w:wordWrap w:val="0"/>
                            <w:jc w:val="right"/>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7</w:t>
                          </w:r>
                          <w:r>
                            <w:rPr>
                              <w:sz w:val="28"/>
                              <w:szCs w:val="28"/>
                            </w:rPr>
                            <w:fldChar w:fldCharType="end"/>
                          </w:r>
                          <w:r>
                            <w:rPr>
                              <w:rFonts w:hint="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911573D">
                    <w:pPr>
                      <w:pStyle w:val="12"/>
                      <w:wordWrap w:val="0"/>
                      <w:jc w:val="right"/>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7</w:t>
                    </w:r>
                    <w:r>
                      <w:rPr>
                        <w:sz w:val="28"/>
                        <w:szCs w:val="28"/>
                      </w:rPr>
                      <w:fldChar w:fldCharType="end"/>
                    </w:r>
                    <w:r>
                      <w:rPr>
                        <w:rFonts w:hint="eastAsia"/>
                        <w:sz w:val="28"/>
                        <w:szCs w:val="28"/>
                      </w:rPr>
                      <w:t xml:space="preserve"> —</w:t>
                    </w:r>
                  </w:p>
                </w:txbxContent>
              </v:textbox>
            </v:shape>
          </w:pict>
        </mc:Fallback>
      </mc:AlternateContent>
    </w:r>
  </w:p>
  <w:p w14:paraId="50DD66D9">
    <w:pPr>
      <w:pStyle w:val="1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5E709">
    <w:pPr>
      <w:pStyle w:val="12"/>
      <w:rPr>
        <w:sz w:val="28"/>
        <w:szCs w:val="28"/>
      </w:rPr>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8</w:t>
    </w:r>
    <w:r>
      <w:rPr>
        <w:sz w:val="28"/>
        <w:szCs w:val="28"/>
      </w:rPr>
      <w:fldChar w:fldCharType="end"/>
    </w:r>
    <w:r>
      <w:rPr>
        <w:rFonts w:hint="eastAsia"/>
        <w:sz w:val="28"/>
        <w:szCs w:val="28"/>
      </w:rPr>
      <w:t xml:space="preserve"> —</w:t>
    </w:r>
  </w:p>
  <w:p w14:paraId="276D2BAC">
    <w:pPr>
      <w:pStyle w:val="12"/>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3F5"/>
    <w:rsid w:val="000006B4"/>
    <w:rsid w:val="00005A6E"/>
    <w:rsid w:val="00017F71"/>
    <w:rsid w:val="00072F3E"/>
    <w:rsid w:val="00074BA5"/>
    <w:rsid w:val="0009257F"/>
    <w:rsid w:val="00110751"/>
    <w:rsid w:val="0011611B"/>
    <w:rsid w:val="00126CD5"/>
    <w:rsid w:val="0014321B"/>
    <w:rsid w:val="00157A34"/>
    <w:rsid w:val="00162C07"/>
    <w:rsid w:val="00173C01"/>
    <w:rsid w:val="00177AB0"/>
    <w:rsid w:val="00184991"/>
    <w:rsid w:val="00195CB2"/>
    <w:rsid w:val="00197A75"/>
    <w:rsid w:val="001D27DE"/>
    <w:rsid w:val="001F4869"/>
    <w:rsid w:val="00250D0B"/>
    <w:rsid w:val="00284B4F"/>
    <w:rsid w:val="002937B3"/>
    <w:rsid w:val="00294613"/>
    <w:rsid w:val="002A0948"/>
    <w:rsid w:val="002B09EE"/>
    <w:rsid w:val="002C0624"/>
    <w:rsid w:val="002C13BF"/>
    <w:rsid w:val="002D1550"/>
    <w:rsid w:val="002D3ADB"/>
    <w:rsid w:val="002D5BA4"/>
    <w:rsid w:val="002F41F9"/>
    <w:rsid w:val="00313F2B"/>
    <w:rsid w:val="0035177C"/>
    <w:rsid w:val="003617E4"/>
    <w:rsid w:val="00363C0D"/>
    <w:rsid w:val="003644A3"/>
    <w:rsid w:val="0036506B"/>
    <w:rsid w:val="0038457A"/>
    <w:rsid w:val="00396A5B"/>
    <w:rsid w:val="003A00E1"/>
    <w:rsid w:val="003E26DC"/>
    <w:rsid w:val="0042692A"/>
    <w:rsid w:val="004330D8"/>
    <w:rsid w:val="004434FE"/>
    <w:rsid w:val="00447FBE"/>
    <w:rsid w:val="00491C7B"/>
    <w:rsid w:val="004D13C3"/>
    <w:rsid w:val="004F39D5"/>
    <w:rsid w:val="00542809"/>
    <w:rsid w:val="00544754"/>
    <w:rsid w:val="005C2258"/>
    <w:rsid w:val="005D3C73"/>
    <w:rsid w:val="005D54C6"/>
    <w:rsid w:val="005D7D60"/>
    <w:rsid w:val="005E447B"/>
    <w:rsid w:val="005E6E55"/>
    <w:rsid w:val="00602904"/>
    <w:rsid w:val="00642E0C"/>
    <w:rsid w:val="00662B6B"/>
    <w:rsid w:val="00667F62"/>
    <w:rsid w:val="006C74EE"/>
    <w:rsid w:val="006D472A"/>
    <w:rsid w:val="006F121E"/>
    <w:rsid w:val="006F4130"/>
    <w:rsid w:val="00717F11"/>
    <w:rsid w:val="007265A0"/>
    <w:rsid w:val="007D70D5"/>
    <w:rsid w:val="007F0A35"/>
    <w:rsid w:val="007F0A6D"/>
    <w:rsid w:val="007F3B37"/>
    <w:rsid w:val="00844807"/>
    <w:rsid w:val="00844D74"/>
    <w:rsid w:val="00853B0F"/>
    <w:rsid w:val="00892568"/>
    <w:rsid w:val="008A236C"/>
    <w:rsid w:val="008A6736"/>
    <w:rsid w:val="008C2AF0"/>
    <w:rsid w:val="008E3C8B"/>
    <w:rsid w:val="00922532"/>
    <w:rsid w:val="00950CCC"/>
    <w:rsid w:val="009658CB"/>
    <w:rsid w:val="009843F5"/>
    <w:rsid w:val="00991B2D"/>
    <w:rsid w:val="009B4D47"/>
    <w:rsid w:val="009F01E6"/>
    <w:rsid w:val="00A2673A"/>
    <w:rsid w:val="00A36F5D"/>
    <w:rsid w:val="00A51D46"/>
    <w:rsid w:val="00A772DC"/>
    <w:rsid w:val="00A85E2E"/>
    <w:rsid w:val="00A86324"/>
    <w:rsid w:val="00A8763B"/>
    <w:rsid w:val="00A905E3"/>
    <w:rsid w:val="00A91F02"/>
    <w:rsid w:val="00AA007A"/>
    <w:rsid w:val="00AE3DC8"/>
    <w:rsid w:val="00B03BED"/>
    <w:rsid w:val="00B0643D"/>
    <w:rsid w:val="00B74724"/>
    <w:rsid w:val="00BB4693"/>
    <w:rsid w:val="00BB7E4F"/>
    <w:rsid w:val="00BD03F2"/>
    <w:rsid w:val="00BE0523"/>
    <w:rsid w:val="00C05521"/>
    <w:rsid w:val="00C15E03"/>
    <w:rsid w:val="00C212D6"/>
    <w:rsid w:val="00C51C9C"/>
    <w:rsid w:val="00C532B3"/>
    <w:rsid w:val="00C91DC1"/>
    <w:rsid w:val="00CA23A5"/>
    <w:rsid w:val="00CF5EAE"/>
    <w:rsid w:val="00D23DB4"/>
    <w:rsid w:val="00D55CB1"/>
    <w:rsid w:val="00D612DD"/>
    <w:rsid w:val="00D6152F"/>
    <w:rsid w:val="00DD1F68"/>
    <w:rsid w:val="00E26A08"/>
    <w:rsid w:val="00EA2138"/>
    <w:rsid w:val="00EA5A4F"/>
    <w:rsid w:val="00EC1E35"/>
    <w:rsid w:val="00F030FE"/>
    <w:rsid w:val="00F41B9F"/>
    <w:rsid w:val="00F4710D"/>
    <w:rsid w:val="00F47F4C"/>
    <w:rsid w:val="00F75CCA"/>
    <w:rsid w:val="00FB19F2"/>
    <w:rsid w:val="00FC18B9"/>
    <w:rsid w:val="00FF1BDA"/>
    <w:rsid w:val="321D3060"/>
    <w:rsid w:val="5CBF4FC4"/>
    <w:rsid w:val="6A8BA546"/>
    <w:rsid w:val="73FD7BE0"/>
    <w:rsid w:val="7FEA2859"/>
    <w:rsid w:val="7FFBF331"/>
    <w:rsid w:val="AFFED7A9"/>
    <w:rsid w:val="EDFFF57B"/>
    <w:rsid w:val="EFDFEF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0" w:line="520" w:lineRule="exact"/>
      <w:ind w:firstLine="641"/>
    </w:pPr>
    <w:rPr>
      <w:rFonts w:ascii="Times New Roman" w:hAnsi="Times New Roman" w:eastAsia="仿宋_GB2312" w:cs="Times New Roman"/>
      <w:kern w:val="2"/>
      <w:sz w:val="32"/>
      <w:szCs w:val="24"/>
      <w:lang w:val="en-US" w:eastAsia="zh-CN" w:bidi="ar-SA"/>
      <w14:ligatures w14:val="none"/>
    </w:rPr>
  </w:style>
  <w:style w:type="paragraph" w:styleId="3">
    <w:name w:val="heading 1"/>
    <w:basedOn w:val="1"/>
    <w:next w:val="1"/>
    <w:link w:val="19"/>
    <w:qFormat/>
    <w:uiPriority w:val="9"/>
    <w:pPr>
      <w:keepNext/>
      <w:keepLines/>
      <w:ind w:firstLine="0"/>
      <w:jc w:val="center"/>
      <w:outlineLvl w:val="0"/>
    </w:pPr>
    <w:rPr>
      <w:rFonts w:eastAsia="方正小标宋简体" w:asciiTheme="majorHAnsi" w:hAnsiTheme="majorHAnsi" w:cstheme="majorBidi"/>
      <w:color w:val="000000" w:themeColor="text1"/>
      <w:sz w:val="44"/>
      <w:szCs w:val="48"/>
      <w14:textFill>
        <w14:solidFill>
          <w14:schemeClr w14:val="tx1"/>
        </w14:solidFill>
      </w14:textFill>
    </w:rPr>
  </w:style>
  <w:style w:type="paragraph" w:styleId="4">
    <w:name w:val="heading 2"/>
    <w:basedOn w:val="1"/>
    <w:next w:val="1"/>
    <w:link w:val="20"/>
    <w:unhideWhenUsed/>
    <w:qFormat/>
    <w:uiPriority w:val="0"/>
    <w:pPr>
      <w:keepNext/>
      <w:keepLines/>
      <w:ind w:firstLine="200" w:firstLineChars="200"/>
      <w:outlineLvl w:val="1"/>
    </w:pPr>
    <w:rPr>
      <w:rFonts w:eastAsia="黑体" w:asciiTheme="majorHAnsi" w:hAnsiTheme="majorHAnsi" w:cstheme="majorBidi"/>
      <w:color w:val="000000" w:themeColor="text1"/>
      <w:szCs w:val="40"/>
      <w14:textFill>
        <w14:solidFill>
          <w14:schemeClr w14:val="tx1"/>
        </w14:solidFill>
      </w14:textFill>
    </w:rPr>
  </w:style>
  <w:style w:type="paragraph" w:styleId="5">
    <w:name w:val="heading 3"/>
    <w:basedOn w:val="1"/>
    <w:next w:val="1"/>
    <w:link w:val="21"/>
    <w:unhideWhenUsed/>
    <w:qFormat/>
    <w:uiPriority w:val="0"/>
    <w:pPr>
      <w:keepNext/>
      <w:keepLines/>
      <w:spacing w:before="160" w:after="80"/>
      <w:outlineLvl w:val="2"/>
    </w:pPr>
    <w:rPr>
      <w:rFonts w:eastAsia="楷体_GB2312" w:asciiTheme="majorHAnsi" w:hAnsiTheme="majorHAnsi" w:cstheme="majorBidi"/>
      <w:color w:val="000000" w:themeColor="text1"/>
      <w:szCs w:val="32"/>
      <w14:textFill>
        <w14:solidFill>
          <w14:schemeClr w14:val="tx1"/>
        </w14:solidFill>
      </w14:textFill>
    </w:rPr>
  </w:style>
  <w:style w:type="paragraph" w:styleId="6">
    <w:name w:val="heading 4"/>
    <w:basedOn w:val="1"/>
    <w:next w:val="1"/>
    <w:link w:val="22"/>
    <w:unhideWhenUsed/>
    <w:qFormat/>
    <w:uiPriority w:val="9"/>
    <w:pPr>
      <w:keepNext/>
      <w:keepLines/>
      <w:ind w:firstLine="200" w:firstLineChars="200"/>
      <w:outlineLvl w:val="3"/>
    </w:pPr>
    <w:rPr>
      <w:rFonts w:cstheme="majorBidi"/>
      <w:color w:val="000000" w:themeColor="text1"/>
      <w:szCs w:val="28"/>
      <w14:textFill>
        <w14:solidFill>
          <w14:schemeClr w14:val="tx1"/>
        </w14:solidFill>
      </w14:textFill>
    </w:rPr>
  </w:style>
  <w:style w:type="paragraph" w:styleId="7">
    <w:name w:val="heading 5"/>
    <w:basedOn w:val="1"/>
    <w:next w:val="1"/>
    <w:link w:val="23"/>
    <w:unhideWhenUsed/>
    <w:qFormat/>
    <w:uiPriority w:val="9"/>
    <w:pPr>
      <w:keepNext/>
      <w:keepLines/>
      <w:ind w:firstLine="200" w:firstLineChars="200"/>
      <w:outlineLvl w:val="4"/>
    </w:pPr>
    <w:rPr>
      <w:rFonts w:cstheme="majorBidi"/>
      <w:color w:val="000000" w:themeColor="text1"/>
      <w14:textFill>
        <w14:solidFill>
          <w14:schemeClr w14:val="tx1"/>
        </w14:solidFill>
      </w14:textFill>
    </w:rPr>
  </w:style>
  <w:style w:type="paragraph" w:styleId="8">
    <w:name w:val="heading 6"/>
    <w:basedOn w:val="1"/>
    <w:next w:val="1"/>
    <w:link w:val="24"/>
    <w:unhideWhenUsed/>
    <w:qFormat/>
    <w:uiPriority w:val="9"/>
    <w:pPr>
      <w:keepNext/>
      <w:keepLines/>
      <w:ind w:firstLine="200" w:firstLineChars="200"/>
      <w:outlineLvl w:val="5"/>
    </w:pPr>
    <w:rPr>
      <w:rFonts w:cstheme="majorBidi"/>
      <w:bCs/>
      <w:color w:val="000000" w:themeColor="text1"/>
      <w14:textFill>
        <w14:solidFill>
          <w14:schemeClr w14:val="tx1"/>
        </w14:solidFill>
      </w14:textFill>
    </w:rPr>
  </w:style>
  <w:style w:type="paragraph" w:styleId="9">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No Spacing"/>
    <w:qFormat/>
    <w:uiPriority w:val="0"/>
    <w:pPr>
      <w:adjustRightInd w:val="0"/>
      <w:snapToGrid w:val="0"/>
      <w:spacing w:after="0" w:line="240" w:lineRule="auto"/>
    </w:pPr>
    <w:rPr>
      <w:rFonts w:ascii="Tahoma" w:hAnsi="Tahoma" w:eastAsia="微软雅黑" w:cs="Times New Roman"/>
      <w:kern w:val="0"/>
      <w:sz w:val="22"/>
      <w:szCs w:val="22"/>
      <w:lang w:val="en-US" w:eastAsia="zh-CN" w:bidi="ar-SA"/>
      <w14:ligatures w14:val="none"/>
    </w:rPr>
  </w:style>
  <w:style w:type="paragraph" w:styleId="12">
    <w:name w:val="footer"/>
    <w:basedOn w:val="1"/>
    <w:link w:val="37"/>
    <w:unhideWhenUsed/>
    <w:qFormat/>
    <w:uiPriority w:val="99"/>
    <w:pPr>
      <w:tabs>
        <w:tab w:val="center" w:pos="4153"/>
        <w:tab w:val="right" w:pos="8306"/>
      </w:tabs>
      <w:snapToGrid w:val="0"/>
    </w:pPr>
    <w:rPr>
      <w:sz w:val="18"/>
      <w:szCs w:val="18"/>
    </w:rPr>
  </w:style>
  <w:style w:type="paragraph" w:styleId="13">
    <w:name w:val="header"/>
    <w:basedOn w:val="1"/>
    <w:link w:val="41"/>
    <w:unhideWhenUsed/>
    <w:qFormat/>
    <w:uiPriority w:val="99"/>
    <w:pPr>
      <w:tabs>
        <w:tab w:val="center" w:pos="4153"/>
        <w:tab w:val="right" w:pos="8306"/>
      </w:tabs>
      <w:snapToGrid w:val="0"/>
      <w:spacing w:line="240" w:lineRule="atLeast"/>
      <w:jc w:val="center"/>
    </w:pPr>
    <w:rPr>
      <w:sz w:val="18"/>
      <w:szCs w:val="18"/>
    </w:rPr>
  </w:style>
  <w:style w:type="paragraph" w:styleId="14">
    <w:name w:val="Subtitle"/>
    <w:basedOn w:val="1"/>
    <w:next w:val="1"/>
    <w:link w:val="29"/>
    <w:qFormat/>
    <w:uiPriority w:val="11"/>
    <w:pPr>
      <w:ind w:firstLine="641"/>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3"/>
    <w:qFormat/>
    <w:uiPriority w:val="9"/>
    <w:rPr>
      <w:rFonts w:eastAsia="方正小标宋简体" w:asciiTheme="majorHAnsi" w:hAnsiTheme="majorHAnsi" w:cstheme="majorBidi"/>
      <w:color w:val="000000" w:themeColor="text1"/>
      <w:sz w:val="44"/>
      <w:szCs w:val="48"/>
      <w14:textFill>
        <w14:solidFill>
          <w14:schemeClr w14:val="tx1"/>
        </w14:solidFill>
      </w14:textFill>
      <w14:ligatures w14:val="none"/>
    </w:rPr>
  </w:style>
  <w:style w:type="character" w:customStyle="1" w:styleId="20">
    <w:name w:val="标题 2 字符"/>
    <w:basedOn w:val="18"/>
    <w:link w:val="4"/>
    <w:qFormat/>
    <w:uiPriority w:val="0"/>
    <w:rPr>
      <w:rFonts w:eastAsia="黑体" w:asciiTheme="majorHAnsi" w:hAnsiTheme="majorHAnsi" w:cstheme="majorBidi"/>
      <w:color w:val="000000" w:themeColor="text1"/>
      <w:sz w:val="32"/>
      <w:szCs w:val="40"/>
      <w14:textFill>
        <w14:solidFill>
          <w14:schemeClr w14:val="tx1"/>
        </w14:solidFill>
      </w14:textFill>
      <w14:ligatures w14:val="none"/>
    </w:rPr>
  </w:style>
  <w:style w:type="character" w:customStyle="1" w:styleId="21">
    <w:name w:val="标题 3 字符"/>
    <w:basedOn w:val="18"/>
    <w:link w:val="5"/>
    <w:qFormat/>
    <w:uiPriority w:val="0"/>
    <w:rPr>
      <w:rFonts w:eastAsia="楷体_GB2312" w:asciiTheme="majorHAnsi" w:hAnsiTheme="majorHAnsi" w:cstheme="majorBidi"/>
      <w:color w:val="000000" w:themeColor="text1"/>
      <w:sz w:val="32"/>
      <w:szCs w:val="32"/>
      <w14:textFill>
        <w14:solidFill>
          <w14:schemeClr w14:val="tx1"/>
        </w14:solidFill>
      </w14:textFill>
      <w14:ligatures w14:val="none"/>
    </w:rPr>
  </w:style>
  <w:style w:type="character" w:customStyle="1" w:styleId="22">
    <w:name w:val="标题 4 字符"/>
    <w:basedOn w:val="18"/>
    <w:link w:val="6"/>
    <w:qFormat/>
    <w:uiPriority w:val="9"/>
    <w:rPr>
      <w:rFonts w:ascii="Times New Roman" w:hAnsi="Times New Roman" w:eastAsia="仿宋_GB2312" w:cstheme="majorBidi"/>
      <w:color w:val="000000" w:themeColor="text1"/>
      <w:sz w:val="32"/>
      <w:szCs w:val="28"/>
      <w14:textFill>
        <w14:solidFill>
          <w14:schemeClr w14:val="tx1"/>
        </w14:solidFill>
      </w14:textFill>
      <w14:ligatures w14:val="none"/>
    </w:rPr>
  </w:style>
  <w:style w:type="character" w:customStyle="1" w:styleId="23">
    <w:name w:val="标题 5 字符"/>
    <w:basedOn w:val="18"/>
    <w:link w:val="7"/>
    <w:qFormat/>
    <w:uiPriority w:val="9"/>
    <w:rPr>
      <w:rFonts w:ascii="Times New Roman" w:hAnsi="Times New Roman" w:eastAsia="仿宋_GB2312" w:cstheme="majorBidi"/>
      <w:color w:val="000000" w:themeColor="text1"/>
      <w:sz w:val="32"/>
      <w14:textFill>
        <w14:solidFill>
          <w14:schemeClr w14:val="tx1"/>
        </w14:solidFill>
      </w14:textFill>
      <w14:ligatures w14:val="none"/>
    </w:rPr>
  </w:style>
  <w:style w:type="character" w:customStyle="1" w:styleId="24">
    <w:name w:val="标题 6 字符"/>
    <w:basedOn w:val="18"/>
    <w:link w:val="8"/>
    <w:qFormat/>
    <w:uiPriority w:val="9"/>
    <w:rPr>
      <w:rFonts w:ascii="Times New Roman" w:hAnsi="Times New Roman" w:eastAsia="仿宋_GB2312" w:cstheme="majorBidi"/>
      <w:bCs/>
      <w:color w:val="000000" w:themeColor="text1"/>
      <w:sz w:val="32"/>
      <w14:textFill>
        <w14:solidFill>
          <w14:schemeClr w14:val="tx1"/>
        </w14:solidFill>
      </w14:textFill>
      <w14:ligatures w14:val="none"/>
    </w:rPr>
  </w:style>
  <w:style w:type="character" w:customStyle="1" w:styleId="25">
    <w:name w:val="标题 7 字符"/>
    <w:basedOn w:val="18"/>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8"/>
    <w:link w:val="34"/>
    <w:qFormat/>
    <w:uiPriority w:val="30"/>
    <w:rPr>
      <w:i/>
      <w:iCs/>
      <w:color w:val="2F5597" w:themeColor="accent1" w:themeShade="BF"/>
    </w:rPr>
  </w:style>
  <w:style w:type="character" w:customStyle="1" w:styleId="36">
    <w:name w:val="Intense Reference"/>
    <w:basedOn w:val="18"/>
    <w:qFormat/>
    <w:uiPriority w:val="32"/>
    <w:rPr>
      <w:b/>
      <w:bCs/>
      <w:smallCaps/>
      <w:color w:val="2F5597" w:themeColor="accent1" w:themeShade="BF"/>
      <w:spacing w:val="5"/>
    </w:rPr>
  </w:style>
  <w:style w:type="character" w:customStyle="1" w:styleId="37">
    <w:name w:val="页脚 字符"/>
    <w:basedOn w:val="18"/>
    <w:link w:val="12"/>
    <w:qFormat/>
    <w:uiPriority w:val="99"/>
    <w:rPr>
      <w:rFonts w:ascii="Times New Roman" w:hAnsi="Times New Roman" w:eastAsia="宋体" w:cs="Times New Roman"/>
      <w:sz w:val="18"/>
      <w:szCs w:val="18"/>
      <w14:ligatures w14:val="none"/>
    </w:rPr>
  </w:style>
  <w:style w:type="character" w:customStyle="1" w:styleId="38">
    <w:name w:val="f101"/>
    <w:qFormat/>
    <w:uiPriority w:val="0"/>
    <w:rPr>
      <w:spacing w:val="500"/>
      <w:sz w:val="24"/>
      <w:szCs w:val="24"/>
    </w:rPr>
  </w:style>
  <w:style w:type="paragraph" w:customStyle="1" w:styleId="39">
    <w:name w:val="王奕改内文"/>
    <w:basedOn w:val="1"/>
    <w:qFormat/>
    <w:uiPriority w:val="0"/>
    <w:pPr>
      <w:widowControl/>
      <w:spacing w:line="360" w:lineRule="auto"/>
      <w:ind w:firstLine="200" w:firstLineChars="200"/>
    </w:pPr>
    <w:rPr>
      <w:rFonts w:ascii="宋体" w:hAnsi="宋体"/>
      <w:color w:val="000000"/>
      <w:spacing w:val="-4"/>
      <w:sz w:val="24"/>
    </w:rPr>
  </w:style>
  <w:style w:type="paragraph" w:customStyle="1" w:styleId="40">
    <w:name w:val="列出段落2"/>
    <w:basedOn w:val="1"/>
    <w:qFormat/>
    <w:uiPriority w:val="99"/>
    <w:pPr>
      <w:ind w:firstLine="420" w:firstLineChars="200"/>
    </w:pPr>
    <w:rPr>
      <w:rFonts w:ascii="Calibri" w:hAnsi="Calibri"/>
      <w:szCs w:val="22"/>
    </w:rPr>
  </w:style>
  <w:style w:type="character" w:customStyle="1" w:styleId="41">
    <w:name w:val="页眉 字符"/>
    <w:basedOn w:val="18"/>
    <w:link w:val="13"/>
    <w:qFormat/>
    <w:uiPriority w:val="99"/>
    <w:rPr>
      <w:rFonts w:ascii="Times New Roman" w:hAnsi="Times New Roman" w:eastAsia="仿宋_GB2312" w:cs="Times New Roman"/>
      <w:sz w:val="18"/>
      <w:szCs w:val="18"/>
      <w14:ligatures w14: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BB0A2B-CC52-47A0-B21F-CDCF7BF03E64}">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1533</Words>
  <Characters>8744</Characters>
  <Lines>72</Lines>
  <Paragraphs>20</Paragraphs>
  <TotalTime>22</TotalTime>
  <ScaleCrop>false</ScaleCrop>
  <LinksUpToDate>false</LinksUpToDate>
  <CharactersWithSpaces>10257</CharactersWithSpaces>
  <Application>WPS Office_12.1.2.22575_F1E327BC-269C-435d-A152-05C5408002CA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2026-04-04T16:25:00Z</dcterms:created>
  <dc:creator>长琨 于</dc:creator>
  <cp:lastModifiedBy>greatwall</cp:lastModifiedBy>
  <dcterms:modified xsi:type="dcterms:W3CDTF">2026-07-24T10:16:49Z</dcterms:modified>
  <cp:revision>260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2052-12.1.2.22575</vt:lpwstr>
  </property>
  <property fmtid="{D5CDD505-2E9C-101B-9397-08002B2CF9AE}" pid="3" name="ICV">
    <vt:lpwstr>EBB176A3645AA3134844546AAECDBF3F_43</vt:lpwstr>
  </property>
</Properties>
</file>