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20" w:lineRule="exact"/>
        <w:jc w:val="center"/>
        <w:outlineLvl w:val="0"/>
        <w:rPr>
          <w:rFonts w:hint="eastAsia" w:ascii="方正小标宋简体" w:hAnsi="方正小标宋简体" w:eastAsia="方正小标宋简体" w:cs="方正小标宋简体"/>
          <w:sz w:val="44"/>
          <w:szCs w:val="44"/>
          <w:highlight w:val="none"/>
        </w:rPr>
      </w:pPr>
      <w:bookmarkStart w:id="7" w:name="_GoBack"/>
      <w:r>
        <w:rPr>
          <w:rFonts w:hint="eastAsia" w:ascii="方正小标宋简体" w:hAnsi="方正小标宋简体" w:eastAsia="方正小标宋简体" w:cs="方正小标宋简体"/>
          <w:sz w:val="44"/>
          <w:szCs w:val="44"/>
          <w:highlight w:val="none"/>
        </w:rPr>
        <w:t>人体成分分析设备注册审查指导原则</w:t>
      </w:r>
    </w:p>
    <w:p>
      <w:pPr>
        <w:overflowPunct w:val="0"/>
        <w:spacing w:line="520" w:lineRule="exact"/>
        <w:jc w:val="center"/>
        <w:outlineLvl w:val="0"/>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（征求意见稿）</w:t>
      </w:r>
    </w:p>
    <w:bookmarkEnd w:id="7"/>
    <w:p>
      <w:pPr>
        <w:overflowPunct w:val="0"/>
        <w:spacing w:line="520" w:lineRule="exact"/>
        <w:ind w:firstLine="640" w:firstLineChars="200"/>
        <w:rPr>
          <w:rFonts w:eastAsia="仿宋_GB2312" w:cs="仿宋_GB2312"/>
          <w:snapToGrid w:val="0"/>
          <w:kern w:val="0"/>
          <w:sz w:val="32"/>
          <w:szCs w:val="32"/>
          <w:highlight w:val="none"/>
        </w:rPr>
      </w:pPr>
    </w:p>
    <w:p>
      <w:pPr>
        <w:overflowPunct w:val="0"/>
        <w:spacing w:line="520" w:lineRule="exact"/>
        <w:ind w:firstLine="640" w:firstLineChars="200"/>
        <w:rPr>
          <w:rFonts w:eastAsia="仿宋_GB2312" w:cs="仿宋_GB2312"/>
          <w:snapToGrid w:val="0"/>
          <w:kern w:val="0"/>
          <w:sz w:val="32"/>
          <w:szCs w:val="32"/>
          <w:highlight w:val="none"/>
        </w:rPr>
      </w:pPr>
      <w:r>
        <w:rPr>
          <w:rFonts w:hint="eastAsia" w:eastAsia="仿宋_GB2312" w:cs="仿宋_GB2312"/>
          <w:snapToGrid w:val="0"/>
          <w:kern w:val="0"/>
          <w:sz w:val="32"/>
          <w:szCs w:val="32"/>
          <w:highlight w:val="none"/>
        </w:rPr>
        <w:t>本指导原则旨在指导注册申请人对人体成分分析设备注册申报资料的准备及撰写，同时也为技术审评部门审评注册申报资料提供参考。</w:t>
      </w:r>
    </w:p>
    <w:p>
      <w:pPr>
        <w:overflowPunct w:val="0"/>
        <w:spacing w:line="520" w:lineRule="exact"/>
        <w:ind w:firstLine="640" w:firstLineChars="200"/>
        <w:rPr>
          <w:rFonts w:eastAsia="仿宋_GB2312"/>
          <w:sz w:val="32"/>
          <w:szCs w:val="28"/>
          <w:highlight w:val="none"/>
        </w:rPr>
      </w:pPr>
      <w:r>
        <w:rPr>
          <w:rFonts w:hint="eastAsia" w:eastAsia="仿宋_GB2312" w:cs="仿宋_GB2312"/>
          <w:snapToGrid w:val="0"/>
          <w:kern w:val="0"/>
          <w:sz w:val="32"/>
          <w:szCs w:val="32"/>
          <w:highlight w:val="none"/>
        </w:rPr>
        <w:t>本指导原则是对</w:t>
      </w:r>
      <w:r>
        <w:rPr>
          <w:rFonts w:eastAsia="仿宋_GB2312"/>
          <w:sz w:val="32"/>
          <w:szCs w:val="28"/>
          <w:highlight w:val="none"/>
          <w:lang w:val="en"/>
        </w:rPr>
        <w:t>人体</w:t>
      </w:r>
      <w:r>
        <w:rPr>
          <w:rFonts w:hint="eastAsia" w:eastAsia="仿宋_GB2312"/>
          <w:sz w:val="32"/>
          <w:szCs w:val="28"/>
          <w:highlight w:val="none"/>
          <w:lang w:val="en"/>
        </w:rPr>
        <w:t>成分</w:t>
      </w:r>
      <w:r>
        <w:rPr>
          <w:rFonts w:eastAsia="仿宋_GB2312"/>
          <w:sz w:val="32"/>
          <w:szCs w:val="28"/>
          <w:highlight w:val="none"/>
          <w:lang w:val="en"/>
        </w:rPr>
        <w:t>分析设备</w:t>
      </w:r>
      <w:r>
        <w:rPr>
          <w:rFonts w:hint="eastAsia" w:eastAsia="仿宋_GB2312" w:cs="仿宋_GB2312"/>
          <w:snapToGrid w:val="0"/>
          <w:kern w:val="0"/>
          <w:sz w:val="32"/>
          <w:szCs w:val="32"/>
          <w:highlight w:val="none"/>
        </w:rPr>
        <w:t>的一般要求，申请人应依据产品的</w:t>
      </w:r>
      <w:r>
        <w:rPr>
          <w:rFonts w:eastAsia="仿宋_GB2312"/>
          <w:sz w:val="32"/>
          <w:szCs w:val="32"/>
          <w:highlight w:val="none"/>
        </w:rPr>
        <w:t>具体</w:t>
      </w:r>
      <w:r>
        <w:rPr>
          <w:rFonts w:hint="eastAsia" w:eastAsia="仿宋_GB2312" w:cs="仿宋_GB2312"/>
          <w:snapToGrid w:val="0"/>
          <w:kern w:val="0"/>
          <w:sz w:val="32"/>
          <w:szCs w:val="32"/>
          <w:highlight w:val="none"/>
        </w:rPr>
        <w:t>特性确定其中的内容是否适用。若不适用，需具体阐述其理由及相应的科学依据，并依据具体的产品特性对注册申报资料的内容进行充实和细化。</w:t>
      </w:r>
    </w:p>
    <w:p>
      <w:pPr>
        <w:overflowPunct w:val="0"/>
        <w:spacing w:line="520" w:lineRule="exact"/>
        <w:ind w:firstLine="640" w:firstLineChars="200"/>
        <w:rPr>
          <w:rFonts w:eastAsia="仿宋_GB2312"/>
          <w:sz w:val="32"/>
          <w:szCs w:val="28"/>
          <w:highlight w:val="none"/>
        </w:rPr>
      </w:pPr>
      <w:r>
        <w:rPr>
          <w:rFonts w:hint="eastAsia" w:eastAsia="仿宋_GB2312"/>
          <w:sz w:val="32"/>
          <w:szCs w:val="28"/>
          <w:highlight w:val="none"/>
        </w:rPr>
        <w:t>本指导原则</w:t>
      </w:r>
      <w:r>
        <w:rPr>
          <w:rFonts w:eastAsia="仿宋_GB2312"/>
          <w:sz w:val="32"/>
          <w:szCs w:val="28"/>
          <w:highlight w:val="none"/>
        </w:rPr>
        <w:t>是对注册申请人和审评人员的指导性文件，但不包括注册审批所涉及的行政事项，亦不作为法规强制执行，</w:t>
      </w:r>
      <w:r>
        <w:rPr>
          <w:rFonts w:hint="eastAsia" w:eastAsia="仿宋_GB2312" w:cs="仿宋_GB2312"/>
          <w:snapToGrid w:val="0"/>
          <w:kern w:val="0"/>
          <w:sz w:val="32"/>
          <w:szCs w:val="32"/>
          <w:highlight w:val="none"/>
        </w:rPr>
        <w:t>应在遵循相关法规的前提下使用本指导原则。</w:t>
      </w:r>
      <w:r>
        <w:rPr>
          <w:rFonts w:eastAsia="仿宋_GB2312"/>
          <w:sz w:val="32"/>
          <w:szCs w:val="28"/>
          <w:highlight w:val="none"/>
        </w:rPr>
        <w:t>如果有能够满足相关法规要求的其他方法，也可以采用，但是需要提供详细的研究资料和验证资料。</w:t>
      </w:r>
    </w:p>
    <w:p>
      <w:pPr>
        <w:overflowPunct w:val="0"/>
        <w:spacing w:line="520" w:lineRule="exact"/>
        <w:ind w:firstLine="640" w:firstLineChars="200"/>
        <w:rPr>
          <w:rFonts w:eastAsia="仿宋_GB2312"/>
          <w:sz w:val="32"/>
          <w:szCs w:val="28"/>
          <w:highlight w:val="none"/>
        </w:rPr>
      </w:pPr>
      <w:r>
        <w:rPr>
          <w:rFonts w:hint="eastAsia" w:eastAsia="仿宋_GB2312"/>
          <w:sz w:val="32"/>
          <w:szCs w:val="28"/>
          <w:highlight w:val="none"/>
        </w:rPr>
        <w:t>本指导原则</w:t>
      </w:r>
      <w:r>
        <w:rPr>
          <w:rFonts w:eastAsia="仿宋_GB2312"/>
          <w:sz w:val="32"/>
          <w:szCs w:val="28"/>
          <w:highlight w:val="none"/>
        </w:rPr>
        <w:t>是在现行法规和标准体系，以及当前认知水平下制定的，随着法规和标准的不断完善，以及科学技术的不断发展，</w:t>
      </w:r>
      <w:r>
        <w:rPr>
          <w:rFonts w:hint="eastAsia" w:eastAsia="仿宋_GB2312"/>
          <w:sz w:val="32"/>
          <w:szCs w:val="28"/>
          <w:highlight w:val="none"/>
        </w:rPr>
        <w:t>本指导原则</w:t>
      </w:r>
      <w:r>
        <w:rPr>
          <w:rFonts w:eastAsia="仿宋_GB2312"/>
          <w:sz w:val="32"/>
          <w:szCs w:val="28"/>
          <w:highlight w:val="none"/>
        </w:rPr>
        <w:t>相关内容也将进行适时的调整。</w:t>
      </w:r>
    </w:p>
    <w:p>
      <w:pPr>
        <w:overflowPunct w:val="0"/>
        <w:spacing w:line="520" w:lineRule="exact"/>
        <w:ind w:firstLine="640" w:firstLineChars="200"/>
        <w:outlineLvl w:val="0"/>
        <w:rPr>
          <w:rFonts w:hint="eastAsia" w:ascii="黑体" w:hAnsi="黑体" w:eastAsia="黑体"/>
          <w:sz w:val="32"/>
          <w:szCs w:val="28"/>
          <w:highlight w:val="none"/>
        </w:rPr>
      </w:pPr>
      <w:r>
        <w:rPr>
          <w:rFonts w:ascii="黑体" w:hAnsi="黑体" w:eastAsia="黑体"/>
          <w:sz w:val="32"/>
          <w:szCs w:val="28"/>
          <w:highlight w:val="none"/>
        </w:rPr>
        <w:t>一、</w:t>
      </w:r>
      <w:r>
        <w:rPr>
          <w:rFonts w:ascii="黑体" w:hAnsi="黑体" w:eastAsia="黑体"/>
          <w:bCs/>
          <w:sz w:val="32"/>
          <w:szCs w:val="28"/>
          <w:highlight w:val="none"/>
        </w:rPr>
        <w:t>适用范围</w:t>
      </w:r>
    </w:p>
    <w:p>
      <w:pPr>
        <w:overflowPunct w:val="0"/>
        <w:spacing w:line="520" w:lineRule="exact"/>
        <w:ind w:firstLine="640" w:firstLineChars="200"/>
        <w:rPr>
          <w:rFonts w:eastAsia="仿宋_GB2312"/>
          <w:sz w:val="32"/>
          <w:szCs w:val="28"/>
          <w:highlight w:val="none"/>
        </w:rPr>
      </w:pPr>
      <w:r>
        <w:rPr>
          <w:rFonts w:hint="eastAsia" w:eastAsia="仿宋_GB2312"/>
          <w:sz w:val="32"/>
          <w:szCs w:val="28"/>
          <w:highlight w:val="none"/>
        </w:rPr>
        <w:t>本指导原则</w:t>
      </w:r>
      <w:r>
        <w:rPr>
          <w:rFonts w:eastAsia="仿宋_GB2312"/>
          <w:sz w:val="32"/>
          <w:szCs w:val="28"/>
          <w:highlight w:val="none"/>
        </w:rPr>
        <w:t>适用于</w:t>
      </w:r>
      <w:r>
        <w:rPr>
          <w:rFonts w:hint="eastAsia" w:eastAsia="仿宋_GB2312"/>
          <w:sz w:val="32"/>
          <w:szCs w:val="28"/>
          <w:highlight w:val="none"/>
        </w:rPr>
        <w:t>《医疗器械分类目录》中作为</w:t>
      </w:r>
      <w:r>
        <w:rPr>
          <w:rFonts w:eastAsia="仿宋_GB2312"/>
          <w:sz w:val="32"/>
          <w:szCs w:val="28"/>
          <w:highlight w:val="none"/>
        </w:rPr>
        <w:t>第二类</w:t>
      </w:r>
      <w:r>
        <w:rPr>
          <w:rFonts w:hint="eastAsia" w:eastAsia="仿宋_GB2312"/>
          <w:sz w:val="32"/>
          <w:szCs w:val="28"/>
          <w:highlight w:val="none"/>
        </w:rPr>
        <w:t>医疗器械管理的</w:t>
      </w:r>
      <w:r>
        <w:rPr>
          <w:rFonts w:eastAsia="仿宋_GB2312"/>
          <w:sz w:val="32"/>
          <w:szCs w:val="28"/>
          <w:highlight w:val="none"/>
          <w:lang w:val="en"/>
        </w:rPr>
        <w:t>人体成分分析设备</w:t>
      </w:r>
      <w:r>
        <w:rPr>
          <w:rFonts w:hint="eastAsia" w:eastAsia="仿宋_GB2312"/>
          <w:sz w:val="32"/>
          <w:szCs w:val="28"/>
          <w:highlight w:val="none"/>
        </w:rPr>
        <w:t>，分类编码为07医用诊察和监护器械-09其他测量、分析设备-07人体阻抗测量、分析设备。产品用于分析人体脂肪含量、身体水分、基础代谢与体重比等参考数值。</w:t>
      </w:r>
    </w:p>
    <w:p>
      <w:pPr>
        <w:overflowPunct w:val="0"/>
        <w:spacing w:line="520" w:lineRule="exact"/>
        <w:ind w:firstLine="640" w:firstLineChars="200"/>
        <w:outlineLvl w:val="0"/>
        <w:rPr>
          <w:rFonts w:hint="eastAsia" w:ascii="黑体" w:hAnsi="黑体" w:eastAsia="黑体"/>
          <w:sz w:val="32"/>
          <w:szCs w:val="28"/>
          <w:highlight w:val="none"/>
        </w:rPr>
      </w:pPr>
      <w:r>
        <w:rPr>
          <w:rFonts w:ascii="黑体" w:hAnsi="黑体" w:eastAsia="黑体"/>
          <w:sz w:val="32"/>
          <w:szCs w:val="28"/>
          <w:highlight w:val="none"/>
        </w:rPr>
        <w:t>二、注册审查要点</w:t>
      </w:r>
    </w:p>
    <w:p>
      <w:pPr>
        <w:pStyle w:val="75"/>
        <w:spacing w:line="520" w:lineRule="exact"/>
        <w:ind w:firstLine="640" w:firstLineChars="200"/>
        <w:outlineLvl w:val="1"/>
        <w:rPr>
          <w:rFonts w:ascii="楷体_GB2312" w:hAnsi="Times New Roman" w:eastAsia="楷体_GB2312"/>
          <w:snapToGrid w:val="0"/>
          <w:sz w:val="32"/>
          <w:szCs w:val="32"/>
          <w:highlight w:val="none"/>
        </w:rPr>
      </w:pPr>
      <w:r>
        <w:rPr>
          <w:rFonts w:hint="eastAsia" w:ascii="楷体_GB2312" w:hAnsi="Times New Roman" w:eastAsia="楷体_GB2312"/>
          <w:snapToGrid w:val="0"/>
          <w:sz w:val="32"/>
          <w:szCs w:val="32"/>
          <w:highlight w:val="none"/>
        </w:rPr>
        <w:t>（一）监管信息</w:t>
      </w:r>
    </w:p>
    <w:p>
      <w:pPr>
        <w:pStyle w:val="75"/>
        <w:spacing w:line="520" w:lineRule="exact"/>
        <w:ind w:firstLine="640" w:firstLineChars="200"/>
        <w:outlineLvl w:val="2"/>
        <w:rPr>
          <w:rFonts w:ascii="Times New Roman" w:hAnsi="Times New Roman"/>
          <w:snapToGrid w:val="0"/>
          <w:sz w:val="32"/>
          <w:szCs w:val="32"/>
          <w:highlight w:val="none"/>
        </w:rPr>
      </w:pPr>
      <w:r>
        <w:rPr>
          <w:rFonts w:ascii="Times New Roman" w:hAnsi="Times New Roman"/>
          <w:sz w:val="32"/>
          <w:szCs w:val="24"/>
          <w:highlight w:val="none"/>
        </w:rPr>
        <w:t>注册申请人应提供申请表、产品列表、既往沟通记录（如不适用，应当明确声明申报产品没有既往申报和/或申报前沟通）、关联文件（如主文档授权信）及其他管理信息等。</w:t>
      </w:r>
    </w:p>
    <w:p>
      <w:pPr>
        <w:pStyle w:val="75"/>
        <w:spacing w:line="520" w:lineRule="exact"/>
        <w:ind w:firstLine="640" w:firstLineChars="200"/>
        <w:outlineLvl w:val="2"/>
        <w:rPr>
          <w:rFonts w:ascii="Times New Roman" w:hAnsi="Times New Roman"/>
          <w:snapToGrid w:val="0"/>
          <w:sz w:val="32"/>
          <w:szCs w:val="32"/>
          <w:highlight w:val="none"/>
        </w:rPr>
      </w:pPr>
      <w:r>
        <w:rPr>
          <w:rFonts w:hint="eastAsia" w:ascii="Times New Roman" w:hAnsi="Times New Roman"/>
          <w:snapToGrid w:val="0"/>
          <w:sz w:val="32"/>
          <w:szCs w:val="32"/>
          <w:highlight w:val="none"/>
        </w:rPr>
        <w:t>1.产品名称</w:t>
      </w:r>
    </w:p>
    <w:p>
      <w:pPr>
        <w:overflowPunct w:val="0"/>
        <w:spacing w:line="520" w:lineRule="exact"/>
        <w:ind w:firstLine="640" w:firstLineChars="200"/>
        <w:rPr>
          <w:rFonts w:eastAsia="仿宋_GB2312"/>
          <w:sz w:val="32"/>
          <w:szCs w:val="28"/>
          <w:highlight w:val="none"/>
        </w:rPr>
      </w:pPr>
      <w:r>
        <w:rPr>
          <w:rFonts w:hint="eastAsia" w:eastAsia="仿宋_GB2312"/>
          <w:snapToGrid w:val="0"/>
          <w:kern w:val="0"/>
          <w:sz w:val="32"/>
          <w:szCs w:val="32"/>
          <w:highlight w:val="none"/>
        </w:rPr>
        <w:t>产品命名需符合《医疗器械通用名称命名规则》《医用诊察和监护器械通用名称命名指导原则》</w:t>
      </w:r>
      <w:r>
        <w:rPr>
          <w:rFonts w:eastAsia="仿宋_GB2312"/>
          <w:sz w:val="32"/>
          <w:szCs w:val="28"/>
          <w:highlight w:val="none"/>
        </w:rPr>
        <w:t>等相关文件的要求，一般由一个核心词和不超过三个特征词组成</w:t>
      </w:r>
      <w:r>
        <w:rPr>
          <w:rFonts w:hint="eastAsia" w:eastAsia="仿宋_GB2312"/>
          <w:sz w:val="32"/>
          <w:szCs w:val="28"/>
          <w:highlight w:val="none"/>
        </w:rPr>
        <w:t>，</w:t>
      </w:r>
      <w:r>
        <w:rPr>
          <w:rFonts w:eastAsia="仿宋_GB2312"/>
          <w:sz w:val="32"/>
          <w:szCs w:val="28"/>
          <w:highlight w:val="none"/>
        </w:rPr>
        <w:t>如：</w:t>
      </w:r>
      <w:r>
        <w:rPr>
          <w:rFonts w:eastAsia="仿宋_GB2312"/>
          <w:sz w:val="32"/>
          <w:szCs w:val="28"/>
          <w:highlight w:val="none"/>
          <w:lang w:val="en"/>
        </w:rPr>
        <w:t>人体</w:t>
      </w:r>
      <w:r>
        <w:rPr>
          <w:rFonts w:hint="eastAsia" w:eastAsia="仿宋_GB2312"/>
          <w:sz w:val="32"/>
          <w:szCs w:val="28"/>
          <w:highlight w:val="none"/>
          <w:lang w:val="en"/>
        </w:rPr>
        <w:t>成分分析</w:t>
      </w:r>
      <w:r>
        <w:rPr>
          <w:rFonts w:eastAsia="仿宋_GB2312"/>
          <w:sz w:val="32"/>
          <w:szCs w:val="28"/>
          <w:highlight w:val="none"/>
        </w:rPr>
        <w:t>仪。</w:t>
      </w:r>
    </w:p>
    <w:p>
      <w:pPr>
        <w:pStyle w:val="75"/>
        <w:spacing w:line="520" w:lineRule="exact"/>
        <w:ind w:firstLine="640" w:firstLineChars="200"/>
        <w:outlineLvl w:val="2"/>
        <w:rPr>
          <w:rFonts w:ascii="Times New Roman" w:hAnsi="Times New Roman"/>
          <w:snapToGrid w:val="0"/>
          <w:sz w:val="32"/>
          <w:szCs w:val="32"/>
          <w:highlight w:val="none"/>
        </w:rPr>
      </w:pPr>
      <w:r>
        <w:rPr>
          <w:rFonts w:hint="eastAsia" w:ascii="Times New Roman" w:hAnsi="Times New Roman"/>
          <w:snapToGrid w:val="0"/>
          <w:sz w:val="32"/>
          <w:szCs w:val="32"/>
          <w:highlight w:val="none"/>
        </w:rPr>
        <w:t>2.</w:t>
      </w:r>
      <w:r>
        <w:rPr>
          <w:rFonts w:ascii="Times New Roman" w:hAnsi="Times New Roman"/>
          <w:snapToGrid w:val="0"/>
          <w:sz w:val="32"/>
          <w:szCs w:val="32"/>
          <w:highlight w:val="none"/>
        </w:rPr>
        <w:t>管理类别、分类编码</w:t>
      </w:r>
    </w:p>
    <w:p>
      <w:pPr>
        <w:overflowPunct w:val="0"/>
        <w:autoSpaceDE w:val="0"/>
        <w:autoSpaceDN w:val="0"/>
        <w:spacing w:line="520" w:lineRule="exact"/>
        <w:ind w:firstLine="640" w:firstLineChars="200"/>
        <w:rPr>
          <w:rFonts w:eastAsia="仿宋_GB2312" w:cs="仿宋_GB2312"/>
          <w:snapToGrid w:val="0"/>
          <w:kern w:val="0"/>
          <w:sz w:val="32"/>
          <w:szCs w:val="32"/>
          <w:highlight w:val="none"/>
        </w:rPr>
      </w:pPr>
      <w:r>
        <w:rPr>
          <w:rFonts w:eastAsia="仿宋_GB2312"/>
          <w:snapToGrid w:val="0"/>
          <w:kern w:val="0"/>
          <w:sz w:val="32"/>
          <w:szCs w:val="32"/>
          <w:highlight w:val="none"/>
        </w:rPr>
        <w:t>申报产品按第二类医疗器械管理，</w:t>
      </w:r>
      <w:r>
        <w:rPr>
          <w:rFonts w:hint="eastAsia" w:eastAsia="仿宋_GB2312"/>
          <w:snapToGrid w:val="0"/>
          <w:kern w:val="0"/>
          <w:sz w:val="32"/>
          <w:szCs w:val="32"/>
          <w:highlight w:val="none"/>
        </w:rPr>
        <w:t>依据</w:t>
      </w:r>
      <w:r>
        <w:rPr>
          <w:rFonts w:eastAsia="仿宋_GB2312"/>
          <w:snapToGrid w:val="0"/>
          <w:kern w:val="0"/>
          <w:sz w:val="32"/>
          <w:szCs w:val="32"/>
          <w:highlight w:val="none"/>
        </w:rPr>
        <w:t>《医疗器械分类目录》，</w:t>
      </w:r>
      <w:r>
        <w:rPr>
          <w:rFonts w:hint="eastAsia" w:eastAsia="仿宋_GB2312"/>
          <w:snapToGrid w:val="0"/>
          <w:kern w:val="0"/>
          <w:sz w:val="32"/>
          <w:szCs w:val="32"/>
          <w:highlight w:val="none"/>
        </w:rPr>
        <w:t>本指导原则涉及的</w:t>
      </w:r>
      <w:r>
        <w:rPr>
          <w:rFonts w:eastAsia="仿宋_GB2312"/>
          <w:snapToGrid w:val="0"/>
          <w:kern w:val="0"/>
          <w:sz w:val="32"/>
          <w:szCs w:val="32"/>
          <w:highlight w:val="none"/>
          <w:lang w:val="en"/>
        </w:rPr>
        <w:t>人体</w:t>
      </w:r>
      <w:r>
        <w:rPr>
          <w:rFonts w:hint="eastAsia" w:eastAsia="仿宋_GB2312"/>
          <w:snapToGrid w:val="0"/>
          <w:kern w:val="0"/>
          <w:sz w:val="32"/>
          <w:szCs w:val="32"/>
          <w:highlight w:val="none"/>
          <w:lang w:val="en"/>
        </w:rPr>
        <w:t>成分分析设备</w:t>
      </w:r>
      <w:r>
        <w:rPr>
          <w:rFonts w:hint="eastAsia" w:eastAsia="仿宋_GB2312"/>
          <w:snapToGrid w:val="0"/>
          <w:kern w:val="0"/>
          <w:sz w:val="32"/>
          <w:szCs w:val="32"/>
          <w:highlight w:val="none"/>
        </w:rPr>
        <w:t>的分类编码为</w:t>
      </w:r>
      <w:r>
        <w:rPr>
          <w:rFonts w:hint="eastAsia" w:eastAsia="仿宋_GB2312" w:cs="仿宋_GB2312"/>
          <w:snapToGrid w:val="0"/>
          <w:kern w:val="0"/>
          <w:sz w:val="32"/>
          <w:szCs w:val="32"/>
          <w:highlight w:val="none"/>
        </w:rPr>
        <w:t>07-09-07。</w:t>
      </w:r>
    </w:p>
    <w:p>
      <w:pPr>
        <w:pStyle w:val="75"/>
        <w:spacing w:line="520" w:lineRule="exact"/>
        <w:ind w:firstLine="640" w:firstLineChars="200"/>
        <w:outlineLvl w:val="2"/>
        <w:rPr>
          <w:rFonts w:ascii="Times New Roman" w:hAnsi="Times New Roman"/>
          <w:snapToGrid w:val="0"/>
          <w:sz w:val="32"/>
          <w:szCs w:val="32"/>
          <w:highlight w:val="none"/>
        </w:rPr>
      </w:pPr>
      <w:r>
        <w:rPr>
          <w:rFonts w:ascii="Times New Roman" w:hAnsi="Times New Roman"/>
          <w:snapToGrid w:val="0"/>
          <w:sz w:val="32"/>
          <w:szCs w:val="32"/>
          <w:highlight w:val="none"/>
        </w:rPr>
        <w:t>3</w:t>
      </w:r>
      <w:r>
        <w:rPr>
          <w:rFonts w:hint="eastAsia" w:ascii="Times New Roman" w:hAnsi="Times New Roman"/>
          <w:snapToGrid w:val="0"/>
          <w:sz w:val="32"/>
          <w:szCs w:val="32"/>
          <w:highlight w:val="none"/>
        </w:rPr>
        <w:t>.</w:t>
      </w:r>
      <w:r>
        <w:rPr>
          <w:rFonts w:ascii="Times New Roman" w:hAnsi="Times New Roman"/>
          <w:snapToGrid w:val="0"/>
          <w:sz w:val="32"/>
          <w:szCs w:val="32"/>
          <w:highlight w:val="none"/>
        </w:rPr>
        <w:t>注册单元划分</w:t>
      </w:r>
    </w:p>
    <w:p>
      <w:pPr>
        <w:adjustRightInd w:val="0"/>
        <w:snapToGrid w:val="0"/>
        <w:spacing w:line="520" w:lineRule="exact"/>
        <w:ind w:firstLine="640" w:firstLineChars="200"/>
        <w:rPr>
          <w:rFonts w:eastAsia="仿宋_GB2312"/>
          <w:sz w:val="32"/>
          <w:szCs w:val="32"/>
          <w:highlight w:val="none"/>
        </w:rPr>
      </w:pPr>
      <w:r>
        <w:rPr>
          <w:rFonts w:hint="eastAsia" w:eastAsia="仿宋_GB2312"/>
          <w:sz w:val="32"/>
          <w:szCs w:val="28"/>
          <w:highlight w:val="none"/>
          <w:lang w:val="en"/>
        </w:rPr>
        <w:t>人体成分分析仪</w:t>
      </w:r>
      <w:r>
        <w:rPr>
          <w:rFonts w:eastAsia="仿宋_GB2312"/>
          <w:sz w:val="32"/>
          <w:szCs w:val="28"/>
          <w:highlight w:val="none"/>
        </w:rPr>
        <w:t>注册单元划分</w:t>
      </w:r>
      <w:r>
        <w:rPr>
          <w:rFonts w:eastAsia="仿宋_GB2312"/>
          <w:sz w:val="32"/>
          <w:szCs w:val="32"/>
          <w:highlight w:val="none"/>
        </w:rPr>
        <w:t>应符合《医疗器械注册与备案管理办法》第一百一十一条及《医疗器械注册单元划分指导原则》的要求，原则上以产品的技术原理、结构组成、性能指标和适用范围为划分依据。</w:t>
      </w:r>
    </w:p>
    <w:p>
      <w:pPr>
        <w:adjustRightInd w:val="0"/>
        <w:snapToGrid w:val="0"/>
        <w:spacing w:line="520" w:lineRule="exact"/>
        <w:ind w:firstLine="640" w:firstLineChars="200"/>
        <w:rPr>
          <w:rFonts w:eastAsia="仿宋_GB2312"/>
          <w:sz w:val="32"/>
          <w:szCs w:val="32"/>
          <w:highlight w:val="none"/>
        </w:rPr>
      </w:pPr>
      <w:r>
        <w:rPr>
          <w:rFonts w:eastAsia="仿宋_GB2312"/>
          <w:sz w:val="32"/>
          <w:szCs w:val="32"/>
          <w:highlight w:val="none"/>
        </w:rPr>
        <w:t>结构形式不同的设备应划分为不同注册单元，例如便携式设备与</w:t>
      </w:r>
      <w:r>
        <w:rPr>
          <w:rFonts w:hint="eastAsia" w:eastAsia="仿宋_GB2312"/>
          <w:sz w:val="32"/>
          <w:szCs w:val="32"/>
          <w:highlight w:val="none"/>
          <w:lang w:eastAsia="zh-CN"/>
        </w:rPr>
        <w:t>台</w:t>
      </w:r>
      <w:r>
        <w:rPr>
          <w:rFonts w:eastAsia="仿宋_GB2312"/>
          <w:sz w:val="32"/>
          <w:szCs w:val="32"/>
          <w:highlight w:val="none"/>
        </w:rPr>
        <w:t>式设</w:t>
      </w:r>
      <w:r>
        <w:rPr>
          <w:rFonts w:eastAsia="仿宋_GB2312"/>
          <w:sz w:val="32"/>
          <w:szCs w:val="32"/>
          <w:highlight w:val="none"/>
        </w:rPr>
        <w:t>备应划分为不同的注册单元。</w:t>
      </w:r>
    </w:p>
    <w:p>
      <w:pPr>
        <w:adjustRightInd w:val="0"/>
        <w:snapToGrid w:val="0"/>
        <w:spacing w:line="520" w:lineRule="exact"/>
        <w:ind w:firstLine="640" w:firstLineChars="200"/>
        <w:rPr>
          <w:rFonts w:hint="default" w:eastAsia="仿宋_GB2312"/>
          <w:sz w:val="32"/>
          <w:szCs w:val="32"/>
          <w:highlight w:val="none"/>
          <w:lang w:val="en-US"/>
        </w:rPr>
      </w:pPr>
      <w:r>
        <w:rPr>
          <w:rFonts w:hint="eastAsia" w:eastAsia="仿宋_GB2312"/>
          <w:sz w:val="32"/>
          <w:szCs w:val="32"/>
          <w:highlight w:val="none"/>
          <w:lang w:val="en-US" w:eastAsia="zh-CN"/>
        </w:rPr>
        <w:t>工作频率有较大差异的建议划分不同注册单元，</w:t>
      </w:r>
      <w:r>
        <w:rPr>
          <w:rFonts w:eastAsia="仿宋_GB2312"/>
          <w:sz w:val="32"/>
          <w:szCs w:val="32"/>
          <w:highlight w:val="none"/>
        </w:rPr>
        <w:t>例如</w:t>
      </w:r>
      <w:r>
        <w:rPr>
          <w:rFonts w:hint="eastAsia" w:eastAsia="仿宋_GB2312"/>
          <w:sz w:val="32"/>
          <w:szCs w:val="32"/>
          <w:highlight w:val="none"/>
          <w:lang w:val="en-US" w:eastAsia="zh-CN"/>
        </w:rPr>
        <w:t>检测频率为6个和8个的设备</w:t>
      </w:r>
      <w:r>
        <w:rPr>
          <w:rFonts w:eastAsia="仿宋_GB2312"/>
          <w:sz w:val="32"/>
          <w:szCs w:val="32"/>
          <w:highlight w:val="none"/>
        </w:rPr>
        <w:t>应划分为不同的注册单元。</w:t>
      </w:r>
    </w:p>
    <w:p>
      <w:pPr>
        <w:pStyle w:val="75"/>
        <w:spacing w:line="520" w:lineRule="exact"/>
        <w:ind w:firstLine="640" w:firstLineChars="200"/>
        <w:outlineLvl w:val="2"/>
        <w:rPr>
          <w:rFonts w:ascii="Times New Roman" w:hAnsi="Times New Roman"/>
          <w:snapToGrid w:val="0"/>
          <w:sz w:val="32"/>
          <w:szCs w:val="32"/>
          <w:highlight w:val="none"/>
        </w:rPr>
      </w:pPr>
      <w:r>
        <w:rPr>
          <w:rFonts w:hint="eastAsia" w:ascii="Times New Roman" w:hAnsi="Times New Roman"/>
          <w:snapToGrid w:val="0"/>
          <w:sz w:val="32"/>
          <w:szCs w:val="32"/>
          <w:highlight w:val="none"/>
        </w:rPr>
        <w:t>4.</w:t>
      </w:r>
      <w:r>
        <w:rPr>
          <w:rFonts w:ascii="Times New Roman" w:hAnsi="Times New Roman"/>
          <w:snapToGrid w:val="0"/>
          <w:sz w:val="32"/>
          <w:szCs w:val="32"/>
          <w:highlight w:val="none"/>
        </w:rPr>
        <w:t>产品列表</w:t>
      </w:r>
    </w:p>
    <w:p>
      <w:pPr>
        <w:pStyle w:val="75"/>
        <w:spacing w:line="520" w:lineRule="exact"/>
        <w:ind w:firstLine="640" w:firstLineChars="200"/>
        <w:rPr>
          <w:rFonts w:ascii="Times New Roman" w:hAnsi="Times New Roman"/>
          <w:snapToGrid w:val="0"/>
          <w:sz w:val="32"/>
          <w:szCs w:val="32"/>
          <w:highlight w:val="none"/>
        </w:rPr>
      </w:pPr>
      <w:r>
        <w:rPr>
          <w:rFonts w:ascii="Times New Roman" w:hAnsi="Times New Roman"/>
          <w:snapToGrid w:val="0"/>
          <w:sz w:val="32"/>
          <w:szCs w:val="32"/>
          <w:highlight w:val="none"/>
        </w:rPr>
        <w:t>以表格形式列出拟申报产品的型号、规格、结构及组成、附件，以及每个规格型号的标识（如型号或部件的编号、器械唯一标识等）和描述说明（如</w:t>
      </w:r>
      <w:r>
        <w:rPr>
          <w:rFonts w:hint="eastAsia" w:ascii="Times New Roman" w:hAnsi="Times New Roman"/>
          <w:snapToGrid w:val="0"/>
          <w:sz w:val="32"/>
          <w:szCs w:val="32"/>
          <w:highlight w:val="none"/>
        </w:rPr>
        <w:t>电极</w:t>
      </w:r>
      <w:r>
        <w:rPr>
          <w:rFonts w:ascii="Times New Roman" w:hAnsi="Times New Roman"/>
          <w:snapToGrid w:val="0"/>
          <w:sz w:val="32"/>
          <w:szCs w:val="32"/>
          <w:highlight w:val="none"/>
        </w:rPr>
        <w:t>尺寸、</w:t>
      </w:r>
      <w:r>
        <w:rPr>
          <w:rFonts w:hint="eastAsia" w:ascii="Times New Roman" w:hAnsi="Times New Roman"/>
          <w:snapToGrid w:val="0"/>
          <w:sz w:val="32"/>
          <w:szCs w:val="32"/>
          <w:highlight w:val="none"/>
        </w:rPr>
        <w:t>与人体接触部件的</w:t>
      </w:r>
      <w:r>
        <w:rPr>
          <w:rFonts w:ascii="Times New Roman" w:hAnsi="Times New Roman"/>
          <w:snapToGrid w:val="0"/>
          <w:sz w:val="32"/>
          <w:szCs w:val="32"/>
          <w:highlight w:val="none"/>
        </w:rPr>
        <w:t>材质等）。</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5.既往沟通记录（如适用）</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在产品申报前，如果注册申请人与监管机构针对申报产品以会议形式进行了沟通，或者申报产品与既往注册申报相关，应提交相关沟通记录。</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6.主文档授权信（如适用）</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申请人应当对主文档引用的情况进行说明。</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7.其它管理信息</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7.1按照《创新医疗器械特别审查程序》审批的境内医疗器械申请注册时，应当提交通过创新医疗器械审查的相关说明。</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7.2按照《医疗器械应急审批程序》审批的医疗器械产品申请注册时，应当提交通过医疗器械应急审批的相关说明。</w:t>
      </w:r>
    </w:p>
    <w:p>
      <w:pPr>
        <w:pStyle w:val="75"/>
        <w:spacing w:line="520" w:lineRule="exact"/>
        <w:ind w:firstLine="640" w:firstLineChars="200"/>
        <w:rPr>
          <w:rFonts w:ascii="Times New Roman" w:hAnsi="Times New Roman"/>
          <w:snapToGrid w:val="0"/>
          <w:sz w:val="32"/>
          <w:szCs w:val="32"/>
          <w:highlight w:val="none"/>
        </w:rPr>
      </w:pPr>
      <w:r>
        <w:rPr>
          <w:rFonts w:hint="eastAsia" w:ascii="Times New Roman" w:hAnsi="Times New Roman"/>
          <w:snapToGrid w:val="0"/>
          <w:sz w:val="32"/>
          <w:szCs w:val="32"/>
          <w:highlight w:val="none"/>
        </w:rPr>
        <w:t>7.3委托其他企业生产的，应当提供受托企业资格文件（营业执照副本复印件）、委托合同和质量协议。</w:t>
      </w:r>
    </w:p>
    <w:p>
      <w:pPr>
        <w:pStyle w:val="75"/>
        <w:spacing w:line="520" w:lineRule="exact"/>
        <w:ind w:firstLine="640" w:firstLineChars="200"/>
        <w:outlineLvl w:val="1"/>
        <w:rPr>
          <w:rFonts w:ascii="楷体_GB2312" w:hAnsi="Times New Roman" w:eastAsia="楷体_GB2312"/>
          <w:snapToGrid w:val="0"/>
          <w:sz w:val="32"/>
          <w:szCs w:val="32"/>
          <w:highlight w:val="none"/>
        </w:rPr>
      </w:pPr>
      <w:r>
        <w:rPr>
          <w:rFonts w:hint="eastAsia" w:ascii="楷体_GB2312" w:hAnsi="Times New Roman" w:eastAsia="楷体_GB2312"/>
          <w:snapToGrid w:val="0"/>
          <w:sz w:val="32"/>
          <w:szCs w:val="32"/>
          <w:highlight w:val="none"/>
        </w:rPr>
        <w:t>（二）综述</w:t>
      </w:r>
      <w:r>
        <w:rPr>
          <w:rFonts w:ascii="楷体_GB2312" w:hAnsi="Times New Roman" w:eastAsia="楷体_GB2312"/>
          <w:snapToGrid w:val="0"/>
          <w:sz w:val="32"/>
          <w:szCs w:val="32"/>
          <w:highlight w:val="none"/>
        </w:rPr>
        <w:t>资料</w:t>
      </w:r>
    </w:p>
    <w:p>
      <w:pPr>
        <w:pStyle w:val="49"/>
        <w:overflowPunct w:val="0"/>
        <w:autoSpaceDE w:val="0"/>
        <w:autoSpaceDN w:val="0"/>
        <w:spacing w:line="520" w:lineRule="exact"/>
        <w:ind w:right="210" w:firstLine="640"/>
        <w:outlineLvl w:val="2"/>
        <w:rPr>
          <w:rFonts w:ascii="Times New Roman" w:hAnsi="Times New Roman" w:eastAsia="楷体_GB2312"/>
          <w:sz w:val="32"/>
          <w:szCs w:val="32"/>
          <w:highlight w:val="none"/>
        </w:rPr>
      </w:pPr>
      <w:r>
        <w:rPr>
          <w:rFonts w:hint="eastAsia" w:ascii="Times New Roman" w:hAnsi="Times New Roman" w:eastAsia="楷体_GB2312"/>
          <w:sz w:val="32"/>
          <w:szCs w:val="32"/>
          <w:highlight w:val="none"/>
        </w:rPr>
        <w:t>1.</w:t>
      </w:r>
      <w:r>
        <w:rPr>
          <w:rFonts w:hint="eastAsia" w:ascii="Times New Roman" w:hAnsi="Times New Roman" w:eastAsia="仿宋_GB2312"/>
          <w:sz w:val="32"/>
          <w:szCs w:val="32"/>
          <w:highlight w:val="none"/>
        </w:rPr>
        <w:t>产品描述</w:t>
      </w:r>
    </w:p>
    <w:p>
      <w:pPr>
        <w:pStyle w:val="49"/>
        <w:overflowPunct w:val="0"/>
        <w:autoSpaceDE w:val="0"/>
        <w:autoSpaceDN w:val="0"/>
        <w:spacing w:line="520" w:lineRule="exact"/>
        <w:ind w:right="210" w:firstLine="640"/>
        <w:outlineLvl w:val="3"/>
        <w:rPr>
          <w:rFonts w:ascii="Times New Roman" w:hAnsi="Times New Roman" w:eastAsia="仿宋_GB2312"/>
          <w:snapToGrid w:val="0"/>
          <w:kern w:val="0"/>
          <w:sz w:val="32"/>
          <w:szCs w:val="32"/>
          <w:highlight w:val="none"/>
        </w:rPr>
      </w:pPr>
      <w:r>
        <w:rPr>
          <w:rFonts w:hint="eastAsia" w:ascii="Times New Roman" w:hAnsi="Times New Roman" w:eastAsia="仿宋_GB2312"/>
          <w:snapToGrid w:val="0"/>
          <w:kern w:val="0"/>
          <w:sz w:val="32"/>
          <w:szCs w:val="32"/>
          <w:highlight w:val="none"/>
        </w:rPr>
        <w:t>1.1器械及操作原理描述</w:t>
      </w:r>
    </w:p>
    <w:p>
      <w:pPr>
        <w:overflowPunct w:val="0"/>
        <w:spacing w:line="520" w:lineRule="exact"/>
        <w:ind w:firstLine="640" w:firstLineChars="200"/>
        <w:outlineLvl w:val="4"/>
        <w:rPr>
          <w:rFonts w:eastAsia="楷体_GB2312"/>
          <w:sz w:val="32"/>
          <w:szCs w:val="28"/>
          <w:highlight w:val="none"/>
        </w:rPr>
      </w:pPr>
      <w:r>
        <w:rPr>
          <w:rFonts w:hint="eastAsia" w:eastAsia="仿宋_GB2312"/>
          <w:snapToGrid w:val="0"/>
          <w:kern w:val="0"/>
          <w:sz w:val="32"/>
          <w:szCs w:val="32"/>
          <w:highlight w:val="none"/>
        </w:rPr>
        <w:t>1.1.1</w:t>
      </w:r>
      <w:r>
        <w:rPr>
          <w:rFonts w:eastAsia="仿宋_GB2312"/>
          <w:snapToGrid w:val="0"/>
          <w:kern w:val="0"/>
          <w:sz w:val="32"/>
          <w:szCs w:val="32"/>
          <w:highlight w:val="none"/>
        </w:rPr>
        <w:t>工作原理</w:t>
      </w:r>
    </w:p>
    <w:p>
      <w:pPr>
        <w:pStyle w:val="49"/>
        <w:overflowPunct w:val="0"/>
        <w:autoSpaceDE w:val="0"/>
        <w:autoSpaceDN w:val="0"/>
        <w:spacing w:line="520" w:lineRule="exact"/>
        <w:ind w:right="210" w:firstLine="640"/>
        <w:outlineLvl w:val="3"/>
        <w:rPr>
          <w:rFonts w:hint="eastAsia" w:eastAsia="仿宋_GB2312"/>
          <w:sz w:val="32"/>
          <w:szCs w:val="28"/>
          <w:highlight w:val="none"/>
        </w:rPr>
      </w:pPr>
      <w:r>
        <w:rPr>
          <w:rFonts w:hint="eastAsia" w:eastAsia="仿宋_GB2312"/>
          <w:sz w:val="32"/>
          <w:szCs w:val="28"/>
          <w:highlight w:val="none"/>
        </w:rPr>
        <w:t>对不同生物组织和器官注入极低恒定电流，其细胞的细胞膜、细胞间质和细胞内外液呈现不同的导电性和容性阻抗，精确测量不同频率下的身体各节段以及全身的电阻抗参数，结合用户的身高、体重等信息，代入预设的生物物理和统计模型，推算出总体液、去脂体重、脂肪重量，并进一步衍生出肌肉量、基础代谢率、节段分析等多种身体成分指标，进行体成分分析。</w:t>
      </w:r>
    </w:p>
    <w:p>
      <w:pPr>
        <w:pStyle w:val="49"/>
        <w:overflowPunct w:val="0"/>
        <w:autoSpaceDE w:val="0"/>
        <w:autoSpaceDN w:val="0"/>
        <w:spacing w:line="520" w:lineRule="exact"/>
        <w:ind w:right="210" w:firstLine="640"/>
        <w:outlineLvl w:val="3"/>
        <w:rPr>
          <w:rFonts w:ascii="Times New Roman" w:hAnsi="Times New Roman" w:eastAsia="仿宋_GB2312"/>
          <w:snapToGrid w:val="0"/>
          <w:kern w:val="0"/>
          <w:sz w:val="32"/>
          <w:szCs w:val="32"/>
          <w:highlight w:val="none"/>
        </w:rPr>
      </w:pPr>
      <w:r>
        <w:rPr>
          <w:rFonts w:hint="eastAsia" w:ascii="Times New Roman" w:hAnsi="Times New Roman" w:eastAsia="仿宋_GB2312"/>
          <w:snapToGrid w:val="0"/>
          <w:kern w:val="0"/>
          <w:sz w:val="32"/>
          <w:szCs w:val="32"/>
          <w:highlight w:val="none"/>
        </w:rPr>
        <w:t>1.1.2 结构组成</w:t>
      </w:r>
    </w:p>
    <w:p>
      <w:pPr>
        <w:overflowPunct w:val="0"/>
        <w:ind w:firstLine="640" w:firstLineChars="200"/>
        <w:rPr>
          <w:rFonts w:hint="eastAsia" w:eastAsia="仿宋_GB2312"/>
          <w:sz w:val="32"/>
          <w:szCs w:val="28"/>
          <w:highlight w:val="none"/>
        </w:rPr>
      </w:pPr>
      <w:r>
        <w:rPr>
          <w:rFonts w:hint="eastAsia" w:eastAsia="仿宋_GB2312"/>
          <w:sz w:val="32"/>
          <w:szCs w:val="28"/>
          <w:highlight w:val="none"/>
        </w:rPr>
        <w:t>人体成分分析设备一般由</w:t>
      </w:r>
      <w:r>
        <w:rPr>
          <w:rFonts w:eastAsia="仿宋_GB2312"/>
          <w:sz w:val="32"/>
          <w:szCs w:val="28"/>
          <w:highlight w:val="none"/>
        </w:rPr>
        <w:t>主机（</w:t>
      </w:r>
      <w:r>
        <w:rPr>
          <w:rFonts w:hint="eastAsia" w:eastAsia="仿宋_GB2312"/>
          <w:sz w:val="32"/>
          <w:szCs w:val="28"/>
          <w:highlight w:val="none"/>
        </w:rPr>
        <w:t>含控制装置、显示装置、数据采集</w:t>
      </w:r>
      <w:r>
        <w:rPr>
          <w:rFonts w:hint="eastAsia" w:eastAsia="仿宋_GB2312"/>
          <w:sz w:val="32"/>
          <w:szCs w:val="28"/>
          <w:highlight w:val="none"/>
          <w:lang w:val="en-US" w:eastAsia="zh-CN"/>
        </w:rPr>
        <w:t>电路</w:t>
      </w:r>
      <w:r>
        <w:rPr>
          <w:rFonts w:eastAsia="仿宋_GB2312"/>
          <w:sz w:val="32"/>
          <w:szCs w:val="28"/>
          <w:highlight w:val="none"/>
        </w:rPr>
        <w:t>）、电极</w:t>
      </w:r>
      <w:r>
        <w:rPr>
          <w:rFonts w:hint="eastAsia" w:eastAsia="仿宋_GB2312"/>
          <w:sz w:val="32"/>
          <w:szCs w:val="28"/>
          <w:highlight w:val="none"/>
        </w:rPr>
        <w:t>、</w:t>
      </w:r>
      <w:r>
        <w:rPr>
          <w:rFonts w:eastAsia="仿宋_GB2312"/>
          <w:sz w:val="32"/>
          <w:szCs w:val="28"/>
          <w:highlight w:val="none"/>
        </w:rPr>
        <w:t>导线</w:t>
      </w:r>
      <w:r>
        <w:rPr>
          <w:rFonts w:hint="eastAsia" w:eastAsia="仿宋_GB2312"/>
          <w:sz w:val="32"/>
          <w:szCs w:val="28"/>
          <w:highlight w:val="none"/>
          <w:lang w:val="en-US" w:eastAsia="zh-CN"/>
        </w:rPr>
        <w:t>和</w:t>
      </w:r>
      <w:r>
        <w:rPr>
          <w:rFonts w:eastAsia="仿宋_GB2312"/>
          <w:sz w:val="32"/>
          <w:szCs w:val="28"/>
          <w:highlight w:val="none"/>
        </w:rPr>
        <w:t>其他附属部件</w:t>
      </w:r>
      <w:r>
        <w:rPr>
          <w:rFonts w:hint="eastAsia" w:eastAsia="仿宋_GB2312"/>
          <w:sz w:val="32"/>
          <w:szCs w:val="28"/>
          <w:highlight w:val="none"/>
        </w:rPr>
        <w:t>组成</w:t>
      </w:r>
      <w:r>
        <w:rPr>
          <w:rFonts w:hint="eastAsia"/>
          <w:highlight w:val="none"/>
          <w:lang w:eastAsia="zh-CN"/>
        </w:rPr>
        <w:t>，</w:t>
      </w:r>
      <w:r>
        <w:rPr>
          <w:rFonts w:eastAsia="仿宋_GB2312"/>
          <w:sz w:val="32"/>
          <w:szCs w:val="28"/>
          <w:highlight w:val="none"/>
        </w:rPr>
        <w:t>附属部件</w:t>
      </w:r>
      <w:r>
        <w:rPr>
          <w:rFonts w:hint="eastAsia" w:eastAsia="仿宋_GB2312"/>
          <w:sz w:val="32"/>
          <w:szCs w:val="28"/>
          <w:highlight w:val="none"/>
          <w:lang w:val="en-US" w:eastAsia="zh-CN"/>
        </w:rPr>
        <w:t>通常包括如体重测量装置、身高测量装置、加热装置等</w:t>
      </w:r>
      <w:r>
        <w:rPr>
          <w:rFonts w:eastAsia="仿宋_GB2312"/>
          <w:sz w:val="32"/>
          <w:szCs w:val="28"/>
          <w:highlight w:val="none"/>
        </w:rPr>
        <w:t>。</w:t>
      </w:r>
      <w:r>
        <w:rPr>
          <w:rFonts w:hint="eastAsia" w:eastAsia="仿宋_GB2312"/>
          <w:sz w:val="32"/>
          <w:szCs w:val="28"/>
          <w:highlight w:val="none"/>
        </w:rPr>
        <w:t>产品示例如图1。</w:t>
      </w:r>
    </w:p>
    <w:p>
      <w:pPr>
        <w:overflowPunct w:val="0"/>
        <w:ind w:left="0" w:leftChars="0" w:firstLine="0" w:firstLineChars="0"/>
        <w:jc w:val="center"/>
        <w:rPr>
          <w:rFonts w:hint="eastAsia" w:eastAsia="仿宋_GB2312"/>
          <w:sz w:val="32"/>
          <w:szCs w:val="28"/>
          <w:highlight w:val="none"/>
          <w:lang w:eastAsia="zh-CN"/>
        </w:rPr>
      </w:pPr>
      <w:r>
        <w:rPr>
          <w:rFonts w:hint="eastAsia" w:eastAsia="仿宋_GB2312"/>
          <w:sz w:val="32"/>
          <w:szCs w:val="28"/>
          <w:highlight w:val="none"/>
          <w:lang w:eastAsia="zh-CN"/>
        </w:rPr>
        <w:drawing>
          <wp:inline distT="0" distB="0" distL="114300" distR="114300">
            <wp:extent cx="2295525" cy="1405890"/>
            <wp:effectExtent l="0" t="0" r="9525" b="3810"/>
            <wp:docPr id="6" name="图片 6" descr="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3"/>
                    <pic:cNvPicPr>
                      <a:picLocks noChangeAspect="true"/>
                    </pic:cNvPicPr>
                  </pic:nvPicPr>
                  <pic:blipFill>
                    <a:blip r:embed="rId7"/>
                    <a:stretch>
                      <a:fillRect/>
                    </a:stretch>
                  </pic:blipFill>
                  <pic:spPr>
                    <a:xfrm>
                      <a:off x="0" y="0"/>
                      <a:ext cx="2295525" cy="1405890"/>
                    </a:xfrm>
                    <a:prstGeom prst="rect">
                      <a:avLst/>
                    </a:prstGeom>
                  </pic:spPr>
                </pic:pic>
              </a:graphicData>
            </a:graphic>
          </wp:inline>
        </w:drawing>
      </w:r>
      <w:r>
        <w:rPr>
          <w:rFonts w:hint="eastAsia" w:eastAsia="仿宋_GB2312"/>
          <w:sz w:val="32"/>
          <w:szCs w:val="28"/>
          <w:highlight w:val="none"/>
          <w:lang w:val="en-US" w:eastAsia="zh-CN"/>
        </w:rPr>
        <w:t xml:space="preserve">  </w:t>
      </w:r>
      <w:r>
        <w:rPr>
          <w:rFonts w:hint="eastAsia" w:eastAsia="仿宋_GB2312"/>
          <w:sz w:val="32"/>
          <w:szCs w:val="28"/>
          <w:highlight w:val="none"/>
          <w:lang w:eastAsia="zh-CN"/>
        </w:rPr>
        <w:drawing>
          <wp:inline distT="0" distB="0" distL="114300" distR="114300">
            <wp:extent cx="2255520" cy="1417955"/>
            <wp:effectExtent l="0" t="0" r="11430" b="10795"/>
            <wp:docPr id="5" name="图片 5" descr="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true"/>
                    </pic:cNvPicPr>
                  </pic:nvPicPr>
                  <pic:blipFill>
                    <a:blip r:embed="rId8"/>
                    <a:stretch>
                      <a:fillRect/>
                    </a:stretch>
                  </pic:blipFill>
                  <pic:spPr>
                    <a:xfrm>
                      <a:off x="0" y="0"/>
                      <a:ext cx="2255520" cy="1417955"/>
                    </a:xfrm>
                    <a:prstGeom prst="rect">
                      <a:avLst/>
                    </a:prstGeom>
                  </pic:spPr>
                </pic:pic>
              </a:graphicData>
            </a:graphic>
          </wp:inline>
        </w:drawing>
      </w:r>
    </w:p>
    <w:p>
      <w:pPr>
        <w:spacing w:line="500" w:lineRule="exact"/>
        <w:jc w:val="center"/>
        <w:rPr>
          <w:rFonts w:hint="default" w:eastAsia="黑体" w:cs="黑体"/>
          <w:sz w:val="28"/>
          <w:szCs w:val="28"/>
          <w:highlight w:val="none"/>
          <w:lang w:val="en-US" w:eastAsia="zh-CN"/>
        </w:rPr>
      </w:pPr>
      <w:r>
        <w:rPr>
          <w:rFonts w:hint="eastAsia" w:eastAsia="黑体" w:cs="黑体"/>
          <w:sz w:val="28"/>
          <w:szCs w:val="28"/>
          <w:highlight w:val="none"/>
          <w:lang w:val="en-US" w:eastAsia="zh-CN"/>
        </w:rPr>
        <w:t>便携式</w:t>
      </w:r>
    </w:p>
    <w:p>
      <w:pPr>
        <w:overflowPunct w:val="0"/>
        <w:ind w:left="0" w:leftChars="0" w:firstLine="0" w:firstLineChars="0"/>
        <w:jc w:val="center"/>
        <w:rPr>
          <w:rFonts w:hint="eastAsia" w:eastAsia="仿宋_GB2312"/>
          <w:sz w:val="32"/>
          <w:szCs w:val="28"/>
          <w:highlight w:val="none"/>
          <w:lang w:eastAsia="zh-CN"/>
        </w:rPr>
      </w:pPr>
      <w:r>
        <w:rPr>
          <w:rFonts w:hint="eastAsia" w:eastAsia="仿宋_GB2312"/>
          <w:sz w:val="32"/>
          <w:szCs w:val="28"/>
          <w:highlight w:val="none"/>
          <w:lang w:eastAsia="zh-CN"/>
        </w:rPr>
        <w:drawing>
          <wp:inline distT="0" distB="0" distL="114300" distR="114300">
            <wp:extent cx="2653030" cy="2575560"/>
            <wp:effectExtent l="0" t="0" r="13970" b="15240"/>
            <wp:docPr id="2" name="图片 2" descr="立式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立式1"/>
                    <pic:cNvPicPr>
                      <a:picLocks noChangeAspect="true"/>
                    </pic:cNvPicPr>
                  </pic:nvPicPr>
                  <pic:blipFill>
                    <a:blip r:embed="rId9"/>
                    <a:stretch>
                      <a:fillRect/>
                    </a:stretch>
                  </pic:blipFill>
                  <pic:spPr>
                    <a:xfrm>
                      <a:off x="0" y="0"/>
                      <a:ext cx="2653030" cy="2575560"/>
                    </a:xfrm>
                    <a:prstGeom prst="rect">
                      <a:avLst/>
                    </a:prstGeom>
                  </pic:spPr>
                </pic:pic>
              </a:graphicData>
            </a:graphic>
          </wp:inline>
        </w:drawing>
      </w:r>
    </w:p>
    <w:p>
      <w:pPr>
        <w:spacing w:line="500" w:lineRule="exact"/>
        <w:jc w:val="center"/>
        <w:rPr>
          <w:rFonts w:hint="eastAsia" w:eastAsia="黑体" w:cs="黑体"/>
          <w:sz w:val="28"/>
          <w:szCs w:val="28"/>
          <w:highlight w:val="none"/>
          <w:lang w:val="en-US" w:eastAsia="zh-CN"/>
        </w:rPr>
      </w:pPr>
      <w:r>
        <w:rPr>
          <w:rFonts w:hint="eastAsia" w:eastAsia="黑体" w:cs="黑体"/>
          <w:sz w:val="28"/>
          <w:szCs w:val="28"/>
          <w:highlight w:val="none"/>
          <w:lang w:val="en-US" w:eastAsia="zh-CN"/>
        </w:rPr>
        <w:t>立式</w:t>
      </w:r>
    </w:p>
    <w:p>
      <w:pPr>
        <w:spacing w:line="500" w:lineRule="exact"/>
        <w:ind w:firstLine="560" w:firstLineChars="200"/>
        <w:jc w:val="center"/>
        <w:rPr>
          <w:rFonts w:eastAsia="黑体"/>
          <w:sz w:val="32"/>
          <w:highlight w:val="none"/>
        </w:rPr>
      </w:pPr>
      <w:r>
        <w:rPr>
          <w:rFonts w:hint="eastAsia" w:eastAsia="黑体" w:cs="仿宋"/>
          <w:sz w:val="28"/>
          <w:szCs w:val="28"/>
          <w:highlight w:val="none"/>
        </w:rPr>
        <w:t xml:space="preserve">图1 </w:t>
      </w:r>
      <w:r>
        <w:rPr>
          <w:rFonts w:hint="eastAsia" w:eastAsia="黑体" w:cs="黑体"/>
          <w:sz w:val="28"/>
          <w:szCs w:val="28"/>
          <w:highlight w:val="none"/>
        </w:rPr>
        <w:t>产品示例</w:t>
      </w:r>
      <w:r>
        <w:rPr>
          <w:rFonts w:hint="eastAsia" w:eastAsia="黑体" w:cs="仿宋"/>
          <w:sz w:val="28"/>
          <w:szCs w:val="28"/>
          <w:highlight w:val="none"/>
        </w:rPr>
        <w:t>（</w:t>
      </w:r>
      <w:r>
        <w:rPr>
          <w:rFonts w:hint="eastAsia" w:eastAsia="黑体" w:cs="仿宋"/>
          <w:sz w:val="28"/>
          <w:szCs w:val="28"/>
          <w:highlight w:val="none"/>
          <w:lang w:val="en-US" w:eastAsia="zh-CN"/>
        </w:rPr>
        <w:t>立式</w:t>
      </w:r>
      <w:r>
        <w:rPr>
          <w:rFonts w:hint="eastAsia" w:eastAsia="黑体" w:cs="仿宋"/>
          <w:sz w:val="28"/>
          <w:szCs w:val="28"/>
          <w:highlight w:val="none"/>
        </w:rPr>
        <w:t>、便携式</w:t>
      </w:r>
      <w:r>
        <w:rPr>
          <w:rFonts w:hint="eastAsia" w:eastAsia="黑体" w:cs="黑体"/>
          <w:sz w:val="28"/>
          <w:szCs w:val="28"/>
          <w:highlight w:val="none"/>
        </w:rPr>
        <w:t>）</w:t>
      </w:r>
    </w:p>
    <w:p>
      <w:pPr>
        <w:pStyle w:val="49"/>
        <w:overflowPunct w:val="0"/>
        <w:autoSpaceDE w:val="0"/>
        <w:autoSpaceDN w:val="0"/>
        <w:spacing w:line="520" w:lineRule="exact"/>
        <w:ind w:right="210" w:firstLine="640"/>
        <w:outlineLvl w:val="3"/>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1</w:t>
      </w:r>
      <w:r>
        <w:rPr>
          <w:rFonts w:ascii="Times New Roman" w:hAnsi="Times New Roman" w:eastAsia="仿宋_GB2312"/>
          <w:sz w:val="32"/>
          <w:szCs w:val="32"/>
          <w:highlight w:val="none"/>
        </w:rPr>
        <w:t>.</w:t>
      </w:r>
      <w:r>
        <w:rPr>
          <w:rFonts w:hint="eastAsia" w:ascii="Times New Roman" w:hAnsi="Times New Roman" w:eastAsia="仿宋_GB2312"/>
          <w:sz w:val="32"/>
          <w:szCs w:val="32"/>
          <w:highlight w:val="none"/>
        </w:rPr>
        <w:t>2</w:t>
      </w:r>
      <w:r>
        <w:rPr>
          <w:rFonts w:ascii="Times New Roman" w:hAnsi="Times New Roman" w:eastAsia="仿宋_GB2312"/>
          <w:sz w:val="32"/>
          <w:szCs w:val="32"/>
          <w:highlight w:val="none"/>
        </w:rPr>
        <w:t>型号规格</w:t>
      </w:r>
    </w:p>
    <w:p>
      <w:pPr>
        <w:spacing w:line="520" w:lineRule="exact"/>
        <w:ind w:firstLine="640" w:firstLineChars="200"/>
        <w:rPr>
          <w:rFonts w:eastAsia="仿宋_GB2312"/>
          <w:snapToGrid w:val="0"/>
          <w:kern w:val="0"/>
          <w:sz w:val="32"/>
          <w:szCs w:val="32"/>
          <w:highlight w:val="none"/>
        </w:rPr>
      </w:pPr>
      <w:r>
        <w:rPr>
          <w:rFonts w:hint="eastAsia" w:eastAsia="仿宋_GB2312"/>
          <w:snapToGrid w:val="0"/>
          <w:kern w:val="0"/>
          <w:sz w:val="32"/>
          <w:szCs w:val="32"/>
          <w:highlight w:val="none"/>
        </w:rPr>
        <w:t>需明确申报产品的型号规格。产品</w:t>
      </w:r>
      <w:r>
        <w:rPr>
          <w:rFonts w:eastAsia="仿宋_GB2312"/>
          <w:snapToGrid w:val="0"/>
          <w:kern w:val="0"/>
          <w:sz w:val="32"/>
          <w:szCs w:val="32"/>
          <w:highlight w:val="none"/>
        </w:rPr>
        <w:t>型号规格及其划分，</w:t>
      </w:r>
      <w:r>
        <w:rPr>
          <w:rFonts w:hint="eastAsia" w:eastAsia="仿宋_GB2312"/>
          <w:snapToGrid w:val="0"/>
          <w:kern w:val="0"/>
          <w:sz w:val="32"/>
          <w:szCs w:val="32"/>
          <w:highlight w:val="none"/>
        </w:rPr>
        <w:t>如同一个注册单元包含多个型号规格，需</w:t>
      </w:r>
      <w:r>
        <w:rPr>
          <w:rFonts w:eastAsia="仿宋_GB2312"/>
          <w:snapToGrid w:val="0"/>
          <w:kern w:val="0"/>
          <w:sz w:val="32"/>
          <w:szCs w:val="32"/>
          <w:highlight w:val="none"/>
        </w:rPr>
        <w:t>提供产品型号规格区分列表或配置表。</w:t>
      </w:r>
    </w:p>
    <w:p>
      <w:pPr>
        <w:spacing w:line="520" w:lineRule="exact"/>
        <w:ind w:firstLine="645"/>
        <w:outlineLvl w:val="3"/>
        <w:rPr>
          <w:rFonts w:eastAsia="仿宋_GB2312"/>
          <w:snapToGrid w:val="0"/>
          <w:kern w:val="0"/>
          <w:sz w:val="32"/>
          <w:szCs w:val="32"/>
          <w:highlight w:val="none"/>
        </w:rPr>
      </w:pPr>
      <w:r>
        <w:rPr>
          <w:rFonts w:eastAsia="仿宋_GB2312"/>
          <w:snapToGrid w:val="0"/>
          <w:kern w:val="0"/>
          <w:sz w:val="32"/>
          <w:szCs w:val="32"/>
          <w:highlight w:val="none"/>
        </w:rPr>
        <w:t>1.</w:t>
      </w:r>
      <w:r>
        <w:rPr>
          <w:rFonts w:hint="eastAsia" w:eastAsia="仿宋_GB2312"/>
          <w:snapToGrid w:val="0"/>
          <w:kern w:val="0"/>
          <w:sz w:val="32"/>
          <w:szCs w:val="32"/>
          <w:highlight w:val="none"/>
        </w:rPr>
        <w:t>3</w:t>
      </w:r>
      <w:r>
        <w:rPr>
          <w:rFonts w:eastAsia="仿宋_GB2312"/>
          <w:snapToGrid w:val="0"/>
          <w:kern w:val="0"/>
          <w:sz w:val="32"/>
          <w:szCs w:val="32"/>
          <w:highlight w:val="none"/>
        </w:rPr>
        <w:t>包装说明</w:t>
      </w:r>
    </w:p>
    <w:p>
      <w:pPr>
        <w:spacing w:line="520" w:lineRule="exact"/>
        <w:ind w:firstLine="645"/>
        <w:rPr>
          <w:rFonts w:eastAsia="仿宋_GB2312"/>
          <w:snapToGrid w:val="0"/>
          <w:kern w:val="0"/>
          <w:sz w:val="32"/>
          <w:szCs w:val="32"/>
          <w:highlight w:val="none"/>
        </w:rPr>
      </w:pPr>
      <w:r>
        <w:rPr>
          <w:rFonts w:hint="eastAsia" w:eastAsia="仿宋_GB2312"/>
          <w:snapToGrid w:val="0"/>
          <w:kern w:val="0"/>
          <w:sz w:val="32"/>
          <w:szCs w:val="32"/>
          <w:highlight w:val="none"/>
        </w:rPr>
        <w:t>应提供人体成分分析设备设备的包装信息，如包装材料、用途等，如有多层包装应分别提供，并提供各层包装的图示。说明如何确保最终使用者可清晰地辨识包装的完整性。</w:t>
      </w:r>
    </w:p>
    <w:p>
      <w:pPr>
        <w:spacing w:line="520" w:lineRule="exact"/>
        <w:ind w:firstLine="645"/>
        <w:outlineLvl w:val="3"/>
        <w:rPr>
          <w:rFonts w:eastAsia="仿宋_GB2312"/>
          <w:snapToGrid w:val="0"/>
          <w:kern w:val="0"/>
          <w:sz w:val="32"/>
          <w:szCs w:val="32"/>
          <w:highlight w:val="none"/>
        </w:rPr>
      </w:pPr>
      <w:r>
        <w:rPr>
          <w:rFonts w:eastAsia="仿宋_GB2312"/>
          <w:snapToGrid w:val="0"/>
          <w:kern w:val="0"/>
          <w:sz w:val="32"/>
          <w:szCs w:val="32"/>
          <w:highlight w:val="none"/>
        </w:rPr>
        <w:t>1.</w:t>
      </w:r>
      <w:r>
        <w:rPr>
          <w:rFonts w:hint="eastAsia" w:eastAsia="仿宋_GB2312"/>
          <w:snapToGrid w:val="0"/>
          <w:kern w:val="0"/>
          <w:sz w:val="32"/>
          <w:szCs w:val="32"/>
          <w:highlight w:val="none"/>
        </w:rPr>
        <w:t>4</w:t>
      </w:r>
      <w:r>
        <w:rPr>
          <w:rFonts w:eastAsia="仿宋_GB2312"/>
          <w:snapToGrid w:val="0"/>
          <w:kern w:val="0"/>
          <w:sz w:val="32"/>
          <w:szCs w:val="32"/>
          <w:highlight w:val="none"/>
        </w:rPr>
        <w:t>研发历程</w:t>
      </w:r>
    </w:p>
    <w:p>
      <w:pPr>
        <w:spacing w:line="520" w:lineRule="exact"/>
        <w:ind w:firstLine="645"/>
        <w:rPr>
          <w:rFonts w:eastAsia="仿宋_GB2312"/>
          <w:snapToGrid w:val="0"/>
          <w:kern w:val="0"/>
          <w:sz w:val="32"/>
          <w:szCs w:val="32"/>
          <w:highlight w:val="none"/>
        </w:rPr>
      </w:pPr>
      <w:r>
        <w:rPr>
          <w:rFonts w:eastAsia="仿宋_GB2312"/>
          <w:snapToGrid w:val="0"/>
          <w:kern w:val="0"/>
          <w:sz w:val="32"/>
          <w:szCs w:val="32"/>
          <w:highlight w:val="none"/>
        </w:rPr>
        <w:t>阐述申请注册产品的研发背景和目的。如有参考的同类产品或前代产品，应当提供同类产品或前代产品的信息，并说明选择其作为研发参考的原因。</w:t>
      </w:r>
    </w:p>
    <w:p>
      <w:pPr>
        <w:spacing w:line="520" w:lineRule="exact"/>
        <w:ind w:firstLine="645"/>
        <w:outlineLvl w:val="3"/>
        <w:rPr>
          <w:rFonts w:eastAsia="仿宋_GB2312"/>
          <w:snapToGrid w:val="0"/>
          <w:kern w:val="0"/>
          <w:sz w:val="32"/>
          <w:szCs w:val="32"/>
          <w:highlight w:val="none"/>
        </w:rPr>
      </w:pPr>
      <w:r>
        <w:rPr>
          <w:rFonts w:eastAsia="仿宋_GB2312"/>
          <w:snapToGrid w:val="0"/>
          <w:kern w:val="0"/>
          <w:sz w:val="32"/>
          <w:szCs w:val="32"/>
          <w:highlight w:val="none"/>
        </w:rPr>
        <w:t>1.</w:t>
      </w:r>
      <w:r>
        <w:rPr>
          <w:rFonts w:hint="eastAsia" w:eastAsia="仿宋_GB2312"/>
          <w:snapToGrid w:val="0"/>
          <w:kern w:val="0"/>
          <w:sz w:val="32"/>
          <w:szCs w:val="32"/>
          <w:highlight w:val="none"/>
        </w:rPr>
        <w:t>5</w:t>
      </w:r>
      <w:r>
        <w:rPr>
          <w:rFonts w:eastAsia="仿宋_GB2312"/>
          <w:snapToGrid w:val="0"/>
          <w:kern w:val="0"/>
          <w:sz w:val="32"/>
          <w:szCs w:val="32"/>
          <w:highlight w:val="none"/>
        </w:rPr>
        <w:t>与同类和/或前代产品的参考和比较</w:t>
      </w:r>
    </w:p>
    <w:p>
      <w:pPr>
        <w:spacing w:line="520" w:lineRule="exact"/>
        <w:ind w:firstLine="645"/>
        <w:rPr>
          <w:highlight w:val="none"/>
        </w:rPr>
      </w:pPr>
      <w:r>
        <w:rPr>
          <w:rFonts w:eastAsia="仿宋_GB2312"/>
          <w:snapToGrid w:val="0"/>
          <w:kern w:val="0"/>
          <w:sz w:val="32"/>
          <w:szCs w:val="32"/>
          <w:highlight w:val="none"/>
        </w:rPr>
        <w:t>列表比较说明申报产品与同类产品和/或前代产品在工作原理、结构组成、制造材料、性能指标、作用方式，以及适用范围等方面的异同。</w:t>
      </w:r>
    </w:p>
    <w:p>
      <w:pPr>
        <w:spacing w:line="520" w:lineRule="exact"/>
        <w:ind w:firstLine="640" w:firstLineChars="200"/>
        <w:outlineLvl w:val="2"/>
        <w:rPr>
          <w:rFonts w:eastAsia="仿宋_GB2312"/>
          <w:highlight w:val="none"/>
        </w:rPr>
      </w:pPr>
      <w:r>
        <w:rPr>
          <w:rFonts w:hint="eastAsia" w:eastAsia="仿宋_GB2312"/>
          <w:sz w:val="32"/>
          <w:szCs w:val="32"/>
          <w:highlight w:val="none"/>
        </w:rPr>
        <w:t>2.适用范围和禁忌证</w:t>
      </w:r>
    </w:p>
    <w:p>
      <w:pPr>
        <w:pStyle w:val="49"/>
        <w:overflowPunct w:val="0"/>
        <w:autoSpaceDE w:val="0"/>
        <w:autoSpaceDN w:val="0"/>
        <w:spacing w:line="520" w:lineRule="exact"/>
        <w:ind w:right="210" w:firstLine="640"/>
        <w:outlineLvl w:val="3"/>
        <w:rPr>
          <w:rFonts w:ascii="Times New Roman" w:hAnsi="Times New Roman" w:eastAsia="仿宋_GB2312"/>
          <w:snapToGrid w:val="0"/>
          <w:kern w:val="0"/>
          <w:sz w:val="32"/>
          <w:szCs w:val="32"/>
          <w:highlight w:val="none"/>
        </w:rPr>
      </w:pPr>
      <w:r>
        <w:rPr>
          <w:rFonts w:hint="eastAsia" w:ascii="Times New Roman" w:hAnsi="Times New Roman" w:eastAsia="仿宋_GB2312"/>
          <w:snapToGrid w:val="0"/>
          <w:kern w:val="0"/>
          <w:sz w:val="32"/>
          <w:szCs w:val="32"/>
          <w:highlight w:val="none"/>
        </w:rPr>
        <w:t>2.1</w:t>
      </w:r>
      <w:r>
        <w:rPr>
          <w:rFonts w:ascii="Times New Roman" w:hAnsi="Times New Roman" w:eastAsia="仿宋_GB2312"/>
          <w:snapToGrid w:val="0"/>
          <w:kern w:val="0"/>
          <w:sz w:val="32"/>
          <w:szCs w:val="32"/>
          <w:highlight w:val="none"/>
        </w:rPr>
        <w:t>适用范围</w:t>
      </w:r>
    </w:p>
    <w:p>
      <w:pPr>
        <w:pStyle w:val="49"/>
        <w:overflowPunct w:val="0"/>
        <w:autoSpaceDE w:val="0"/>
        <w:autoSpaceDN w:val="0"/>
        <w:spacing w:line="520" w:lineRule="exact"/>
        <w:ind w:right="210" w:firstLine="640"/>
        <w:outlineLvl w:val="3"/>
        <w:rPr>
          <w:rFonts w:ascii="Times New Roman" w:hAnsi="Times New Roman" w:eastAsia="仿宋_GB2312"/>
          <w:sz w:val="32"/>
          <w:szCs w:val="28"/>
          <w:highlight w:val="none"/>
        </w:rPr>
      </w:pPr>
      <w:r>
        <w:rPr>
          <w:rFonts w:hint="eastAsia" w:ascii="Times New Roman" w:hAnsi="Times New Roman" w:eastAsia="仿宋_GB2312"/>
          <w:sz w:val="32"/>
          <w:szCs w:val="28"/>
          <w:highlight w:val="none"/>
        </w:rPr>
        <w:t>用于分析人体脂肪含量、身体水分、基础代谢与体重比等参考数值。</w:t>
      </w:r>
    </w:p>
    <w:p>
      <w:pPr>
        <w:pStyle w:val="49"/>
        <w:overflowPunct w:val="0"/>
        <w:autoSpaceDE w:val="0"/>
        <w:autoSpaceDN w:val="0"/>
        <w:spacing w:line="520" w:lineRule="exact"/>
        <w:ind w:right="210" w:firstLine="640"/>
        <w:outlineLvl w:val="3"/>
        <w:rPr>
          <w:rFonts w:ascii="Times New Roman" w:hAnsi="Times New Roman" w:eastAsia="仿宋_GB2312"/>
          <w:sz w:val="32"/>
          <w:szCs w:val="28"/>
          <w:highlight w:val="none"/>
        </w:rPr>
      </w:pPr>
      <w:r>
        <w:rPr>
          <w:rFonts w:hint="eastAsia" w:ascii="Times New Roman" w:hAnsi="Times New Roman" w:eastAsia="仿宋_GB2312"/>
          <w:sz w:val="32"/>
          <w:szCs w:val="28"/>
          <w:highlight w:val="none"/>
        </w:rPr>
        <w:t>2.2</w:t>
      </w:r>
      <w:r>
        <w:rPr>
          <w:rFonts w:ascii="Times New Roman" w:hAnsi="Times New Roman" w:eastAsia="仿宋_GB2312"/>
          <w:sz w:val="32"/>
          <w:szCs w:val="28"/>
          <w:highlight w:val="none"/>
        </w:rPr>
        <w:t>预期使用环境</w:t>
      </w:r>
    </w:p>
    <w:p>
      <w:pPr>
        <w:overflowPunct w:val="0"/>
        <w:autoSpaceDE w:val="0"/>
        <w:autoSpaceDN w:val="0"/>
        <w:spacing w:line="520" w:lineRule="exact"/>
        <w:ind w:firstLine="640" w:firstLineChars="200"/>
        <w:rPr>
          <w:rFonts w:eastAsia="仿宋_GB2312"/>
          <w:sz w:val="32"/>
          <w:szCs w:val="28"/>
          <w:highlight w:val="none"/>
        </w:rPr>
      </w:pPr>
      <w:r>
        <w:rPr>
          <w:rFonts w:hint="eastAsia" w:eastAsia="仿宋_GB2312"/>
          <w:sz w:val="32"/>
          <w:szCs w:val="28"/>
          <w:highlight w:val="none"/>
        </w:rPr>
        <w:t>需</w:t>
      </w:r>
      <w:r>
        <w:rPr>
          <w:rFonts w:eastAsia="仿宋_GB2312"/>
          <w:sz w:val="32"/>
          <w:szCs w:val="28"/>
          <w:highlight w:val="none"/>
        </w:rPr>
        <w:t>明确</w:t>
      </w:r>
      <w:r>
        <w:rPr>
          <w:rFonts w:hint="eastAsia" w:eastAsia="仿宋_GB2312"/>
          <w:sz w:val="32"/>
          <w:szCs w:val="28"/>
          <w:highlight w:val="none"/>
        </w:rPr>
        <w:t>产品</w:t>
      </w:r>
      <w:r>
        <w:rPr>
          <w:rFonts w:eastAsia="仿宋_GB2312"/>
          <w:sz w:val="32"/>
          <w:szCs w:val="28"/>
          <w:highlight w:val="none"/>
        </w:rPr>
        <w:t>使用场</w:t>
      </w:r>
      <w:r>
        <w:rPr>
          <w:rFonts w:hint="eastAsia" w:eastAsia="仿宋_GB2312"/>
          <w:sz w:val="32"/>
          <w:szCs w:val="28"/>
          <w:highlight w:val="none"/>
        </w:rPr>
        <w:t>所</w:t>
      </w:r>
      <w:r>
        <w:rPr>
          <w:rFonts w:eastAsia="仿宋_GB2312"/>
          <w:sz w:val="32"/>
          <w:szCs w:val="28"/>
          <w:highlight w:val="none"/>
        </w:rPr>
        <w:t>和使用环境要求。</w:t>
      </w:r>
    </w:p>
    <w:p>
      <w:pPr>
        <w:spacing w:line="520" w:lineRule="exact"/>
        <w:ind w:firstLine="640" w:firstLineChars="200"/>
        <w:rPr>
          <w:rFonts w:eastAsia="仿宋_GB2312"/>
          <w:sz w:val="32"/>
          <w:szCs w:val="28"/>
          <w:highlight w:val="none"/>
        </w:rPr>
      </w:pPr>
      <w:r>
        <w:rPr>
          <w:rFonts w:hint="eastAsia" w:eastAsia="仿宋_GB2312"/>
          <w:sz w:val="32"/>
          <w:szCs w:val="28"/>
          <w:highlight w:val="none"/>
        </w:rPr>
        <w:t>应说明使用场所，例如，应参照</w:t>
      </w:r>
      <w:r>
        <w:rPr>
          <w:highlight w:val="none"/>
        </w:rPr>
        <w:fldChar w:fldCharType="begin"/>
      </w:r>
      <w:r>
        <w:rPr>
          <w:highlight w:val="none"/>
        </w:rPr>
        <w:instrText xml:space="preserve"> HYPERLINK "javascript:;" </w:instrText>
      </w:r>
      <w:r>
        <w:rPr>
          <w:highlight w:val="none"/>
        </w:rPr>
        <w:fldChar w:fldCharType="separate"/>
      </w:r>
      <w:r>
        <w:rPr>
          <w:rFonts w:hint="eastAsia" w:eastAsia="仿宋_GB2312"/>
          <w:sz w:val="32"/>
          <w:szCs w:val="28"/>
          <w:highlight w:val="none"/>
        </w:rPr>
        <w:t>GB 9706.1</w:t>
      </w:r>
      <w:r>
        <w:rPr>
          <w:rFonts w:hint="eastAsia" w:eastAsia="仿宋_GB2312"/>
          <w:sz w:val="32"/>
          <w:szCs w:val="28"/>
          <w:highlight w:val="none"/>
        </w:rPr>
        <w:fldChar w:fldCharType="end"/>
      </w:r>
      <w:r>
        <w:rPr>
          <w:rFonts w:hint="eastAsia" w:eastAsia="仿宋_GB2312"/>
          <w:sz w:val="32"/>
          <w:szCs w:val="28"/>
          <w:highlight w:val="none"/>
        </w:rPr>
        <w:t>说明推荐</w:t>
      </w:r>
      <w:r>
        <w:rPr>
          <w:rFonts w:eastAsia="仿宋_GB2312"/>
          <w:sz w:val="32"/>
          <w:szCs w:val="28"/>
          <w:highlight w:val="none"/>
        </w:rPr>
        <w:t>的硬件使用</w:t>
      </w:r>
      <w:r>
        <w:rPr>
          <w:rFonts w:hint="eastAsia" w:eastAsia="仿宋_GB2312"/>
          <w:sz w:val="32"/>
          <w:szCs w:val="28"/>
          <w:highlight w:val="none"/>
        </w:rPr>
        <w:t>条件，如</w:t>
      </w:r>
      <w:r>
        <w:rPr>
          <w:rFonts w:eastAsia="仿宋_GB2312"/>
          <w:sz w:val="32"/>
          <w:szCs w:val="28"/>
          <w:highlight w:val="none"/>
        </w:rPr>
        <w:t>适宜温度、湿度</w:t>
      </w:r>
      <w:r>
        <w:rPr>
          <w:rFonts w:hint="eastAsia" w:eastAsia="仿宋_GB2312"/>
          <w:sz w:val="32"/>
          <w:szCs w:val="28"/>
          <w:highlight w:val="none"/>
        </w:rPr>
        <w:t>、海拔高度等</w:t>
      </w:r>
      <w:r>
        <w:rPr>
          <w:rFonts w:eastAsia="仿宋_GB2312"/>
          <w:sz w:val="32"/>
          <w:szCs w:val="28"/>
          <w:highlight w:val="none"/>
        </w:rPr>
        <w:t>。</w:t>
      </w:r>
    </w:p>
    <w:p>
      <w:pPr>
        <w:spacing w:line="520" w:lineRule="exact"/>
        <w:ind w:firstLine="640" w:firstLineChars="200"/>
        <w:rPr>
          <w:rFonts w:eastAsia="仿宋_GB2312"/>
          <w:sz w:val="32"/>
          <w:szCs w:val="28"/>
          <w:highlight w:val="none"/>
        </w:rPr>
      </w:pPr>
      <w:r>
        <w:rPr>
          <w:rFonts w:hint="eastAsia" w:eastAsia="仿宋_GB2312"/>
          <w:sz w:val="32"/>
          <w:szCs w:val="28"/>
          <w:highlight w:val="none"/>
        </w:rPr>
        <w:t>2</w:t>
      </w:r>
      <w:r>
        <w:rPr>
          <w:rFonts w:eastAsia="仿宋_GB2312"/>
          <w:sz w:val="32"/>
          <w:szCs w:val="28"/>
          <w:highlight w:val="none"/>
        </w:rPr>
        <w:t>.3适用人群</w:t>
      </w:r>
    </w:p>
    <w:p>
      <w:pPr>
        <w:pStyle w:val="49"/>
        <w:overflowPunct w:val="0"/>
        <w:autoSpaceDE w:val="0"/>
        <w:autoSpaceDN w:val="0"/>
        <w:spacing w:line="520" w:lineRule="exact"/>
        <w:ind w:right="210" w:firstLine="640"/>
        <w:outlineLvl w:val="4"/>
        <w:rPr>
          <w:rFonts w:ascii="Times New Roman" w:hAnsi="Times New Roman" w:eastAsia="仿宋_GB2312"/>
          <w:sz w:val="32"/>
          <w:szCs w:val="28"/>
          <w:highlight w:val="none"/>
        </w:rPr>
      </w:pPr>
      <w:r>
        <w:rPr>
          <w:rFonts w:hint="eastAsia" w:ascii="Times New Roman" w:hAnsi="Times New Roman" w:eastAsia="仿宋_GB2312"/>
          <w:sz w:val="32"/>
          <w:szCs w:val="28"/>
          <w:highlight w:val="none"/>
          <w:lang w:val="en-US" w:eastAsia="zh-CN"/>
        </w:rPr>
        <w:t>明确产品适用的患者人群，如适用于成人、儿童等人群</w:t>
      </w:r>
      <w:r>
        <w:rPr>
          <w:rFonts w:ascii="Times New Roman" w:hAnsi="Times New Roman" w:eastAsia="仿宋_GB2312"/>
          <w:sz w:val="32"/>
          <w:szCs w:val="28"/>
          <w:highlight w:val="none"/>
        </w:rPr>
        <w:t>。</w:t>
      </w:r>
    </w:p>
    <w:p>
      <w:pPr>
        <w:spacing w:line="520" w:lineRule="exact"/>
        <w:ind w:firstLine="645"/>
        <w:outlineLvl w:val="3"/>
        <w:rPr>
          <w:rFonts w:eastAsia="仿宋_GB2312"/>
          <w:sz w:val="32"/>
          <w:szCs w:val="28"/>
          <w:highlight w:val="none"/>
        </w:rPr>
      </w:pPr>
      <w:r>
        <w:rPr>
          <w:rFonts w:eastAsia="仿宋_GB2312"/>
          <w:sz w:val="32"/>
          <w:szCs w:val="28"/>
          <w:highlight w:val="none"/>
        </w:rPr>
        <w:t>2.4禁忌</w:t>
      </w:r>
      <w:r>
        <w:rPr>
          <w:rFonts w:hint="eastAsia" w:eastAsia="仿宋_GB2312"/>
          <w:sz w:val="32"/>
          <w:szCs w:val="28"/>
          <w:highlight w:val="none"/>
        </w:rPr>
        <w:t>证</w:t>
      </w:r>
    </w:p>
    <w:p>
      <w:pPr>
        <w:spacing w:line="520" w:lineRule="exact"/>
        <w:ind w:firstLine="645"/>
        <w:rPr>
          <w:rFonts w:eastAsia="仿宋_GB2312"/>
          <w:sz w:val="32"/>
          <w:szCs w:val="28"/>
          <w:highlight w:val="none"/>
        </w:rPr>
      </w:pPr>
      <w:r>
        <w:rPr>
          <w:rFonts w:hint="eastAsia" w:eastAsia="仿宋_GB2312"/>
          <w:snapToGrid w:val="0"/>
          <w:kern w:val="0"/>
          <w:sz w:val="32"/>
          <w:szCs w:val="32"/>
          <w:highlight w:val="none"/>
        </w:rPr>
        <w:t>应说明申报产品临床应用的禁忌证，应当明确说明申报产品不适宜应用的特定人群或特定情况等信息。</w:t>
      </w:r>
      <w:r>
        <w:rPr>
          <w:rFonts w:hint="eastAsia" w:eastAsia="仿宋_GB2312"/>
          <w:snapToGrid w:val="0"/>
          <w:kern w:val="0"/>
          <w:sz w:val="32"/>
          <w:szCs w:val="32"/>
          <w:highlight w:val="none"/>
          <w:lang w:val="en-US" w:eastAsia="zh-CN"/>
        </w:rPr>
        <w:t>包括但不限于</w:t>
      </w:r>
      <w:r>
        <w:rPr>
          <w:rFonts w:hint="eastAsia" w:eastAsia="仿宋_GB2312"/>
          <w:snapToGrid w:val="0"/>
          <w:kern w:val="0"/>
          <w:sz w:val="32"/>
          <w:szCs w:val="32"/>
          <w:highlight w:val="none"/>
        </w:rPr>
        <w:t>：</w:t>
      </w:r>
      <w:r>
        <w:rPr>
          <w:rFonts w:hint="eastAsia" w:eastAsia="仿宋_GB2312"/>
          <w:sz w:val="32"/>
          <w:szCs w:val="28"/>
          <w:highlight w:val="none"/>
        </w:rPr>
        <w:t>禁止植入电子装置</w:t>
      </w:r>
      <w:r>
        <w:rPr>
          <w:rFonts w:hint="eastAsia" w:eastAsia="仿宋_GB2312"/>
          <w:sz w:val="32"/>
          <w:szCs w:val="28"/>
          <w:highlight w:val="none"/>
          <w:lang w:eastAsia="zh-CN"/>
        </w:rPr>
        <w:t>（</w:t>
      </w:r>
      <w:r>
        <w:rPr>
          <w:rFonts w:hint="eastAsia" w:eastAsia="仿宋_GB2312"/>
          <w:sz w:val="32"/>
          <w:szCs w:val="28"/>
          <w:highlight w:val="none"/>
          <w:lang w:val="en-US" w:eastAsia="zh-CN"/>
        </w:rPr>
        <w:t>如</w:t>
      </w:r>
      <w:r>
        <w:rPr>
          <w:rFonts w:eastAsia="仿宋_GB2312"/>
          <w:sz w:val="32"/>
          <w:szCs w:val="28"/>
          <w:highlight w:val="none"/>
        </w:rPr>
        <w:t>心脏起搏器</w:t>
      </w:r>
      <w:r>
        <w:rPr>
          <w:rFonts w:hint="eastAsia" w:eastAsia="仿宋_GB2312"/>
          <w:sz w:val="32"/>
          <w:szCs w:val="28"/>
          <w:highlight w:val="none"/>
          <w:lang w:eastAsia="zh-CN"/>
        </w:rPr>
        <w:t>、</w:t>
      </w:r>
      <w:r>
        <w:rPr>
          <w:rFonts w:eastAsia="仿宋_GB2312"/>
          <w:sz w:val="32"/>
          <w:szCs w:val="28"/>
          <w:highlight w:val="none"/>
        </w:rPr>
        <w:t>植入式除颤器（ICD）、心脏再同步装置</w:t>
      </w:r>
      <w:r>
        <w:rPr>
          <w:rFonts w:hint="eastAsia" w:eastAsia="仿宋_GB2312"/>
          <w:sz w:val="32"/>
          <w:szCs w:val="28"/>
          <w:highlight w:val="none"/>
          <w:lang w:eastAsia="zh-CN"/>
        </w:rPr>
        <w:t>（</w:t>
      </w:r>
      <w:r>
        <w:rPr>
          <w:rFonts w:eastAsia="仿宋_GB2312"/>
          <w:sz w:val="32"/>
          <w:szCs w:val="28"/>
          <w:highlight w:val="none"/>
        </w:rPr>
        <w:t>CRT</w:t>
      </w:r>
      <w:r>
        <w:rPr>
          <w:rFonts w:hint="eastAsia" w:eastAsia="仿宋_GB2312"/>
          <w:sz w:val="32"/>
          <w:szCs w:val="28"/>
          <w:highlight w:val="none"/>
          <w:lang w:eastAsia="zh-CN"/>
        </w:rPr>
        <w:t>）、</w:t>
      </w:r>
      <w:r>
        <w:rPr>
          <w:rFonts w:eastAsia="仿宋_GB2312"/>
          <w:sz w:val="32"/>
          <w:szCs w:val="28"/>
          <w:highlight w:val="none"/>
        </w:rPr>
        <w:t>脑深部电刺激仪（DBS）</w:t>
      </w:r>
      <w:r>
        <w:rPr>
          <w:rFonts w:hint="eastAsia" w:eastAsia="仿宋_GB2312"/>
          <w:sz w:val="32"/>
          <w:szCs w:val="28"/>
          <w:highlight w:val="none"/>
          <w:lang w:eastAsia="zh-CN"/>
        </w:rPr>
        <w:t>、</w:t>
      </w:r>
      <w:r>
        <w:rPr>
          <w:rFonts w:eastAsia="仿宋_GB2312"/>
          <w:sz w:val="32"/>
          <w:szCs w:val="28"/>
          <w:highlight w:val="none"/>
        </w:rPr>
        <w:t>佩戴心电监测植入设备、皮下心电记录仪</w:t>
      </w:r>
      <w:r>
        <w:rPr>
          <w:rFonts w:hint="eastAsia" w:eastAsia="仿宋_GB2312"/>
          <w:sz w:val="32"/>
          <w:szCs w:val="28"/>
          <w:highlight w:val="none"/>
          <w:lang w:eastAsia="zh-CN"/>
        </w:rPr>
        <w:t>）</w:t>
      </w:r>
      <w:r>
        <w:rPr>
          <w:rFonts w:hint="eastAsia" w:eastAsia="仿宋_GB2312"/>
          <w:sz w:val="32"/>
          <w:szCs w:val="28"/>
          <w:highlight w:val="none"/>
        </w:rPr>
        <w:t>或身体内部安装有</w:t>
      </w:r>
      <w:r>
        <w:rPr>
          <w:rFonts w:eastAsia="仿宋_GB2312"/>
          <w:sz w:val="32"/>
          <w:szCs w:val="28"/>
          <w:highlight w:val="none"/>
        </w:rPr>
        <w:t>金属</w:t>
      </w:r>
      <w:r>
        <w:rPr>
          <w:rFonts w:hint="eastAsia" w:eastAsia="仿宋_GB2312"/>
          <w:sz w:val="32"/>
          <w:szCs w:val="28"/>
          <w:highlight w:val="none"/>
        </w:rPr>
        <w:t>（如心脏支架、金属假肢等）者使用。</w:t>
      </w:r>
    </w:p>
    <w:p>
      <w:pPr>
        <w:spacing w:line="520" w:lineRule="exact"/>
        <w:ind w:firstLine="645"/>
        <w:outlineLvl w:val="2"/>
        <w:rPr>
          <w:rFonts w:eastAsia="仿宋_GB2312"/>
          <w:snapToGrid w:val="0"/>
          <w:kern w:val="0"/>
          <w:sz w:val="32"/>
          <w:szCs w:val="32"/>
          <w:highlight w:val="none"/>
        </w:rPr>
      </w:pPr>
      <w:r>
        <w:rPr>
          <w:rFonts w:hint="eastAsia" w:eastAsia="仿宋_GB2312"/>
          <w:snapToGrid w:val="0"/>
          <w:kern w:val="0"/>
          <w:sz w:val="32"/>
          <w:szCs w:val="32"/>
          <w:highlight w:val="none"/>
        </w:rPr>
        <w:t>3.申报产品上市历史</w:t>
      </w:r>
    </w:p>
    <w:p>
      <w:pPr>
        <w:spacing w:line="520" w:lineRule="exact"/>
        <w:ind w:firstLine="645"/>
        <w:rPr>
          <w:rFonts w:eastAsia="仿宋_GB2312"/>
          <w:snapToGrid w:val="0"/>
          <w:kern w:val="0"/>
          <w:sz w:val="32"/>
          <w:szCs w:val="32"/>
          <w:highlight w:val="none"/>
        </w:rPr>
      </w:pPr>
      <w:r>
        <w:rPr>
          <w:rFonts w:hint="eastAsia" w:eastAsia="仿宋_GB2312"/>
          <w:snapToGrid w:val="0"/>
          <w:kern w:val="0"/>
          <w:sz w:val="32"/>
          <w:szCs w:val="32"/>
          <w:highlight w:val="none"/>
        </w:rPr>
        <w:t>如适用，应当提交申报产品的下列资料：</w:t>
      </w:r>
    </w:p>
    <w:p>
      <w:pPr>
        <w:spacing w:line="520" w:lineRule="exact"/>
        <w:ind w:firstLine="645"/>
        <w:outlineLvl w:val="3"/>
        <w:rPr>
          <w:rFonts w:eastAsia="仿宋_GB2312"/>
          <w:snapToGrid w:val="0"/>
          <w:kern w:val="0"/>
          <w:sz w:val="32"/>
          <w:szCs w:val="32"/>
          <w:highlight w:val="none"/>
        </w:rPr>
      </w:pPr>
      <w:r>
        <w:rPr>
          <w:rFonts w:hint="eastAsia" w:eastAsia="仿宋_GB2312"/>
          <w:snapToGrid w:val="0"/>
          <w:kern w:val="0"/>
          <w:sz w:val="32"/>
          <w:szCs w:val="32"/>
          <w:highlight w:val="none"/>
        </w:rPr>
        <w:t>3.1上市情况</w:t>
      </w:r>
    </w:p>
    <w:p>
      <w:pPr>
        <w:spacing w:line="520" w:lineRule="exact"/>
        <w:ind w:firstLine="645"/>
        <w:rPr>
          <w:rFonts w:eastAsia="仿宋_GB2312"/>
          <w:snapToGrid w:val="0"/>
          <w:kern w:val="0"/>
          <w:sz w:val="32"/>
          <w:szCs w:val="32"/>
          <w:highlight w:val="none"/>
        </w:rPr>
      </w:pPr>
      <w:r>
        <w:rPr>
          <w:rFonts w:hint="eastAsia" w:eastAsia="仿宋_GB2312"/>
          <w:snapToGrid w:val="0"/>
          <w:kern w:val="0"/>
          <w:sz w:val="32"/>
          <w:szCs w:val="32"/>
          <w:highlight w:val="none"/>
        </w:rPr>
        <w:t>截至提交注册申请前，申报产品在各国家或地区的上市批准情况、销售情况。若申报产品在不同国家或地区上市时有差异（如设计、标签、技术参数等），应当逐一描述。</w:t>
      </w:r>
    </w:p>
    <w:p>
      <w:pPr>
        <w:spacing w:line="520" w:lineRule="exact"/>
        <w:ind w:firstLine="645"/>
        <w:outlineLvl w:val="3"/>
        <w:rPr>
          <w:rFonts w:eastAsia="仿宋_GB2312"/>
          <w:snapToGrid w:val="0"/>
          <w:kern w:val="0"/>
          <w:sz w:val="32"/>
          <w:szCs w:val="32"/>
          <w:highlight w:val="none"/>
        </w:rPr>
      </w:pPr>
      <w:r>
        <w:rPr>
          <w:rFonts w:hint="eastAsia" w:eastAsia="仿宋_GB2312"/>
          <w:snapToGrid w:val="0"/>
          <w:kern w:val="0"/>
          <w:sz w:val="32"/>
          <w:szCs w:val="32"/>
          <w:highlight w:val="none"/>
        </w:rPr>
        <w:t>3.2不良事件和召回</w:t>
      </w:r>
    </w:p>
    <w:p>
      <w:pPr>
        <w:spacing w:line="520" w:lineRule="exact"/>
        <w:ind w:firstLine="645"/>
        <w:rPr>
          <w:rFonts w:eastAsia="仿宋_GB2312"/>
          <w:bCs/>
          <w:sz w:val="32"/>
          <w:szCs w:val="32"/>
          <w:highlight w:val="none"/>
          <w:lang w:val="en-CA"/>
        </w:rPr>
      </w:pPr>
      <w:r>
        <w:rPr>
          <w:rFonts w:hint="eastAsia" w:eastAsia="仿宋_GB2312"/>
          <w:snapToGrid w:val="0"/>
          <w:kern w:val="0"/>
          <w:sz w:val="32"/>
          <w:szCs w:val="32"/>
          <w:highlight w:val="none"/>
          <w:lang w:val="en-CA"/>
        </w:rPr>
        <w:t>如适用，应当以列表形式分别对申报产品上市后发生的不良事件、召回的发生时间以</w:t>
      </w:r>
      <w:r>
        <w:rPr>
          <w:rFonts w:eastAsia="仿宋_GB2312"/>
          <w:bCs/>
          <w:sz w:val="32"/>
          <w:szCs w:val="32"/>
          <w:highlight w:val="none"/>
          <w:lang w:val="en-CA"/>
        </w:rPr>
        <w:t>及每一种情况下申请人采取的处理和解决方案，包括主动控制产品风险的措施，向医疗器械不良事件监测技术机构报告的情况，相关部门的调查处理情况等进行描述。</w:t>
      </w:r>
    </w:p>
    <w:p>
      <w:pPr>
        <w:spacing w:line="520" w:lineRule="exact"/>
        <w:ind w:firstLine="640" w:firstLineChars="200"/>
        <w:rPr>
          <w:rFonts w:eastAsia="仿宋_GB2312"/>
          <w:bCs/>
          <w:sz w:val="32"/>
          <w:szCs w:val="32"/>
          <w:highlight w:val="none"/>
          <w:lang w:val="en-CA"/>
        </w:rPr>
      </w:pPr>
      <w:r>
        <w:rPr>
          <w:rFonts w:eastAsia="仿宋_GB2312"/>
          <w:bCs/>
          <w:sz w:val="32"/>
          <w:szCs w:val="32"/>
          <w:highlight w:val="none"/>
          <w:lang w:val="en-CA"/>
        </w:rPr>
        <w:t>同时，应当对上述不良事件、召回进行分析评价，阐明不良事件、召回发生的原因并对其安全性、有效性的影响予以说明。若不良事件、召回数量大，应当根据事件类型总结每个类型涉及的数量。</w:t>
      </w:r>
    </w:p>
    <w:p>
      <w:pPr>
        <w:overflowPunct w:val="0"/>
        <w:autoSpaceDE w:val="0"/>
        <w:autoSpaceDN w:val="0"/>
        <w:spacing w:line="520" w:lineRule="exact"/>
        <w:ind w:left="221" w:firstLine="200"/>
        <w:outlineLvl w:val="1"/>
        <w:rPr>
          <w:rFonts w:eastAsia="楷体_GB2312"/>
          <w:sz w:val="32"/>
          <w:szCs w:val="32"/>
          <w:highlight w:val="none"/>
        </w:rPr>
      </w:pPr>
      <w:bookmarkStart w:id="0" w:name="_Toc432753649"/>
      <w:r>
        <w:rPr>
          <w:rFonts w:hint="eastAsia" w:eastAsia="楷体_GB2312"/>
          <w:sz w:val="32"/>
          <w:szCs w:val="32"/>
          <w:highlight w:val="none"/>
        </w:rPr>
        <w:t>（三）非</w:t>
      </w:r>
      <w:r>
        <w:rPr>
          <w:rFonts w:eastAsia="楷体_GB2312"/>
          <w:sz w:val="32"/>
          <w:szCs w:val="32"/>
          <w:highlight w:val="none"/>
        </w:rPr>
        <w:t>临床</w:t>
      </w:r>
      <w:r>
        <w:rPr>
          <w:rFonts w:hint="eastAsia" w:eastAsia="楷体_GB2312"/>
          <w:sz w:val="32"/>
          <w:szCs w:val="32"/>
          <w:highlight w:val="none"/>
        </w:rPr>
        <w:t>资料</w:t>
      </w:r>
    </w:p>
    <w:p>
      <w:pPr>
        <w:overflowPunct w:val="0"/>
        <w:autoSpaceDE w:val="0"/>
        <w:autoSpaceDN w:val="0"/>
        <w:spacing w:line="520" w:lineRule="exact"/>
        <w:ind w:firstLine="640" w:firstLineChars="200"/>
        <w:outlineLvl w:val="2"/>
        <w:rPr>
          <w:rFonts w:eastAsia="仿宋_GB2312"/>
          <w:snapToGrid w:val="0"/>
          <w:kern w:val="0"/>
          <w:sz w:val="32"/>
          <w:szCs w:val="32"/>
          <w:highlight w:val="none"/>
        </w:rPr>
      </w:pPr>
      <w:r>
        <w:rPr>
          <w:rFonts w:hint="eastAsia" w:eastAsia="仿宋_GB2312"/>
          <w:snapToGrid w:val="0"/>
          <w:kern w:val="0"/>
          <w:sz w:val="32"/>
          <w:szCs w:val="32"/>
          <w:highlight w:val="none"/>
        </w:rPr>
        <w:t>1.产品风险</w:t>
      </w:r>
      <w:bookmarkEnd w:id="0"/>
      <w:r>
        <w:rPr>
          <w:rFonts w:hint="eastAsia" w:eastAsia="仿宋_GB2312"/>
          <w:snapToGrid w:val="0"/>
          <w:kern w:val="0"/>
          <w:sz w:val="32"/>
          <w:szCs w:val="32"/>
          <w:highlight w:val="none"/>
        </w:rPr>
        <w:t>管理资料</w:t>
      </w:r>
    </w:p>
    <w:p>
      <w:pPr>
        <w:overflowPunct w:val="0"/>
        <w:autoSpaceDE w:val="0"/>
        <w:autoSpaceDN w:val="0"/>
        <w:adjustRightInd w:val="0"/>
        <w:spacing w:line="520" w:lineRule="exact"/>
        <w:ind w:firstLine="640" w:firstLineChars="200"/>
        <w:rPr>
          <w:rFonts w:eastAsia="仿宋_GB2312"/>
          <w:snapToGrid w:val="0"/>
          <w:kern w:val="0"/>
          <w:sz w:val="32"/>
          <w:szCs w:val="32"/>
          <w:highlight w:val="none"/>
          <w:lang w:val="zh-CN"/>
        </w:rPr>
      </w:pPr>
      <w:r>
        <w:rPr>
          <w:rFonts w:eastAsia="仿宋_GB2312"/>
          <w:snapToGrid w:val="0"/>
          <w:kern w:val="0"/>
          <w:sz w:val="32"/>
          <w:szCs w:val="32"/>
          <w:highlight w:val="none"/>
          <w:lang w:val="zh-CN"/>
        </w:rPr>
        <w:t>依据</w:t>
      </w:r>
      <w:r>
        <w:rPr>
          <w:rFonts w:hint="eastAsia" w:eastAsia="仿宋_GB2312"/>
          <w:snapToGrid w:val="0"/>
          <w:kern w:val="0"/>
          <w:sz w:val="32"/>
          <w:szCs w:val="32"/>
          <w:highlight w:val="none"/>
          <w:lang w:val="zh-CN"/>
        </w:rPr>
        <w:t>GB</w:t>
      </w:r>
      <w:r>
        <w:rPr>
          <w:rFonts w:eastAsia="仿宋_GB2312"/>
          <w:snapToGrid w:val="0"/>
          <w:kern w:val="0"/>
          <w:sz w:val="32"/>
          <w:szCs w:val="32"/>
          <w:highlight w:val="none"/>
          <w:lang w:val="zh-CN"/>
        </w:rPr>
        <w:t>/T 42062</w:t>
      </w:r>
      <w:r>
        <w:rPr>
          <w:rFonts w:hint="eastAsia" w:eastAsia="仿宋_GB2312"/>
          <w:snapToGrid w:val="0"/>
          <w:kern w:val="0"/>
          <w:sz w:val="32"/>
          <w:szCs w:val="32"/>
          <w:highlight w:val="none"/>
          <w:lang w:val="zh-CN"/>
        </w:rPr>
        <w:t>《医疗器械 风险管理对医疗器械的应用》的要求，</w:t>
      </w:r>
      <w:r>
        <w:rPr>
          <w:rFonts w:eastAsia="仿宋_GB2312"/>
          <w:snapToGrid w:val="0"/>
          <w:kern w:val="0"/>
          <w:sz w:val="32"/>
          <w:szCs w:val="32"/>
          <w:highlight w:val="none"/>
          <w:lang w:val="zh-CN"/>
        </w:rPr>
        <w:t>提供产品风险管理报告。</w:t>
      </w:r>
    </w:p>
    <w:p>
      <w:pPr>
        <w:overflowPunct w:val="0"/>
        <w:autoSpaceDE w:val="0"/>
        <w:autoSpaceDN w:val="0"/>
        <w:adjustRightInd w:val="0"/>
        <w:spacing w:line="520" w:lineRule="exact"/>
        <w:ind w:firstLine="640" w:firstLineChars="200"/>
        <w:rPr>
          <w:rFonts w:eastAsia="仿宋_GB2312"/>
          <w:sz w:val="32"/>
          <w:szCs w:val="32"/>
          <w:highlight w:val="none"/>
        </w:rPr>
      </w:pPr>
      <w:r>
        <w:rPr>
          <w:rFonts w:eastAsia="仿宋_GB2312"/>
          <w:sz w:val="32"/>
          <w:szCs w:val="20"/>
          <w:highlight w:val="none"/>
        </w:rPr>
        <w:t>建议参考GB/T 42062、</w:t>
      </w:r>
      <w:r>
        <w:rPr>
          <w:rFonts w:hint="eastAsia" w:eastAsia="仿宋_GB2312"/>
          <w:sz w:val="32"/>
          <w:szCs w:val="20"/>
          <w:highlight w:val="none"/>
        </w:rPr>
        <w:t>YY/T 1437及</w:t>
      </w:r>
      <w:r>
        <w:rPr>
          <w:rFonts w:eastAsia="仿宋_GB2312"/>
          <w:sz w:val="32"/>
          <w:szCs w:val="20"/>
          <w:highlight w:val="none"/>
        </w:rPr>
        <w:t>适用的安全标准（如GB 9706.1、GB 9706.</w:t>
      </w:r>
      <w:r>
        <w:rPr>
          <w:rFonts w:hint="eastAsia" w:eastAsia="仿宋_GB2312"/>
          <w:sz w:val="32"/>
          <w:szCs w:val="20"/>
          <w:highlight w:val="none"/>
        </w:rPr>
        <w:t>1</w:t>
      </w:r>
      <w:r>
        <w:rPr>
          <w:rFonts w:eastAsia="仿宋_GB2312"/>
          <w:sz w:val="32"/>
          <w:szCs w:val="20"/>
          <w:highlight w:val="none"/>
        </w:rPr>
        <w:t>02等）及规范性文件，结合产品自身设计特点、临床用途及使用场景，充分识别与安全有关的特征，进行风险分析、评价及控制。风险控制的方案与实施、综合剩余风险的评价可参考</w:t>
      </w:r>
      <w:r>
        <w:rPr>
          <w:rFonts w:eastAsia="仿宋_GB2312"/>
          <w:sz w:val="32"/>
          <w:szCs w:val="32"/>
          <w:highlight w:val="none"/>
        </w:rPr>
        <w:t>GB/T 42062标准第7章、第8章的相关要求。</w:t>
      </w:r>
    </w:p>
    <w:p>
      <w:pPr>
        <w:tabs>
          <w:tab w:val="left" w:pos="8040"/>
        </w:tabs>
        <w:overflowPunct w:val="0"/>
        <w:spacing w:line="520" w:lineRule="exact"/>
        <w:ind w:firstLine="640" w:firstLineChars="200"/>
        <w:rPr>
          <w:rFonts w:eastAsia="仿宋_GB2312"/>
          <w:sz w:val="32"/>
          <w:szCs w:val="32"/>
          <w:highlight w:val="none"/>
        </w:rPr>
      </w:pPr>
      <w:r>
        <w:rPr>
          <w:rFonts w:hint="eastAsia" w:eastAsia="仿宋_GB2312"/>
          <w:sz w:val="32"/>
          <w:szCs w:val="32"/>
          <w:highlight w:val="none"/>
        </w:rPr>
        <w:t>附表</w:t>
      </w:r>
      <w:r>
        <w:rPr>
          <w:rFonts w:eastAsia="仿宋_GB2312"/>
          <w:sz w:val="32"/>
          <w:szCs w:val="32"/>
          <w:highlight w:val="none"/>
        </w:rPr>
        <w:t>依据</w:t>
      </w:r>
      <w:r>
        <w:rPr>
          <w:rFonts w:eastAsia="仿宋_GB2312"/>
          <w:sz w:val="32"/>
          <w:szCs w:val="20"/>
          <w:highlight w:val="none"/>
        </w:rPr>
        <w:t>GB/T 42062</w:t>
      </w:r>
      <w:r>
        <w:rPr>
          <w:rFonts w:eastAsia="仿宋_GB2312"/>
          <w:sz w:val="32"/>
          <w:szCs w:val="32"/>
          <w:highlight w:val="none"/>
        </w:rPr>
        <w:t>列举了</w:t>
      </w:r>
      <w:r>
        <w:rPr>
          <w:rFonts w:eastAsia="仿宋_GB2312"/>
          <w:sz w:val="32"/>
          <w:szCs w:val="32"/>
          <w:highlight w:val="none"/>
          <w:lang w:val="en"/>
        </w:rPr>
        <w:t>人体成分分析设备</w:t>
      </w:r>
      <w:r>
        <w:rPr>
          <w:rFonts w:hint="eastAsia" w:eastAsia="仿宋_GB2312"/>
          <w:sz w:val="32"/>
          <w:szCs w:val="32"/>
          <w:highlight w:val="none"/>
        </w:rPr>
        <w:t>产品</w:t>
      </w:r>
      <w:r>
        <w:rPr>
          <w:rFonts w:eastAsia="仿宋_GB2312"/>
          <w:sz w:val="32"/>
          <w:szCs w:val="32"/>
          <w:highlight w:val="none"/>
        </w:rPr>
        <w:t>有关的可能危害示例的不完全清单，以帮助判定与</w:t>
      </w:r>
      <w:r>
        <w:rPr>
          <w:rFonts w:eastAsia="仿宋_GB2312"/>
          <w:sz w:val="32"/>
          <w:szCs w:val="32"/>
          <w:highlight w:val="none"/>
          <w:lang w:val="en"/>
        </w:rPr>
        <w:t>人体成分分析设备</w:t>
      </w:r>
      <w:r>
        <w:rPr>
          <w:rFonts w:hint="eastAsia" w:eastAsia="仿宋_GB2312"/>
          <w:sz w:val="32"/>
          <w:szCs w:val="32"/>
          <w:highlight w:val="none"/>
        </w:rPr>
        <w:t>产品</w:t>
      </w:r>
      <w:r>
        <w:rPr>
          <w:rFonts w:eastAsia="仿宋_GB2312"/>
          <w:sz w:val="32"/>
          <w:szCs w:val="32"/>
          <w:highlight w:val="none"/>
        </w:rPr>
        <w:t>有关的危害。企业还应根据自身产品特点确定其他可能危害。针对产品的各项风险，企业应采取控制措施，确保风险降到可接受的程度。</w:t>
      </w:r>
    </w:p>
    <w:p>
      <w:pPr>
        <w:keepNext/>
        <w:keepLines/>
        <w:spacing w:line="520" w:lineRule="exact"/>
        <w:ind w:firstLine="640" w:firstLineChars="200"/>
        <w:outlineLvl w:val="2"/>
        <w:rPr>
          <w:rFonts w:eastAsia="仿宋_GB2312"/>
          <w:bCs/>
          <w:sz w:val="32"/>
          <w:szCs w:val="32"/>
          <w:highlight w:val="none"/>
        </w:rPr>
      </w:pPr>
      <w:r>
        <w:rPr>
          <w:rFonts w:eastAsia="仿宋_GB2312"/>
          <w:sz w:val="32"/>
          <w:szCs w:val="20"/>
          <w:highlight w:val="none"/>
        </w:rPr>
        <w:t>2</w:t>
      </w:r>
      <w:r>
        <w:rPr>
          <w:rFonts w:eastAsia="仿宋_GB2312"/>
          <w:bCs/>
          <w:sz w:val="32"/>
          <w:szCs w:val="32"/>
          <w:highlight w:val="none"/>
        </w:rPr>
        <w:t>.医疗器械安全和性能基本原则清单</w:t>
      </w:r>
    </w:p>
    <w:p>
      <w:pPr>
        <w:spacing w:line="520" w:lineRule="exact"/>
        <w:ind w:firstLine="640" w:firstLineChars="200"/>
        <w:rPr>
          <w:rFonts w:eastAsia="仿宋_GB2312"/>
          <w:sz w:val="32"/>
          <w:szCs w:val="32"/>
          <w:highlight w:val="none"/>
        </w:rPr>
      </w:pPr>
      <w:r>
        <w:rPr>
          <w:rFonts w:eastAsia="仿宋_GB2312"/>
          <w:sz w:val="32"/>
          <w:szCs w:val="32"/>
          <w:highlight w:val="none"/>
        </w:rPr>
        <w:t>说明产品符合《医疗器械安全和性能基本原则清单》各项适用要求所采用的方法，以及证明其符合性的文件。对于《医疗器械安全和性能基本原则清单》中不适用的各项要求，应当说明理由。</w:t>
      </w:r>
    </w:p>
    <w:p>
      <w:pPr>
        <w:spacing w:line="520" w:lineRule="exact"/>
        <w:ind w:firstLine="640" w:firstLineChars="200"/>
        <w:rPr>
          <w:rFonts w:eastAsia="仿宋_GB2312"/>
          <w:sz w:val="32"/>
          <w:szCs w:val="32"/>
          <w:highlight w:val="none"/>
        </w:rPr>
      </w:pPr>
      <w:r>
        <w:rPr>
          <w:rFonts w:eastAsia="仿宋_GB2312"/>
          <w:sz w:val="32"/>
          <w:szCs w:val="32"/>
          <w:highlight w:val="none"/>
        </w:rPr>
        <w:t>对于包含在产品注册申报资料中的文件，应当说明其在申报资料中的具体位置；对于未包含在产品注册申报资料中的文件，应当注明该证据文件名称及其在质量管理体系文件中的编号备查。</w:t>
      </w:r>
    </w:p>
    <w:p>
      <w:pPr>
        <w:overflowPunct w:val="0"/>
        <w:autoSpaceDE w:val="0"/>
        <w:autoSpaceDN w:val="0"/>
        <w:spacing w:line="520" w:lineRule="exact"/>
        <w:ind w:firstLine="640" w:firstLineChars="200"/>
        <w:outlineLvl w:val="2"/>
        <w:rPr>
          <w:rFonts w:eastAsia="仿宋_GB2312" w:cs="仿宋_GB2312"/>
          <w:snapToGrid w:val="0"/>
          <w:kern w:val="0"/>
          <w:sz w:val="32"/>
          <w:szCs w:val="32"/>
          <w:highlight w:val="none"/>
        </w:rPr>
      </w:pPr>
      <w:bookmarkStart w:id="1" w:name="_Toc432753650"/>
      <w:r>
        <w:rPr>
          <w:rFonts w:hint="eastAsia" w:eastAsia="仿宋_GB2312" w:cs="仿宋_GB2312"/>
          <w:snapToGrid w:val="0"/>
          <w:kern w:val="0"/>
          <w:sz w:val="32"/>
          <w:szCs w:val="32"/>
          <w:highlight w:val="none"/>
        </w:rPr>
        <w:t>3.产品技术要求</w:t>
      </w:r>
      <w:bookmarkEnd w:id="1"/>
      <w:r>
        <w:rPr>
          <w:rFonts w:hint="eastAsia" w:eastAsia="仿宋_GB2312" w:cs="仿宋_GB2312"/>
          <w:snapToGrid w:val="0"/>
          <w:kern w:val="0"/>
          <w:sz w:val="32"/>
          <w:szCs w:val="32"/>
          <w:highlight w:val="none"/>
        </w:rPr>
        <w:t>及</w:t>
      </w:r>
      <w:r>
        <w:rPr>
          <w:rFonts w:eastAsia="仿宋_GB2312" w:cs="仿宋_GB2312"/>
          <w:snapToGrid w:val="0"/>
          <w:kern w:val="0"/>
          <w:sz w:val="32"/>
          <w:szCs w:val="32"/>
          <w:highlight w:val="none"/>
        </w:rPr>
        <w:t>检</w:t>
      </w:r>
      <w:r>
        <w:rPr>
          <w:rFonts w:hint="eastAsia" w:eastAsia="仿宋_GB2312" w:cs="仿宋_GB2312"/>
          <w:snapToGrid w:val="0"/>
          <w:kern w:val="0"/>
          <w:sz w:val="32"/>
          <w:szCs w:val="32"/>
          <w:highlight w:val="none"/>
        </w:rPr>
        <w:t>验</w:t>
      </w:r>
      <w:r>
        <w:rPr>
          <w:rFonts w:eastAsia="仿宋_GB2312" w:cs="仿宋_GB2312"/>
          <w:snapToGrid w:val="0"/>
          <w:kern w:val="0"/>
          <w:sz w:val="32"/>
          <w:szCs w:val="32"/>
          <w:highlight w:val="none"/>
        </w:rPr>
        <w:t>报告</w:t>
      </w:r>
    </w:p>
    <w:p>
      <w:pPr>
        <w:spacing w:line="520" w:lineRule="exact"/>
        <w:ind w:firstLine="640" w:firstLineChars="200"/>
        <w:outlineLvl w:val="3"/>
        <w:rPr>
          <w:rFonts w:eastAsia="仿宋_GB2312"/>
          <w:sz w:val="32"/>
          <w:szCs w:val="20"/>
          <w:highlight w:val="none"/>
        </w:rPr>
      </w:pPr>
      <w:r>
        <w:rPr>
          <w:rFonts w:eastAsia="仿宋_GB2312"/>
          <w:sz w:val="32"/>
          <w:szCs w:val="20"/>
          <w:highlight w:val="none"/>
        </w:rPr>
        <w:t>3.1申报产品适用标准情况</w:t>
      </w:r>
    </w:p>
    <w:p>
      <w:pPr>
        <w:spacing w:line="520" w:lineRule="exact"/>
        <w:ind w:firstLine="640" w:firstLineChars="200"/>
        <w:rPr>
          <w:rFonts w:eastAsia="仿宋_GB2312"/>
          <w:sz w:val="32"/>
          <w:szCs w:val="32"/>
          <w:highlight w:val="none"/>
        </w:rPr>
      </w:pPr>
      <w:r>
        <w:rPr>
          <w:rFonts w:eastAsia="仿宋_GB2312"/>
          <w:sz w:val="32"/>
          <w:szCs w:val="32"/>
          <w:highlight w:val="none"/>
        </w:rPr>
        <w:t>申报产品应当符合适用的强制性标准。对于强制性行业标准，若申报产品结构特征、预期用途、使用方式等与强制性标准的适用范围不一致，申请人应当提出不适用强制性标准的说明，并提供经验证的证明性资料。</w:t>
      </w:r>
    </w:p>
    <w:p>
      <w:pPr>
        <w:overflowPunct w:val="0"/>
        <w:autoSpaceDE w:val="0"/>
        <w:autoSpaceDN w:val="0"/>
        <w:spacing w:line="520" w:lineRule="exact"/>
        <w:ind w:firstLine="640" w:firstLineChars="200"/>
        <w:outlineLvl w:val="3"/>
        <w:rPr>
          <w:rFonts w:eastAsia="仿宋_GB2312"/>
          <w:snapToGrid w:val="0"/>
          <w:kern w:val="0"/>
          <w:sz w:val="32"/>
          <w:szCs w:val="32"/>
          <w:highlight w:val="none"/>
        </w:rPr>
      </w:pPr>
      <w:r>
        <w:rPr>
          <w:rFonts w:hint="eastAsia" w:eastAsia="仿宋_GB2312"/>
          <w:snapToGrid w:val="0"/>
          <w:kern w:val="0"/>
          <w:sz w:val="32"/>
          <w:szCs w:val="32"/>
          <w:highlight w:val="none"/>
        </w:rPr>
        <w:t>3.2</w:t>
      </w:r>
      <w:r>
        <w:rPr>
          <w:rFonts w:eastAsia="仿宋_GB2312"/>
          <w:snapToGrid w:val="0"/>
          <w:kern w:val="0"/>
          <w:sz w:val="32"/>
          <w:szCs w:val="32"/>
          <w:highlight w:val="none"/>
        </w:rPr>
        <w:t>产品技术要求</w:t>
      </w:r>
    </w:p>
    <w:p>
      <w:pPr>
        <w:overflowPunct w:val="0"/>
        <w:autoSpaceDE w:val="0"/>
        <w:autoSpaceDN w:val="0"/>
        <w:spacing w:line="520" w:lineRule="exact"/>
        <w:ind w:firstLine="640" w:firstLineChars="200"/>
        <w:outlineLvl w:val="3"/>
        <w:rPr>
          <w:rFonts w:eastAsia="仿宋_GB2312"/>
          <w:snapToGrid w:val="0"/>
          <w:kern w:val="0"/>
          <w:sz w:val="32"/>
          <w:szCs w:val="32"/>
          <w:highlight w:val="none"/>
        </w:rPr>
      </w:pPr>
      <w:r>
        <w:rPr>
          <w:rFonts w:hint="eastAsia" w:eastAsia="仿宋_GB2312"/>
          <w:bCs/>
          <w:sz w:val="32"/>
          <w:szCs w:val="32"/>
          <w:highlight w:val="none"/>
        </w:rPr>
        <w:t>产品技术要求应按照《医疗器械产品技术要求编写指导原则》相关要求的规定编制。本条款给出需要考虑的产品主要技术指标，如有其他指标，注册申请人结合相应的标准和自身的技术能力，</w:t>
      </w:r>
      <w:r>
        <w:rPr>
          <w:rFonts w:hint="eastAsia" w:eastAsia="仿宋_GB2312"/>
          <w:snapToGrid w:val="0"/>
          <w:kern w:val="0"/>
          <w:sz w:val="32"/>
          <w:szCs w:val="32"/>
          <w:highlight w:val="none"/>
        </w:rPr>
        <w:t>予以明确。如不采用以下条款（包括国家标准、行业标准要求），应当说明理由。</w:t>
      </w:r>
    </w:p>
    <w:p>
      <w:pPr>
        <w:overflowPunct w:val="0"/>
        <w:autoSpaceDE w:val="0"/>
        <w:autoSpaceDN w:val="0"/>
        <w:spacing w:line="520" w:lineRule="exact"/>
        <w:ind w:firstLine="640" w:firstLineChars="200"/>
        <w:outlineLvl w:val="4"/>
        <w:rPr>
          <w:rFonts w:eastAsia="仿宋_GB2312"/>
          <w:snapToGrid w:val="0"/>
          <w:kern w:val="0"/>
          <w:sz w:val="32"/>
          <w:szCs w:val="32"/>
          <w:highlight w:val="none"/>
        </w:rPr>
      </w:pPr>
      <w:r>
        <w:rPr>
          <w:rFonts w:hint="eastAsia" w:eastAsia="仿宋_GB2312"/>
          <w:snapToGrid w:val="0"/>
          <w:kern w:val="0"/>
          <w:sz w:val="32"/>
          <w:szCs w:val="32"/>
          <w:highlight w:val="none"/>
        </w:rPr>
        <w:t>3.2.1产品型号/规格及其划分说明</w:t>
      </w:r>
    </w:p>
    <w:p>
      <w:pPr>
        <w:overflowPunct w:val="0"/>
        <w:autoSpaceDE w:val="0"/>
        <w:autoSpaceDN w:val="0"/>
        <w:spacing w:line="520" w:lineRule="exact"/>
        <w:ind w:firstLine="640" w:firstLineChars="200"/>
        <w:outlineLvl w:val="3"/>
        <w:rPr>
          <w:rFonts w:eastAsia="仿宋_GB2312"/>
          <w:snapToGrid w:val="0"/>
          <w:kern w:val="0"/>
          <w:sz w:val="32"/>
          <w:szCs w:val="32"/>
          <w:highlight w:val="none"/>
          <w:lang w:val="zh-CN"/>
        </w:rPr>
      </w:pPr>
      <w:r>
        <w:rPr>
          <w:rFonts w:hint="eastAsia" w:eastAsia="仿宋_GB2312"/>
          <w:snapToGrid w:val="0"/>
          <w:kern w:val="0"/>
          <w:sz w:val="32"/>
          <w:szCs w:val="32"/>
          <w:highlight w:val="none"/>
        </w:rPr>
        <w:t>存在多种型号、规格的产品，应明确不同型号、规格的划分说明（推荐采用图示和/或</w:t>
      </w:r>
      <w:r>
        <w:rPr>
          <w:rFonts w:eastAsia="仿宋_GB2312"/>
          <w:kern w:val="0"/>
          <w:sz w:val="32"/>
          <w:szCs w:val="32"/>
          <w:highlight w:val="none"/>
        </w:rPr>
        <w:t>表格的方式），表述文本较多的内容可以在附录中列明。</w:t>
      </w:r>
      <w:r>
        <w:rPr>
          <w:rFonts w:hint="eastAsia" w:eastAsia="仿宋_GB2312"/>
          <w:snapToGrid w:val="0"/>
          <w:kern w:val="0"/>
          <w:sz w:val="32"/>
          <w:szCs w:val="32"/>
          <w:highlight w:val="none"/>
          <w:lang w:val="zh-CN"/>
        </w:rPr>
        <w:t>若产品包含软件</w:t>
      </w:r>
      <w:r>
        <w:rPr>
          <w:rFonts w:hint="eastAsia" w:eastAsia="仿宋_GB2312"/>
          <w:snapToGrid w:val="0"/>
          <w:kern w:val="0"/>
          <w:sz w:val="32"/>
          <w:szCs w:val="32"/>
          <w:highlight w:val="none"/>
        </w:rPr>
        <w:t>部分</w:t>
      </w:r>
      <w:r>
        <w:rPr>
          <w:rFonts w:hint="eastAsia" w:eastAsia="仿宋_GB2312"/>
          <w:snapToGrid w:val="0"/>
          <w:kern w:val="0"/>
          <w:sz w:val="32"/>
          <w:szCs w:val="32"/>
          <w:highlight w:val="none"/>
          <w:lang w:val="zh-CN"/>
        </w:rPr>
        <w:t>，应明确软件的名称（若适用）、型号规格（若适用）、发布版本号</w:t>
      </w:r>
      <w:r>
        <w:rPr>
          <w:rFonts w:hint="eastAsia" w:eastAsia="仿宋_GB2312"/>
          <w:snapToGrid w:val="0"/>
          <w:kern w:val="0"/>
          <w:sz w:val="32"/>
          <w:szCs w:val="32"/>
          <w:highlight w:val="none"/>
        </w:rPr>
        <w:t>和完整</w:t>
      </w:r>
      <w:r>
        <w:rPr>
          <w:rFonts w:hint="eastAsia" w:eastAsia="仿宋_GB2312"/>
          <w:snapToGrid w:val="0"/>
          <w:kern w:val="0"/>
          <w:sz w:val="32"/>
          <w:szCs w:val="32"/>
          <w:highlight w:val="none"/>
          <w:lang w:val="zh-CN"/>
        </w:rPr>
        <w:t>版本命名规则。</w:t>
      </w:r>
    </w:p>
    <w:p>
      <w:pPr>
        <w:spacing w:line="520" w:lineRule="exact"/>
        <w:ind w:firstLine="640" w:firstLineChars="200"/>
        <w:outlineLvl w:val="4"/>
        <w:rPr>
          <w:rFonts w:eastAsia="仿宋_GB2312"/>
          <w:snapToGrid w:val="0"/>
          <w:kern w:val="0"/>
          <w:sz w:val="32"/>
          <w:szCs w:val="32"/>
          <w:highlight w:val="none"/>
          <w:lang w:val="zh-CN"/>
        </w:rPr>
      </w:pPr>
      <w:r>
        <w:rPr>
          <w:rFonts w:hint="eastAsia" w:eastAsia="仿宋_GB2312"/>
          <w:snapToGrid w:val="0"/>
          <w:kern w:val="0"/>
          <w:sz w:val="32"/>
          <w:szCs w:val="32"/>
          <w:highlight w:val="none"/>
        </w:rPr>
        <w:t>3</w:t>
      </w:r>
      <w:r>
        <w:rPr>
          <w:rFonts w:eastAsia="仿宋_GB2312"/>
          <w:snapToGrid w:val="0"/>
          <w:kern w:val="0"/>
          <w:sz w:val="32"/>
          <w:szCs w:val="32"/>
          <w:highlight w:val="none"/>
          <w:lang w:val="zh-CN"/>
        </w:rPr>
        <w:t>.</w:t>
      </w:r>
      <w:r>
        <w:rPr>
          <w:rFonts w:hint="eastAsia" w:eastAsia="仿宋_GB2312"/>
          <w:snapToGrid w:val="0"/>
          <w:kern w:val="0"/>
          <w:sz w:val="32"/>
          <w:szCs w:val="32"/>
          <w:highlight w:val="none"/>
        </w:rPr>
        <w:t>2</w:t>
      </w:r>
      <w:r>
        <w:rPr>
          <w:rFonts w:eastAsia="仿宋_GB2312"/>
          <w:snapToGrid w:val="0"/>
          <w:kern w:val="0"/>
          <w:sz w:val="32"/>
          <w:szCs w:val="32"/>
          <w:highlight w:val="none"/>
          <w:lang w:val="zh-CN"/>
        </w:rPr>
        <w:t>.2</w:t>
      </w:r>
      <w:r>
        <w:rPr>
          <w:rFonts w:eastAsia="仿宋_GB2312"/>
          <w:snapToGrid w:val="0"/>
          <w:sz w:val="32"/>
          <w:szCs w:val="32"/>
          <w:highlight w:val="none"/>
        </w:rPr>
        <w:t>性能指标</w:t>
      </w:r>
    </w:p>
    <w:p>
      <w:pPr>
        <w:overflowPunct w:val="0"/>
        <w:spacing w:line="520" w:lineRule="exact"/>
        <w:ind w:firstLine="640" w:firstLineChars="200"/>
        <w:rPr>
          <w:rFonts w:eastAsia="仿宋_GB2312"/>
          <w:sz w:val="32"/>
          <w:szCs w:val="28"/>
          <w:highlight w:val="none"/>
        </w:rPr>
      </w:pPr>
      <w:r>
        <w:rPr>
          <w:rFonts w:eastAsia="仿宋_GB2312"/>
          <w:sz w:val="32"/>
          <w:szCs w:val="28"/>
          <w:highlight w:val="none"/>
          <w:lang w:val="en"/>
        </w:rPr>
        <w:t>人体成分分析设备</w:t>
      </w:r>
      <w:r>
        <w:rPr>
          <w:rFonts w:eastAsia="仿宋_GB2312"/>
          <w:sz w:val="32"/>
          <w:szCs w:val="28"/>
          <w:highlight w:val="none"/>
        </w:rPr>
        <w:t>产品</w:t>
      </w:r>
      <w:r>
        <w:rPr>
          <w:rFonts w:eastAsia="仿宋_GB2312"/>
          <w:sz w:val="32"/>
          <w:szCs w:val="32"/>
          <w:highlight w:val="none"/>
        </w:rPr>
        <w:t>性能指标可包括但不限于以下内容</w:t>
      </w:r>
      <w:r>
        <w:rPr>
          <w:rFonts w:eastAsia="仿宋_GB2312"/>
          <w:sz w:val="32"/>
          <w:szCs w:val="32"/>
          <w:highlight w:val="none"/>
        </w:rPr>
        <w:t>：</w:t>
      </w:r>
    </w:p>
    <w:p>
      <w:pPr>
        <w:overflowPunct w:val="0"/>
        <w:spacing w:line="520" w:lineRule="exact"/>
        <w:ind w:firstLine="640" w:firstLineChars="200"/>
        <w:rPr>
          <w:rFonts w:eastAsia="仿宋_GB2312"/>
          <w:sz w:val="32"/>
          <w:szCs w:val="28"/>
          <w:highlight w:val="none"/>
        </w:rPr>
      </w:pPr>
      <w:r>
        <w:rPr>
          <w:rFonts w:hint="eastAsia" w:eastAsia="仿宋_GB2312"/>
          <w:sz w:val="32"/>
          <w:szCs w:val="28"/>
          <w:highlight w:val="none"/>
        </w:rPr>
        <w:t>如：外观、输出频率、输出波形、输出电流</w:t>
      </w:r>
      <w:r>
        <w:rPr>
          <w:rFonts w:hint="eastAsia" w:eastAsia="仿宋_GB2312"/>
          <w:sz w:val="32"/>
          <w:szCs w:val="28"/>
          <w:highlight w:val="none"/>
          <w:lang w:val="en-US" w:eastAsia="zh-CN"/>
        </w:rPr>
        <w:t>及</w:t>
      </w:r>
      <w:r>
        <w:rPr>
          <w:rFonts w:hint="eastAsia" w:eastAsia="仿宋_GB2312"/>
          <w:sz w:val="32"/>
          <w:szCs w:val="28"/>
          <w:highlight w:val="none"/>
        </w:rPr>
        <w:t>输出电流稳定度、阻抗测量值、电极电阻值、电极短路保护、电极其他相关性能（如适用）</w:t>
      </w:r>
      <w:r>
        <w:rPr>
          <w:rFonts w:hint="eastAsia" w:eastAsia="仿宋_GB2312"/>
          <w:sz w:val="32"/>
          <w:szCs w:val="28"/>
          <w:highlight w:val="none"/>
          <w:lang w:eastAsia="zh-CN"/>
        </w:rPr>
        <w:t>、</w:t>
      </w:r>
      <w:r>
        <w:rPr>
          <w:rFonts w:hint="eastAsia" w:eastAsia="仿宋_GB2312"/>
          <w:sz w:val="32"/>
          <w:szCs w:val="28"/>
          <w:highlight w:val="none"/>
        </w:rPr>
        <w:t>身高测量范围及精度（如适用）</w:t>
      </w:r>
      <w:r>
        <w:rPr>
          <w:rFonts w:hint="eastAsia" w:eastAsia="仿宋_GB2312"/>
          <w:sz w:val="32"/>
          <w:szCs w:val="28"/>
          <w:highlight w:val="none"/>
          <w:lang w:eastAsia="zh-CN"/>
        </w:rPr>
        <w:t>、</w:t>
      </w:r>
      <w:r>
        <w:rPr>
          <w:rFonts w:hint="eastAsia" w:eastAsia="仿宋_GB2312"/>
          <w:sz w:val="32"/>
          <w:szCs w:val="28"/>
          <w:highlight w:val="none"/>
          <w:lang w:val="en-US" w:eastAsia="zh-CN"/>
        </w:rPr>
        <w:t>体重</w:t>
      </w:r>
      <w:r>
        <w:rPr>
          <w:rFonts w:hint="eastAsia" w:eastAsia="仿宋_GB2312"/>
          <w:sz w:val="32"/>
          <w:szCs w:val="28"/>
          <w:highlight w:val="none"/>
        </w:rPr>
        <w:t>测量范围及精度（如适用）。</w:t>
      </w:r>
    </w:p>
    <w:p>
      <w:pPr>
        <w:overflowPunct w:val="0"/>
        <w:spacing w:line="520" w:lineRule="exact"/>
        <w:ind w:firstLine="640" w:firstLineChars="200"/>
        <w:rPr>
          <w:rFonts w:eastAsia="仿宋_GB2312"/>
          <w:snapToGrid w:val="0"/>
          <w:kern w:val="0"/>
          <w:sz w:val="32"/>
          <w:szCs w:val="32"/>
          <w:highlight w:val="none"/>
        </w:rPr>
      </w:pPr>
      <w:r>
        <w:rPr>
          <w:rFonts w:hint="eastAsia" w:eastAsia="仿宋_GB2312"/>
          <w:snapToGrid w:val="0"/>
          <w:kern w:val="0"/>
          <w:sz w:val="32"/>
          <w:szCs w:val="32"/>
          <w:highlight w:val="none"/>
        </w:rPr>
        <w:t>电气安全要求：通用安全应符合GB 9706.1标准的要求。</w:t>
      </w:r>
    </w:p>
    <w:p>
      <w:pPr>
        <w:overflowPunct w:val="0"/>
        <w:spacing w:line="520" w:lineRule="exact"/>
        <w:ind w:firstLine="640" w:firstLineChars="200"/>
        <w:rPr>
          <w:rFonts w:eastAsia="仿宋_GB2312"/>
          <w:snapToGrid w:val="0"/>
          <w:kern w:val="0"/>
          <w:sz w:val="32"/>
          <w:szCs w:val="32"/>
          <w:highlight w:val="none"/>
        </w:rPr>
      </w:pPr>
      <w:r>
        <w:rPr>
          <w:rFonts w:hint="eastAsia" w:eastAsia="仿宋_GB2312"/>
          <w:snapToGrid w:val="0"/>
          <w:kern w:val="0"/>
          <w:sz w:val="32"/>
          <w:szCs w:val="32"/>
          <w:highlight w:val="none"/>
        </w:rPr>
        <w:t>电磁兼容要求：电磁兼容应符合YY 9706.102标准的要求。</w:t>
      </w:r>
    </w:p>
    <w:p>
      <w:pPr>
        <w:overflowPunct w:val="0"/>
        <w:spacing w:line="520" w:lineRule="exact"/>
        <w:ind w:firstLine="640" w:firstLineChars="200"/>
        <w:rPr>
          <w:rFonts w:eastAsia="仿宋_GB2312"/>
          <w:snapToGrid w:val="0"/>
          <w:kern w:val="0"/>
          <w:sz w:val="32"/>
          <w:szCs w:val="32"/>
          <w:highlight w:val="none"/>
        </w:rPr>
      </w:pPr>
      <w:r>
        <w:rPr>
          <w:rFonts w:hint="eastAsia" w:eastAsia="仿宋_GB2312"/>
          <w:snapToGrid w:val="0"/>
          <w:kern w:val="0"/>
          <w:sz w:val="32"/>
          <w:szCs w:val="32"/>
          <w:highlight w:val="none"/>
        </w:rPr>
        <w:t>软件要求需符合《医疗器械软件注册审查指导原则（2022年修订版）》的要求，明确软件的功能（如</w:t>
      </w:r>
      <w:r>
        <w:rPr>
          <w:rFonts w:hint="eastAsia" w:eastAsia="仿宋_GB2312"/>
          <w:snapToGrid w:val="0"/>
          <w:kern w:val="0"/>
          <w:sz w:val="32"/>
          <w:szCs w:val="32"/>
          <w:highlight w:val="none"/>
        </w:rPr>
        <w:t>人体脂肪含量、身体水分、基础代谢与体重比等信</w:t>
      </w:r>
      <w:r>
        <w:rPr>
          <w:rFonts w:hint="eastAsia" w:eastAsia="仿宋_GB2312"/>
          <w:snapToGrid w:val="0"/>
          <w:kern w:val="0"/>
          <w:sz w:val="32"/>
          <w:szCs w:val="32"/>
          <w:highlight w:val="none"/>
        </w:rPr>
        <w:t>息）、接口（如适用）、访问控制（如适用）、运行环境（如适用）。</w:t>
      </w:r>
      <w:bookmarkStart w:id="2" w:name="_Toc434250184"/>
      <w:bookmarkStart w:id="3" w:name="_Toc434250594"/>
      <w:bookmarkStart w:id="4" w:name="_Toc437263356"/>
      <w:r>
        <w:rPr>
          <w:rFonts w:hint="eastAsia" w:eastAsia="仿宋_GB2312"/>
          <w:snapToGrid w:val="0"/>
          <w:kern w:val="0"/>
          <w:sz w:val="32"/>
          <w:szCs w:val="32"/>
          <w:highlight w:val="none"/>
        </w:rPr>
        <w:t>网络安全（如适用）需符合《医疗器械网络安全注册审查指导原则（2022年修订版）》的要求。</w:t>
      </w:r>
    </w:p>
    <w:p>
      <w:pPr>
        <w:overflowPunct w:val="0"/>
        <w:spacing w:line="520" w:lineRule="exact"/>
        <w:ind w:firstLine="640" w:firstLineChars="200"/>
        <w:rPr>
          <w:rFonts w:eastAsia="仿宋_GB2312"/>
          <w:sz w:val="32"/>
          <w:szCs w:val="20"/>
          <w:highlight w:val="none"/>
        </w:rPr>
      </w:pPr>
      <w:r>
        <w:rPr>
          <w:rFonts w:eastAsia="仿宋_GB2312"/>
          <w:sz w:val="32"/>
          <w:szCs w:val="20"/>
          <w:highlight w:val="none"/>
        </w:rPr>
        <w:t>3.2.</w:t>
      </w:r>
      <w:r>
        <w:rPr>
          <w:rFonts w:hint="eastAsia" w:eastAsia="仿宋_GB2312"/>
          <w:sz w:val="32"/>
          <w:szCs w:val="20"/>
          <w:highlight w:val="none"/>
        </w:rPr>
        <w:t>3</w:t>
      </w:r>
      <w:r>
        <w:rPr>
          <w:rFonts w:eastAsia="仿宋_GB2312"/>
          <w:sz w:val="32"/>
          <w:szCs w:val="20"/>
          <w:highlight w:val="none"/>
        </w:rPr>
        <w:t>附录</w:t>
      </w:r>
      <w:bookmarkEnd w:id="2"/>
      <w:bookmarkEnd w:id="3"/>
      <w:bookmarkEnd w:id="4"/>
    </w:p>
    <w:p>
      <w:pPr>
        <w:spacing w:line="520" w:lineRule="exact"/>
        <w:ind w:firstLine="640" w:firstLineChars="200"/>
        <w:rPr>
          <w:bCs/>
          <w:highlight w:val="none"/>
        </w:rPr>
      </w:pPr>
      <w:r>
        <w:rPr>
          <w:rFonts w:eastAsia="仿宋_GB2312"/>
          <w:sz w:val="32"/>
          <w:szCs w:val="32"/>
          <w:highlight w:val="none"/>
        </w:rPr>
        <w:t>可在附录中明确产品非检验的技术信息。</w:t>
      </w:r>
      <w:r>
        <w:rPr>
          <w:rFonts w:hint="eastAsia" w:eastAsia="仿宋_GB2312"/>
          <w:sz w:val="32"/>
          <w:szCs w:val="32"/>
          <w:highlight w:val="none"/>
        </w:rPr>
        <w:t>如“产品主要安全特征、关键的技术规格信息”等</w:t>
      </w:r>
      <w:r>
        <w:rPr>
          <w:rFonts w:eastAsia="仿宋_GB2312"/>
          <w:sz w:val="32"/>
          <w:szCs w:val="32"/>
          <w:highlight w:val="none"/>
        </w:rPr>
        <w:t>。</w:t>
      </w:r>
    </w:p>
    <w:p>
      <w:pPr>
        <w:spacing w:line="520" w:lineRule="exact"/>
        <w:ind w:firstLine="640" w:firstLineChars="200"/>
        <w:outlineLvl w:val="3"/>
        <w:rPr>
          <w:rFonts w:eastAsia="仿宋_GB2312"/>
          <w:snapToGrid w:val="0"/>
          <w:kern w:val="0"/>
          <w:sz w:val="32"/>
          <w:szCs w:val="32"/>
          <w:highlight w:val="none"/>
        </w:rPr>
      </w:pPr>
      <w:r>
        <w:rPr>
          <w:rFonts w:hint="eastAsia" w:eastAsia="仿宋_GB2312"/>
          <w:snapToGrid w:val="0"/>
          <w:sz w:val="32"/>
          <w:szCs w:val="32"/>
          <w:highlight w:val="none"/>
        </w:rPr>
        <w:t>3.3</w:t>
      </w:r>
      <w:r>
        <w:rPr>
          <w:rFonts w:eastAsia="仿宋_GB2312"/>
          <w:snapToGrid w:val="0"/>
          <w:sz w:val="32"/>
          <w:szCs w:val="32"/>
          <w:highlight w:val="none"/>
        </w:rPr>
        <w:t>产品检验报告</w:t>
      </w:r>
    </w:p>
    <w:p>
      <w:pPr>
        <w:spacing w:line="520" w:lineRule="exact"/>
        <w:ind w:firstLine="640" w:firstLineChars="200"/>
        <w:rPr>
          <w:rFonts w:eastAsia="仿宋_GB2312"/>
          <w:bCs/>
          <w:sz w:val="32"/>
          <w:szCs w:val="32"/>
          <w:highlight w:val="none"/>
        </w:rPr>
      </w:pPr>
      <w:r>
        <w:rPr>
          <w:rFonts w:hint="eastAsia" w:eastAsia="仿宋_GB2312"/>
          <w:bCs/>
          <w:sz w:val="32"/>
          <w:szCs w:val="32"/>
          <w:highlight w:val="none"/>
        </w:rPr>
        <w:t>可提交注册申请人出具的自检报告或委托有资质的医疗器械检验机构出具的检验报告。若提交自检报告，按照《医疗器械自检管理规定》的要求提供相关资料。</w:t>
      </w:r>
    </w:p>
    <w:p>
      <w:pPr>
        <w:spacing w:line="520" w:lineRule="exact"/>
        <w:ind w:firstLine="640" w:firstLineChars="200"/>
        <w:outlineLvl w:val="3"/>
        <w:rPr>
          <w:rFonts w:eastAsia="仿宋_GB2312"/>
          <w:snapToGrid w:val="0"/>
          <w:sz w:val="32"/>
          <w:szCs w:val="32"/>
          <w:highlight w:val="none"/>
        </w:rPr>
      </w:pPr>
      <w:r>
        <w:rPr>
          <w:rFonts w:hint="eastAsia" w:eastAsia="仿宋_GB2312"/>
          <w:snapToGrid w:val="0"/>
          <w:sz w:val="32"/>
          <w:szCs w:val="32"/>
          <w:highlight w:val="none"/>
        </w:rPr>
        <w:t>3.4同一注册单元内检验典型性产品确定原则</w:t>
      </w:r>
    </w:p>
    <w:p>
      <w:pPr>
        <w:spacing w:line="520" w:lineRule="exact"/>
        <w:ind w:firstLine="640" w:firstLineChars="200"/>
        <w:rPr>
          <w:rFonts w:eastAsia="仿宋_GB2312"/>
          <w:bCs/>
          <w:sz w:val="32"/>
          <w:szCs w:val="32"/>
          <w:highlight w:val="none"/>
        </w:rPr>
      </w:pPr>
      <w:r>
        <w:rPr>
          <w:rFonts w:eastAsia="仿宋_GB2312"/>
          <w:bCs/>
          <w:sz w:val="32"/>
          <w:szCs w:val="32"/>
          <w:highlight w:val="none"/>
        </w:rPr>
        <w:t>依据《医疗器械注册与备案管理办法》第三十一条：“检验用产品应当能够代表申请注册或者进行备案产品的安全性和有效性。”</w:t>
      </w:r>
      <w:r>
        <w:rPr>
          <w:rFonts w:hint="eastAsia" w:eastAsia="仿宋_GB2312"/>
          <w:bCs/>
          <w:sz w:val="32"/>
          <w:szCs w:val="32"/>
          <w:highlight w:val="none"/>
        </w:rPr>
        <w:t>。</w:t>
      </w:r>
      <w:r>
        <w:rPr>
          <w:rFonts w:eastAsia="仿宋_GB2312"/>
          <w:sz w:val="32"/>
          <w:szCs w:val="32"/>
          <w:highlight w:val="none"/>
          <w:lang w:val="en"/>
        </w:rPr>
        <w:t>人体成分分析设备</w:t>
      </w:r>
      <w:r>
        <w:rPr>
          <w:rFonts w:hint="eastAsia" w:eastAsia="仿宋_GB2312"/>
          <w:sz w:val="32"/>
          <w:szCs w:val="32"/>
          <w:highlight w:val="none"/>
        </w:rPr>
        <w:t>产品</w:t>
      </w:r>
      <w:r>
        <w:rPr>
          <w:rFonts w:eastAsia="仿宋_GB2312"/>
          <w:bCs/>
          <w:sz w:val="32"/>
          <w:szCs w:val="32"/>
          <w:highlight w:val="none"/>
        </w:rPr>
        <w:t>检验产品典型性型号的选取，应依据注册单元内所有型号的差异和检验项目来决定。</w:t>
      </w:r>
    </w:p>
    <w:p>
      <w:pPr>
        <w:spacing w:line="520" w:lineRule="exact"/>
        <w:ind w:firstLine="640" w:firstLineChars="200"/>
        <w:jc w:val="left"/>
        <w:rPr>
          <w:rFonts w:eastAsia="仿宋_GB2312"/>
          <w:bCs/>
          <w:sz w:val="32"/>
          <w:szCs w:val="32"/>
          <w:highlight w:val="none"/>
        </w:rPr>
      </w:pPr>
      <w:r>
        <w:rPr>
          <w:rFonts w:eastAsia="仿宋_GB2312"/>
          <w:bCs/>
          <w:sz w:val="32"/>
          <w:szCs w:val="32"/>
          <w:highlight w:val="none"/>
          <w:lang w:val="en"/>
        </w:rPr>
        <w:t>人体成分分析设备</w:t>
      </w:r>
      <w:r>
        <w:rPr>
          <w:rFonts w:hint="eastAsia" w:eastAsia="仿宋_GB2312"/>
          <w:bCs/>
          <w:sz w:val="32"/>
          <w:szCs w:val="32"/>
          <w:highlight w:val="none"/>
        </w:rPr>
        <w:t>产品</w:t>
      </w:r>
      <w:r>
        <w:rPr>
          <w:rFonts w:eastAsia="仿宋_GB2312"/>
          <w:bCs/>
          <w:sz w:val="32"/>
          <w:szCs w:val="32"/>
          <w:highlight w:val="none"/>
        </w:rPr>
        <w:t>进行检验时至少应选取注册单元中结构最复杂、功能最全面、输出模式最多且额定输出功率最大的型号（或几个型号的组合）进行，同时考虑结构、功能的删减对于</w:t>
      </w:r>
      <w:r>
        <w:rPr>
          <w:rFonts w:hint="eastAsia" w:eastAsia="仿宋_GB2312"/>
          <w:bCs/>
          <w:sz w:val="32"/>
          <w:szCs w:val="32"/>
          <w:highlight w:val="none"/>
        </w:rPr>
        <w:t>电气安全和</w:t>
      </w:r>
      <w:r>
        <w:rPr>
          <w:rFonts w:eastAsia="仿宋_GB2312"/>
          <w:bCs/>
          <w:sz w:val="32"/>
          <w:szCs w:val="32"/>
          <w:highlight w:val="none"/>
        </w:rPr>
        <w:t>电磁兼容性能的影响，来确定是否需增加其他型号一并作为典型型号进行</w:t>
      </w:r>
      <w:r>
        <w:rPr>
          <w:rFonts w:hint="eastAsia" w:eastAsia="仿宋_GB2312"/>
          <w:bCs/>
          <w:sz w:val="32"/>
          <w:szCs w:val="32"/>
          <w:highlight w:val="none"/>
        </w:rPr>
        <w:t>电气安全和</w:t>
      </w:r>
      <w:r>
        <w:rPr>
          <w:rFonts w:eastAsia="仿宋_GB2312"/>
          <w:bCs/>
          <w:sz w:val="32"/>
          <w:szCs w:val="32"/>
          <w:highlight w:val="none"/>
        </w:rPr>
        <w:t>电磁兼容全项目或差异性检验。对于缺少必要的理论和/或试验数据作为依据的情况，</w:t>
      </w:r>
      <w:r>
        <w:rPr>
          <w:rFonts w:hint="eastAsia" w:eastAsia="仿宋_GB2312"/>
          <w:bCs/>
          <w:sz w:val="32"/>
          <w:szCs w:val="32"/>
          <w:highlight w:val="none"/>
        </w:rPr>
        <w:t>电气安全和</w:t>
      </w:r>
      <w:r>
        <w:rPr>
          <w:rFonts w:eastAsia="仿宋_GB2312"/>
          <w:bCs/>
          <w:sz w:val="32"/>
          <w:szCs w:val="32"/>
          <w:highlight w:val="none"/>
        </w:rPr>
        <w:t>电磁兼容检验应当涵盖注册单元中的全部型号。</w:t>
      </w:r>
    </w:p>
    <w:p>
      <w:pPr>
        <w:spacing w:line="520" w:lineRule="exact"/>
        <w:ind w:left="630" w:leftChars="300"/>
        <w:jc w:val="left"/>
        <w:outlineLvl w:val="2"/>
        <w:rPr>
          <w:rFonts w:eastAsia="仿宋_GB2312"/>
          <w:snapToGrid w:val="0"/>
          <w:kern w:val="0"/>
          <w:sz w:val="32"/>
          <w:szCs w:val="32"/>
          <w:highlight w:val="none"/>
        </w:rPr>
      </w:pPr>
      <w:r>
        <w:rPr>
          <w:rFonts w:hint="eastAsia" w:eastAsia="仿宋_GB2312"/>
          <w:snapToGrid w:val="0"/>
          <w:kern w:val="0"/>
          <w:sz w:val="32"/>
          <w:szCs w:val="32"/>
          <w:highlight w:val="none"/>
        </w:rPr>
        <w:t>4</w:t>
      </w:r>
      <w:r>
        <w:rPr>
          <w:rFonts w:eastAsia="仿宋_GB2312"/>
          <w:snapToGrid w:val="0"/>
          <w:kern w:val="0"/>
          <w:sz w:val="32"/>
          <w:szCs w:val="32"/>
          <w:highlight w:val="none"/>
        </w:rPr>
        <w:t>.研究资料</w:t>
      </w:r>
    </w:p>
    <w:p>
      <w:pPr>
        <w:overflowPunct w:val="0"/>
        <w:spacing w:line="520" w:lineRule="exact"/>
        <w:ind w:firstLine="640" w:firstLineChars="200"/>
        <w:outlineLvl w:val="3"/>
        <w:rPr>
          <w:rFonts w:eastAsia="仿宋_GB2312"/>
          <w:sz w:val="32"/>
          <w:szCs w:val="28"/>
          <w:highlight w:val="none"/>
        </w:rPr>
      </w:pPr>
      <w:r>
        <w:rPr>
          <w:rFonts w:hint="eastAsia" w:eastAsia="仿宋_GB2312"/>
          <w:snapToGrid w:val="0"/>
          <w:kern w:val="0"/>
          <w:sz w:val="32"/>
          <w:szCs w:val="32"/>
          <w:highlight w:val="none"/>
        </w:rPr>
        <w:t>4</w:t>
      </w:r>
      <w:r>
        <w:rPr>
          <w:rFonts w:eastAsia="仿宋_GB2312"/>
          <w:snapToGrid w:val="0"/>
          <w:kern w:val="0"/>
          <w:sz w:val="32"/>
          <w:szCs w:val="32"/>
          <w:highlight w:val="none"/>
        </w:rPr>
        <w:t>.1</w:t>
      </w:r>
      <w:r>
        <w:rPr>
          <w:rFonts w:hint="eastAsia" w:eastAsia="仿宋_GB2312"/>
          <w:sz w:val="32"/>
          <w:szCs w:val="32"/>
          <w:highlight w:val="none"/>
          <w:lang w:val="en-US" w:eastAsia="zh-CN"/>
        </w:rPr>
        <w:t>产品</w:t>
      </w:r>
      <w:r>
        <w:rPr>
          <w:rFonts w:eastAsia="仿宋_GB2312"/>
          <w:sz w:val="32"/>
          <w:szCs w:val="32"/>
          <w:highlight w:val="none"/>
        </w:rPr>
        <w:t>性能研究</w:t>
      </w:r>
    </w:p>
    <w:p>
      <w:pPr>
        <w:pStyle w:val="3"/>
        <w:keepNext w:val="0"/>
        <w:keepLines w:val="0"/>
        <w:widowControl/>
        <w:spacing w:before="0" w:after="0" w:line="360" w:lineRule="atLeast"/>
        <w:ind w:firstLine="560"/>
        <w:rPr>
          <w:rFonts w:hint="eastAsia" w:eastAsia="仿宋_GB2312"/>
          <w:sz w:val="32"/>
          <w:szCs w:val="32"/>
          <w:highlight w:val="none"/>
          <w:lang w:val="en-US" w:eastAsia="zh-CN"/>
        </w:rPr>
      </w:pPr>
      <w:r>
        <w:rPr>
          <w:rFonts w:hint="eastAsia" w:eastAsia="仿宋_GB2312"/>
          <w:sz w:val="32"/>
          <w:szCs w:val="32"/>
          <w:highlight w:val="none"/>
        </w:rPr>
        <w:t>应当提供产品物理和/或机械性能指标及检验方法的确定依据、设计输入来源以及临床意义，所采用的标准或方法、采用的原因及理论基础。包含功能性、安全性指标以及与质量控制相关的其他指标。</w:t>
      </w:r>
      <w:r>
        <w:rPr>
          <w:rFonts w:hint="eastAsia" w:eastAsia="仿宋_GB2312"/>
          <w:sz w:val="32"/>
          <w:szCs w:val="32"/>
          <w:highlight w:val="none"/>
          <w:lang w:val="en-US" w:eastAsia="zh-CN"/>
        </w:rPr>
        <w:t>应对产品输出的核心参数及其准确性进行研究。</w:t>
      </w:r>
    </w:p>
    <w:p>
      <w:pPr>
        <w:spacing w:line="520" w:lineRule="exact"/>
        <w:ind w:firstLine="640" w:firstLineChars="200"/>
        <w:outlineLvl w:val="3"/>
        <w:rPr>
          <w:rFonts w:eastAsia="仿宋_GB2312"/>
          <w:sz w:val="32"/>
          <w:szCs w:val="32"/>
          <w:highlight w:val="none"/>
        </w:rPr>
      </w:pPr>
      <w:r>
        <w:rPr>
          <w:rFonts w:hint="eastAsia" w:eastAsia="仿宋_GB2312"/>
          <w:sz w:val="32"/>
          <w:szCs w:val="32"/>
          <w:highlight w:val="none"/>
        </w:rPr>
        <w:t>4.2联合使用</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如申报产品预期与其他医疗器械、药品、非医疗器械产品联合使用实现同一预期用途，应当提供证明联合使用安全有效的研究资料，包括互联基本信息（连接类型、接口、协议、最低性能），联合使用风险及控制措施、联合使用上的限制，兼容性研究等。</w:t>
      </w:r>
    </w:p>
    <w:p>
      <w:pPr>
        <w:spacing w:line="520" w:lineRule="exact"/>
        <w:ind w:firstLine="640" w:firstLineChars="200"/>
        <w:rPr>
          <w:rFonts w:eastAsia="仿宋_GB2312"/>
          <w:sz w:val="32"/>
          <w:szCs w:val="32"/>
          <w:highlight w:val="none"/>
        </w:rPr>
      </w:pPr>
      <w:r>
        <w:rPr>
          <w:rFonts w:hint="eastAsia" w:eastAsia="仿宋_GB2312"/>
          <w:sz w:val="32"/>
          <w:szCs w:val="28"/>
          <w:highlight w:val="none"/>
        </w:rPr>
        <w:t>4.3</w:t>
      </w:r>
      <w:r>
        <w:rPr>
          <w:rFonts w:eastAsia="仿宋_GB2312"/>
          <w:sz w:val="32"/>
          <w:szCs w:val="32"/>
          <w:highlight w:val="none"/>
        </w:rPr>
        <w:t>电气系统安全性研究</w:t>
      </w:r>
    </w:p>
    <w:p>
      <w:pPr>
        <w:spacing w:line="520" w:lineRule="exact"/>
        <w:ind w:firstLine="640" w:firstLineChars="200"/>
        <w:rPr>
          <w:rFonts w:eastAsia="仿宋_GB2312"/>
          <w:sz w:val="32"/>
          <w:szCs w:val="32"/>
          <w:highlight w:val="none"/>
        </w:rPr>
      </w:pPr>
      <w:r>
        <w:rPr>
          <w:rFonts w:eastAsia="仿宋_GB2312"/>
          <w:sz w:val="32"/>
          <w:szCs w:val="32"/>
          <w:highlight w:val="none"/>
        </w:rPr>
        <w:t>应当提供电气安全性及电磁兼容性的研究资料，说明适用的标准以及开展的研究。</w:t>
      </w:r>
    </w:p>
    <w:p>
      <w:pPr>
        <w:pStyle w:val="49"/>
        <w:overflowPunct w:val="0"/>
        <w:autoSpaceDE w:val="0"/>
        <w:autoSpaceDN w:val="0"/>
        <w:spacing w:line="520" w:lineRule="exact"/>
        <w:ind w:firstLine="640"/>
        <w:outlineLvl w:val="3"/>
        <w:rPr>
          <w:rFonts w:ascii="Times New Roman" w:hAnsi="Times New Roman" w:eastAsia="仿宋_GB2312"/>
          <w:snapToGrid w:val="0"/>
          <w:kern w:val="0"/>
          <w:sz w:val="32"/>
          <w:szCs w:val="32"/>
          <w:highlight w:val="none"/>
        </w:rPr>
      </w:pPr>
      <w:r>
        <w:rPr>
          <w:rFonts w:hint="eastAsia" w:ascii="Times New Roman" w:hAnsi="Times New Roman" w:eastAsia="仿宋_GB2312"/>
          <w:sz w:val="32"/>
          <w:szCs w:val="28"/>
          <w:highlight w:val="none"/>
        </w:rPr>
        <w:t>4.4</w:t>
      </w:r>
      <w:r>
        <w:rPr>
          <w:rFonts w:hint="eastAsia" w:ascii="Times New Roman" w:hAnsi="Times New Roman" w:eastAsia="仿宋_GB2312"/>
          <w:snapToGrid w:val="0"/>
          <w:kern w:val="0"/>
          <w:sz w:val="32"/>
          <w:szCs w:val="32"/>
          <w:highlight w:val="none"/>
        </w:rPr>
        <w:t>可用性工程研究</w:t>
      </w:r>
    </w:p>
    <w:p>
      <w:pPr>
        <w:spacing w:line="520" w:lineRule="exact"/>
        <w:ind w:firstLine="640" w:firstLineChars="200"/>
        <w:rPr>
          <w:highlight w:val="none"/>
        </w:rPr>
      </w:pPr>
      <w:r>
        <w:rPr>
          <w:rFonts w:hint="eastAsia" w:eastAsia="仿宋_GB2312"/>
          <w:sz w:val="32"/>
          <w:szCs w:val="20"/>
          <w:highlight w:val="none"/>
        </w:rPr>
        <w:t>依据申报产品具体特性和风险程度，若产品属于中、低使用风险，可参考《医疗器械可用性工程注册审查指导原则》相关规定提交使用错误评估报告资料。</w:t>
      </w:r>
    </w:p>
    <w:p>
      <w:pPr>
        <w:spacing w:line="520" w:lineRule="exact"/>
        <w:ind w:firstLine="640" w:firstLineChars="200"/>
        <w:outlineLvl w:val="3"/>
        <w:rPr>
          <w:rFonts w:eastAsia="仿宋_GB2312"/>
          <w:snapToGrid w:val="0"/>
          <w:kern w:val="0"/>
          <w:sz w:val="32"/>
          <w:szCs w:val="32"/>
          <w:highlight w:val="none"/>
        </w:rPr>
      </w:pPr>
      <w:r>
        <w:rPr>
          <w:rFonts w:hint="eastAsia" w:eastAsia="仿宋_GB2312"/>
          <w:sz w:val="32"/>
          <w:szCs w:val="28"/>
          <w:highlight w:val="none"/>
        </w:rPr>
        <w:t>4.5</w:t>
      </w:r>
      <w:r>
        <w:rPr>
          <w:rFonts w:hint="eastAsia" w:eastAsia="仿宋_GB2312" w:cs="仿宋_GB2312"/>
          <w:snapToGrid w:val="0"/>
          <w:kern w:val="0"/>
          <w:sz w:val="32"/>
          <w:szCs w:val="32"/>
          <w:highlight w:val="none"/>
        </w:rPr>
        <w:t>软件和网络安全</w:t>
      </w:r>
      <w:r>
        <w:rPr>
          <w:rFonts w:eastAsia="仿宋_GB2312" w:cs="仿宋_GB2312"/>
          <w:snapToGrid w:val="0"/>
          <w:kern w:val="0"/>
          <w:sz w:val="32"/>
          <w:szCs w:val="32"/>
          <w:highlight w:val="none"/>
        </w:rPr>
        <w:t>研究</w:t>
      </w:r>
    </w:p>
    <w:p>
      <w:pPr>
        <w:spacing w:line="520" w:lineRule="exact"/>
        <w:ind w:firstLine="640" w:firstLineChars="200"/>
        <w:rPr>
          <w:rFonts w:eastAsia="仿宋_GB2312"/>
          <w:sz w:val="32"/>
          <w:szCs w:val="20"/>
          <w:highlight w:val="none"/>
        </w:rPr>
      </w:pPr>
      <w:r>
        <w:rPr>
          <w:rFonts w:hint="eastAsia" w:eastAsia="仿宋_GB2312"/>
          <w:sz w:val="32"/>
          <w:szCs w:val="20"/>
          <w:highlight w:val="none"/>
        </w:rPr>
        <w:t>对于包含软件的</w:t>
      </w:r>
      <w:r>
        <w:rPr>
          <w:rFonts w:eastAsia="仿宋_GB2312"/>
          <w:sz w:val="32"/>
          <w:szCs w:val="20"/>
          <w:highlight w:val="none"/>
          <w:lang w:val="en"/>
        </w:rPr>
        <w:t>人体成分分析设备</w:t>
      </w:r>
      <w:r>
        <w:rPr>
          <w:rFonts w:hint="eastAsia" w:eastAsia="仿宋_GB2312"/>
          <w:sz w:val="32"/>
          <w:szCs w:val="20"/>
          <w:highlight w:val="none"/>
        </w:rPr>
        <w:t>产品，注册申请人应依据《医疗器械软件注册审查指导原则》（2022年修订版）、《医疗器械网络安全注册审查指导原则》（2022年修订版）（若适用）等要求，提交相应研究资料。</w:t>
      </w:r>
    </w:p>
    <w:p>
      <w:pPr>
        <w:spacing w:line="520" w:lineRule="exact"/>
        <w:ind w:firstLine="640" w:firstLineChars="200"/>
        <w:outlineLvl w:val="4"/>
        <w:rPr>
          <w:rFonts w:eastAsia="仿宋_GB2312"/>
          <w:sz w:val="32"/>
          <w:szCs w:val="32"/>
          <w:highlight w:val="none"/>
        </w:rPr>
      </w:pPr>
      <w:r>
        <w:rPr>
          <w:rFonts w:hint="eastAsia" w:eastAsia="仿宋_GB2312"/>
          <w:sz w:val="32"/>
          <w:szCs w:val="32"/>
          <w:highlight w:val="none"/>
        </w:rPr>
        <w:t>4.5.1软件</w:t>
      </w:r>
    </w:p>
    <w:p>
      <w:pPr>
        <w:spacing w:line="520" w:lineRule="exact"/>
        <w:ind w:firstLine="640" w:firstLineChars="200"/>
        <w:rPr>
          <w:rFonts w:eastAsia="仿宋_GB2312"/>
          <w:strike/>
          <w:snapToGrid w:val="0"/>
          <w:kern w:val="0"/>
          <w:sz w:val="32"/>
          <w:szCs w:val="32"/>
          <w:highlight w:val="none"/>
        </w:rPr>
      </w:pPr>
      <w:r>
        <w:rPr>
          <w:rFonts w:hint="eastAsia" w:eastAsia="仿宋_GB2312"/>
          <w:sz w:val="32"/>
          <w:szCs w:val="32"/>
          <w:highlight w:val="none"/>
        </w:rPr>
        <w:t>注册申请人在提交软件研究资料时应当提供自研软件研究报告、外部软件环境评估报告（若适用）以及产品软件性能和GB/T 25000.51自测报告（亦可提交自检报告或检验报告代替自测报告）。该类设备软件安全性级别一般为中等，自研软件研究报告包括基本信息、实现过程、核心功能、结论等内容。基本信息包括软件标识、安全性级别、结构功能、物理拓扑、运行环境、注册历史，实现过程包括开发概况、风险管理、需求规范、生存周期、验证与确认、可追溯性分析、缺陷管理、更新历史，明确核心功能、核心算法、预期用途的对应关系，自研软件研究报告中应明确患者检测时的姿势（站姿、坐姿、卧姿等）与软件核心算法的对应关系。</w:t>
      </w:r>
    </w:p>
    <w:p>
      <w:pPr>
        <w:spacing w:line="520" w:lineRule="exact"/>
        <w:ind w:firstLine="640" w:firstLineChars="200"/>
        <w:outlineLvl w:val="4"/>
        <w:rPr>
          <w:rFonts w:eastAsia="仿宋_GB2312"/>
          <w:snapToGrid w:val="0"/>
          <w:kern w:val="0"/>
          <w:sz w:val="32"/>
          <w:szCs w:val="32"/>
          <w:highlight w:val="none"/>
        </w:rPr>
      </w:pPr>
      <w:r>
        <w:rPr>
          <w:rFonts w:hint="eastAsia" w:eastAsia="仿宋_GB2312"/>
          <w:snapToGrid w:val="0"/>
          <w:kern w:val="0"/>
          <w:sz w:val="32"/>
          <w:szCs w:val="32"/>
          <w:highlight w:val="none"/>
        </w:rPr>
        <w:t>4.5.2网络安全</w:t>
      </w:r>
    </w:p>
    <w:p>
      <w:pPr>
        <w:spacing w:line="520" w:lineRule="exact"/>
        <w:ind w:firstLine="640" w:firstLineChars="200"/>
        <w:rPr>
          <w:rFonts w:eastAsia="仿宋_GB2312"/>
          <w:snapToGrid w:val="0"/>
          <w:kern w:val="0"/>
          <w:sz w:val="32"/>
          <w:szCs w:val="32"/>
          <w:highlight w:val="none"/>
        </w:rPr>
      </w:pPr>
      <w:r>
        <w:rPr>
          <w:rFonts w:hint="eastAsia" w:eastAsia="仿宋_GB2312"/>
          <w:sz w:val="32"/>
          <w:szCs w:val="32"/>
          <w:highlight w:val="none"/>
        </w:rPr>
        <w:t>若申报产品</w:t>
      </w:r>
      <w:r>
        <w:rPr>
          <w:rFonts w:eastAsia="仿宋_GB2312"/>
          <w:sz w:val="32"/>
          <w:szCs w:val="32"/>
          <w:highlight w:val="none"/>
        </w:rPr>
        <w:t>具备电子数据交换、远程控制或用户访问功能，应当提供自研软件网络安全研究报告，包括基本信息、实现过程、漏洞评估、结论等内容，详尽程度取决于软件安全性级别。其中，基本信息包括软件信息、数据架构、网络安全能力、网络安全补丁、安全软件，实现过程包括风险管理、需求规范、验证与确认、可追溯性分析、更新维护计划，漏洞评估明确已知漏洞相关信息。</w:t>
      </w:r>
      <w:r>
        <w:rPr>
          <w:rFonts w:hint="eastAsia" w:eastAsia="仿宋_GB2312"/>
          <w:snapToGrid w:val="0"/>
          <w:kern w:val="0"/>
          <w:sz w:val="32"/>
          <w:szCs w:val="32"/>
          <w:highlight w:val="none"/>
        </w:rPr>
        <w:t xml:space="preserve"> </w:t>
      </w:r>
    </w:p>
    <w:p>
      <w:pPr>
        <w:overflowPunct w:val="0"/>
        <w:spacing w:line="520" w:lineRule="exact"/>
        <w:ind w:firstLine="640" w:firstLineChars="200"/>
        <w:outlineLvl w:val="3"/>
        <w:rPr>
          <w:rFonts w:eastAsia="仿宋_GB2312"/>
          <w:sz w:val="32"/>
          <w:szCs w:val="28"/>
          <w:highlight w:val="none"/>
        </w:rPr>
      </w:pPr>
      <w:r>
        <w:rPr>
          <w:rFonts w:hint="eastAsia" w:eastAsia="仿宋_GB2312"/>
          <w:sz w:val="32"/>
          <w:szCs w:val="28"/>
          <w:highlight w:val="none"/>
        </w:rPr>
        <w:t>4.6</w:t>
      </w:r>
      <w:r>
        <w:rPr>
          <w:rFonts w:eastAsia="仿宋_GB2312"/>
          <w:sz w:val="32"/>
          <w:szCs w:val="32"/>
          <w:highlight w:val="none"/>
        </w:rPr>
        <w:t>生物学特性研究</w:t>
      </w:r>
    </w:p>
    <w:p>
      <w:pPr>
        <w:spacing w:line="520" w:lineRule="exact"/>
        <w:ind w:firstLine="640" w:firstLineChars="200"/>
        <w:rPr>
          <w:rFonts w:eastAsia="仿宋_GB2312"/>
          <w:snapToGrid w:val="0"/>
          <w:kern w:val="0"/>
          <w:sz w:val="32"/>
          <w:szCs w:val="32"/>
          <w:highlight w:val="none"/>
        </w:rPr>
      </w:pPr>
      <w:r>
        <w:rPr>
          <w:rFonts w:hint="eastAsia" w:eastAsia="仿宋_GB2312"/>
          <w:snapToGrid w:val="0"/>
          <w:kern w:val="0"/>
          <w:sz w:val="32"/>
          <w:szCs w:val="32"/>
          <w:highlight w:val="none"/>
        </w:rPr>
        <w:t>应描述</w:t>
      </w:r>
      <w:r>
        <w:rPr>
          <w:rFonts w:eastAsia="仿宋_GB2312"/>
          <w:snapToGrid w:val="0"/>
          <w:kern w:val="0"/>
          <w:sz w:val="32"/>
          <w:szCs w:val="32"/>
          <w:highlight w:val="none"/>
          <w:lang w:val="en"/>
        </w:rPr>
        <w:t>人体成分分析设备</w:t>
      </w:r>
      <w:r>
        <w:rPr>
          <w:rFonts w:hint="eastAsia" w:eastAsia="仿宋_GB2312"/>
          <w:snapToGrid w:val="0"/>
          <w:kern w:val="0"/>
          <w:sz w:val="32"/>
          <w:szCs w:val="32"/>
          <w:highlight w:val="none"/>
        </w:rPr>
        <w:t>产品与人体接触的材料、接触的性质和时间，参照《医疗器械生物学评价和审查指南》、GB/T 16886.1的要求对其进行生物相容性评价。</w:t>
      </w:r>
    </w:p>
    <w:p>
      <w:pPr>
        <w:spacing w:line="520" w:lineRule="exact"/>
        <w:ind w:firstLine="640" w:firstLineChars="200"/>
        <w:rPr>
          <w:rFonts w:eastAsia="仿宋_GB2312"/>
          <w:snapToGrid w:val="0"/>
          <w:kern w:val="0"/>
          <w:sz w:val="32"/>
          <w:szCs w:val="32"/>
          <w:highlight w:val="none"/>
        </w:rPr>
      </w:pPr>
      <w:r>
        <w:rPr>
          <w:rFonts w:hint="eastAsia" w:eastAsia="仿宋_GB2312"/>
          <w:snapToGrid w:val="0"/>
          <w:kern w:val="0"/>
          <w:sz w:val="32"/>
          <w:szCs w:val="32"/>
          <w:highlight w:val="none"/>
        </w:rPr>
        <w:t>4.6.1产品与完整皮肤接触，若开展生物学试验进行评价，至少进行细胞毒性、致敏反应、皮肤刺激的生物学评价研究。</w:t>
      </w:r>
    </w:p>
    <w:p>
      <w:pPr>
        <w:spacing w:line="520" w:lineRule="exact"/>
        <w:ind w:firstLine="640" w:firstLineChars="200"/>
        <w:rPr>
          <w:rFonts w:eastAsia="仿宋_GB2312"/>
          <w:snapToGrid w:val="0"/>
          <w:kern w:val="0"/>
          <w:sz w:val="32"/>
          <w:szCs w:val="32"/>
          <w:highlight w:val="none"/>
        </w:rPr>
      </w:pPr>
      <w:r>
        <w:rPr>
          <w:rFonts w:hint="eastAsia" w:eastAsia="仿宋_GB2312"/>
          <w:snapToGrid w:val="0"/>
          <w:kern w:val="0"/>
          <w:sz w:val="32"/>
          <w:szCs w:val="32"/>
          <w:highlight w:val="none"/>
        </w:rPr>
        <w:t>4.6.2若开展申报产品与已上市产品等同性比较的生物相容性评价，应按照《医疗器械生物学评价和审查指南》要求进行评价。应提供资料证明申报产品与已上市产品具有等同性，若无法证明申报产品与已上市产品的等同性，可按照GB/T 16886.1的要求开展申报产品生物相容性试验予以评价。</w:t>
      </w:r>
    </w:p>
    <w:p>
      <w:pPr>
        <w:overflowPunct w:val="0"/>
        <w:spacing w:line="520" w:lineRule="exact"/>
        <w:ind w:firstLine="640" w:firstLineChars="200"/>
        <w:outlineLvl w:val="3"/>
        <w:rPr>
          <w:rFonts w:eastAsia="仿宋_GB2312"/>
          <w:sz w:val="32"/>
          <w:szCs w:val="28"/>
          <w:highlight w:val="none"/>
        </w:rPr>
      </w:pPr>
      <w:r>
        <w:rPr>
          <w:rFonts w:hint="eastAsia" w:eastAsia="仿宋_GB2312"/>
          <w:sz w:val="32"/>
          <w:szCs w:val="28"/>
          <w:highlight w:val="none"/>
        </w:rPr>
        <w:t>4</w:t>
      </w:r>
      <w:r>
        <w:rPr>
          <w:rFonts w:eastAsia="仿宋_GB2312"/>
          <w:sz w:val="32"/>
          <w:szCs w:val="28"/>
          <w:highlight w:val="none"/>
        </w:rPr>
        <w:t>.</w:t>
      </w:r>
      <w:r>
        <w:rPr>
          <w:rFonts w:hint="eastAsia" w:eastAsia="仿宋_GB2312"/>
          <w:sz w:val="32"/>
          <w:szCs w:val="28"/>
          <w:highlight w:val="none"/>
        </w:rPr>
        <w:t>7</w:t>
      </w:r>
      <w:r>
        <w:rPr>
          <w:rFonts w:eastAsia="仿宋_GB2312"/>
          <w:sz w:val="32"/>
          <w:szCs w:val="32"/>
          <w:highlight w:val="none"/>
        </w:rPr>
        <w:t>清洁、消毒研究</w:t>
      </w:r>
    </w:p>
    <w:p>
      <w:pPr>
        <w:spacing w:line="520" w:lineRule="exact"/>
        <w:ind w:firstLine="640" w:firstLineChars="200"/>
        <w:rPr>
          <w:rFonts w:eastAsia="仿宋_GB2312"/>
          <w:sz w:val="32"/>
          <w:highlight w:val="none"/>
        </w:rPr>
      </w:pPr>
      <w:r>
        <w:rPr>
          <w:rFonts w:hint="eastAsia" w:eastAsia="仿宋_GB2312"/>
          <w:sz w:val="32"/>
          <w:highlight w:val="none"/>
        </w:rPr>
        <w:t>人体成分分析设备</w:t>
      </w:r>
      <w:r>
        <w:rPr>
          <w:rFonts w:eastAsia="仿宋_GB2312"/>
          <w:sz w:val="32"/>
          <w:highlight w:val="none"/>
        </w:rPr>
        <w:t>属于终端用户消毒产品，</w:t>
      </w:r>
      <w:r>
        <w:rPr>
          <w:rFonts w:hint="eastAsia" w:eastAsia="仿宋_GB2312"/>
          <w:sz w:val="32"/>
          <w:highlight w:val="none"/>
        </w:rPr>
        <w:t>接触患者或操作者的部位及其附近部位，应易于清洁消毒。消毒的部位应不存在消毒的死角。</w:t>
      </w:r>
    </w:p>
    <w:p>
      <w:pPr>
        <w:spacing w:line="520" w:lineRule="exact"/>
        <w:ind w:firstLine="640" w:firstLineChars="200"/>
        <w:rPr>
          <w:rFonts w:eastAsia="仿宋_GB2312"/>
          <w:sz w:val="32"/>
          <w:highlight w:val="none"/>
        </w:rPr>
      </w:pPr>
      <w:r>
        <w:rPr>
          <w:rFonts w:hint="eastAsia" w:eastAsia="仿宋_GB2312"/>
          <w:sz w:val="32"/>
          <w:highlight w:val="none"/>
        </w:rPr>
        <w:t>清洁、消毒的方法，不得导致仪器损坏或材料变质，以及影响安全防护性能。</w:t>
      </w:r>
    </w:p>
    <w:p>
      <w:pPr>
        <w:overflowPunct w:val="0"/>
        <w:spacing w:line="520" w:lineRule="exact"/>
        <w:ind w:firstLine="640" w:firstLineChars="200"/>
        <w:rPr>
          <w:rFonts w:eastAsia="仿宋_GB2312"/>
          <w:bCs/>
          <w:sz w:val="32"/>
          <w:szCs w:val="32"/>
          <w:highlight w:val="none"/>
        </w:rPr>
      </w:pPr>
      <w:r>
        <w:rPr>
          <w:rFonts w:eastAsia="仿宋_GB2312"/>
          <w:bCs/>
          <w:sz w:val="32"/>
          <w:szCs w:val="32"/>
          <w:highlight w:val="none"/>
        </w:rPr>
        <w:t>应当明确推荐的清</w:t>
      </w:r>
      <w:r>
        <w:rPr>
          <w:rFonts w:hint="eastAsia" w:eastAsia="仿宋_GB2312"/>
          <w:bCs/>
          <w:sz w:val="32"/>
          <w:szCs w:val="32"/>
          <w:highlight w:val="none"/>
        </w:rPr>
        <w:t>洁</w:t>
      </w:r>
      <w:r>
        <w:rPr>
          <w:rFonts w:eastAsia="仿宋_GB2312"/>
          <w:bCs/>
          <w:sz w:val="32"/>
          <w:szCs w:val="32"/>
          <w:highlight w:val="none"/>
        </w:rPr>
        <w:t>和消毒工艺（方法和参数）</w:t>
      </w:r>
      <w:r>
        <w:rPr>
          <w:rFonts w:hint="eastAsia" w:eastAsia="仿宋_GB2312"/>
          <w:bCs/>
          <w:sz w:val="32"/>
          <w:szCs w:val="32"/>
          <w:highlight w:val="none"/>
          <w:lang w:val="en-US" w:eastAsia="zh-CN"/>
        </w:rPr>
        <w:t>，提供工艺</w:t>
      </w:r>
      <w:r>
        <w:rPr>
          <w:rFonts w:eastAsia="仿宋_GB2312"/>
          <w:bCs/>
          <w:sz w:val="32"/>
          <w:szCs w:val="32"/>
          <w:highlight w:val="none"/>
        </w:rPr>
        <w:t>验证</w:t>
      </w:r>
      <w:r>
        <w:rPr>
          <w:rFonts w:hint="eastAsia" w:eastAsia="仿宋_GB2312"/>
          <w:bCs/>
          <w:sz w:val="32"/>
          <w:szCs w:val="32"/>
          <w:highlight w:val="none"/>
          <w:lang w:val="en-US" w:eastAsia="zh-CN"/>
        </w:rPr>
        <w:t>与确认</w:t>
      </w:r>
      <w:r>
        <w:rPr>
          <w:rFonts w:eastAsia="仿宋_GB2312"/>
          <w:bCs/>
          <w:sz w:val="32"/>
          <w:szCs w:val="32"/>
          <w:highlight w:val="none"/>
        </w:rPr>
        <w:t>的相关研究资料</w:t>
      </w:r>
      <w:r>
        <w:rPr>
          <w:rFonts w:hint="eastAsia" w:eastAsia="仿宋_GB2312"/>
          <w:bCs/>
          <w:sz w:val="32"/>
          <w:szCs w:val="32"/>
          <w:highlight w:val="none"/>
          <w:lang w:eastAsia="zh-CN"/>
        </w:rPr>
        <w:t>，</w:t>
      </w:r>
      <w:r>
        <w:rPr>
          <w:rFonts w:hint="eastAsia" w:eastAsia="仿宋_GB2312"/>
          <w:bCs/>
          <w:sz w:val="32"/>
          <w:szCs w:val="32"/>
          <w:highlight w:val="none"/>
          <w:lang w:val="en-US" w:eastAsia="zh-CN"/>
        </w:rPr>
        <w:t>并提供产品消毒耐受性的研究资料</w:t>
      </w:r>
      <w:r>
        <w:rPr>
          <w:rFonts w:eastAsia="仿宋_GB2312"/>
          <w:bCs/>
          <w:sz w:val="32"/>
          <w:szCs w:val="32"/>
          <w:highlight w:val="none"/>
        </w:rPr>
        <w:t>。</w:t>
      </w:r>
    </w:p>
    <w:p>
      <w:pPr>
        <w:spacing w:line="520" w:lineRule="exact"/>
        <w:ind w:firstLine="640" w:firstLineChars="200"/>
        <w:outlineLvl w:val="2"/>
        <w:rPr>
          <w:rFonts w:eastAsia="仿宋_GB2312"/>
          <w:snapToGrid w:val="0"/>
          <w:kern w:val="0"/>
          <w:sz w:val="32"/>
          <w:szCs w:val="32"/>
          <w:highlight w:val="none"/>
        </w:rPr>
      </w:pPr>
      <w:r>
        <w:rPr>
          <w:rFonts w:hint="eastAsia" w:eastAsia="仿宋_GB2312"/>
          <w:snapToGrid w:val="0"/>
          <w:kern w:val="0"/>
          <w:sz w:val="32"/>
          <w:szCs w:val="32"/>
          <w:highlight w:val="none"/>
        </w:rPr>
        <w:t>5</w:t>
      </w:r>
      <w:r>
        <w:rPr>
          <w:rFonts w:eastAsia="仿宋_GB2312"/>
          <w:snapToGrid w:val="0"/>
          <w:kern w:val="0"/>
          <w:sz w:val="32"/>
          <w:szCs w:val="32"/>
          <w:highlight w:val="none"/>
        </w:rPr>
        <w:t>.稳定性研究</w:t>
      </w:r>
    </w:p>
    <w:p>
      <w:pPr>
        <w:spacing w:line="520" w:lineRule="exact"/>
        <w:ind w:left="630" w:leftChars="300"/>
        <w:jc w:val="left"/>
        <w:outlineLvl w:val="3"/>
        <w:rPr>
          <w:rFonts w:eastAsia="仿宋_GB2312"/>
          <w:snapToGrid w:val="0"/>
          <w:kern w:val="0"/>
          <w:sz w:val="32"/>
          <w:szCs w:val="32"/>
          <w:highlight w:val="none"/>
        </w:rPr>
      </w:pPr>
      <w:r>
        <w:rPr>
          <w:rFonts w:hint="eastAsia" w:eastAsia="仿宋_GB2312"/>
          <w:snapToGrid w:val="0"/>
          <w:kern w:val="0"/>
          <w:sz w:val="32"/>
          <w:szCs w:val="32"/>
          <w:highlight w:val="none"/>
        </w:rPr>
        <w:t>5</w:t>
      </w:r>
      <w:r>
        <w:rPr>
          <w:rFonts w:eastAsia="仿宋_GB2312"/>
          <w:snapToGrid w:val="0"/>
          <w:kern w:val="0"/>
          <w:sz w:val="32"/>
          <w:szCs w:val="32"/>
          <w:highlight w:val="none"/>
        </w:rPr>
        <w:t>.</w:t>
      </w:r>
      <w:r>
        <w:rPr>
          <w:rFonts w:hint="eastAsia" w:eastAsia="仿宋_GB2312"/>
          <w:snapToGrid w:val="0"/>
          <w:kern w:val="0"/>
          <w:sz w:val="32"/>
          <w:szCs w:val="32"/>
          <w:highlight w:val="none"/>
        </w:rPr>
        <w:t>1使用稳定性</w:t>
      </w:r>
      <w:r>
        <w:rPr>
          <w:rFonts w:eastAsia="仿宋_GB2312"/>
          <w:snapToGrid w:val="0"/>
          <w:kern w:val="0"/>
          <w:sz w:val="32"/>
          <w:szCs w:val="32"/>
          <w:highlight w:val="none"/>
        </w:rPr>
        <w:t xml:space="preserve"> </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注册申请人需参照《有源医疗器械使用期限注册技术审查指导原则》提供产品使用稳定性的验证资料。</w:t>
      </w:r>
    </w:p>
    <w:p>
      <w:pPr>
        <w:spacing w:line="520" w:lineRule="exact"/>
        <w:ind w:firstLine="640" w:firstLineChars="200"/>
        <w:jc w:val="left"/>
        <w:outlineLvl w:val="2"/>
        <w:rPr>
          <w:rFonts w:eastAsia="仿宋_GB2312"/>
          <w:snapToGrid w:val="0"/>
          <w:kern w:val="0"/>
          <w:sz w:val="32"/>
          <w:szCs w:val="32"/>
          <w:highlight w:val="none"/>
        </w:rPr>
      </w:pPr>
      <w:r>
        <w:rPr>
          <w:rFonts w:eastAsia="仿宋_GB2312"/>
          <w:sz w:val="32"/>
          <w:szCs w:val="32"/>
          <w:highlight w:val="none"/>
        </w:rPr>
        <w:t>可以对该产品进行使用状态列举，完整分析出临床使用的情况，直接进行产品的老化试验研究；也可以将产品（系统）分解为不同子系统/部件进行评价，应详细分析分解关系，在此基础上通过不同的分解方式（如将产品分为关键部件及非关键部件等）确定产品的使用期限。注册申请人应根据自身产品临床应用和产品设计情况，确定出产品的关键部件和可更换部件。注册申请人应明确在预期使用条件下关键部件的使用期限，及可更换部件的定期保养维护时间和更换频次，且应提供确定使用寿命和更换频次的理论依据。若关键部件也可更换时，也应说明其定期保养维护时间和更换频次。</w:t>
      </w:r>
    </w:p>
    <w:p>
      <w:pPr>
        <w:spacing w:line="520" w:lineRule="exact"/>
        <w:ind w:firstLine="640" w:firstLineChars="200"/>
        <w:outlineLvl w:val="3"/>
        <w:rPr>
          <w:rFonts w:eastAsia="仿宋_GB2312"/>
          <w:bCs/>
          <w:sz w:val="32"/>
          <w:szCs w:val="32"/>
          <w:highlight w:val="none"/>
        </w:rPr>
      </w:pPr>
      <w:r>
        <w:rPr>
          <w:rFonts w:hint="eastAsia" w:eastAsia="仿宋_GB2312"/>
          <w:bCs/>
          <w:sz w:val="32"/>
          <w:szCs w:val="32"/>
          <w:highlight w:val="none"/>
        </w:rPr>
        <w:t>5.2</w:t>
      </w:r>
      <w:r>
        <w:rPr>
          <w:rFonts w:eastAsia="仿宋_GB2312"/>
          <w:bCs/>
          <w:sz w:val="32"/>
          <w:szCs w:val="32"/>
          <w:highlight w:val="none"/>
        </w:rPr>
        <w:t>运输稳定性</w:t>
      </w:r>
    </w:p>
    <w:p>
      <w:pPr>
        <w:spacing w:line="520" w:lineRule="exact"/>
        <w:ind w:firstLine="640" w:firstLineChars="200"/>
        <w:rPr>
          <w:rFonts w:eastAsia="仿宋_GB2312"/>
          <w:bCs/>
          <w:sz w:val="32"/>
          <w:szCs w:val="32"/>
          <w:highlight w:val="none"/>
        </w:rPr>
      </w:pPr>
      <w:r>
        <w:rPr>
          <w:rFonts w:eastAsia="仿宋_GB2312"/>
          <w:bCs/>
          <w:sz w:val="32"/>
          <w:szCs w:val="32"/>
          <w:highlight w:val="none"/>
        </w:rPr>
        <w:t>应当提供运输稳定性和包装研究资料，证明在生产企业规定的运输条件下，运输过程中的环境条件（例如：震动、振动、温度和湿度的波动）不会对医疗器械的特性和性能，包括完整性和清洁度，造成不利影响。</w:t>
      </w:r>
      <w:r>
        <w:rPr>
          <w:rFonts w:hint="eastAsia" w:eastAsia="仿宋_GB2312"/>
          <w:bCs/>
          <w:sz w:val="32"/>
          <w:szCs w:val="32"/>
          <w:highlight w:val="none"/>
        </w:rPr>
        <w:t>注册申请人应结合声称的储运条件开展包装和环境试验研究。可参考GB/T 14710的要求进行研究。</w:t>
      </w:r>
    </w:p>
    <w:p>
      <w:pPr>
        <w:spacing w:line="520" w:lineRule="exact"/>
        <w:ind w:firstLine="640" w:firstLineChars="200"/>
        <w:jc w:val="left"/>
        <w:outlineLvl w:val="1"/>
        <w:rPr>
          <w:rFonts w:ascii="楷体_GB2312" w:eastAsia="楷体_GB2312"/>
          <w:snapToGrid w:val="0"/>
          <w:kern w:val="0"/>
          <w:sz w:val="32"/>
          <w:szCs w:val="32"/>
          <w:highlight w:val="none"/>
        </w:rPr>
      </w:pPr>
      <w:r>
        <w:rPr>
          <w:rFonts w:hint="eastAsia" w:ascii="楷体_GB2312" w:eastAsia="楷体_GB2312"/>
          <w:sz w:val="32"/>
          <w:highlight w:val="none"/>
        </w:rPr>
        <w:t>（四）临床评价资料</w:t>
      </w:r>
    </w:p>
    <w:p>
      <w:pPr>
        <w:adjustRightInd w:val="0"/>
        <w:snapToGrid w:val="0"/>
        <w:spacing w:line="520" w:lineRule="exact"/>
        <w:ind w:firstLine="640" w:firstLineChars="200"/>
        <w:rPr>
          <w:rFonts w:eastAsia="仿宋_GB2312"/>
          <w:sz w:val="32"/>
          <w:szCs w:val="32"/>
          <w:highlight w:val="none"/>
        </w:rPr>
      </w:pPr>
      <w:r>
        <w:rPr>
          <w:rFonts w:eastAsia="仿宋_GB2312"/>
          <w:sz w:val="32"/>
          <w:szCs w:val="28"/>
          <w:highlight w:val="none"/>
          <w:lang w:val="en"/>
        </w:rPr>
        <w:t>人体成分分析设备</w:t>
      </w:r>
      <w:r>
        <w:rPr>
          <w:rFonts w:eastAsia="仿宋_GB2312"/>
          <w:sz w:val="32"/>
          <w:szCs w:val="32"/>
          <w:highlight w:val="none"/>
        </w:rPr>
        <w:t>设备不属于《免于临床评价医疗器械目录》中的产品，应开展临床评价。</w:t>
      </w:r>
    </w:p>
    <w:p>
      <w:pPr>
        <w:adjustRightInd w:val="0"/>
        <w:snapToGrid w:val="0"/>
        <w:spacing w:line="520" w:lineRule="exact"/>
        <w:ind w:firstLine="640" w:firstLineChars="200"/>
        <w:rPr>
          <w:rFonts w:eastAsia="仿宋_GB2312"/>
          <w:sz w:val="32"/>
          <w:szCs w:val="32"/>
          <w:highlight w:val="none"/>
        </w:rPr>
      </w:pPr>
      <w:r>
        <w:rPr>
          <w:rFonts w:hint="eastAsia" w:eastAsia="仿宋_GB2312"/>
          <w:sz w:val="32"/>
          <w:szCs w:val="32"/>
          <w:highlight w:val="none"/>
        </w:rPr>
        <w:t>若通过同品种临床评价路径进行临床评价，应当根据《医疗器械临床评价等同性论证技术指导原则》提交申报产品与同品种医疗器械在适用范围、技术特征、生物学特性方面的对比资料；技术特征重点关注工作原理、结构组成、关键性能的等同性；</w:t>
      </w:r>
      <w:r>
        <w:rPr>
          <w:rFonts w:hint="eastAsia" w:eastAsia="仿宋_GB2312"/>
          <w:sz w:val="32"/>
          <w:szCs w:val="32"/>
          <w:highlight w:val="none"/>
        </w:rPr>
        <w:t>工作原理不同时，不应作为同品种产品进行对比</w:t>
      </w:r>
      <w:r>
        <w:rPr>
          <w:rFonts w:hint="eastAsia" w:eastAsia="仿宋_GB2312"/>
          <w:sz w:val="32"/>
          <w:szCs w:val="32"/>
          <w:highlight w:val="none"/>
        </w:rPr>
        <w:t>。应当对同品种医疗器械的临床数据进行收集、评估和分析，形成临床证据。如适用，应当描述申报产品与同品种医疗器械的差异，提交充分的科学证据证明二者具有相同的安全有效性。</w:t>
      </w:r>
    </w:p>
    <w:p>
      <w:pPr>
        <w:adjustRightInd w:val="0"/>
        <w:snapToGrid w:val="0"/>
        <w:spacing w:line="520" w:lineRule="exact"/>
        <w:ind w:firstLine="640" w:firstLineChars="200"/>
        <w:rPr>
          <w:rFonts w:eastAsia="仿宋_GB2312"/>
          <w:sz w:val="32"/>
          <w:szCs w:val="32"/>
          <w:highlight w:val="none"/>
        </w:rPr>
      </w:pPr>
      <w:r>
        <w:rPr>
          <w:rFonts w:hint="eastAsia" w:eastAsia="仿宋_GB2312"/>
          <w:sz w:val="32"/>
          <w:szCs w:val="32"/>
          <w:highlight w:val="none"/>
        </w:rPr>
        <w:t>若通过临床试验路径进行临床评价，则需按照《医疗器械临床试验质量管理规范》进行临床试验，应当提交临床试验方案、临床试验机构伦理委员会同意开展临床试验的书面意见、临床试验报告、知情同意书样本，并附临床试验数据库（原始数据库、分析数据库、说明性文件和程序代码）。临床试验的设计可参考《医疗器械临床试验设计指导原则》。申请人如有境外临床试验数据，可参照《接受医疗器械境外临床试验数据技术指导原则》的要求提交相关临床试验资料。</w:t>
      </w:r>
    </w:p>
    <w:p>
      <w:pPr>
        <w:keepNext/>
        <w:keepLines/>
        <w:spacing w:line="520" w:lineRule="exact"/>
        <w:ind w:left="420" w:leftChars="200"/>
        <w:jc w:val="left"/>
        <w:outlineLvl w:val="1"/>
        <w:rPr>
          <w:rFonts w:eastAsia="楷体"/>
          <w:sz w:val="32"/>
          <w:highlight w:val="none"/>
        </w:rPr>
      </w:pPr>
      <w:r>
        <w:rPr>
          <w:rFonts w:eastAsia="楷体"/>
          <w:sz w:val="32"/>
          <w:highlight w:val="none"/>
        </w:rPr>
        <w:t>（五）产品说明书和标签样稿</w:t>
      </w:r>
    </w:p>
    <w:p>
      <w:pPr>
        <w:spacing w:line="520" w:lineRule="exact"/>
        <w:ind w:firstLine="640" w:firstLineChars="200"/>
        <w:rPr>
          <w:rFonts w:eastAsia="仿宋"/>
          <w:sz w:val="32"/>
          <w:szCs w:val="32"/>
          <w:highlight w:val="none"/>
        </w:rPr>
      </w:pPr>
      <w:r>
        <w:rPr>
          <w:rFonts w:eastAsia="仿宋_GB2312"/>
          <w:sz w:val="32"/>
          <w:szCs w:val="28"/>
          <w:highlight w:val="none"/>
        </w:rPr>
        <w:t>说</w:t>
      </w:r>
      <w:r>
        <w:rPr>
          <w:rFonts w:eastAsia="仿宋_GB2312"/>
          <w:spacing w:val="2"/>
          <w:sz w:val="32"/>
          <w:szCs w:val="28"/>
          <w:highlight w:val="none"/>
        </w:rPr>
        <w:t>明书</w:t>
      </w:r>
      <w:r>
        <w:rPr>
          <w:rFonts w:hint="eastAsia" w:eastAsia="仿宋_GB2312"/>
          <w:spacing w:val="2"/>
          <w:sz w:val="32"/>
          <w:szCs w:val="28"/>
          <w:highlight w:val="none"/>
        </w:rPr>
        <w:t>和</w:t>
      </w:r>
      <w:r>
        <w:rPr>
          <w:rFonts w:eastAsia="仿宋_GB2312"/>
          <w:spacing w:val="2"/>
          <w:sz w:val="32"/>
          <w:szCs w:val="28"/>
          <w:highlight w:val="none"/>
        </w:rPr>
        <w:t>标签应当符合《医疗器械说明书和标签管理规定》有关要求，并参照相应国家标准、行业标准的要求进行编写。说明书应</w:t>
      </w:r>
      <w:r>
        <w:rPr>
          <w:rFonts w:hint="eastAsia" w:eastAsia="仿宋_GB2312"/>
          <w:spacing w:val="2"/>
          <w:sz w:val="32"/>
          <w:szCs w:val="28"/>
          <w:highlight w:val="none"/>
        </w:rPr>
        <w:t>重点</w:t>
      </w:r>
      <w:r>
        <w:rPr>
          <w:rFonts w:eastAsia="仿宋_GB2312"/>
          <w:spacing w:val="2"/>
          <w:sz w:val="32"/>
          <w:szCs w:val="28"/>
          <w:highlight w:val="none"/>
        </w:rPr>
        <w:t>关注以下内容</w:t>
      </w:r>
      <w:r>
        <w:rPr>
          <w:rFonts w:eastAsia="仿宋"/>
          <w:sz w:val="32"/>
          <w:szCs w:val="32"/>
          <w:highlight w:val="none"/>
        </w:rPr>
        <w:t>：</w:t>
      </w:r>
    </w:p>
    <w:p>
      <w:pPr>
        <w:spacing w:line="520" w:lineRule="exact"/>
        <w:ind w:firstLine="640" w:firstLineChars="200"/>
        <w:rPr>
          <w:rFonts w:eastAsia="仿宋_GB2312" w:cs="仿宋_GB2312"/>
          <w:sz w:val="32"/>
          <w:szCs w:val="32"/>
          <w:highlight w:val="none"/>
        </w:rPr>
      </w:pPr>
      <w:r>
        <w:rPr>
          <w:rFonts w:hint="eastAsia" w:eastAsia="仿宋_GB2312" w:cs="仿宋_GB2312"/>
          <w:sz w:val="32"/>
          <w:szCs w:val="32"/>
          <w:highlight w:val="none"/>
        </w:rPr>
        <w:t>1.应提供软件的功能等相关信息，明确软件发布版本。</w:t>
      </w:r>
    </w:p>
    <w:p>
      <w:pPr>
        <w:spacing w:line="520" w:lineRule="exact"/>
        <w:ind w:firstLine="640" w:firstLineChars="200"/>
        <w:rPr>
          <w:rFonts w:eastAsia="仿宋_GB2312" w:cs="仿宋_GB2312"/>
          <w:sz w:val="32"/>
          <w:szCs w:val="32"/>
          <w:highlight w:val="none"/>
        </w:rPr>
      </w:pPr>
      <w:r>
        <w:rPr>
          <w:rFonts w:hint="eastAsia" w:eastAsia="仿宋_GB2312" w:cs="仿宋_GB2312"/>
          <w:sz w:val="32"/>
          <w:szCs w:val="32"/>
          <w:highlight w:val="none"/>
        </w:rPr>
        <w:t>2.如适用，应提供网络安全说明和使用指导，明确用户访问控制机制、电子接口等。</w:t>
      </w:r>
    </w:p>
    <w:p>
      <w:pPr>
        <w:spacing w:line="520" w:lineRule="exact"/>
        <w:ind w:firstLine="640" w:firstLineChars="200"/>
        <w:rPr>
          <w:rFonts w:hint="default" w:eastAsia="仿宋_GB2312" w:cs="仿宋"/>
          <w:sz w:val="32"/>
          <w:highlight w:val="none"/>
          <w:lang w:val="en-US" w:eastAsia="zh-CN"/>
        </w:rPr>
      </w:pPr>
      <w:r>
        <w:rPr>
          <w:rFonts w:hint="eastAsia" w:eastAsia="仿宋_GB2312" w:cs="仿宋"/>
          <w:sz w:val="32"/>
          <w:highlight w:val="none"/>
        </w:rPr>
        <w:t>3.提供设备正常工作和贮存条件。</w:t>
      </w:r>
    </w:p>
    <w:p>
      <w:pPr>
        <w:spacing w:line="520" w:lineRule="exact"/>
        <w:ind w:firstLine="640" w:firstLineChars="200"/>
        <w:rPr>
          <w:rFonts w:hint="eastAsia" w:eastAsia="仿宋_GB2312" w:cs="仿宋"/>
          <w:sz w:val="32"/>
          <w:highlight w:val="none"/>
          <w:lang w:eastAsia="zh-CN"/>
        </w:rPr>
      </w:pPr>
      <w:r>
        <w:rPr>
          <w:rFonts w:hint="eastAsia" w:eastAsia="仿宋_GB2312" w:cs="仿宋"/>
          <w:sz w:val="32"/>
          <w:highlight w:val="none"/>
        </w:rPr>
        <w:t>4.应载明禁忌证、慎用人群、注意事项、操作说明</w:t>
      </w:r>
      <w:r>
        <w:rPr>
          <w:rFonts w:hint="eastAsia" w:eastAsia="仿宋_GB2312" w:cs="仿宋"/>
          <w:sz w:val="32"/>
          <w:highlight w:val="none"/>
          <w:lang w:eastAsia="zh-CN"/>
        </w:rPr>
        <w:t>的</w:t>
      </w:r>
      <w:r>
        <w:rPr>
          <w:rFonts w:hint="eastAsia" w:eastAsia="仿宋_GB2312" w:cs="仿宋"/>
          <w:sz w:val="32"/>
          <w:highlight w:val="none"/>
        </w:rPr>
        <w:t>内容</w:t>
      </w:r>
      <w:r>
        <w:rPr>
          <w:rFonts w:hint="eastAsia" w:eastAsia="仿宋_GB2312" w:cs="仿宋"/>
          <w:sz w:val="32"/>
          <w:highlight w:val="none"/>
          <w:lang w:eastAsia="zh-CN"/>
        </w:rPr>
        <w:t>。</w:t>
      </w:r>
    </w:p>
    <w:p>
      <w:pPr>
        <w:spacing w:line="520" w:lineRule="exact"/>
        <w:ind w:firstLine="640" w:firstLineChars="200"/>
        <w:rPr>
          <w:rFonts w:eastAsia="仿宋_GB2312" w:cs="仿宋"/>
          <w:sz w:val="32"/>
          <w:highlight w:val="none"/>
        </w:rPr>
      </w:pPr>
      <w:r>
        <w:rPr>
          <w:rFonts w:hint="eastAsia" w:eastAsia="仿宋_GB2312" w:cs="仿宋"/>
          <w:sz w:val="32"/>
          <w:highlight w:val="none"/>
        </w:rPr>
        <w:t>5.说明书中应包括对使用警告总结的章节。</w:t>
      </w:r>
    </w:p>
    <w:p>
      <w:pPr>
        <w:spacing w:line="520" w:lineRule="exact"/>
        <w:ind w:firstLine="640" w:firstLineChars="200"/>
        <w:rPr>
          <w:rFonts w:eastAsia="仿宋_GB2312" w:cs="仿宋"/>
          <w:sz w:val="32"/>
          <w:highlight w:val="none"/>
        </w:rPr>
      </w:pPr>
      <w:r>
        <w:rPr>
          <w:rFonts w:hint="eastAsia" w:eastAsia="仿宋_GB2312" w:cs="仿宋"/>
          <w:sz w:val="32"/>
          <w:highlight w:val="none"/>
        </w:rPr>
        <w:t>6.介绍如何进行使用前检查，获取帮助服务的渠道、标准操作程序、常规维护及清洁、消毒程序。</w:t>
      </w:r>
    </w:p>
    <w:p>
      <w:pPr>
        <w:spacing w:line="520" w:lineRule="exact"/>
        <w:ind w:firstLine="640" w:firstLineChars="200"/>
        <w:rPr>
          <w:rFonts w:eastAsia="仿宋_GB2312" w:cs="仿宋"/>
          <w:sz w:val="32"/>
          <w:highlight w:val="none"/>
        </w:rPr>
      </w:pPr>
      <w:r>
        <w:rPr>
          <w:rFonts w:hint="eastAsia" w:eastAsia="仿宋_GB2312" w:cs="仿宋"/>
          <w:sz w:val="32"/>
          <w:highlight w:val="none"/>
        </w:rPr>
        <w:t>7.声明如果在制造商指定的使用环境范围外储存或使用，系统可能无法达到声称的性能（制造商指定的使用环境应一并在声明中给出）。</w:t>
      </w:r>
    </w:p>
    <w:p>
      <w:pPr>
        <w:spacing w:line="520" w:lineRule="exact"/>
        <w:ind w:firstLine="640" w:firstLineChars="200"/>
        <w:rPr>
          <w:rFonts w:eastAsia="仿宋_GB2312" w:cs="仿宋"/>
          <w:sz w:val="32"/>
          <w:highlight w:val="none"/>
        </w:rPr>
      </w:pPr>
      <w:r>
        <w:rPr>
          <w:rFonts w:hint="eastAsia" w:eastAsia="仿宋_GB2312" w:cs="仿宋"/>
          <w:sz w:val="32"/>
          <w:highlight w:val="none"/>
        </w:rPr>
        <w:t>8.使用说明书应向使用者或操作者提供有关存在于该设备与其他装置之间的潜在的电磁干扰或其他干扰的资料，以及有关规避这些干扰的建议，如：明确不要在强电磁条件下使用。</w:t>
      </w:r>
    </w:p>
    <w:p>
      <w:pPr>
        <w:spacing w:line="520" w:lineRule="exact"/>
        <w:ind w:firstLine="640" w:firstLineChars="200"/>
        <w:rPr>
          <w:rFonts w:eastAsia="仿宋_GB2312"/>
          <w:sz w:val="32"/>
          <w:szCs w:val="32"/>
          <w:highlight w:val="none"/>
        </w:rPr>
      </w:pPr>
      <w:r>
        <w:rPr>
          <w:rFonts w:hint="eastAsia" w:eastAsia="仿宋_GB2312" w:cs="仿宋"/>
          <w:sz w:val="32"/>
          <w:highlight w:val="none"/>
        </w:rPr>
        <w:t>9.警告及注意事项至少包括：</w:t>
      </w:r>
      <w:r>
        <w:rPr>
          <w:rFonts w:eastAsia="仿宋_GB2312"/>
          <w:sz w:val="32"/>
          <w:szCs w:val="32"/>
          <w:highlight w:val="none"/>
        </w:rPr>
        <w:t>使用</w:t>
      </w:r>
      <w:r>
        <w:rPr>
          <w:rFonts w:eastAsia="仿宋_GB2312"/>
          <w:sz w:val="32"/>
          <w:szCs w:val="32"/>
          <w:highlight w:val="none"/>
        </w:rPr>
        <w:t>资质的要求，</w:t>
      </w:r>
      <w:bookmarkStart w:id="5" w:name="OLE_LINK24"/>
      <w:bookmarkStart w:id="6" w:name="OLE_LINK25"/>
      <w:r>
        <w:rPr>
          <w:rFonts w:eastAsia="仿宋_GB2312"/>
          <w:sz w:val="32"/>
          <w:szCs w:val="32"/>
          <w:highlight w:val="none"/>
        </w:rPr>
        <w:t>如只能由经过培训的专业的医务人员操作</w:t>
      </w:r>
      <w:bookmarkEnd w:id="5"/>
      <w:bookmarkEnd w:id="6"/>
      <w:r>
        <w:rPr>
          <w:rFonts w:eastAsia="仿宋_GB2312"/>
          <w:sz w:val="32"/>
          <w:szCs w:val="32"/>
          <w:highlight w:val="none"/>
        </w:rPr>
        <w:t>；电磁兼容方面相关的警告及措施；不应放置在影响本产品运行和性能的位置的警告；对检修人员、销售商及相关人员，应提供说明如何检修产品的调整装置及其工作过程</w:t>
      </w:r>
      <w:r>
        <w:rPr>
          <w:rFonts w:hint="eastAsia" w:eastAsia="仿宋_GB2312"/>
          <w:sz w:val="32"/>
          <w:szCs w:val="32"/>
          <w:highlight w:val="none"/>
        </w:rPr>
        <w:t>。</w:t>
      </w:r>
    </w:p>
    <w:p>
      <w:pPr>
        <w:overflowPunct w:val="0"/>
        <w:spacing w:line="520" w:lineRule="exact"/>
        <w:ind w:firstLine="640" w:firstLineChars="200"/>
        <w:rPr>
          <w:rFonts w:eastAsia="仿宋_GB2312"/>
          <w:sz w:val="32"/>
          <w:szCs w:val="28"/>
          <w:highlight w:val="none"/>
        </w:rPr>
      </w:pPr>
      <w:r>
        <w:rPr>
          <w:rFonts w:hint="eastAsia" w:eastAsia="仿宋_GB2312"/>
          <w:kern w:val="0"/>
          <w:sz w:val="32"/>
          <w:szCs w:val="32"/>
          <w:highlight w:val="none"/>
        </w:rPr>
        <w:t>产品说明书的内容均应有明确的来源，与综述资料、研究资料及产品技术要求等注册申报资料的内容保持一致。说明书中涉及技术内容且产品技术要求中未包含的，应提交相应验证资料。</w:t>
      </w:r>
    </w:p>
    <w:p>
      <w:pPr>
        <w:spacing w:line="520" w:lineRule="exact"/>
        <w:ind w:right="-67" w:rightChars="-32" w:firstLine="640" w:firstLineChars="200"/>
        <w:outlineLvl w:val="1"/>
        <w:rPr>
          <w:rFonts w:eastAsia="楷体_GB2312"/>
          <w:sz w:val="32"/>
          <w:szCs w:val="32"/>
          <w:highlight w:val="none"/>
        </w:rPr>
      </w:pPr>
      <w:r>
        <w:rPr>
          <w:rFonts w:eastAsia="楷体_GB2312"/>
          <w:sz w:val="32"/>
          <w:szCs w:val="32"/>
          <w:highlight w:val="none"/>
        </w:rPr>
        <w:t>（六）质量管理体系文件</w:t>
      </w:r>
    </w:p>
    <w:p>
      <w:pPr>
        <w:spacing w:line="520" w:lineRule="exact"/>
        <w:ind w:firstLine="640" w:firstLineChars="200"/>
        <w:rPr>
          <w:rFonts w:eastAsia="仿宋_GB2312"/>
          <w:sz w:val="32"/>
          <w:szCs w:val="32"/>
          <w:highlight w:val="none"/>
        </w:rPr>
      </w:pPr>
      <w:r>
        <w:rPr>
          <w:rFonts w:eastAsia="仿宋_GB2312"/>
          <w:sz w:val="32"/>
          <w:szCs w:val="32"/>
          <w:highlight w:val="none"/>
        </w:rPr>
        <w:t>产品的质量管理体系文件应符合《医疗器械生产质量管理规范》的要求，并按《医疗器械注册申报资料要求及说明》提交资料。</w:t>
      </w:r>
    </w:p>
    <w:p>
      <w:pPr>
        <w:spacing w:line="520" w:lineRule="exact"/>
        <w:ind w:firstLine="640" w:firstLineChars="200"/>
        <w:rPr>
          <w:rFonts w:eastAsia="黑体"/>
          <w:sz w:val="32"/>
          <w:szCs w:val="32"/>
          <w:highlight w:val="none"/>
        </w:rPr>
      </w:pPr>
      <w:r>
        <w:rPr>
          <w:rFonts w:hint="eastAsia" w:eastAsia="黑体"/>
          <w:sz w:val="32"/>
          <w:szCs w:val="32"/>
          <w:highlight w:val="none"/>
        </w:rPr>
        <w:t>三、参考文献</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[1]</w:t>
      </w:r>
      <w:r>
        <w:rPr>
          <w:rFonts w:eastAsia="仿宋_GB2312"/>
          <w:sz w:val="32"/>
          <w:szCs w:val="32"/>
          <w:highlight w:val="none"/>
          <w:lang w:val="en"/>
        </w:rPr>
        <w:t>中华人民共和国国务院</w:t>
      </w:r>
      <w:r>
        <w:rPr>
          <w:rFonts w:hint="eastAsia" w:eastAsia="仿宋_GB2312"/>
          <w:sz w:val="32"/>
          <w:szCs w:val="32"/>
          <w:highlight w:val="none"/>
          <w:lang w:val="en"/>
        </w:rPr>
        <w:t>.</w:t>
      </w:r>
      <w:r>
        <w:rPr>
          <w:rFonts w:eastAsia="仿宋_GB2312"/>
          <w:sz w:val="32"/>
          <w:szCs w:val="32"/>
          <w:highlight w:val="none"/>
        </w:rPr>
        <w:t>医疗器械监督管理条例</w:t>
      </w:r>
      <w:r>
        <w:rPr>
          <w:rFonts w:hint="eastAsia" w:eastAsia="仿宋_GB2312"/>
          <w:sz w:val="32"/>
          <w:szCs w:val="32"/>
          <w:highlight w:val="none"/>
        </w:rPr>
        <w:t>:</w:t>
      </w:r>
      <w:r>
        <w:rPr>
          <w:rFonts w:eastAsia="仿宋_GB2312"/>
          <w:sz w:val="32"/>
          <w:szCs w:val="32"/>
          <w:highlight w:val="none"/>
          <w:lang w:val="en"/>
        </w:rPr>
        <w:t>中华人民共和国国务院令第739号</w:t>
      </w:r>
      <w:r>
        <w:rPr>
          <w:rFonts w:eastAsia="仿宋_GB2312"/>
          <w:sz w:val="32"/>
          <w:szCs w:val="32"/>
          <w:highlight w:val="none"/>
        </w:rPr>
        <w:t>[Z].</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[2]</w:t>
      </w:r>
      <w:r>
        <w:rPr>
          <w:rFonts w:eastAsia="仿宋_GB2312"/>
          <w:sz w:val="32"/>
          <w:szCs w:val="32"/>
          <w:highlight w:val="none"/>
        </w:rPr>
        <w:t>国家市场监督管理总局</w:t>
      </w:r>
      <w:r>
        <w:rPr>
          <w:rFonts w:hint="eastAsia" w:eastAsia="仿宋_GB2312"/>
          <w:sz w:val="32"/>
          <w:szCs w:val="32"/>
          <w:highlight w:val="none"/>
        </w:rPr>
        <w:t>.</w:t>
      </w:r>
      <w:r>
        <w:rPr>
          <w:rFonts w:eastAsia="仿宋_GB2312"/>
          <w:sz w:val="32"/>
          <w:szCs w:val="32"/>
          <w:highlight w:val="none"/>
        </w:rPr>
        <w:t>医疗器械注册与备案管理办法:国家市场监督管理总局令第47号[Z].</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[3]国家食品药品监督管理局.医疗器械说明书和标签管理规定:国家食品药品监督管理总局令第6号[Z].</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[4]国家食品药品监督管理局.</w:t>
      </w:r>
      <w:r>
        <w:rPr>
          <w:rFonts w:eastAsia="仿宋_GB2312"/>
          <w:sz w:val="32"/>
          <w:szCs w:val="32"/>
          <w:highlight w:val="none"/>
        </w:rPr>
        <w:t>医疗器械分类规则</w:t>
      </w:r>
      <w:r>
        <w:rPr>
          <w:rFonts w:hint="eastAsia" w:eastAsia="仿宋_GB2312"/>
          <w:sz w:val="32"/>
          <w:szCs w:val="32"/>
          <w:highlight w:val="none"/>
        </w:rPr>
        <w:t>:</w:t>
      </w:r>
      <w:r>
        <w:rPr>
          <w:rFonts w:eastAsia="仿宋_GB2312"/>
          <w:sz w:val="32"/>
          <w:szCs w:val="32"/>
          <w:highlight w:val="none"/>
          <w:lang w:val="en"/>
        </w:rPr>
        <w:t>国家食品药品监督管理总局令第15号</w:t>
      </w:r>
      <w:r>
        <w:rPr>
          <w:rFonts w:eastAsia="仿宋_GB2312"/>
          <w:sz w:val="32"/>
          <w:szCs w:val="32"/>
          <w:highlight w:val="none"/>
        </w:rPr>
        <w:t>[Z].</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[5]</w:t>
      </w:r>
      <w:r>
        <w:rPr>
          <w:rFonts w:eastAsia="仿宋_GB2312"/>
          <w:sz w:val="32"/>
          <w:szCs w:val="28"/>
          <w:highlight w:val="none"/>
        </w:rPr>
        <w:t>国家食品药品监督管理局</w:t>
      </w:r>
      <w:r>
        <w:rPr>
          <w:rFonts w:hint="eastAsia" w:eastAsia="仿宋_GB2312"/>
          <w:sz w:val="32"/>
          <w:szCs w:val="32"/>
          <w:highlight w:val="none"/>
        </w:rPr>
        <w:t>.</w:t>
      </w:r>
      <w:r>
        <w:rPr>
          <w:rFonts w:eastAsia="仿宋_GB2312"/>
          <w:sz w:val="32"/>
          <w:szCs w:val="32"/>
          <w:highlight w:val="none"/>
        </w:rPr>
        <w:t>医疗器械通用名称命名规则</w:t>
      </w:r>
      <w:r>
        <w:rPr>
          <w:rFonts w:hint="eastAsia" w:eastAsia="仿宋_GB2312"/>
          <w:sz w:val="32"/>
          <w:szCs w:val="32"/>
          <w:highlight w:val="none"/>
        </w:rPr>
        <w:t>:</w:t>
      </w:r>
      <w:r>
        <w:rPr>
          <w:rFonts w:eastAsia="仿宋_GB2312"/>
          <w:sz w:val="32"/>
          <w:szCs w:val="28"/>
          <w:highlight w:val="none"/>
        </w:rPr>
        <w:t>国家食品药品监督管理总局令第19号</w:t>
      </w:r>
      <w:r>
        <w:rPr>
          <w:rFonts w:eastAsia="仿宋_GB2312"/>
          <w:sz w:val="32"/>
          <w:szCs w:val="32"/>
          <w:highlight w:val="none"/>
        </w:rPr>
        <w:t>[Z].</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[6]</w:t>
      </w:r>
      <w:r>
        <w:rPr>
          <w:rFonts w:eastAsia="仿宋_GB2312"/>
          <w:sz w:val="32"/>
          <w:szCs w:val="32"/>
          <w:highlight w:val="none"/>
          <w:lang w:val="en"/>
        </w:rPr>
        <w:t>国家食品药品监督管理局</w:t>
      </w:r>
      <w:r>
        <w:rPr>
          <w:rFonts w:eastAsia="仿宋_GB2312"/>
          <w:sz w:val="32"/>
          <w:szCs w:val="32"/>
          <w:highlight w:val="none"/>
        </w:rPr>
        <w:t>.医疗器械分类目录</w:t>
      </w:r>
      <w:r>
        <w:rPr>
          <w:rFonts w:hint="eastAsia" w:eastAsia="仿宋_GB2312"/>
          <w:sz w:val="32"/>
          <w:szCs w:val="32"/>
          <w:highlight w:val="none"/>
        </w:rPr>
        <w:t>:</w:t>
      </w:r>
      <w:r>
        <w:rPr>
          <w:rFonts w:eastAsia="仿宋_GB2312"/>
          <w:sz w:val="32"/>
          <w:szCs w:val="32"/>
          <w:highlight w:val="none"/>
          <w:lang w:val="en"/>
        </w:rPr>
        <w:t>国家食品药品监督管理总局</w:t>
      </w:r>
      <w:r>
        <w:rPr>
          <w:rFonts w:hint="eastAsia" w:eastAsia="仿宋_GB2312"/>
          <w:sz w:val="32"/>
          <w:szCs w:val="32"/>
          <w:highlight w:val="none"/>
          <w:lang w:val="en"/>
        </w:rPr>
        <w:t>公告</w:t>
      </w:r>
      <w:r>
        <w:rPr>
          <w:rFonts w:eastAsia="仿宋_GB2312"/>
          <w:sz w:val="32"/>
          <w:szCs w:val="32"/>
          <w:highlight w:val="none"/>
          <w:lang w:val="en"/>
        </w:rPr>
        <w:t>2017年第104号</w:t>
      </w:r>
      <w:r>
        <w:rPr>
          <w:rFonts w:eastAsia="仿宋_GB2312"/>
          <w:sz w:val="32"/>
          <w:szCs w:val="32"/>
          <w:highlight w:val="none"/>
        </w:rPr>
        <w:t>[Z].</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[7]国家药品监督管理局.医用诊察和监护器械通用名称命名指导原则:国家药监局通告2021年第62号[Z].</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[8]国家药品监督管理局.医疗器械注册申报资料要求及说明:国家药监局公告2021年第121号</w:t>
      </w:r>
      <w:r>
        <w:rPr>
          <w:rFonts w:eastAsia="仿宋_GB2312"/>
          <w:sz w:val="32"/>
          <w:szCs w:val="32"/>
          <w:highlight w:val="none"/>
        </w:rPr>
        <w:t>[Z].</w:t>
      </w:r>
    </w:p>
    <w:p>
      <w:pPr>
        <w:spacing w:line="520" w:lineRule="exact"/>
        <w:ind w:right="-67" w:rightChars="-32" w:firstLine="640" w:firstLineChars="200"/>
        <w:rPr>
          <w:rFonts w:eastAsia="仿宋_GB2312"/>
          <w:sz w:val="32"/>
          <w:szCs w:val="32"/>
          <w:highlight w:val="none"/>
        </w:rPr>
      </w:pPr>
      <w:r>
        <w:rPr>
          <w:rFonts w:hint="eastAsia" w:eastAsia="仿宋_GB2312"/>
          <w:sz w:val="32"/>
          <w:szCs w:val="32"/>
          <w:highlight w:val="none"/>
        </w:rPr>
        <w:t>[9]</w:t>
      </w:r>
      <w:r>
        <w:rPr>
          <w:rFonts w:eastAsia="仿宋_GB2312"/>
          <w:sz w:val="32"/>
          <w:szCs w:val="32"/>
          <w:highlight w:val="none"/>
          <w:lang w:val="en"/>
        </w:rPr>
        <w:t>国家食品药品监督管理局</w:t>
      </w:r>
      <w:r>
        <w:rPr>
          <w:rFonts w:eastAsia="仿宋_GB2312"/>
          <w:sz w:val="32"/>
          <w:szCs w:val="32"/>
          <w:highlight w:val="none"/>
        </w:rPr>
        <w:t>.医疗器械注册单元划分指导原则</w:t>
      </w:r>
      <w:r>
        <w:rPr>
          <w:rFonts w:hint="eastAsia" w:eastAsia="仿宋_GB2312"/>
          <w:sz w:val="32"/>
          <w:szCs w:val="32"/>
          <w:highlight w:val="none"/>
        </w:rPr>
        <w:t>:总局通</w:t>
      </w:r>
      <w:r>
        <w:rPr>
          <w:rFonts w:eastAsia="仿宋_GB2312"/>
          <w:sz w:val="32"/>
          <w:szCs w:val="32"/>
          <w:highlight w:val="none"/>
          <w:lang w:val="en"/>
        </w:rPr>
        <w:t>告2017年第187号</w:t>
      </w:r>
      <w:r>
        <w:rPr>
          <w:rFonts w:eastAsia="仿宋_GB2312"/>
          <w:sz w:val="32"/>
          <w:szCs w:val="32"/>
          <w:highlight w:val="none"/>
        </w:rPr>
        <w:t>[Z].</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[10]</w:t>
      </w:r>
      <w:r>
        <w:rPr>
          <w:rFonts w:eastAsia="仿宋_GB2312"/>
          <w:sz w:val="32"/>
          <w:szCs w:val="32"/>
          <w:highlight w:val="none"/>
          <w:lang w:val="en"/>
        </w:rPr>
        <w:t>国家药品监督管理局</w:t>
      </w:r>
      <w:r>
        <w:rPr>
          <w:rFonts w:hint="eastAsia" w:eastAsia="仿宋_GB2312"/>
          <w:sz w:val="32"/>
          <w:szCs w:val="32"/>
          <w:highlight w:val="none"/>
        </w:rPr>
        <w:t>.</w:t>
      </w:r>
      <w:r>
        <w:rPr>
          <w:rFonts w:eastAsia="仿宋_GB2312"/>
          <w:sz w:val="32"/>
          <w:szCs w:val="32"/>
          <w:highlight w:val="none"/>
        </w:rPr>
        <w:t>有源医疗器械使用期限注册技术审查指导原则</w:t>
      </w:r>
      <w:r>
        <w:rPr>
          <w:rFonts w:hint="eastAsia" w:eastAsia="仿宋_GB2312"/>
          <w:sz w:val="32"/>
          <w:szCs w:val="32"/>
          <w:highlight w:val="none"/>
        </w:rPr>
        <w:t>:</w:t>
      </w:r>
      <w:r>
        <w:rPr>
          <w:rFonts w:eastAsia="仿宋_GB2312"/>
          <w:sz w:val="32"/>
          <w:szCs w:val="32"/>
          <w:highlight w:val="none"/>
          <w:lang w:val="en"/>
        </w:rPr>
        <w:t>国家药品监督管理局</w:t>
      </w:r>
      <w:r>
        <w:rPr>
          <w:rFonts w:hint="eastAsia" w:eastAsia="仿宋_GB2312"/>
          <w:sz w:val="32"/>
          <w:szCs w:val="32"/>
          <w:highlight w:val="none"/>
        </w:rPr>
        <w:t>通</w:t>
      </w:r>
      <w:r>
        <w:rPr>
          <w:rFonts w:eastAsia="仿宋_GB2312"/>
          <w:sz w:val="32"/>
          <w:szCs w:val="32"/>
          <w:highlight w:val="none"/>
          <w:lang w:val="en"/>
        </w:rPr>
        <w:t>告2019年第23号</w:t>
      </w:r>
      <w:r>
        <w:rPr>
          <w:rFonts w:eastAsia="仿宋_GB2312"/>
          <w:sz w:val="32"/>
          <w:szCs w:val="32"/>
          <w:highlight w:val="none"/>
        </w:rPr>
        <w:t>[Z].</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[11]</w:t>
      </w:r>
      <w:r>
        <w:rPr>
          <w:rFonts w:hint="eastAsia" w:eastAsia="仿宋_GB2312"/>
          <w:kern w:val="0"/>
          <w:sz w:val="32"/>
          <w:szCs w:val="32"/>
          <w:highlight w:val="none"/>
        </w:rPr>
        <w:t>国家药品监督管理局医疗器械审评中心.</w:t>
      </w:r>
      <w:r>
        <w:rPr>
          <w:rFonts w:eastAsia="仿宋_GB2312"/>
          <w:kern w:val="0"/>
          <w:sz w:val="32"/>
          <w:szCs w:val="32"/>
          <w:highlight w:val="none"/>
        </w:rPr>
        <w:t>医疗器械软件注册审查指导原则</w:t>
      </w:r>
      <w:r>
        <w:rPr>
          <w:rFonts w:hint="eastAsia" w:eastAsia="仿宋_GB2312"/>
          <w:kern w:val="0"/>
          <w:sz w:val="32"/>
          <w:szCs w:val="32"/>
          <w:highlight w:val="none"/>
        </w:rPr>
        <w:t>(2022年修订版):国家药监局器审中心通告2022年第9号</w:t>
      </w:r>
      <w:r>
        <w:rPr>
          <w:rFonts w:eastAsia="仿宋_GB2312"/>
          <w:sz w:val="32"/>
          <w:szCs w:val="32"/>
          <w:highlight w:val="none"/>
        </w:rPr>
        <w:t>[Z].</w:t>
      </w:r>
    </w:p>
    <w:p>
      <w:pPr>
        <w:spacing w:line="520" w:lineRule="exact"/>
        <w:ind w:firstLine="640" w:firstLineChars="200"/>
        <w:rPr>
          <w:rFonts w:eastAsia="仿宋_GB2312"/>
          <w:sz w:val="32"/>
          <w:szCs w:val="32"/>
          <w:highlight w:val="none"/>
        </w:rPr>
      </w:pPr>
      <w:r>
        <w:rPr>
          <w:rFonts w:eastAsia="仿宋_GB2312"/>
          <w:sz w:val="32"/>
          <w:szCs w:val="32"/>
          <w:highlight w:val="none"/>
        </w:rPr>
        <w:t>[1</w:t>
      </w:r>
      <w:r>
        <w:rPr>
          <w:rFonts w:hint="eastAsia" w:eastAsia="仿宋_GB2312"/>
          <w:sz w:val="32"/>
          <w:szCs w:val="32"/>
          <w:highlight w:val="none"/>
        </w:rPr>
        <w:t>2</w:t>
      </w:r>
      <w:r>
        <w:rPr>
          <w:rFonts w:eastAsia="仿宋_GB2312"/>
          <w:sz w:val="32"/>
          <w:szCs w:val="32"/>
          <w:highlight w:val="none"/>
        </w:rPr>
        <w:t>]</w:t>
      </w:r>
      <w:r>
        <w:rPr>
          <w:rFonts w:hint="eastAsia" w:eastAsia="仿宋_GB2312"/>
          <w:kern w:val="0"/>
          <w:sz w:val="32"/>
          <w:szCs w:val="32"/>
          <w:highlight w:val="none"/>
        </w:rPr>
        <w:t>国家药品监督管理局医疗器械审评中心</w:t>
      </w:r>
      <w:r>
        <w:rPr>
          <w:rFonts w:eastAsia="仿宋_GB2312"/>
          <w:sz w:val="32"/>
          <w:szCs w:val="32"/>
          <w:highlight w:val="none"/>
        </w:rPr>
        <w:t>.</w:t>
      </w:r>
      <w:r>
        <w:rPr>
          <w:rFonts w:hint="eastAsia" w:eastAsia="仿宋_GB2312"/>
          <w:sz w:val="32"/>
          <w:szCs w:val="32"/>
          <w:highlight w:val="none"/>
        </w:rPr>
        <w:t>医疗器械网络安全注册审查指导原则:</w:t>
      </w:r>
      <w:r>
        <w:rPr>
          <w:rFonts w:hint="eastAsia" w:eastAsia="仿宋_GB2312"/>
          <w:kern w:val="0"/>
          <w:sz w:val="32"/>
          <w:szCs w:val="32"/>
          <w:highlight w:val="none"/>
        </w:rPr>
        <w:t>国家药监局器审中心通告2022年第7号</w:t>
      </w:r>
      <w:r>
        <w:rPr>
          <w:rFonts w:hint="eastAsia" w:eastAsia="仿宋_GB2312"/>
          <w:sz w:val="32"/>
          <w:szCs w:val="32"/>
          <w:highlight w:val="none"/>
        </w:rPr>
        <w:t>[Z].</w:t>
      </w:r>
    </w:p>
    <w:p>
      <w:pPr>
        <w:spacing w:line="520" w:lineRule="exact"/>
        <w:ind w:firstLine="640" w:firstLineChars="200"/>
        <w:rPr>
          <w:rFonts w:eastAsia="仿宋_GB2312"/>
          <w:sz w:val="32"/>
          <w:szCs w:val="20"/>
          <w:highlight w:val="none"/>
        </w:rPr>
      </w:pPr>
      <w:r>
        <w:rPr>
          <w:rFonts w:eastAsia="仿宋_GB2312"/>
          <w:sz w:val="32"/>
          <w:szCs w:val="20"/>
          <w:highlight w:val="none"/>
        </w:rPr>
        <w:t>[1</w:t>
      </w:r>
      <w:r>
        <w:rPr>
          <w:rFonts w:hint="eastAsia" w:eastAsia="仿宋_GB2312"/>
          <w:sz w:val="32"/>
          <w:szCs w:val="20"/>
          <w:highlight w:val="none"/>
        </w:rPr>
        <w:t>3</w:t>
      </w:r>
      <w:r>
        <w:rPr>
          <w:rFonts w:eastAsia="仿宋_GB2312"/>
          <w:sz w:val="32"/>
          <w:szCs w:val="20"/>
          <w:highlight w:val="none"/>
        </w:rPr>
        <w:t>]</w:t>
      </w:r>
      <w:r>
        <w:rPr>
          <w:rFonts w:eastAsia="仿宋_GB2312"/>
          <w:sz w:val="32"/>
          <w:szCs w:val="32"/>
          <w:highlight w:val="none"/>
        </w:rPr>
        <w:t>国家药品监督管理局.</w:t>
      </w:r>
      <w:r>
        <w:rPr>
          <w:rFonts w:eastAsia="仿宋_GB2312"/>
          <w:sz w:val="32"/>
          <w:szCs w:val="20"/>
          <w:highlight w:val="none"/>
        </w:rPr>
        <w:t>医疗器械临床评价技术指导原则:国家药监局通告2021年第73号[Z].</w:t>
      </w:r>
    </w:p>
    <w:p>
      <w:pPr>
        <w:spacing w:line="520" w:lineRule="exact"/>
        <w:ind w:firstLine="640" w:firstLineChars="200"/>
        <w:rPr>
          <w:rFonts w:eastAsia="仿宋_GB2312"/>
          <w:sz w:val="32"/>
          <w:szCs w:val="20"/>
          <w:highlight w:val="none"/>
        </w:rPr>
      </w:pPr>
      <w:r>
        <w:rPr>
          <w:rFonts w:eastAsia="仿宋_GB2312"/>
          <w:sz w:val="32"/>
          <w:szCs w:val="20"/>
          <w:highlight w:val="none"/>
        </w:rPr>
        <w:t>[1</w:t>
      </w:r>
      <w:r>
        <w:rPr>
          <w:rFonts w:hint="eastAsia" w:eastAsia="仿宋_GB2312"/>
          <w:sz w:val="32"/>
          <w:szCs w:val="20"/>
          <w:highlight w:val="none"/>
        </w:rPr>
        <w:t>4</w:t>
      </w:r>
      <w:r>
        <w:rPr>
          <w:rFonts w:eastAsia="仿宋_GB2312"/>
          <w:sz w:val="32"/>
          <w:szCs w:val="20"/>
          <w:highlight w:val="none"/>
        </w:rPr>
        <w:t>]</w:t>
      </w:r>
      <w:r>
        <w:rPr>
          <w:rFonts w:eastAsia="仿宋_GB2312"/>
          <w:sz w:val="32"/>
          <w:szCs w:val="32"/>
          <w:highlight w:val="none"/>
        </w:rPr>
        <w:t>国家药品监督管理局.</w:t>
      </w:r>
      <w:r>
        <w:rPr>
          <w:rFonts w:eastAsia="仿宋_GB2312"/>
          <w:sz w:val="32"/>
          <w:szCs w:val="20"/>
          <w:highlight w:val="none"/>
        </w:rPr>
        <w:t>医疗器械临床评价等同性论证技术指导原则:国家药监局通告2021年第73号[Z].</w:t>
      </w:r>
    </w:p>
    <w:p>
      <w:pPr>
        <w:spacing w:line="520" w:lineRule="exact"/>
        <w:ind w:firstLine="640" w:firstLineChars="200"/>
        <w:rPr>
          <w:rFonts w:eastAsia="仿宋_GB2312"/>
          <w:sz w:val="32"/>
          <w:szCs w:val="20"/>
          <w:highlight w:val="none"/>
        </w:rPr>
      </w:pPr>
      <w:r>
        <w:rPr>
          <w:rFonts w:eastAsia="仿宋_GB2312"/>
          <w:sz w:val="32"/>
          <w:szCs w:val="20"/>
          <w:highlight w:val="none"/>
        </w:rPr>
        <w:t>[1</w:t>
      </w:r>
      <w:r>
        <w:rPr>
          <w:rFonts w:hint="eastAsia" w:eastAsia="仿宋_GB2312"/>
          <w:sz w:val="32"/>
          <w:szCs w:val="20"/>
          <w:highlight w:val="none"/>
        </w:rPr>
        <w:t>5</w:t>
      </w:r>
      <w:r>
        <w:rPr>
          <w:rFonts w:eastAsia="仿宋_GB2312"/>
          <w:sz w:val="32"/>
          <w:szCs w:val="20"/>
          <w:highlight w:val="none"/>
        </w:rPr>
        <w:t>]</w:t>
      </w:r>
      <w:r>
        <w:rPr>
          <w:rFonts w:eastAsia="仿宋_GB2312"/>
          <w:sz w:val="32"/>
          <w:szCs w:val="32"/>
          <w:highlight w:val="none"/>
        </w:rPr>
        <w:t>国家药品监督管理局.</w:t>
      </w:r>
      <w:r>
        <w:rPr>
          <w:rFonts w:eastAsia="仿宋_GB2312"/>
          <w:sz w:val="32"/>
          <w:szCs w:val="20"/>
          <w:highlight w:val="none"/>
        </w:rPr>
        <w:t>医疗器械注册申报临床评价报告技术指导原则:国家药监局通告2021年第73号[Z].</w:t>
      </w:r>
    </w:p>
    <w:p>
      <w:pPr>
        <w:overflowPunct w:val="0"/>
        <w:spacing w:line="520" w:lineRule="exact"/>
        <w:ind w:firstLine="640" w:firstLineChars="200"/>
        <w:rPr>
          <w:rFonts w:eastAsia="仿宋_GB2312"/>
          <w:sz w:val="32"/>
          <w:szCs w:val="20"/>
          <w:highlight w:val="none"/>
        </w:rPr>
      </w:pPr>
      <w:r>
        <w:rPr>
          <w:rFonts w:eastAsia="仿宋_GB2312"/>
          <w:sz w:val="32"/>
          <w:szCs w:val="32"/>
          <w:highlight w:val="none"/>
        </w:rPr>
        <w:t>[1</w:t>
      </w:r>
      <w:r>
        <w:rPr>
          <w:rFonts w:hint="eastAsia" w:eastAsia="仿宋_GB2312"/>
          <w:sz w:val="32"/>
          <w:szCs w:val="32"/>
          <w:highlight w:val="none"/>
        </w:rPr>
        <w:t>6</w:t>
      </w:r>
      <w:r>
        <w:rPr>
          <w:rFonts w:eastAsia="仿宋_GB2312"/>
          <w:sz w:val="32"/>
          <w:szCs w:val="32"/>
          <w:highlight w:val="none"/>
        </w:rPr>
        <w:t>]</w:t>
      </w:r>
      <w:r>
        <w:rPr>
          <w:rFonts w:hint="eastAsia" w:eastAsia="仿宋_GB2312" w:cs="仿宋_GB2312"/>
          <w:sz w:val="32"/>
          <w:szCs w:val="32"/>
          <w:highlight w:val="none"/>
        </w:rPr>
        <w:t>国家药监局国家卫生健康委.医疗器械临床试验质量管理规范：国家药监局国家卫生健康委公告2022年第28号[Z].</w:t>
      </w:r>
    </w:p>
    <w:p>
      <w:pPr>
        <w:spacing w:line="520" w:lineRule="exact"/>
        <w:ind w:firstLine="640" w:firstLineChars="200"/>
        <w:rPr>
          <w:rFonts w:eastAsia="仿宋_GB2312"/>
          <w:sz w:val="32"/>
          <w:szCs w:val="20"/>
          <w:highlight w:val="none"/>
        </w:rPr>
      </w:pPr>
      <w:r>
        <w:rPr>
          <w:rFonts w:eastAsia="仿宋_GB2312"/>
          <w:sz w:val="32"/>
          <w:szCs w:val="32"/>
          <w:highlight w:val="none"/>
        </w:rPr>
        <w:t>[1</w:t>
      </w:r>
      <w:r>
        <w:rPr>
          <w:rFonts w:hint="eastAsia" w:eastAsia="仿宋_GB2312"/>
          <w:sz w:val="32"/>
          <w:szCs w:val="32"/>
          <w:highlight w:val="none"/>
        </w:rPr>
        <w:t>7</w:t>
      </w:r>
      <w:r>
        <w:rPr>
          <w:rFonts w:eastAsia="仿宋_GB2312"/>
          <w:sz w:val="32"/>
          <w:szCs w:val="32"/>
          <w:highlight w:val="none"/>
        </w:rPr>
        <w:t>]国家食品药品监督管理总局.医疗器械临床试验设计指导原则: 国家食品药品监督管理总局</w:t>
      </w:r>
      <w:r>
        <w:rPr>
          <w:rFonts w:hint="eastAsia" w:eastAsia="仿宋_GB2312"/>
          <w:sz w:val="32"/>
          <w:szCs w:val="32"/>
          <w:highlight w:val="none"/>
        </w:rPr>
        <w:t>通告2018年第6号</w:t>
      </w:r>
      <w:r>
        <w:rPr>
          <w:rFonts w:eastAsia="仿宋_GB2312"/>
          <w:sz w:val="32"/>
          <w:szCs w:val="32"/>
          <w:highlight w:val="none"/>
        </w:rPr>
        <w:t>[Z].</w:t>
      </w:r>
    </w:p>
    <w:p>
      <w:pPr>
        <w:spacing w:line="520" w:lineRule="exact"/>
        <w:ind w:firstLine="640" w:firstLineChars="200"/>
        <w:rPr>
          <w:rFonts w:eastAsia="仿宋_GB2312"/>
          <w:snapToGrid w:val="0"/>
          <w:kern w:val="0"/>
          <w:sz w:val="32"/>
          <w:szCs w:val="32"/>
          <w:highlight w:val="none"/>
        </w:rPr>
      </w:pPr>
      <w:r>
        <w:rPr>
          <w:rFonts w:eastAsia="仿宋_GB2312"/>
          <w:sz w:val="32"/>
          <w:szCs w:val="32"/>
          <w:highlight w:val="none"/>
        </w:rPr>
        <w:t>[1</w:t>
      </w:r>
      <w:r>
        <w:rPr>
          <w:rFonts w:hint="eastAsia" w:eastAsia="仿宋_GB2312"/>
          <w:sz w:val="32"/>
          <w:szCs w:val="32"/>
          <w:highlight w:val="none"/>
        </w:rPr>
        <w:t>8</w:t>
      </w:r>
      <w:r>
        <w:rPr>
          <w:rFonts w:eastAsia="仿宋_GB2312"/>
          <w:sz w:val="32"/>
          <w:szCs w:val="32"/>
          <w:highlight w:val="none"/>
        </w:rPr>
        <w:t>]国家食品药品监督管理总局.接受医疗器械境外临床试验数据技术指导原则: 国家食品药品监督管理局</w:t>
      </w:r>
      <w:r>
        <w:rPr>
          <w:rFonts w:hint="eastAsia" w:eastAsia="仿宋_GB2312"/>
          <w:sz w:val="32"/>
          <w:szCs w:val="32"/>
          <w:highlight w:val="none"/>
        </w:rPr>
        <w:t>通告2018年第13号</w:t>
      </w:r>
      <w:r>
        <w:rPr>
          <w:rFonts w:eastAsia="仿宋_GB2312"/>
          <w:sz w:val="32"/>
          <w:szCs w:val="32"/>
          <w:highlight w:val="none"/>
        </w:rPr>
        <w:t>[Z].</w:t>
      </w:r>
    </w:p>
    <w:p>
      <w:pPr>
        <w:spacing w:line="520" w:lineRule="exact"/>
        <w:ind w:firstLine="640" w:firstLineChars="200"/>
        <w:rPr>
          <w:rFonts w:eastAsia="仿宋_GB2312"/>
          <w:sz w:val="32"/>
          <w:szCs w:val="32"/>
          <w:highlight w:val="none"/>
        </w:rPr>
      </w:pPr>
      <w:r>
        <w:rPr>
          <w:rFonts w:eastAsia="仿宋_GB2312"/>
          <w:sz w:val="32"/>
          <w:szCs w:val="32"/>
          <w:highlight w:val="none"/>
        </w:rPr>
        <w:t>[1</w:t>
      </w:r>
      <w:r>
        <w:rPr>
          <w:rFonts w:hint="eastAsia" w:eastAsia="仿宋_GB2312"/>
          <w:sz w:val="32"/>
          <w:szCs w:val="32"/>
          <w:highlight w:val="none"/>
        </w:rPr>
        <w:t>9</w:t>
      </w:r>
      <w:r>
        <w:rPr>
          <w:rFonts w:eastAsia="仿宋_GB2312"/>
          <w:sz w:val="32"/>
          <w:szCs w:val="32"/>
          <w:highlight w:val="none"/>
        </w:rPr>
        <w:t>]</w:t>
      </w:r>
      <w:r>
        <w:rPr>
          <w:rFonts w:hint="eastAsia" w:eastAsia="仿宋_GB2312"/>
          <w:sz w:val="32"/>
          <w:szCs w:val="32"/>
          <w:highlight w:val="none"/>
        </w:rPr>
        <w:t>国家药品监督管理局.</w:t>
      </w:r>
      <w:r>
        <w:rPr>
          <w:rFonts w:eastAsia="仿宋_GB2312"/>
          <w:sz w:val="32"/>
          <w:szCs w:val="32"/>
          <w:highlight w:val="none"/>
        </w:rPr>
        <w:t>医疗器械产品技术要求编写指导原则</w:t>
      </w:r>
      <w:r>
        <w:rPr>
          <w:rFonts w:hint="eastAsia" w:eastAsia="仿宋_GB2312"/>
          <w:sz w:val="32"/>
          <w:szCs w:val="32"/>
          <w:highlight w:val="none"/>
        </w:rPr>
        <w:t>:国家药监局公告2022年第8号[Z].</w:t>
      </w:r>
    </w:p>
    <w:p>
      <w:pPr>
        <w:spacing w:line="520" w:lineRule="exact"/>
        <w:ind w:firstLine="640" w:firstLineChars="20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20</w:t>
      </w:r>
      <w:r>
        <w:rPr>
          <w:rFonts w:eastAsia="仿宋_GB2312"/>
          <w:sz w:val="32"/>
          <w:szCs w:val="32"/>
          <w:highlight w:val="none"/>
        </w:rPr>
        <w:t>]</w:t>
      </w:r>
      <w:r>
        <w:rPr>
          <w:rFonts w:hint="eastAsia" w:eastAsia="仿宋_GB2312"/>
          <w:sz w:val="32"/>
          <w:szCs w:val="32"/>
          <w:highlight w:val="none"/>
        </w:rPr>
        <w:t>GB/T 16886.1,医疗器械生物学评价第1部分：风险管理过程中的评价与试验[S].</w:t>
      </w:r>
    </w:p>
    <w:p>
      <w:pPr>
        <w:spacing w:line="520" w:lineRule="exact"/>
        <w:ind w:firstLine="640" w:firstLineChars="20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21</w:t>
      </w:r>
      <w:r>
        <w:rPr>
          <w:rFonts w:eastAsia="仿宋_GB2312"/>
          <w:sz w:val="32"/>
          <w:szCs w:val="32"/>
          <w:highlight w:val="none"/>
        </w:rPr>
        <w:t>]</w:t>
      </w:r>
      <w:r>
        <w:rPr>
          <w:rFonts w:hint="eastAsia" w:eastAsia="仿宋_GB2312"/>
          <w:sz w:val="32"/>
          <w:szCs w:val="32"/>
          <w:highlight w:val="none"/>
        </w:rPr>
        <w:t>GB/T 42062,医疗器械风险管理对医疗器械的应用[S].</w:t>
      </w:r>
    </w:p>
    <w:p>
      <w:pPr>
        <w:spacing w:line="520" w:lineRule="exact"/>
        <w:ind w:firstLine="640" w:firstLineChars="200"/>
        <w:rPr>
          <w:rFonts w:eastAsia="仿宋_GB2312"/>
          <w:sz w:val="32"/>
          <w:szCs w:val="32"/>
          <w:highlight w:val="none"/>
        </w:rPr>
      </w:pPr>
      <w:r>
        <w:rPr>
          <w:rFonts w:eastAsia="仿宋_GB2312"/>
          <w:sz w:val="32"/>
          <w:szCs w:val="32"/>
          <w:highlight w:val="none"/>
        </w:rPr>
        <w:t>[2</w:t>
      </w:r>
      <w:r>
        <w:rPr>
          <w:rFonts w:hint="eastAsia" w:eastAsia="仿宋_GB2312"/>
          <w:sz w:val="32"/>
          <w:szCs w:val="32"/>
          <w:highlight w:val="none"/>
        </w:rPr>
        <w:t>2</w:t>
      </w:r>
      <w:r>
        <w:rPr>
          <w:rFonts w:eastAsia="仿宋_GB2312"/>
          <w:sz w:val="32"/>
          <w:szCs w:val="32"/>
          <w:highlight w:val="none"/>
        </w:rPr>
        <w:t>] YY/T 1437-2023,医疗器械 GB/T 42</w:t>
      </w:r>
      <w:r>
        <w:rPr>
          <w:rFonts w:eastAsia="仿宋_GB2312"/>
          <w:sz w:val="32"/>
          <w:szCs w:val="32"/>
          <w:highlight w:val="none"/>
        </w:rPr>
        <w:t>062</w:t>
      </w:r>
      <w:r>
        <w:rPr>
          <w:rFonts w:hint="eastAsia" w:eastAsia="仿宋_GB2312"/>
          <w:sz w:val="32"/>
          <w:szCs w:val="32"/>
          <w:highlight w:val="none"/>
        </w:rPr>
        <w:t>应</w:t>
      </w:r>
      <w:r>
        <w:rPr>
          <w:rFonts w:eastAsia="仿宋_GB2312"/>
          <w:sz w:val="32"/>
          <w:szCs w:val="32"/>
          <w:highlight w:val="none"/>
        </w:rPr>
        <w:t>用</w:t>
      </w:r>
      <w:r>
        <w:rPr>
          <w:rFonts w:eastAsia="仿宋_GB2312"/>
          <w:sz w:val="32"/>
          <w:szCs w:val="32"/>
          <w:highlight w:val="none"/>
        </w:rPr>
        <w:t>指南</w:t>
      </w:r>
      <w:r>
        <w:rPr>
          <w:rFonts w:eastAsia="仿宋_GB2312"/>
          <w:sz w:val="32"/>
          <w:szCs w:val="20"/>
          <w:highlight w:val="none"/>
        </w:rPr>
        <w:t>[S].</w:t>
      </w:r>
    </w:p>
    <w:p>
      <w:pPr>
        <w:spacing w:line="520" w:lineRule="exact"/>
        <w:ind w:firstLine="640" w:firstLineChars="20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23</w:t>
      </w:r>
      <w:r>
        <w:rPr>
          <w:rFonts w:eastAsia="仿宋_GB2312"/>
          <w:sz w:val="32"/>
          <w:szCs w:val="32"/>
          <w:highlight w:val="none"/>
        </w:rPr>
        <w:t>]</w:t>
      </w:r>
      <w:r>
        <w:rPr>
          <w:rFonts w:hint="eastAsia" w:eastAsia="仿宋_GB2312"/>
          <w:sz w:val="32"/>
          <w:szCs w:val="32"/>
          <w:highlight w:val="none"/>
        </w:rPr>
        <w:t>YY/T 0466.1,医疗器械用于医疗器械标签、标记和提供信息的符号第1部分：通用要求[S].</w:t>
      </w:r>
    </w:p>
    <w:p>
      <w:pPr>
        <w:spacing w:line="520" w:lineRule="exact"/>
        <w:ind w:firstLine="640" w:firstLineChars="20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24</w:t>
      </w:r>
      <w:r>
        <w:rPr>
          <w:rFonts w:eastAsia="仿宋_GB2312"/>
          <w:sz w:val="32"/>
          <w:szCs w:val="32"/>
          <w:highlight w:val="none"/>
        </w:rPr>
        <w:t>]</w:t>
      </w:r>
      <w:r>
        <w:rPr>
          <w:rFonts w:hint="eastAsia" w:eastAsia="仿宋_GB2312"/>
          <w:sz w:val="32"/>
          <w:szCs w:val="32"/>
          <w:highlight w:val="none"/>
        </w:rPr>
        <w:t>GB/T 14710</w:t>
      </w:r>
      <w:r>
        <w:rPr>
          <w:rFonts w:eastAsia="仿宋_GB2312"/>
          <w:sz w:val="32"/>
          <w:szCs w:val="32"/>
          <w:highlight w:val="none"/>
        </w:rPr>
        <w:t>,</w:t>
      </w:r>
      <w:r>
        <w:rPr>
          <w:rFonts w:hint="eastAsia" w:eastAsia="仿宋_GB2312"/>
          <w:sz w:val="32"/>
          <w:szCs w:val="32"/>
          <w:highlight w:val="none"/>
        </w:rPr>
        <w:t>医用电器环境要求及试验方法</w:t>
      </w:r>
      <w:r>
        <w:rPr>
          <w:rFonts w:eastAsia="仿宋_GB2312"/>
          <w:sz w:val="32"/>
          <w:szCs w:val="32"/>
          <w:highlight w:val="none"/>
        </w:rPr>
        <w:t>[S].</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[25]GB 9706.1,医用电气设备 第1部分：基本安全和基本性能的通用要求[S].</w:t>
      </w:r>
    </w:p>
    <w:p>
      <w:pPr>
        <w:spacing w:line="520" w:lineRule="exact"/>
        <w:ind w:firstLine="640" w:firstLineChars="200"/>
        <w:rPr>
          <w:rFonts w:eastAsia="仿宋_GB2312"/>
          <w:sz w:val="32"/>
          <w:szCs w:val="32"/>
          <w:highlight w:val="none"/>
        </w:rPr>
      </w:pPr>
      <w:r>
        <w:rPr>
          <w:rFonts w:hint="eastAsia" w:eastAsia="仿宋_GB2312"/>
          <w:sz w:val="32"/>
          <w:szCs w:val="32"/>
          <w:highlight w:val="none"/>
        </w:rPr>
        <w:t>[26]YY 9706.102,医用电气设备 第1-2部分：基本安全和基本性能的通用要求 并列标准：电磁兼容 要求和试验[S].</w:t>
      </w:r>
    </w:p>
    <w:p>
      <w:pPr>
        <w:widowControl/>
        <w:spacing w:line="520" w:lineRule="exact"/>
        <w:jc w:val="left"/>
        <w:rPr>
          <w:rFonts w:hint="eastAsia" w:ascii="黑体" w:hAnsi="黑体" w:eastAsia="黑体" w:cs="黑体"/>
          <w:sz w:val="32"/>
          <w:szCs w:val="32"/>
          <w:highlight w:val="none"/>
        </w:rPr>
      </w:pPr>
      <w:r>
        <w:rPr>
          <w:rFonts w:ascii="黑体" w:hAnsi="黑体" w:eastAsia="黑体" w:cs="黑体"/>
          <w:sz w:val="32"/>
          <w:szCs w:val="32"/>
          <w:highlight w:val="none"/>
        </w:rPr>
        <w:br w:type="page"/>
      </w:r>
    </w:p>
    <w:p>
      <w:pPr>
        <w:pStyle w:val="35"/>
        <w:jc w:val="left"/>
        <w:rPr>
          <w:highlight w:val="none"/>
        </w:rPr>
      </w:pPr>
      <w:r>
        <w:rPr>
          <w:rFonts w:hint="eastAsia" w:ascii="黑体" w:hAnsi="黑体" w:cs="黑体"/>
          <w:szCs w:val="32"/>
          <w:highlight w:val="none"/>
        </w:rPr>
        <w:t>附件 1</w:t>
      </w:r>
    </w:p>
    <w:p>
      <w:pPr>
        <w:pStyle w:val="35"/>
        <w:rPr>
          <w:highlight w:val="none"/>
        </w:rPr>
      </w:pPr>
      <w:r>
        <w:rPr>
          <w:rFonts w:hint="eastAsia"/>
          <w:highlight w:val="none"/>
        </w:rPr>
        <w:t>产品常见的风险要素及</w:t>
      </w:r>
      <w:r>
        <w:rPr>
          <w:rFonts w:ascii="Times New Roman" w:hAnsi="Times New Roman"/>
          <w:highlight w:val="none"/>
        </w:rPr>
        <w:t>示例</w:t>
      </w:r>
    </w:p>
    <w:tbl>
      <w:tblPr>
        <w:tblStyle w:val="28"/>
        <w:tblW w:w="831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1"/>
        <w:gridCol w:w="1071"/>
        <w:gridCol w:w="3262"/>
        <w:gridCol w:w="291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0" w:hRule="atLeast"/>
          <w:tblHeader/>
        </w:trPr>
        <w:tc>
          <w:tcPr>
            <w:tcW w:w="2142" w:type="dxa"/>
            <w:gridSpan w:val="2"/>
            <w:vAlign w:val="center"/>
          </w:tcPr>
          <w:p>
            <w:pPr>
              <w:spacing w:line="400" w:lineRule="exact"/>
              <w:jc w:val="center"/>
              <w:rPr>
                <w:rFonts w:eastAsia="黑体"/>
                <w:sz w:val="28"/>
                <w:highlight w:val="none"/>
              </w:rPr>
            </w:pPr>
            <w:r>
              <w:rPr>
                <w:rFonts w:hint="eastAsia" w:eastAsia="黑体"/>
                <w:sz w:val="28"/>
                <w:highlight w:val="none"/>
              </w:rPr>
              <w:t>危险分类</w:t>
            </w:r>
          </w:p>
        </w:tc>
        <w:tc>
          <w:tcPr>
            <w:tcW w:w="3262" w:type="dxa"/>
            <w:vAlign w:val="center"/>
          </w:tcPr>
          <w:p>
            <w:pPr>
              <w:spacing w:line="400" w:lineRule="exact"/>
              <w:jc w:val="center"/>
              <w:rPr>
                <w:rFonts w:eastAsia="黑体"/>
                <w:sz w:val="28"/>
                <w:highlight w:val="none"/>
              </w:rPr>
            </w:pPr>
            <w:r>
              <w:rPr>
                <w:rFonts w:hint="eastAsia" w:eastAsia="黑体"/>
                <w:sz w:val="28"/>
                <w:highlight w:val="none"/>
              </w:rPr>
              <w:t>可能的原因</w:t>
            </w:r>
          </w:p>
        </w:tc>
        <w:tc>
          <w:tcPr>
            <w:tcW w:w="2910" w:type="dxa"/>
            <w:vAlign w:val="center"/>
          </w:tcPr>
          <w:p>
            <w:pPr>
              <w:spacing w:line="400" w:lineRule="exact"/>
              <w:jc w:val="center"/>
              <w:rPr>
                <w:rFonts w:eastAsia="黑体"/>
                <w:sz w:val="28"/>
                <w:highlight w:val="none"/>
              </w:rPr>
            </w:pPr>
            <w:r>
              <w:rPr>
                <w:rFonts w:hint="eastAsia" w:eastAsia="黑体"/>
                <w:sz w:val="28"/>
                <w:highlight w:val="none"/>
              </w:rPr>
              <w:t>造成的后果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restart"/>
            <w:vAlign w:val="center"/>
          </w:tcPr>
          <w:p>
            <w:pPr>
              <w:snapToGrid w:val="0"/>
              <w:spacing w:line="400" w:lineRule="exact"/>
              <w:rPr>
                <w:rFonts w:eastAsia="仿宋_GB2312"/>
                <w:sz w:val="28"/>
                <w:szCs w:val="28"/>
                <w:highlight w:val="none"/>
              </w:rPr>
            </w:pPr>
            <w:r>
              <w:rPr>
                <w:rFonts w:hint="eastAsia" w:eastAsia="仿宋_GB2312"/>
                <w:sz w:val="28"/>
                <w:szCs w:val="28"/>
                <w:highlight w:val="none"/>
              </w:rPr>
              <w:t>能量危险</w:t>
            </w:r>
          </w:p>
        </w:tc>
        <w:tc>
          <w:tcPr>
            <w:tcW w:w="1071" w:type="dxa"/>
            <w:vMerge w:val="restart"/>
            <w:vAlign w:val="center"/>
          </w:tcPr>
          <w:p>
            <w:pPr>
              <w:snapToGrid w:val="0"/>
              <w:spacing w:line="400" w:lineRule="exact"/>
              <w:rPr>
                <w:rFonts w:eastAsia="仿宋_GB2312"/>
                <w:sz w:val="28"/>
                <w:szCs w:val="28"/>
                <w:highlight w:val="none"/>
              </w:rPr>
            </w:pPr>
            <w:r>
              <w:rPr>
                <w:rFonts w:eastAsia="仿宋_GB2312"/>
                <w:sz w:val="28"/>
                <w:szCs w:val="28"/>
                <w:highlight w:val="none"/>
              </w:rPr>
              <w:t>电磁能</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可触及金属、外壳、应用部分等与带电部分隔离/保护不够，电介质强度不够</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eastAsia="仿宋_GB2312"/>
                <w:sz w:val="28"/>
                <w:szCs w:val="28"/>
                <w:highlight w:val="none"/>
              </w:rPr>
              <w:t>可能对使用者或患者造成电击危害等</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continue"/>
          </w:tcPr>
          <w:p>
            <w:pPr>
              <w:snapToGrid w:val="0"/>
              <w:spacing w:line="400" w:lineRule="exact"/>
              <w:rPr>
                <w:rFonts w:eastAsia="仿宋_GB2312"/>
                <w:sz w:val="28"/>
                <w:szCs w:val="28"/>
                <w:highlight w:val="none"/>
              </w:rPr>
            </w:pPr>
          </w:p>
        </w:tc>
        <w:tc>
          <w:tcPr>
            <w:tcW w:w="1071" w:type="dxa"/>
            <w:vMerge w:val="continue"/>
          </w:tcPr>
          <w:p>
            <w:pPr>
              <w:snapToGrid w:val="0"/>
              <w:spacing w:line="400" w:lineRule="exact"/>
              <w:rPr>
                <w:rFonts w:eastAsia="仿宋_GB2312"/>
                <w:sz w:val="28"/>
                <w:szCs w:val="28"/>
                <w:highlight w:val="none"/>
              </w:rPr>
            </w:pPr>
          </w:p>
        </w:tc>
        <w:tc>
          <w:tcPr>
            <w:tcW w:w="3262" w:type="dxa"/>
          </w:tcPr>
          <w:p>
            <w:pPr>
              <w:snapToGrid w:val="0"/>
              <w:spacing w:line="400" w:lineRule="exact"/>
              <w:rPr>
                <w:rFonts w:eastAsia="仿宋_GB2312"/>
                <w:sz w:val="28"/>
                <w:szCs w:val="28"/>
                <w:highlight w:val="none"/>
              </w:rPr>
            </w:pPr>
            <w:r>
              <w:rPr>
                <w:rFonts w:eastAsia="仿宋_GB2312"/>
                <w:sz w:val="28"/>
                <w:szCs w:val="28"/>
                <w:highlight w:val="none"/>
              </w:rPr>
              <w:t>产品外壳、应用部分绝缘/隔离不够</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eastAsia="仿宋_GB2312"/>
                <w:sz w:val="28"/>
                <w:szCs w:val="28"/>
                <w:highlight w:val="none"/>
              </w:rPr>
              <w:t>可能引起过量漏电流伤害使用者或患者等</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continue"/>
          </w:tcPr>
          <w:p>
            <w:pPr>
              <w:snapToGrid w:val="0"/>
              <w:spacing w:line="400" w:lineRule="exact"/>
              <w:rPr>
                <w:rFonts w:eastAsia="仿宋_GB2312"/>
                <w:sz w:val="28"/>
                <w:szCs w:val="28"/>
                <w:highlight w:val="none"/>
              </w:rPr>
            </w:pPr>
          </w:p>
        </w:tc>
        <w:tc>
          <w:tcPr>
            <w:tcW w:w="1071" w:type="dxa"/>
            <w:vMerge w:val="continue"/>
          </w:tcPr>
          <w:p>
            <w:pPr>
              <w:snapToGrid w:val="0"/>
              <w:spacing w:line="400" w:lineRule="exact"/>
              <w:rPr>
                <w:rFonts w:eastAsia="仿宋_GB2312"/>
                <w:sz w:val="28"/>
                <w:szCs w:val="28"/>
                <w:highlight w:val="none"/>
              </w:rPr>
            </w:pPr>
          </w:p>
        </w:tc>
        <w:tc>
          <w:tcPr>
            <w:tcW w:w="3262" w:type="dxa"/>
          </w:tcPr>
          <w:p>
            <w:pPr>
              <w:snapToGrid w:val="0"/>
              <w:spacing w:line="400" w:lineRule="exact"/>
              <w:rPr>
                <w:rFonts w:eastAsia="仿宋_GB2312"/>
                <w:sz w:val="28"/>
                <w:szCs w:val="28"/>
                <w:highlight w:val="none"/>
              </w:rPr>
            </w:pPr>
            <w:r>
              <w:rPr>
                <w:rFonts w:eastAsia="仿宋_GB2312"/>
                <w:sz w:val="28"/>
                <w:szCs w:val="28"/>
                <w:highlight w:val="none"/>
              </w:rPr>
              <w:t>抗电磁干扰能力差</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可能引起</w:t>
            </w:r>
            <w:r>
              <w:rPr>
                <w:rFonts w:eastAsia="仿宋_GB2312"/>
                <w:sz w:val="28"/>
                <w:szCs w:val="28"/>
                <w:highlight w:val="none"/>
              </w:rPr>
              <w:t>特定环境下工作不正常，或干扰其他设备正常工作等</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continue"/>
          </w:tcPr>
          <w:p>
            <w:pPr>
              <w:snapToGrid w:val="0"/>
              <w:spacing w:line="400" w:lineRule="exact"/>
              <w:rPr>
                <w:rFonts w:eastAsia="仿宋_GB2312"/>
                <w:sz w:val="28"/>
                <w:szCs w:val="28"/>
                <w:highlight w:val="none"/>
              </w:rPr>
            </w:pPr>
          </w:p>
        </w:tc>
        <w:tc>
          <w:tcPr>
            <w:tcW w:w="1071" w:type="dxa"/>
            <w:vMerge w:val="restart"/>
          </w:tcPr>
          <w:p>
            <w:pPr>
              <w:snapToGrid w:val="0"/>
              <w:spacing w:line="400" w:lineRule="exact"/>
              <w:rPr>
                <w:rFonts w:eastAsia="仿宋_GB2312"/>
                <w:sz w:val="28"/>
                <w:szCs w:val="28"/>
                <w:highlight w:val="none"/>
              </w:rPr>
            </w:pPr>
            <w:r>
              <w:rPr>
                <w:rFonts w:eastAsia="仿宋_GB2312"/>
                <w:sz w:val="28"/>
                <w:szCs w:val="28"/>
                <w:highlight w:val="none"/>
              </w:rPr>
              <w:t>热能</w:t>
            </w:r>
          </w:p>
        </w:tc>
        <w:tc>
          <w:tcPr>
            <w:tcW w:w="3262" w:type="dxa"/>
            <w:vAlign w:val="center"/>
          </w:tcPr>
          <w:p>
            <w:pPr>
              <w:snapToGrid w:val="0"/>
              <w:spacing w:line="400" w:lineRule="exact"/>
              <w:rPr>
                <w:rFonts w:eastAsia="仿宋_GB2312"/>
                <w:sz w:val="28"/>
                <w:szCs w:val="28"/>
                <w:highlight w:val="none"/>
              </w:rPr>
            </w:pPr>
            <w:r>
              <w:rPr>
                <w:rStyle w:val="43"/>
                <w:rFonts w:eastAsia="仿宋_GB2312"/>
                <w:sz w:val="28"/>
                <w:szCs w:val="28"/>
                <w:highlight w:val="none"/>
              </w:rPr>
              <w:t>皮肤电极表面温升</w:t>
            </w:r>
            <w:r>
              <w:rPr>
                <w:rStyle w:val="43"/>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eastAsia="仿宋_GB2312"/>
                <w:sz w:val="28"/>
                <w:szCs w:val="28"/>
                <w:highlight w:val="none"/>
              </w:rPr>
              <w:t>可能引起使用者或患者烫伤</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continue"/>
          </w:tcPr>
          <w:p>
            <w:pPr>
              <w:snapToGrid w:val="0"/>
              <w:spacing w:line="400" w:lineRule="exact"/>
              <w:rPr>
                <w:rFonts w:eastAsia="仿宋_GB2312"/>
                <w:sz w:val="28"/>
                <w:szCs w:val="28"/>
                <w:highlight w:val="none"/>
              </w:rPr>
            </w:pPr>
          </w:p>
        </w:tc>
        <w:tc>
          <w:tcPr>
            <w:tcW w:w="1071" w:type="dxa"/>
            <w:vMerge w:val="continue"/>
          </w:tcPr>
          <w:p>
            <w:pPr>
              <w:snapToGrid w:val="0"/>
              <w:spacing w:line="400" w:lineRule="exact"/>
              <w:rPr>
                <w:rFonts w:eastAsia="仿宋_GB2312"/>
                <w:sz w:val="28"/>
                <w:szCs w:val="28"/>
                <w:highlight w:val="none"/>
              </w:rPr>
            </w:pPr>
          </w:p>
        </w:tc>
        <w:tc>
          <w:tcPr>
            <w:tcW w:w="3262" w:type="dxa"/>
          </w:tcPr>
          <w:p>
            <w:pPr>
              <w:snapToGrid w:val="0"/>
              <w:spacing w:line="400" w:lineRule="exact"/>
              <w:rPr>
                <w:rFonts w:eastAsia="仿宋_GB2312"/>
                <w:sz w:val="28"/>
                <w:szCs w:val="28"/>
                <w:highlight w:val="none"/>
              </w:rPr>
            </w:pPr>
            <w:r>
              <w:rPr>
                <w:rStyle w:val="43"/>
                <w:rFonts w:hint="eastAsia" w:eastAsia="仿宋_GB2312"/>
                <w:sz w:val="28"/>
                <w:szCs w:val="28"/>
                <w:highlight w:val="none"/>
              </w:rPr>
              <w:t>输出</w:t>
            </w:r>
            <w:r>
              <w:rPr>
                <w:rStyle w:val="43"/>
                <w:rFonts w:eastAsia="仿宋_GB2312"/>
                <w:sz w:val="28"/>
                <w:szCs w:val="28"/>
                <w:highlight w:val="none"/>
              </w:rPr>
              <w:t>电流</w:t>
            </w:r>
            <w:r>
              <w:rPr>
                <w:rStyle w:val="43"/>
                <w:rFonts w:hint="eastAsia" w:eastAsia="仿宋_GB2312"/>
                <w:sz w:val="28"/>
                <w:szCs w:val="28"/>
                <w:highlight w:val="none"/>
              </w:rPr>
              <w:t>、电极电阻设置不合理</w:t>
            </w:r>
          </w:p>
        </w:tc>
        <w:tc>
          <w:tcPr>
            <w:tcW w:w="2910" w:type="dxa"/>
          </w:tcPr>
          <w:p>
            <w:pPr>
              <w:snapToGrid w:val="0"/>
              <w:spacing w:line="400" w:lineRule="exact"/>
              <w:rPr>
                <w:rFonts w:eastAsia="仿宋_GB2312"/>
                <w:sz w:val="28"/>
                <w:szCs w:val="28"/>
                <w:highlight w:val="none"/>
              </w:rPr>
            </w:pPr>
            <w:r>
              <w:rPr>
                <w:rFonts w:eastAsia="仿宋_GB2312"/>
                <w:sz w:val="28"/>
                <w:szCs w:val="28"/>
                <w:highlight w:val="none"/>
              </w:rPr>
              <w:t>可能使接触部位的皮肤烫伤等</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071" w:type="dxa"/>
            <w:vMerge w:val="continue"/>
          </w:tcPr>
          <w:p>
            <w:pPr>
              <w:snapToGrid w:val="0"/>
              <w:spacing w:line="400" w:lineRule="exact"/>
              <w:rPr>
                <w:rFonts w:eastAsia="仿宋_GB2312"/>
                <w:sz w:val="28"/>
                <w:szCs w:val="28"/>
                <w:highlight w:val="none"/>
              </w:rPr>
            </w:pPr>
          </w:p>
        </w:tc>
        <w:tc>
          <w:tcPr>
            <w:tcW w:w="1071" w:type="dxa"/>
            <w:vMerge w:val="restart"/>
          </w:tcPr>
          <w:p>
            <w:pPr>
              <w:snapToGrid w:val="0"/>
              <w:spacing w:line="400" w:lineRule="exact"/>
              <w:rPr>
                <w:rFonts w:eastAsia="仿宋_GB2312"/>
                <w:sz w:val="28"/>
                <w:szCs w:val="28"/>
                <w:highlight w:val="none"/>
              </w:rPr>
            </w:pPr>
            <w:r>
              <w:rPr>
                <w:rFonts w:eastAsia="仿宋_GB2312"/>
                <w:sz w:val="28"/>
                <w:szCs w:val="28"/>
                <w:highlight w:val="none"/>
              </w:rPr>
              <w:t>机械能</w:t>
            </w:r>
          </w:p>
        </w:tc>
        <w:tc>
          <w:tcPr>
            <w:tcW w:w="3262" w:type="dxa"/>
          </w:tcPr>
          <w:p>
            <w:pPr>
              <w:snapToGrid w:val="0"/>
              <w:spacing w:line="400" w:lineRule="exact"/>
              <w:rPr>
                <w:rFonts w:eastAsia="仿宋_GB2312"/>
                <w:sz w:val="28"/>
                <w:szCs w:val="28"/>
                <w:highlight w:val="none"/>
              </w:rPr>
            </w:pPr>
            <w:r>
              <w:rPr>
                <w:rFonts w:eastAsia="仿宋_GB2312"/>
                <w:sz w:val="28"/>
                <w:szCs w:val="28"/>
                <w:highlight w:val="none"/>
              </w:rPr>
              <w:t>产品外壳机械强度和刚度不足，产品面、角、边粗糙等</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人员划伤。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8" w:hRule="atLeast"/>
        </w:trPr>
        <w:tc>
          <w:tcPr>
            <w:tcW w:w="1071" w:type="dxa"/>
            <w:vMerge w:val="continue"/>
          </w:tcPr>
          <w:p>
            <w:pPr>
              <w:snapToGrid w:val="0"/>
              <w:spacing w:line="400" w:lineRule="exact"/>
              <w:rPr>
                <w:rFonts w:eastAsia="仿宋_GB2312"/>
                <w:sz w:val="28"/>
                <w:szCs w:val="28"/>
                <w:highlight w:val="none"/>
              </w:rPr>
            </w:pPr>
          </w:p>
        </w:tc>
        <w:tc>
          <w:tcPr>
            <w:tcW w:w="1071" w:type="dxa"/>
            <w:vMerge w:val="continue"/>
          </w:tcPr>
          <w:p>
            <w:pPr>
              <w:snapToGrid w:val="0"/>
              <w:spacing w:line="400" w:lineRule="exact"/>
              <w:rPr>
                <w:rFonts w:eastAsia="仿宋_GB2312"/>
                <w:sz w:val="28"/>
                <w:szCs w:val="28"/>
                <w:highlight w:val="none"/>
              </w:rPr>
            </w:pPr>
          </w:p>
        </w:tc>
        <w:tc>
          <w:tcPr>
            <w:tcW w:w="3262" w:type="dxa"/>
          </w:tcPr>
          <w:p>
            <w:pPr>
              <w:snapToGrid w:val="0"/>
              <w:spacing w:line="400" w:lineRule="exact"/>
              <w:rPr>
                <w:rFonts w:eastAsia="仿宋_GB2312"/>
                <w:sz w:val="28"/>
                <w:szCs w:val="28"/>
                <w:highlight w:val="none"/>
              </w:rPr>
            </w:pPr>
            <w:r>
              <w:rPr>
                <w:rFonts w:eastAsia="仿宋_GB2312"/>
                <w:sz w:val="28"/>
                <w:szCs w:val="28"/>
                <w:highlight w:val="none"/>
              </w:rPr>
              <w:t>坠落/悬挂导致机械部件松动导致元器件损坏等</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仪器不能正常工作。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restart"/>
          </w:tcPr>
          <w:p>
            <w:pPr>
              <w:snapToGrid w:val="0"/>
              <w:spacing w:line="400" w:lineRule="exact"/>
              <w:rPr>
                <w:rFonts w:eastAsia="仿宋_GB2312"/>
                <w:sz w:val="28"/>
                <w:szCs w:val="28"/>
                <w:highlight w:val="none"/>
              </w:rPr>
            </w:pPr>
          </w:p>
          <w:p>
            <w:pPr>
              <w:snapToGrid w:val="0"/>
              <w:spacing w:line="400" w:lineRule="exact"/>
              <w:rPr>
                <w:rFonts w:eastAsia="仿宋_GB2312"/>
                <w:sz w:val="28"/>
                <w:szCs w:val="28"/>
                <w:highlight w:val="none"/>
              </w:rPr>
            </w:pPr>
          </w:p>
          <w:p>
            <w:pPr>
              <w:snapToGrid w:val="0"/>
              <w:spacing w:line="400" w:lineRule="exact"/>
              <w:rPr>
                <w:rFonts w:eastAsia="仿宋_GB2312"/>
                <w:sz w:val="28"/>
                <w:szCs w:val="28"/>
                <w:highlight w:val="none"/>
              </w:rPr>
            </w:pPr>
            <w:r>
              <w:rPr>
                <w:rFonts w:hint="eastAsia" w:eastAsia="仿宋_GB2312"/>
                <w:sz w:val="28"/>
                <w:szCs w:val="28"/>
                <w:highlight w:val="none"/>
              </w:rPr>
              <w:t>生物学和化学危害</w:t>
            </w:r>
          </w:p>
        </w:tc>
        <w:tc>
          <w:tcPr>
            <w:tcW w:w="1071" w:type="dxa"/>
          </w:tcPr>
          <w:p>
            <w:pPr>
              <w:snapToGrid w:val="0"/>
              <w:spacing w:line="400" w:lineRule="exact"/>
              <w:rPr>
                <w:rFonts w:eastAsia="仿宋_GB2312"/>
                <w:sz w:val="28"/>
                <w:szCs w:val="28"/>
                <w:highlight w:val="none"/>
              </w:rPr>
            </w:pPr>
            <w:r>
              <w:rPr>
                <w:rFonts w:eastAsia="仿宋_GB2312"/>
                <w:sz w:val="28"/>
                <w:szCs w:val="28"/>
                <w:highlight w:val="none"/>
              </w:rPr>
              <w:t>生物学</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产品清洁或消毒不完全</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eastAsia="仿宋_GB2312"/>
                <w:sz w:val="28"/>
                <w:szCs w:val="28"/>
                <w:highlight w:val="none"/>
              </w:rPr>
              <w:t>可能会使患者再次或交叉感染等</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continue"/>
          </w:tcPr>
          <w:p>
            <w:pPr>
              <w:snapToGrid w:val="0"/>
              <w:spacing w:line="400" w:lineRule="exact"/>
              <w:rPr>
                <w:rFonts w:eastAsia="仿宋_GB2312"/>
                <w:sz w:val="28"/>
                <w:szCs w:val="28"/>
                <w:highlight w:val="none"/>
              </w:rPr>
            </w:pPr>
          </w:p>
        </w:tc>
        <w:tc>
          <w:tcPr>
            <w:tcW w:w="1071" w:type="dxa"/>
          </w:tcPr>
          <w:p>
            <w:pPr>
              <w:snapToGrid w:val="0"/>
              <w:spacing w:line="400" w:lineRule="exact"/>
              <w:rPr>
                <w:rFonts w:eastAsia="仿宋_GB2312"/>
                <w:sz w:val="28"/>
                <w:szCs w:val="28"/>
                <w:highlight w:val="none"/>
              </w:rPr>
            </w:pPr>
            <w:r>
              <w:rPr>
                <w:rFonts w:eastAsia="仿宋_GB2312"/>
                <w:sz w:val="28"/>
                <w:szCs w:val="28"/>
                <w:highlight w:val="none"/>
              </w:rPr>
              <w:t>化学</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在外来物质中，如使用清洗剂或消毒剂的残留物、污染物等</w:t>
            </w:r>
            <w:r>
              <w:rPr>
                <w:rFonts w:hint="eastAsia" w:eastAsia="仿宋_GB2312"/>
                <w:sz w:val="28"/>
                <w:szCs w:val="28"/>
                <w:highlight w:val="none"/>
              </w:rPr>
              <w:t>；</w:t>
            </w:r>
            <w:r>
              <w:rPr>
                <w:rFonts w:eastAsia="仿宋_GB2312"/>
                <w:sz w:val="28"/>
                <w:szCs w:val="28"/>
                <w:highlight w:val="none"/>
              </w:rPr>
              <w:t>长时间不使用的电池未经取出</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可能会造成患者化学危害。</w:t>
            </w:r>
          </w:p>
          <w:p>
            <w:pPr>
              <w:snapToGrid w:val="0"/>
              <w:spacing w:line="400" w:lineRule="exact"/>
              <w:rPr>
                <w:rFonts w:eastAsia="仿宋_GB2312"/>
                <w:sz w:val="28"/>
                <w:szCs w:val="28"/>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2" w:hRule="atLeast"/>
        </w:trPr>
        <w:tc>
          <w:tcPr>
            <w:tcW w:w="1071" w:type="dxa"/>
            <w:vMerge w:val="continue"/>
          </w:tcPr>
          <w:p>
            <w:pPr>
              <w:snapToGrid w:val="0"/>
              <w:spacing w:line="400" w:lineRule="exact"/>
              <w:rPr>
                <w:rFonts w:eastAsia="仿宋_GB2312"/>
                <w:sz w:val="28"/>
                <w:szCs w:val="28"/>
                <w:highlight w:val="none"/>
              </w:rPr>
            </w:pPr>
          </w:p>
        </w:tc>
        <w:tc>
          <w:tcPr>
            <w:tcW w:w="1071" w:type="dxa"/>
          </w:tcPr>
          <w:p>
            <w:pPr>
              <w:snapToGrid w:val="0"/>
              <w:spacing w:line="400" w:lineRule="exact"/>
              <w:rPr>
                <w:rFonts w:eastAsia="仿宋_GB2312"/>
                <w:sz w:val="28"/>
                <w:szCs w:val="28"/>
                <w:highlight w:val="none"/>
              </w:rPr>
            </w:pPr>
            <w:r>
              <w:rPr>
                <w:rFonts w:eastAsia="仿宋_GB2312"/>
                <w:sz w:val="28"/>
                <w:szCs w:val="28"/>
                <w:highlight w:val="none"/>
              </w:rPr>
              <w:t>生物</w:t>
            </w:r>
          </w:p>
          <w:p>
            <w:pPr>
              <w:snapToGrid w:val="0"/>
              <w:spacing w:line="400" w:lineRule="exact"/>
              <w:rPr>
                <w:rFonts w:eastAsia="仿宋_GB2312"/>
                <w:sz w:val="28"/>
                <w:szCs w:val="28"/>
                <w:highlight w:val="none"/>
              </w:rPr>
            </w:pPr>
            <w:r>
              <w:rPr>
                <w:rFonts w:eastAsia="仿宋_GB2312"/>
                <w:sz w:val="28"/>
                <w:szCs w:val="28"/>
                <w:highlight w:val="none"/>
              </w:rPr>
              <w:t>相容性</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与患者接触材料的化学成分的毒性</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可能会</w:t>
            </w:r>
            <w:r>
              <w:rPr>
                <w:rFonts w:eastAsia="仿宋_GB2312"/>
                <w:sz w:val="28"/>
                <w:szCs w:val="28"/>
                <w:highlight w:val="none"/>
              </w:rPr>
              <w:t>引起细胞毒性、迟发致敏反应、皮肤刺激反应等</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restart"/>
          </w:tcPr>
          <w:p>
            <w:pPr>
              <w:snapToGrid w:val="0"/>
              <w:spacing w:line="400" w:lineRule="exact"/>
              <w:rPr>
                <w:rFonts w:eastAsia="仿宋_GB2312"/>
                <w:sz w:val="28"/>
                <w:szCs w:val="28"/>
                <w:highlight w:val="none"/>
              </w:rPr>
            </w:pPr>
            <w:r>
              <w:rPr>
                <w:rFonts w:hint="eastAsia" w:eastAsia="仿宋_GB2312"/>
                <w:sz w:val="28"/>
                <w:szCs w:val="28"/>
                <w:highlight w:val="none"/>
              </w:rPr>
              <w:t>操作</w:t>
            </w:r>
          </w:p>
          <w:p>
            <w:pPr>
              <w:snapToGrid w:val="0"/>
              <w:spacing w:line="400" w:lineRule="exact"/>
              <w:rPr>
                <w:rFonts w:eastAsia="仿宋_GB2312"/>
                <w:sz w:val="28"/>
                <w:szCs w:val="28"/>
                <w:highlight w:val="none"/>
              </w:rPr>
            </w:pPr>
            <w:r>
              <w:rPr>
                <w:rFonts w:hint="eastAsia" w:eastAsia="仿宋_GB2312"/>
                <w:sz w:val="28"/>
                <w:szCs w:val="28"/>
                <w:highlight w:val="none"/>
              </w:rPr>
              <w:t>危害</w:t>
            </w:r>
          </w:p>
        </w:tc>
        <w:tc>
          <w:tcPr>
            <w:tcW w:w="1071" w:type="dxa"/>
          </w:tcPr>
          <w:p>
            <w:pPr>
              <w:snapToGrid w:val="0"/>
              <w:spacing w:line="400" w:lineRule="exact"/>
              <w:rPr>
                <w:rFonts w:eastAsia="仿宋_GB2312"/>
                <w:sz w:val="28"/>
                <w:szCs w:val="28"/>
                <w:highlight w:val="none"/>
              </w:rPr>
            </w:pPr>
            <w:r>
              <w:rPr>
                <w:rFonts w:eastAsia="仿宋_GB2312"/>
                <w:sz w:val="28"/>
                <w:szCs w:val="28"/>
                <w:highlight w:val="none"/>
              </w:rPr>
              <w:t>功能</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不正确或不适当的输出或功能</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错误的数据转换</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eastAsia="仿宋_GB2312"/>
                <w:sz w:val="28"/>
                <w:szCs w:val="28"/>
                <w:highlight w:val="none"/>
              </w:rPr>
              <w:t>功能丧失或变坏</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1071" w:type="dxa"/>
            <w:vMerge w:val="continue"/>
          </w:tcPr>
          <w:p>
            <w:pPr>
              <w:snapToGrid w:val="0"/>
              <w:spacing w:line="400" w:lineRule="exact"/>
              <w:rPr>
                <w:rFonts w:eastAsia="仿宋_GB2312"/>
                <w:sz w:val="28"/>
                <w:szCs w:val="28"/>
                <w:highlight w:val="none"/>
              </w:rPr>
            </w:pPr>
          </w:p>
        </w:tc>
        <w:tc>
          <w:tcPr>
            <w:tcW w:w="1071" w:type="dxa"/>
          </w:tcPr>
          <w:p>
            <w:pPr>
              <w:snapToGrid w:val="0"/>
              <w:spacing w:line="400" w:lineRule="exact"/>
              <w:rPr>
                <w:rFonts w:eastAsia="仿宋_GB2312"/>
                <w:sz w:val="28"/>
                <w:szCs w:val="28"/>
                <w:highlight w:val="none"/>
              </w:rPr>
            </w:pPr>
            <w:r>
              <w:rPr>
                <w:rFonts w:eastAsia="仿宋_GB2312"/>
                <w:sz w:val="28"/>
                <w:szCs w:val="28"/>
                <w:highlight w:val="none"/>
              </w:rPr>
              <w:t>使用错误</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不遵守规则，缺乏知识，违反常规等，使得日常使用、维护未按规定进行，</w:t>
            </w:r>
          </w:p>
        </w:tc>
        <w:tc>
          <w:tcPr>
            <w:tcW w:w="2910" w:type="dxa"/>
          </w:tcPr>
          <w:p>
            <w:pPr>
              <w:snapToGrid w:val="0"/>
              <w:spacing w:line="400" w:lineRule="exact"/>
              <w:rPr>
                <w:rFonts w:eastAsia="仿宋_GB2312"/>
                <w:sz w:val="28"/>
                <w:szCs w:val="28"/>
                <w:highlight w:val="none"/>
              </w:rPr>
            </w:pPr>
            <w:r>
              <w:rPr>
                <w:rFonts w:eastAsia="仿宋_GB2312"/>
                <w:sz w:val="28"/>
                <w:szCs w:val="28"/>
                <w:highlight w:val="none"/>
              </w:rPr>
              <w:t>可能导致产品偏离正常使用状态</w:t>
            </w:r>
            <w:r>
              <w:rPr>
                <w:rFonts w:hint="eastAsia" w:eastAsia="仿宋_GB2312"/>
                <w:sz w:val="28"/>
                <w:szCs w:val="28"/>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2" w:hRule="atLeast"/>
        </w:trPr>
        <w:tc>
          <w:tcPr>
            <w:tcW w:w="1071" w:type="dxa"/>
            <w:vMerge w:val="restart"/>
            <w:vAlign w:val="center"/>
          </w:tcPr>
          <w:p>
            <w:pPr>
              <w:snapToGrid w:val="0"/>
              <w:spacing w:line="400" w:lineRule="exact"/>
              <w:rPr>
                <w:rFonts w:eastAsia="仿宋_GB2312"/>
                <w:sz w:val="28"/>
                <w:szCs w:val="28"/>
                <w:highlight w:val="none"/>
              </w:rPr>
            </w:pPr>
            <w:r>
              <w:rPr>
                <w:rFonts w:eastAsia="仿宋_GB2312"/>
                <w:sz w:val="28"/>
                <w:szCs w:val="28"/>
                <w:highlight w:val="none"/>
              </w:rPr>
              <w:t>信息</w:t>
            </w:r>
          </w:p>
          <w:p>
            <w:pPr>
              <w:snapToGrid w:val="0"/>
              <w:spacing w:line="400" w:lineRule="exact"/>
              <w:rPr>
                <w:rFonts w:eastAsia="仿宋_GB2312"/>
                <w:sz w:val="28"/>
                <w:szCs w:val="28"/>
                <w:highlight w:val="none"/>
              </w:rPr>
            </w:pPr>
            <w:r>
              <w:rPr>
                <w:rFonts w:eastAsia="仿宋_GB2312"/>
                <w:sz w:val="28"/>
                <w:szCs w:val="28"/>
                <w:highlight w:val="none"/>
              </w:rPr>
              <w:t>危害</w:t>
            </w:r>
          </w:p>
        </w:tc>
        <w:tc>
          <w:tcPr>
            <w:tcW w:w="1071" w:type="dxa"/>
            <w:vAlign w:val="center"/>
          </w:tcPr>
          <w:p>
            <w:pPr>
              <w:snapToGrid w:val="0"/>
              <w:spacing w:line="400" w:lineRule="exact"/>
              <w:rPr>
                <w:rFonts w:eastAsia="仿宋_GB2312"/>
                <w:sz w:val="28"/>
                <w:szCs w:val="28"/>
                <w:highlight w:val="none"/>
              </w:rPr>
            </w:pPr>
            <w:r>
              <w:rPr>
                <w:rFonts w:eastAsia="仿宋_GB2312"/>
                <w:sz w:val="28"/>
                <w:szCs w:val="28"/>
                <w:highlight w:val="none"/>
              </w:rPr>
              <w:t>标记</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不完整的说明书</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产品性能特征的不适当描述</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不适当的预期使用规范</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限制的未充分公示</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产品相关信息不明。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5" w:hRule="atLeast"/>
        </w:trPr>
        <w:tc>
          <w:tcPr>
            <w:tcW w:w="1071" w:type="dxa"/>
            <w:vMerge w:val="continue"/>
            <w:vAlign w:val="center"/>
          </w:tcPr>
          <w:p>
            <w:pPr>
              <w:snapToGrid w:val="0"/>
              <w:spacing w:line="400" w:lineRule="exact"/>
              <w:rPr>
                <w:rFonts w:eastAsia="仿宋_GB2312"/>
                <w:sz w:val="28"/>
                <w:szCs w:val="28"/>
                <w:highlight w:val="none"/>
              </w:rPr>
            </w:pPr>
          </w:p>
        </w:tc>
        <w:tc>
          <w:tcPr>
            <w:tcW w:w="1071" w:type="dxa"/>
            <w:vAlign w:val="center"/>
          </w:tcPr>
          <w:p>
            <w:pPr>
              <w:snapToGrid w:val="0"/>
              <w:spacing w:line="400" w:lineRule="exact"/>
              <w:rPr>
                <w:rFonts w:eastAsia="仿宋_GB2312"/>
                <w:sz w:val="28"/>
                <w:szCs w:val="28"/>
                <w:highlight w:val="none"/>
              </w:rPr>
            </w:pPr>
            <w:r>
              <w:rPr>
                <w:rFonts w:eastAsia="仿宋_GB2312"/>
                <w:sz w:val="28"/>
                <w:szCs w:val="28"/>
                <w:highlight w:val="none"/>
              </w:rPr>
              <w:t>操作</w:t>
            </w:r>
          </w:p>
          <w:p>
            <w:pPr>
              <w:snapToGrid w:val="0"/>
              <w:spacing w:line="400" w:lineRule="exact"/>
              <w:rPr>
                <w:rFonts w:eastAsia="仿宋_GB2312"/>
                <w:sz w:val="28"/>
                <w:szCs w:val="28"/>
                <w:highlight w:val="none"/>
              </w:rPr>
            </w:pPr>
            <w:r>
              <w:rPr>
                <w:rFonts w:eastAsia="仿宋_GB2312"/>
                <w:sz w:val="28"/>
                <w:szCs w:val="28"/>
                <w:highlight w:val="none"/>
              </w:rPr>
              <w:t>说明书</w:t>
            </w:r>
          </w:p>
        </w:tc>
        <w:tc>
          <w:tcPr>
            <w:tcW w:w="3262" w:type="dxa"/>
          </w:tcPr>
          <w:p>
            <w:pPr>
              <w:snapToGrid w:val="0"/>
              <w:spacing w:line="400" w:lineRule="exact"/>
              <w:rPr>
                <w:rFonts w:eastAsia="仿宋_GB2312"/>
                <w:sz w:val="28"/>
                <w:szCs w:val="28"/>
                <w:highlight w:val="none"/>
              </w:rPr>
            </w:pPr>
            <w:r>
              <w:rPr>
                <w:rFonts w:eastAsia="仿宋_GB2312"/>
                <w:sz w:val="28"/>
                <w:szCs w:val="28"/>
                <w:highlight w:val="none"/>
              </w:rPr>
              <w:t>使用前的检查规范不适当</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过于复杂的操作说明书</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医疗器械所使用的附件的规范不适当</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造成患者受到危害。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071" w:type="dxa"/>
            <w:vMerge w:val="continue"/>
          </w:tcPr>
          <w:p>
            <w:pPr>
              <w:snapToGrid w:val="0"/>
              <w:spacing w:line="400" w:lineRule="exact"/>
              <w:rPr>
                <w:rFonts w:eastAsia="仿宋_GB2312"/>
                <w:sz w:val="28"/>
                <w:szCs w:val="28"/>
                <w:highlight w:val="none"/>
              </w:rPr>
            </w:pPr>
          </w:p>
        </w:tc>
        <w:tc>
          <w:tcPr>
            <w:tcW w:w="1071" w:type="dxa"/>
          </w:tcPr>
          <w:p>
            <w:pPr>
              <w:snapToGrid w:val="0"/>
              <w:spacing w:line="400" w:lineRule="exact"/>
              <w:rPr>
                <w:rFonts w:eastAsia="仿宋_GB2312"/>
                <w:sz w:val="28"/>
                <w:szCs w:val="28"/>
                <w:highlight w:val="none"/>
              </w:rPr>
            </w:pPr>
            <w:r>
              <w:rPr>
                <w:rFonts w:eastAsia="仿宋_GB2312"/>
                <w:sz w:val="28"/>
                <w:szCs w:val="28"/>
                <w:highlight w:val="none"/>
              </w:rPr>
              <w:t>警告</w:t>
            </w:r>
          </w:p>
        </w:tc>
        <w:tc>
          <w:tcPr>
            <w:tcW w:w="3262" w:type="dxa"/>
            <w:vAlign w:val="center"/>
          </w:tcPr>
          <w:p>
            <w:pPr>
              <w:snapToGrid w:val="0"/>
              <w:spacing w:line="400" w:lineRule="exact"/>
              <w:rPr>
                <w:rFonts w:eastAsia="仿宋_GB2312"/>
                <w:sz w:val="28"/>
                <w:szCs w:val="28"/>
                <w:highlight w:val="none"/>
              </w:rPr>
            </w:pPr>
            <w:r>
              <w:rPr>
                <w:rFonts w:eastAsia="仿宋_GB2312"/>
                <w:sz w:val="28"/>
                <w:szCs w:val="28"/>
                <w:highlight w:val="none"/>
              </w:rPr>
              <w:t>对副作用的警告不充分</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一次性使用附件可能再次使用的危害的警告（如有）</w:t>
            </w:r>
            <w:r>
              <w:rPr>
                <w:rFonts w:hint="eastAsia" w:eastAsia="仿宋_GB2312"/>
                <w:sz w:val="28"/>
                <w:szCs w:val="28"/>
                <w:highlight w:val="none"/>
              </w:rPr>
              <w:t>。</w:t>
            </w:r>
          </w:p>
          <w:p>
            <w:pPr>
              <w:snapToGrid w:val="0"/>
              <w:spacing w:line="400" w:lineRule="exact"/>
              <w:rPr>
                <w:rFonts w:eastAsia="仿宋_GB2312"/>
                <w:sz w:val="28"/>
                <w:szCs w:val="28"/>
                <w:highlight w:val="none"/>
              </w:rPr>
            </w:pPr>
            <w:r>
              <w:rPr>
                <w:rFonts w:eastAsia="仿宋_GB2312"/>
                <w:sz w:val="28"/>
                <w:szCs w:val="28"/>
                <w:highlight w:val="none"/>
              </w:rPr>
              <w:t>服务和维护规范</w:t>
            </w:r>
            <w:r>
              <w:rPr>
                <w:rFonts w:hint="eastAsia" w:eastAsia="仿宋_GB2312"/>
                <w:sz w:val="28"/>
                <w:szCs w:val="28"/>
                <w:highlight w:val="none"/>
              </w:rPr>
              <w:t>。</w:t>
            </w:r>
          </w:p>
        </w:tc>
        <w:tc>
          <w:tcPr>
            <w:tcW w:w="2910" w:type="dxa"/>
          </w:tcPr>
          <w:p>
            <w:pPr>
              <w:snapToGrid w:val="0"/>
              <w:spacing w:line="400" w:lineRule="exact"/>
              <w:rPr>
                <w:rFonts w:eastAsia="仿宋_GB2312"/>
                <w:sz w:val="28"/>
                <w:szCs w:val="28"/>
                <w:highlight w:val="none"/>
              </w:rPr>
            </w:pPr>
            <w:r>
              <w:rPr>
                <w:rFonts w:hint="eastAsia" w:eastAsia="仿宋_GB2312"/>
                <w:sz w:val="28"/>
                <w:szCs w:val="28"/>
                <w:highlight w:val="none"/>
              </w:rPr>
              <w:t>造成患者受到危害。</w:t>
            </w:r>
          </w:p>
        </w:tc>
      </w:tr>
    </w:tbl>
    <w:p>
      <w:pPr>
        <w:pStyle w:val="35"/>
        <w:spacing w:line="240" w:lineRule="auto"/>
        <w:jc w:val="both"/>
        <w:rPr>
          <w:highlight w:val="none"/>
        </w:rPr>
      </w:pPr>
    </w:p>
    <w:p>
      <w:pPr>
        <w:pStyle w:val="35"/>
        <w:spacing w:line="240" w:lineRule="auto"/>
        <w:jc w:val="both"/>
        <w:rPr>
          <w:highlight w:val="none"/>
        </w:rPr>
      </w:pPr>
    </w:p>
    <w:p>
      <w:pPr>
        <w:pStyle w:val="35"/>
        <w:spacing w:line="240" w:lineRule="auto"/>
        <w:jc w:val="both"/>
        <w:rPr>
          <w:highlight w:val="none"/>
        </w:rPr>
      </w:pPr>
    </w:p>
    <w:p>
      <w:pPr>
        <w:pStyle w:val="35"/>
        <w:spacing w:line="240" w:lineRule="auto"/>
        <w:jc w:val="both"/>
        <w:rPr>
          <w:highlight w:val="none"/>
        </w:rPr>
      </w:pPr>
    </w:p>
    <w:p>
      <w:pPr>
        <w:pStyle w:val="35"/>
        <w:spacing w:line="240" w:lineRule="auto"/>
        <w:jc w:val="both"/>
        <w:rPr>
          <w:highlight w:val="none"/>
        </w:rPr>
      </w:pPr>
    </w:p>
    <w:p>
      <w:pPr>
        <w:pStyle w:val="35"/>
        <w:spacing w:line="240" w:lineRule="auto"/>
        <w:jc w:val="both"/>
        <w:rPr>
          <w:highlight w:val="none"/>
        </w:rPr>
      </w:pPr>
    </w:p>
    <w:p>
      <w:pPr>
        <w:pStyle w:val="35"/>
        <w:spacing w:line="240" w:lineRule="auto"/>
        <w:jc w:val="both"/>
        <w:rPr>
          <w:highlight w:val="none"/>
        </w:rPr>
      </w:pPr>
    </w:p>
    <w:p>
      <w:pPr>
        <w:pStyle w:val="35"/>
        <w:spacing w:line="240" w:lineRule="auto"/>
        <w:jc w:val="both"/>
        <w:rPr>
          <w:highlight w:val="none"/>
        </w:rPr>
      </w:pPr>
    </w:p>
    <w:sectPr>
      <w:footerReference r:id="rId4" w:type="default"/>
      <w:headerReference r:id="rId3" w:type="even"/>
      <w:footerReference r:id="rId5" w:type="even"/>
      <w:pgSz w:w="11906" w:h="16838"/>
      <w:pgMar w:top="1701" w:right="1588" w:bottom="1701" w:left="1588" w:header="851" w:footer="1247"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
    <w:altName w:val="方正楷体_GBK"/>
    <w:panose1 w:val="02010609060101010101"/>
    <w:charset w:val="86"/>
    <w:family w:val="modern"/>
    <w:pitch w:val="default"/>
    <w:sig w:usb0="00000000" w:usb1="00000000"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PMingLiU">
    <w:altName w:val="Droid Sans Fallback"/>
    <w:panose1 w:val="02010601000101010101"/>
    <w:charset w:val="88"/>
    <w:family w:val="roman"/>
    <w:pitch w:val="default"/>
    <w:sig w:usb0="00000000" w:usb1="00000000" w:usb2="00000016" w:usb3="00000000" w:csb0="00100001"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FreeSerif">
    <w:panose1 w:val="02020603050405020304"/>
    <w:charset w:val="00"/>
    <w:family w:val="auto"/>
    <w:pitch w:val="default"/>
    <w:sig w:usb0="E59FAFFF" w:usb1="C200FDFF" w:usb2="43501B29" w:usb3="04000043" w:csb0="600101FF" w:csb1="FFFF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wordWrap w:val="0"/>
      <w:jc w:val="right"/>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rPr>
      <w:fldChar w:fldCharType="end"/>
    </w:r>
    <w:r>
      <w:rPr>
        <w:rFonts w:hint="eastAsia"/>
        <w:sz w:val="28"/>
        <w:szCs w:val="28"/>
      </w:rPr>
      <w:t>—</w:t>
    </w:r>
  </w:p>
  <w:p>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w:t>
    </w:r>
  </w:p>
  <w:p>
    <w:pPr>
      <w:pStyle w:val="1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145BC0"/>
    <w:multiLevelType w:val="multilevel"/>
    <w:tmpl w:val="19145BC0"/>
    <w:lvl w:ilvl="0" w:tentative="0">
      <w:start w:val="1"/>
      <w:numFmt w:val="upperLetter"/>
      <w:pStyle w:val="52"/>
      <w:suff w:val="nothing"/>
      <w:lvlText w:val="附录%1 "/>
      <w:lvlJc w:val="left"/>
      <w:pPr>
        <w:ind w:left="0" w:firstLine="0"/>
      </w:pPr>
      <w:rPr>
        <w:rFonts w:hint="eastAsia"/>
      </w:rPr>
    </w:lvl>
    <w:lvl w:ilvl="1" w:tentative="0">
      <w:start w:val="1"/>
      <w:numFmt w:val="decimal"/>
      <w:pStyle w:val="53"/>
      <w:lvlText w:val="%1.%2"/>
      <w:lvlJc w:val="left"/>
      <w:pPr>
        <w:tabs>
          <w:tab w:val="left" w:pos="720"/>
        </w:tabs>
        <w:ind w:left="0" w:firstLine="0"/>
      </w:pPr>
      <w:rPr>
        <w:rFonts w:hint="eastAsia"/>
      </w:rPr>
    </w:lvl>
    <w:lvl w:ilvl="2" w:tentative="0">
      <w:start w:val="1"/>
      <w:numFmt w:val="decimal"/>
      <w:pStyle w:val="54"/>
      <w:lvlText w:val="%1.%2.%3"/>
      <w:lvlJc w:val="left"/>
      <w:pPr>
        <w:tabs>
          <w:tab w:val="left" w:pos="720"/>
        </w:tabs>
        <w:ind w:left="0" w:firstLine="0"/>
      </w:pPr>
      <w:rPr>
        <w:rFonts w:hint="eastAsia"/>
      </w:rPr>
    </w:lvl>
    <w:lvl w:ilvl="3" w:tentative="0">
      <w:start w:val="1"/>
      <w:numFmt w:val="decimal"/>
      <w:pStyle w:val="55"/>
      <w:lvlText w:val="%1.%2.%3.%4"/>
      <w:lvlJc w:val="left"/>
      <w:pPr>
        <w:tabs>
          <w:tab w:val="left" w:pos="1080"/>
        </w:tabs>
        <w:ind w:left="0" w:firstLine="0"/>
      </w:pPr>
      <w:rPr>
        <w:rFonts w:hint="eastAsia"/>
      </w:rPr>
    </w:lvl>
    <w:lvl w:ilvl="4" w:tentative="0">
      <w:start w:val="1"/>
      <w:numFmt w:val="none"/>
      <w:lvlText w:val=""/>
      <w:lvlJc w:val="left"/>
      <w:pPr>
        <w:tabs>
          <w:tab w:val="left" w:pos="360"/>
        </w:tabs>
        <w:ind w:left="0" w:firstLine="0"/>
      </w:pPr>
      <w:rPr>
        <w:rFonts w:hint="eastAsia"/>
      </w:rPr>
    </w:lvl>
    <w:lvl w:ilvl="5" w:tentative="0">
      <w:start w:val="1"/>
      <w:numFmt w:val="none"/>
      <w:lvlText w:val=""/>
      <w:lvlJc w:val="left"/>
      <w:pPr>
        <w:tabs>
          <w:tab w:val="left" w:pos="360"/>
        </w:tabs>
        <w:ind w:left="0" w:firstLine="0"/>
      </w:pPr>
      <w:rPr>
        <w:rFonts w:hint="eastAsia"/>
      </w:rPr>
    </w:lvl>
    <w:lvl w:ilvl="6" w:tentative="0">
      <w:start w:val="1"/>
      <w:numFmt w:val="none"/>
      <w:lvlText w:val=""/>
      <w:lvlJc w:val="left"/>
      <w:pPr>
        <w:tabs>
          <w:tab w:val="left" w:pos="360"/>
        </w:tabs>
        <w:ind w:left="0" w:firstLine="0"/>
      </w:pPr>
      <w:rPr>
        <w:rFonts w:hint="eastAsia"/>
      </w:rPr>
    </w:lvl>
    <w:lvl w:ilvl="7" w:tentative="0">
      <w:start w:val="1"/>
      <w:numFmt w:val="none"/>
      <w:lvlText w:val=""/>
      <w:lvlJc w:val="left"/>
      <w:pPr>
        <w:tabs>
          <w:tab w:val="left" w:pos="360"/>
        </w:tabs>
        <w:ind w:left="0" w:firstLine="0"/>
      </w:pPr>
      <w:rPr>
        <w:rFonts w:hint="eastAsia"/>
      </w:rPr>
    </w:lvl>
    <w:lvl w:ilvl="8" w:tentative="0">
      <w:start w:val="1"/>
      <w:numFmt w:val="none"/>
      <w:lvlText w:val=""/>
      <w:lvlJc w:val="left"/>
      <w:pPr>
        <w:tabs>
          <w:tab w:val="left" w:pos="360"/>
        </w:tabs>
        <w:ind w:left="0" w:firstLine="0"/>
      </w:pPr>
      <w:rPr>
        <w:rFonts w:hint="eastAsia"/>
      </w:rPr>
    </w:lvl>
  </w:abstractNum>
  <w:abstractNum w:abstractNumId="1">
    <w:nsid w:val="646260FA"/>
    <w:multiLevelType w:val="multilevel"/>
    <w:tmpl w:val="646260FA"/>
    <w:lvl w:ilvl="0" w:tentative="0">
      <w:start w:val="1"/>
      <w:numFmt w:val="decimal"/>
      <w:pStyle w:val="63"/>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6CEA2025"/>
    <w:multiLevelType w:val="multilevel"/>
    <w:tmpl w:val="6CEA2025"/>
    <w:lvl w:ilvl="0" w:tentative="0">
      <w:start w:val="1"/>
      <w:numFmt w:val="none"/>
      <w:pStyle w:val="56"/>
      <w:suff w:val="nothing"/>
      <w:lvlText w:val="%1"/>
      <w:lvlJc w:val="left"/>
      <w:pPr>
        <w:ind w:left="0" w:firstLine="0"/>
      </w:pPr>
      <w:rPr>
        <w:rFonts w:hint="default" w:ascii="Times New Roman" w:hAnsi="Times New Roman"/>
        <w:b/>
        <w:i w:val="0"/>
        <w:sz w:val="21"/>
      </w:rPr>
    </w:lvl>
    <w:lvl w:ilvl="1" w:tentative="0">
      <w:start w:val="1"/>
      <w:numFmt w:val="decimal"/>
      <w:pStyle w:val="57"/>
      <w:suff w:val="nothing"/>
      <w:lvlText w:val="%1%2　"/>
      <w:lvlJc w:val="left"/>
      <w:pPr>
        <w:ind w:left="0" w:firstLine="0"/>
      </w:pPr>
      <w:rPr>
        <w:rFonts w:hint="eastAsia" w:ascii="黑体" w:hAnsi="Times New Roman" w:eastAsia="黑体"/>
        <w:b w:val="0"/>
        <w:i w:val="0"/>
        <w:sz w:val="21"/>
      </w:rPr>
    </w:lvl>
    <w:lvl w:ilvl="2" w:tentative="0">
      <w:start w:val="1"/>
      <w:numFmt w:val="decimal"/>
      <w:pStyle w:val="58"/>
      <w:suff w:val="nothing"/>
      <w:lvlText w:val="%1%2.%3　"/>
      <w:lvlJc w:val="left"/>
      <w:pPr>
        <w:ind w:left="0" w:firstLine="0"/>
      </w:pPr>
      <w:rPr>
        <w:rFonts w:hint="eastAsia" w:ascii="黑体" w:hAnsi="Times New Roman" w:eastAsia="黑体"/>
        <w:b w:val="0"/>
        <w:i w:val="0"/>
        <w:sz w:val="21"/>
      </w:rPr>
    </w:lvl>
    <w:lvl w:ilvl="3" w:tentative="0">
      <w:start w:val="1"/>
      <w:numFmt w:val="decimal"/>
      <w:pStyle w:val="59"/>
      <w:suff w:val="nothing"/>
      <w:lvlText w:val="%1%2.%3.%4　"/>
      <w:lvlJc w:val="left"/>
      <w:pPr>
        <w:ind w:left="0" w:firstLine="0"/>
      </w:pPr>
      <w:rPr>
        <w:rFonts w:hint="eastAsia" w:ascii="黑体" w:hAnsi="Times New Roman" w:eastAsia="黑体"/>
        <w:b w:val="0"/>
        <w:i w:val="0"/>
        <w:sz w:val="21"/>
      </w:rPr>
    </w:lvl>
    <w:lvl w:ilvl="4" w:tentative="0">
      <w:start w:val="1"/>
      <w:numFmt w:val="decimal"/>
      <w:pStyle w:val="60"/>
      <w:suff w:val="nothing"/>
      <w:lvlText w:val="%1%2.%3.%4.%5　"/>
      <w:lvlJc w:val="left"/>
      <w:pPr>
        <w:ind w:left="0" w:firstLine="0"/>
      </w:pPr>
      <w:rPr>
        <w:rFonts w:hint="eastAsia" w:ascii="黑体" w:hAnsi="Times New Roman" w:eastAsia="黑体"/>
        <w:b w:val="0"/>
        <w:i w:val="0"/>
        <w:sz w:val="21"/>
      </w:rPr>
    </w:lvl>
    <w:lvl w:ilvl="5" w:tentative="0">
      <w:start w:val="1"/>
      <w:numFmt w:val="decimal"/>
      <w:pStyle w:val="61"/>
      <w:suff w:val="nothing"/>
      <w:lvlText w:val="%1%2.%3.%4.%5.%6　"/>
      <w:lvlJc w:val="left"/>
      <w:pPr>
        <w:ind w:left="0" w:firstLine="0"/>
      </w:pPr>
      <w:rPr>
        <w:rFonts w:hint="eastAsia" w:ascii="黑体" w:hAnsi="Times New Roman" w:eastAsia="黑体"/>
        <w:b w:val="0"/>
        <w:i w:val="0"/>
        <w:sz w:val="21"/>
      </w:rPr>
    </w:lvl>
    <w:lvl w:ilvl="6" w:tentative="0">
      <w:start w:val="1"/>
      <w:numFmt w:val="decimal"/>
      <w:pStyle w:val="62"/>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mZWIzNDg2MmIzZjExOTIzMmViNTBmYTMwYTk0ZWYifQ=="/>
  </w:docVars>
  <w:rsids>
    <w:rsidRoot w:val="00172A27"/>
    <w:rsid w:val="00172A27"/>
    <w:rsid w:val="002A072A"/>
    <w:rsid w:val="002B20C0"/>
    <w:rsid w:val="00311B40"/>
    <w:rsid w:val="003318A4"/>
    <w:rsid w:val="003374D4"/>
    <w:rsid w:val="00382005"/>
    <w:rsid w:val="003D3592"/>
    <w:rsid w:val="003E41C6"/>
    <w:rsid w:val="00431012"/>
    <w:rsid w:val="00481F71"/>
    <w:rsid w:val="004C1CBA"/>
    <w:rsid w:val="004F1F83"/>
    <w:rsid w:val="00583669"/>
    <w:rsid w:val="005B1A8C"/>
    <w:rsid w:val="0064346D"/>
    <w:rsid w:val="00643D6C"/>
    <w:rsid w:val="006A2D08"/>
    <w:rsid w:val="006E6810"/>
    <w:rsid w:val="007144F6"/>
    <w:rsid w:val="00756AC1"/>
    <w:rsid w:val="00987DAC"/>
    <w:rsid w:val="009A2F2B"/>
    <w:rsid w:val="009A5113"/>
    <w:rsid w:val="009D095B"/>
    <w:rsid w:val="00A956EE"/>
    <w:rsid w:val="00AC7FA3"/>
    <w:rsid w:val="00AE7C1F"/>
    <w:rsid w:val="00B75789"/>
    <w:rsid w:val="00B75BC2"/>
    <w:rsid w:val="00C24394"/>
    <w:rsid w:val="00D056ED"/>
    <w:rsid w:val="00D06A6B"/>
    <w:rsid w:val="00E117EB"/>
    <w:rsid w:val="00EB32FD"/>
    <w:rsid w:val="00F1562E"/>
    <w:rsid w:val="0193102E"/>
    <w:rsid w:val="0241242E"/>
    <w:rsid w:val="027F2F56"/>
    <w:rsid w:val="03191231"/>
    <w:rsid w:val="03F93460"/>
    <w:rsid w:val="045510A7"/>
    <w:rsid w:val="04951E57"/>
    <w:rsid w:val="06A26479"/>
    <w:rsid w:val="078F59E9"/>
    <w:rsid w:val="09691BEF"/>
    <w:rsid w:val="097C7C71"/>
    <w:rsid w:val="09A24F7A"/>
    <w:rsid w:val="0C572DDC"/>
    <w:rsid w:val="0D5A6B39"/>
    <w:rsid w:val="0F02501C"/>
    <w:rsid w:val="0FBC0065"/>
    <w:rsid w:val="10E70644"/>
    <w:rsid w:val="12C25032"/>
    <w:rsid w:val="12CB4611"/>
    <w:rsid w:val="13655BAC"/>
    <w:rsid w:val="137B5A87"/>
    <w:rsid w:val="138008DC"/>
    <w:rsid w:val="14545302"/>
    <w:rsid w:val="173E0B20"/>
    <w:rsid w:val="175D0831"/>
    <w:rsid w:val="177E4121"/>
    <w:rsid w:val="17EE193C"/>
    <w:rsid w:val="19B27124"/>
    <w:rsid w:val="1AD11829"/>
    <w:rsid w:val="1B5C1C2F"/>
    <w:rsid w:val="1BB235FD"/>
    <w:rsid w:val="1D6F2A11"/>
    <w:rsid w:val="1E757BAC"/>
    <w:rsid w:val="1EB6185D"/>
    <w:rsid w:val="20806350"/>
    <w:rsid w:val="2173038F"/>
    <w:rsid w:val="22391C4B"/>
    <w:rsid w:val="22683E24"/>
    <w:rsid w:val="23A51A5C"/>
    <w:rsid w:val="23AF5DCB"/>
    <w:rsid w:val="243A08FB"/>
    <w:rsid w:val="24A77F98"/>
    <w:rsid w:val="26FF2B9F"/>
    <w:rsid w:val="277227B8"/>
    <w:rsid w:val="27A708A0"/>
    <w:rsid w:val="284E5E02"/>
    <w:rsid w:val="28B135BA"/>
    <w:rsid w:val="29A523DC"/>
    <w:rsid w:val="2A3F8491"/>
    <w:rsid w:val="2BB0401E"/>
    <w:rsid w:val="2D1C4D7A"/>
    <w:rsid w:val="2EBB609E"/>
    <w:rsid w:val="2FF56553"/>
    <w:rsid w:val="30187BB6"/>
    <w:rsid w:val="32830CAB"/>
    <w:rsid w:val="32C153F3"/>
    <w:rsid w:val="32D9505A"/>
    <w:rsid w:val="32DB67CE"/>
    <w:rsid w:val="34264031"/>
    <w:rsid w:val="35374E9F"/>
    <w:rsid w:val="3562FC6B"/>
    <w:rsid w:val="37383BDB"/>
    <w:rsid w:val="37B26E69"/>
    <w:rsid w:val="389A768D"/>
    <w:rsid w:val="38BD1B07"/>
    <w:rsid w:val="38F1386A"/>
    <w:rsid w:val="39B2448D"/>
    <w:rsid w:val="3A744447"/>
    <w:rsid w:val="3AEF5D46"/>
    <w:rsid w:val="3B2225F1"/>
    <w:rsid w:val="3B31058A"/>
    <w:rsid w:val="3B3B3189"/>
    <w:rsid w:val="3BC1190E"/>
    <w:rsid w:val="3C0B0DDB"/>
    <w:rsid w:val="3CEF5D7B"/>
    <w:rsid w:val="3D2F2A7F"/>
    <w:rsid w:val="3D790D58"/>
    <w:rsid w:val="3E7C9FF1"/>
    <w:rsid w:val="3EF75647"/>
    <w:rsid w:val="3F37FED4"/>
    <w:rsid w:val="3F415C2F"/>
    <w:rsid w:val="3F5900B0"/>
    <w:rsid w:val="3F71343A"/>
    <w:rsid w:val="3F7B64D4"/>
    <w:rsid w:val="3F7E612A"/>
    <w:rsid w:val="3F8F3FBA"/>
    <w:rsid w:val="415B4270"/>
    <w:rsid w:val="41D16CAC"/>
    <w:rsid w:val="43D40163"/>
    <w:rsid w:val="446F5ED2"/>
    <w:rsid w:val="45460D6B"/>
    <w:rsid w:val="46FFBACE"/>
    <w:rsid w:val="48BF5427"/>
    <w:rsid w:val="49D61804"/>
    <w:rsid w:val="49D62A28"/>
    <w:rsid w:val="49EE2675"/>
    <w:rsid w:val="4AA93C99"/>
    <w:rsid w:val="4C6E596B"/>
    <w:rsid w:val="4FD712A8"/>
    <w:rsid w:val="4FEFB073"/>
    <w:rsid w:val="4FF24935"/>
    <w:rsid w:val="4FFB948E"/>
    <w:rsid w:val="4FFF8F2A"/>
    <w:rsid w:val="5017770B"/>
    <w:rsid w:val="50E64621"/>
    <w:rsid w:val="52163281"/>
    <w:rsid w:val="523F2203"/>
    <w:rsid w:val="52C51025"/>
    <w:rsid w:val="536A41E2"/>
    <w:rsid w:val="537D74DF"/>
    <w:rsid w:val="5531145B"/>
    <w:rsid w:val="555906A0"/>
    <w:rsid w:val="578F4D5C"/>
    <w:rsid w:val="57F853BD"/>
    <w:rsid w:val="58F46A27"/>
    <w:rsid w:val="5BA62C39"/>
    <w:rsid w:val="5D267DAB"/>
    <w:rsid w:val="5D6E7634"/>
    <w:rsid w:val="5F6945E1"/>
    <w:rsid w:val="5F7FA712"/>
    <w:rsid w:val="5FA911A9"/>
    <w:rsid w:val="5FCF24D5"/>
    <w:rsid w:val="5FFF5EC4"/>
    <w:rsid w:val="6096400B"/>
    <w:rsid w:val="609F5C78"/>
    <w:rsid w:val="64DB4F3F"/>
    <w:rsid w:val="64F23E51"/>
    <w:rsid w:val="655B0B17"/>
    <w:rsid w:val="655E016D"/>
    <w:rsid w:val="67DFFA66"/>
    <w:rsid w:val="6C832754"/>
    <w:rsid w:val="6D4FE2D9"/>
    <w:rsid w:val="6FF6320B"/>
    <w:rsid w:val="7169357E"/>
    <w:rsid w:val="71BD85AC"/>
    <w:rsid w:val="72BB3CBA"/>
    <w:rsid w:val="7393247C"/>
    <w:rsid w:val="73CD0149"/>
    <w:rsid w:val="74EE4E3A"/>
    <w:rsid w:val="75882099"/>
    <w:rsid w:val="75954C96"/>
    <w:rsid w:val="75BF44FC"/>
    <w:rsid w:val="76B4739E"/>
    <w:rsid w:val="77E37F3B"/>
    <w:rsid w:val="77F3B874"/>
    <w:rsid w:val="7941469B"/>
    <w:rsid w:val="79701785"/>
    <w:rsid w:val="797156E1"/>
    <w:rsid w:val="7B7E79A8"/>
    <w:rsid w:val="7BDEE9C2"/>
    <w:rsid w:val="7C9D433D"/>
    <w:rsid w:val="7CBFFADA"/>
    <w:rsid w:val="7CD7ADC8"/>
    <w:rsid w:val="7E6E5AAA"/>
    <w:rsid w:val="7EEBA97C"/>
    <w:rsid w:val="7F859C84"/>
    <w:rsid w:val="7F93243A"/>
    <w:rsid w:val="7FBC10D3"/>
    <w:rsid w:val="7FCFC520"/>
    <w:rsid w:val="7FDECFA3"/>
    <w:rsid w:val="7FF31C14"/>
    <w:rsid w:val="7FF36232"/>
    <w:rsid w:val="7FFE2A00"/>
    <w:rsid w:val="8EB7DBF9"/>
    <w:rsid w:val="8FD9FFB4"/>
    <w:rsid w:val="A4D7FAAC"/>
    <w:rsid w:val="ACEF41B7"/>
    <w:rsid w:val="ADFCDEAD"/>
    <w:rsid w:val="B7FF9C39"/>
    <w:rsid w:val="BA29F4E3"/>
    <w:rsid w:val="BCFF330F"/>
    <w:rsid w:val="BF7FBD40"/>
    <w:rsid w:val="CE552E56"/>
    <w:rsid w:val="CE5D3219"/>
    <w:rsid w:val="D6EF164A"/>
    <w:rsid w:val="D9F763C7"/>
    <w:rsid w:val="DA9F561B"/>
    <w:rsid w:val="DBC64914"/>
    <w:rsid w:val="DDDDA272"/>
    <w:rsid w:val="E2DF0D36"/>
    <w:rsid w:val="E2DF37F1"/>
    <w:rsid w:val="E9FF2065"/>
    <w:rsid w:val="EB7D5D26"/>
    <w:rsid w:val="EBEB52E7"/>
    <w:rsid w:val="EDB5C15B"/>
    <w:rsid w:val="EF3FFA4E"/>
    <w:rsid w:val="EF5FFB39"/>
    <w:rsid w:val="EFFCAF2D"/>
    <w:rsid w:val="F5B32DDB"/>
    <w:rsid w:val="F6BF3849"/>
    <w:rsid w:val="F7774DE1"/>
    <w:rsid w:val="F77F7E2D"/>
    <w:rsid w:val="FA7DB7E2"/>
    <w:rsid w:val="FBDF0E43"/>
    <w:rsid w:val="FBF49D33"/>
    <w:rsid w:val="FBF704C0"/>
    <w:rsid w:val="FBFC9571"/>
    <w:rsid w:val="FCDF9D3F"/>
    <w:rsid w:val="FE7FD2AA"/>
    <w:rsid w:val="FE9F5A8A"/>
    <w:rsid w:val="FEA118F3"/>
    <w:rsid w:val="FEBC9B4B"/>
    <w:rsid w:val="FECD53DB"/>
    <w:rsid w:val="FF4ED191"/>
    <w:rsid w:val="FF66D0E3"/>
    <w:rsid w:val="FF71DA68"/>
    <w:rsid w:val="FF77415E"/>
    <w:rsid w:val="FFD779C6"/>
    <w:rsid w:val="FFDC7757"/>
    <w:rsid w:val="FFDD0BB9"/>
    <w:rsid w:val="FFEB5681"/>
    <w:rsid w:val="FFFB5908"/>
    <w:rsid w:val="FFFF3725"/>
    <w:rsid w:val="FFFF8E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140" w:after="140" w:line="520" w:lineRule="exact"/>
      <w:ind w:firstLine="200" w:firstLineChars="200"/>
      <w:contextualSpacing/>
      <w:jc w:val="left"/>
      <w:outlineLvl w:val="1"/>
    </w:pPr>
    <w:rPr>
      <w:rFonts w:ascii="Arial" w:hAnsi="Arial" w:eastAsia="楷体"/>
      <w:bCs/>
      <w:sz w:val="28"/>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rFonts w:ascii="Calibri" w:hAnsi="Calibri"/>
      <w:sz w:val="18"/>
      <w:szCs w:val="18"/>
    </w:rPr>
  </w:style>
  <w:style w:type="paragraph" w:styleId="7">
    <w:name w:val="Normal Indent"/>
    <w:basedOn w:val="1"/>
    <w:qFormat/>
    <w:uiPriority w:val="0"/>
    <w:pPr>
      <w:ind w:firstLine="420" w:firstLineChars="200"/>
    </w:pPr>
  </w:style>
  <w:style w:type="paragraph" w:styleId="8">
    <w:name w:val="Document Map"/>
    <w:basedOn w:val="1"/>
    <w:link w:val="42"/>
    <w:qFormat/>
    <w:uiPriority w:val="0"/>
    <w:pPr>
      <w:shd w:val="clear" w:color="auto" w:fill="000080"/>
    </w:pPr>
  </w:style>
  <w:style w:type="paragraph" w:styleId="9">
    <w:name w:val="annotation text"/>
    <w:basedOn w:val="1"/>
    <w:link w:val="67"/>
    <w:qFormat/>
    <w:uiPriority w:val="0"/>
    <w:pPr>
      <w:jc w:val="left"/>
    </w:pPr>
  </w:style>
  <w:style w:type="paragraph" w:styleId="10">
    <w:name w:val="Body Text"/>
    <w:basedOn w:val="1"/>
    <w:link w:val="47"/>
    <w:qFormat/>
    <w:uiPriority w:val="0"/>
    <w:pPr>
      <w:spacing w:after="120"/>
    </w:pPr>
  </w:style>
  <w:style w:type="paragraph" w:styleId="11">
    <w:name w:val="Body Text Indent"/>
    <w:basedOn w:val="1"/>
    <w:link w:val="50"/>
    <w:qFormat/>
    <w:uiPriority w:val="0"/>
    <w:pPr>
      <w:spacing w:after="120"/>
      <w:ind w:left="420" w:leftChars="200"/>
    </w:pPr>
  </w:style>
  <w:style w:type="paragraph" w:styleId="12">
    <w:name w:val="toc 5"/>
    <w:basedOn w:val="1"/>
    <w:next w:val="1"/>
    <w:qFormat/>
    <w:uiPriority w:val="0"/>
    <w:pPr>
      <w:ind w:left="840"/>
      <w:jc w:val="left"/>
    </w:pPr>
    <w:rPr>
      <w:rFonts w:ascii="Calibri" w:hAnsi="Calibri"/>
      <w:sz w:val="18"/>
      <w:szCs w:val="18"/>
    </w:rPr>
  </w:style>
  <w:style w:type="paragraph" w:styleId="13">
    <w:name w:val="toc 3"/>
    <w:basedOn w:val="1"/>
    <w:next w:val="1"/>
    <w:unhideWhenUsed/>
    <w:qFormat/>
    <w:uiPriority w:val="39"/>
    <w:pPr>
      <w:ind w:left="420"/>
      <w:jc w:val="left"/>
    </w:pPr>
    <w:rPr>
      <w:rFonts w:ascii="Calibri" w:hAnsi="Calibri"/>
      <w:i/>
      <w:iCs/>
      <w:sz w:val="20"/>
      <w:szCs w:val="20"/>
    </w:rPr>
  </w:style>
  <w:style w:type="paragraph" w:styleId="14">
    <w:name w:val="toc 8"/>
    <w:basedOn w:val="1"/>
    <w:next w:val="1"/>
    <w:qFormat/>
    <w:uiPriority w:val="0"/>
    <w:pPr>
      <w:ind w:left="1470"/>
      <w:jc w:val="left"/>
    </w:pPr>
    <w:rPr>
      <w:rFonts w:ascii="Calibri" w:hAnsi="Calibri"/>
      <w:sz w:val="18"/>
      <w:szCs w:val="18"/>
    </w:rPr>
  </w:style>
  <w:style w:type="paragraph" w:styleId="15">
    <w:name w:val="Date"/>
    <w:basedOn w:val="1"/>
    <w:next w:val="1"/>
    <w:link w:val="70"/>
    <w:qFormat/>
    <w:uiPriority w:val="0"/>
    <w:pPr>
      <w:ind w:left="100" w:leftChars="2500"/>
    </w:pPr>
  </w:style>
  <w:style w:type="paragraph" w:styleId="16">
    <w:name w:val="Balloon Text"/>
    <w:basedOn w:val="1"/>
    <w:link w:val="66"/>
    <w:qFormat/>
    <w:uiPriority w:val="0"/>
    <w:rPr>
      <w:sz w:val="18"/>
      <w:szCs w:val="18"/>
    </w:rPr>
  </w:style>
  <w:style w:type="paragraph" w:styleId="17">
    <w:name w:val="footer"/>
    <w:basedOn w:val="1"/>
    <w:link w:val="37"/>
    <w:unhideWhenUsed/>
    <w:qFormat/>
    <w:uiPriority w:val="99"/>
    <w:pPr>
      <w:tabs>
        <w:tab w:val="center" w:pos="4153"/>
        <w:tab w:val="right" w:pos="8306"/>
      </w:tabs>
      <w:snapToGrid w:val="0"/>
      <w:jc w:val="left"/>
    </w:pPr>
    <w:rPr>
      <w:sz w:val="18"/>
      <w:szCs w:val="18"/>
    </w:rPr>
  </w:style>
  <w:style w:type="paragraph" w:styleId="18">
    <w:name w:val="header"/>
    <w:basedOn w:val="1"/>
    <w:link w:val="36"/>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120" w:after="120"/>
      <w:jc w:val="left"/>
    </w:pPr>
    <w:rPr>
      <w:rFonts w:ascii="Calibri" w:hAnsi="Calibri"/>
      <w:b/>
      <w:bCs/>
      <w:caps/>
      <w:sz w:val="20"/>
      <w:szCs w:val="20"/>
    </w:rPr>
  </w:style>
  <w:style w:type="paragraph" w:styleId="20">
    <w:name w:val="toc 4"/>
    <w:basedOn w:val="1"/>
    <w:next w:val="1"/>
    <w:qFormat/>
    <w:uiPriority w:val="0"/>
    <w:pPr>
      <w:ind w:left="630"/>
      <w:jc w:val="left"/>
    </w:pPr>
    <w:rPr>
      <w:rFonts w:ascii="Calibri" w:hAnsi="Calibri"/>
      <w:sz w:val="18"/>
      <w:szCs w:val="18"/>
    </w:rPr>
  </w:style>
  <w:style w:type="paragraph" w:styleId="21">
    <w:name w:val="toc 6"/>
    <w:basedOn w:val="1"/>
    <w:next w:val="1"/>
    <w:qFormat/>
    <w:uiPriority w:val="0"/>
    <w:pPr>
      <w:ind w:left="1050"/>
      <w:jc w:val="left"/>
    </w:pPr>
    <w:rPr>
      <w:rFonts w:ascii="Calibri" w:hAnsi="Calibri"/>
      <w:sz w:val="18"/>
      <w:szCs w:val="18"/>
    </w:rPr>
  </w:style>
  <w:style w:type="paragraph" w:styleId="22">
    <w:name w:val="toc 2"/>
    <w:basedOn w:val="1"/>
    <w:next w:val="1"/>
    <w:qFormat/>
    <w:uiPriority w:val="39"/>
    <w:pPr>
      <w:ind w:left="210"/>
      <w:jc w:val="left"/>
    </w:pPr>
    <w:rPr>
      <w:rFonts w:ascii="Calibri" w:hAnsi="Calibri"/>
      <w:smallCaps/>
      <w:sz w:val="20"/>
      <w:szCs w:val="20"/>
    </w:rPr>
  </w:style>
  <w:style w:type="paragraph" w:styleId="23">
    <w:name w:val="toc 9"/>
    <w:basedOn w:val="1"/>
    <w:next w:val="1"/>
    <w:qFormat/>
    <w:uiPriority w:val="0"/>
    <w:pPr>
      <w:ind w:left="1680"/>
      <w:jc w:val="left"/>
    </w:pPr>
    <w:rPr>
      <w:rFonts w:ascii="Calibri" w:hAnsi="Calibri"/>
      <w:sz w:val="18"/>
      <w:szCs w:val="18"/>
    </w:rPr>
  </w:style>
  <w:style w:type="paragraph" w:styleId="2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5">
    <w:name w:val="Title"/>
    <w:basedOn w:val="1"/>
    <w:next w:val="1"/>
    <w:link w:val="72"/>
    <w:qFormat/>
    <w:uiPriority w:val="0"/>
    <w:pPr>
      <w:spacing w:before="240" w:after="60"/>
      <w:jc w:val="center"/>
      <w:outlineLvl w:val="0"/>
    </w:pPr>
    <w:rPr>
      <w:rFonts w:ascii="Cambria" w:hAnsi="Cambria"/>
      <w:bCs/>
      <w:sz w:val="36"/>
      <w:szCs w:val="32"/>
    </w:rPr>
  </w:style>
  <w:style w:type="paragraph" w:styleId="26">
    <w:name w:val="annotation subject"/>
    <w:basedOn w:val="9"/>
    <w:next w:val="9"/>
    <w:link w:val="68"/>
    <w:qFormat/>
    <w:uiPriority w:val="0"/>
    <w:rPr>
      <w:b/>
      <w:bCs/>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basedOn w:val="29"/>
    <w:qFormat/>
    <w:uiPriority w:val="0"/>
  </w:style>
  <w:style w:type="character" w:styleId="32">
    <w:name w:val="Emphasis"/>
    <w:qFormat/>
    <w:uiPriority w:val="20"/>
    <w:rPr>
      <w:color w:val="CC0000"/>
    </w:rPr>
  </w:style>
  <w:style w:type="character" w:styleId="33">
    <w:name w:val="Hyperlink"/>
    <w:qFormat/>
    <w:uiPriority w:val="99"/>
    <w:rPr>
      <w:color w:val="000000"/>
      <w:u w:val="none"/>
    </w:rPr>
  </w:style>
  <w:style w:type="character" w:styleId="34">
    <w:name w:val="annotation reference"/>
    <w:qFormat/>
    <w:uiPriority w:val="0"/>
    <w:rPr>
      <w:sz w:val="21"/>
      <w:szCs w:val="21"/>
    </w:rPr>
  </w:style>
  <w:style w:type="paragraph" w:styleId="35">
    <w:name w:val="No Spacing"/>
    <w:qFormat/>
    <w:uiPriority w:val="1"/>
    <w:pPr>
      <w:spacing w:line="520" w:lineRule="exact"/>
      <w:jc w:val="center"/>
    </w:pPr>
    <w:rPr>
      <w:rFonts w:ascii="Arial" w:hAnsi="Arial" w:eastAsia="黑体" w:cs="Times New Roman"/>
      <w:sz w:val="32"/>
      <w:szCs w:val="18"/>
      <w:lang w:val="en-US" w:eastAsia="zh-CN" w:bidi="ar-SA"/>
    </w:rPr>
  </w:style>
  <w:style w:type="character" w:customStyle="1" w:styleId="36">
    <w:name w:val="页眉 字符"/>
    <w:basedOn w:val="29"/>
    <w:link w:val="18"/>
    <w:qFormat/>
    <w:uiPriority w:val="0"/>
    <w:rPr>
      <w:sz w:val="18"/>
      <w:szCs w:val="18"/>
    </w:rPr>
  </w:style>
  <w:style w:type="character" w:customStyle="1" w:styleId="37">
    <w:name w:val="页脚 字符"/>
    <w:basedOn w:val="29"/>
    <w:link w:val="17"/>
    <w:qFormat/>
    <w:uiPriority w:val="99"/>
    <w:rPr>
      <w:sz w:val="18"/>
      <w:szCs w:val="18"/>
    </w:rPr>
  </w:style>
  <w:style w:type="character" w:customStyle="1" w:styleId="38">
    <w:name w:val="标题 1 字符"/>
    <w:basedOn w:val="29"/>
    <w:link w:val="2"/>
    <w:qFormat/>
    <w:uiPriority w:val="0"/>
    <w:rPr>
      <w:rFonts w:ascii="Times New Roman" w:hAnsi="Times New Roman" w:eastAsia="宋体" w:cs="Times New Roman"/>
      <w:b/>
      <w:bCs/>
      <w:kern w:val="44"/>
      <w:sz w:val="44"/>
      <w:szCs w:val="44"/>
    </w:rPr>
  </w:style>
  <w:style w:type="character" w:customStyle="1" w:styleId="39">
    <w:name w:val="标题 2 字符"/>
    <w:basedOn w:val="29"/>
    <w:link w:val="3"/>
    <w:qFormat/>
    <w:uiPriority w:val="0"/>
    <w:rPr>
      <w:rFonts w:ascii="Arial" w:hAnsi="Arial" w:eastAsia="楷体" w:cs="Times New Roman"/>
      <w:bCs/>
      <w:sz w:val="28"/>
      <w:szCs w:val="32"/>
    </w:rPr>
  </w:style>
  <w:style w:type="character" w:customStyle="1" w:styleId="40">
    <w:name w:val="标题 3 字符"/>
    <w:basedOn w:val="29"/>
    <w:link w:val="4"/>
    <w:qFormat/>
    <w:uiPriority w:val="0"/>
    <w:rPr>
      <w:rFonts w:ascii="Times New Roman" w:hAnsi="Times New Roman" w:eastAsia="宋体" w:cs="Times New Roman"/>
      <w:b/>
      <w:bCs/>
      <w:sz w:val="32"/>
      <w:szCs w:val="32"/>
    </w:rPr>
  </w:style>
  <w:style w:type="character" w:customStyle="1" w:styleId="41">
    <w:name w:val="标题 4 字符"/>
    <w:basedOn w:val="29"/>
    <w:link w:val="5"/>
    <w:qFormat/>
    <w:uiPriority w:val="0"/>
    <w:rPr>
      <w:rFonts w:ascii="Arial" w:hAnsi="Arial" w:eastAsia="黑体" w:cs="Times New Roman"/>
      <w:b/>
      <w:bCs/>
      <w:sz w:val="28"/>
      <w:szCs w:val="28"/>
    </w:rPr>
  </w:style>
  <w:style w:type="character" w:customStyle="1" w:styleId="42">
    <w:name w:val="文档结构图 字符"/>
    <w:basedOn w:val="29"/>
    <w:link w:val="8"/>
    <w:qFormat/>
    <w:uiPriority w:val="0"/>
    <w:rPr>
      <w:rFonts w:ascii="Times New Roman" w:hAnsi="Times New Roman" w:eastAsia="宋体" w:cs="Times New Roman"/>
      <w:szCs w:val="24"/>
      <w:shd w:val="clear" w:color="auto" w:fill="000080"/>
    </w:rPr>
  </w:style>
  <w:style w:type="character" w:customStyle="1" w:styleId="43">
    <w:name w:val="f101"/>
    <w:qFormat/>
    <w:uiPriority w:val="0"/>
    <w:rPr>
      <w:sz w:val="24"/>
      <w:szCs w:val="24"/>
    </w:rPr>
  </w:style>
  <w:style w:type="paragraph" w:customStyle="1" w:styleId="44">
    <w:name w:val="段"/>
    <w:link w:val="4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5">
    <w:name w:val="段 Char"/>
    <w:link w:val="44"/>
    <w:qFormat/>
    <w:uiPriority w:val="0"/>
    <w:rPr>
      <w:rFonts w:ascii="宋体" w:hAnsi="Times New Roman" w:eastAsia="宋体" w:cs="Times New Roman"/>
      <w:kern w:val="0"/>
      <w:szCs w:val="20"/>
    </w:rPr>
  </w:style>
  <w:style w:type="character" w:customStyle="1" w:styleId="46">
    <w:name w:val="p11"/>
    <w:qFormat/>
    <w:uiPriority w:val="0"/>
    <w:rPr>
      <w:rFonts w:hint="eastAsia" w:ascii="宋体" w:hAnsi="宋体" w:eastAsia="宋体"/>
      <w:sz w:val="21"/>
      <w:szCs w:val="21"/>
      <w:u w:val="none"/>
    </w:rPr>
  </w:style>
  <w:style w:type="character" w:customStyle="1" w:styleId="47">
    <w:name w:val="正文文本 字符"/>
    <w:basedOn w:val="29"/>
    <w:link w:val="10"/>
    <w:qFormat/>
    <w:uiPriority w:val="0"/>
    <w:rPr>
      <w:rFonts w:ascii="Times New Roman" w:hAnsi="Times New Roman" w:eastAsia="宋体" w:cs="Times New Roman"/>
      <w:szCs w:val="24"/>
    </w:rPr>
  </w:style>
  <w:style w:type="character" w:customStyle="1" w:styleId="48">
    <w:name w:val="new"/>
    <w:qFormat/>
    <w:uiPriority w:val="0"/>
  </w:style>
  <w:style w:type="paragraph" w:styleId="49">
    <w:name w:val="List Paragraph"/>
    <w:basedOn w:val="1"/>
    <w:qFormat/>
    <w:uiPriority w:val="99"/>
    <w:pPr>
      <w:ind w:firstLine="420" w:firstLineChars="200"/>
    </w:pPr>
    <w:rPr>
      <w:rFonts w:ascii="Calibri" w:hAnsi="Calibri"/>
      <w:szCs w:val="22"/>
    </w:rPr>
  </w:style>
  <w:style w:type="character" w:customStyle="1" w:styleId="50">
    <w:name w:val="正文文本缩进 字符"/>
    <w:basedOn w:val="29"/>
    <w:link w:val="11"/>
    <w:qFormat/>
    <w:uiPriority w:val="0"/>
    <w:rPr>
      <w:rFonts w:ascii="Times New Roman" w:hAnsi="Times New Roman" w:eastAsia="宋体" w:cs="Times New Roman"/>
      <w:szCs w:val="24"/>
    </w:rPr>
  </w:style>
  <w:style w:type="paragraph" w:customStyle="1" w:styleId="51">
    <w:name w:val="Char"/>
    <w:basedOn w:val="1"/>
    <w:qFormat/>
    <w:uiPriority w:val="0"/>
    <w:rPr>
      <w:rFonts w:ascii="仿宋_GB2312" w:eastAsia="仿宋_GB2312"/>
      <w:b/>
      <w:sz w:val="32"/>
      <w:szCs w:val="32"/>
    </w:rPr>
  </w:style>
  <w:style w:type="paragraph" w:customStyle="1" w:styleId="52">
    <w:name w:val="Appendix 1"/>
    <w:basedOn w:val="2"/>
    <w:next w:val="7"/>
    <w:qFormat/>
    <w:uiPriority w:val="0"/>
    <w:pPr>
      <w:pageBreakBefore/>
      <w:numPr>
        <w:ilvl w:val="0"/>
        <w:numId w:val="1"/>
      </w:numPr>
      <w:spacing w:before="240" w:after="120" w:line="240" w:lineRule="auto"/>
      <w:jc w:val="center"/>
    </w:pPr>
    <w:rPr>
      <w:sz w:val="36"/>
    </w:rPr>
  </w:style>
  <w:style w:type="paragraph" w:customStyle="1" w:styleId="53">
    <w:name w:val="Appendix 2"/>
    <w:basedOn w:val="3"/>
    <w:next w:val="7"/>
    <w:qFormat/>
    <w:uiPriority w:val="0"/>
    <w:pPr>
      <w:numPr>
        <w:ilvl w:val="1"/>
        <w:numId w:val="1"/>
      </w:numPr>
      <w:tabs>
        <w:tab w:val="left" w:pos="525"/>
      </w:tabs>
      <w:spacing w:before="60" w:after="0" w:line="240" w:lineRule="auto"/>
    </w:pPr>
    <w:rPr>
      <w:rFonts w:ascii="Times New Roman" w:hAnsi="Times New Roman" w:eastAsia="宋体"/>
    </w:rPr>
  </w:style>
  <w:style w:type="paragraph" w:customStyle="1" w:styleId="54">
    <w:name w:val="Appendix 3"/>
    <w:basedOn w:val="4"/>
    <w:next w:val="7"/>
    <w:qFormat/>
    <w:uiPriority w:val="0"/>
    <w:pPr>
      <w:numPr>
        <w:ilvl w:val="2"/>
        <w:numId w:val="1"/>
      </w:numPr>
      <w:spacing w:before="60" w:after="0" w:line="240" w:lineRule="auto"/>
    </w:pPr>
    <w:rPr>
      <w:sz w:val="28"/>
    </w:rPr>
  </w:style>
  <w:style w:type="paragraph" w:customStyle="1" w:styleId="55">
    <w:name w:val="Appendix 4"/>
    <w:basedOn w:val="5"/>
    <w:next w:val="7"/>
    <w:qFormat/>
    <w:uiPriority w:val="0"/>
    <w:pPr>
      <w:numPr>
        <w:ilvl w:val="3"/>
        <w:numId w:val="1"/>
      </w:numPr>
      <w:tabs>
        <w:tab w:val="left" w:pos="840"/>
      </w:tabs>
      <w:spacing w:before="60" w:after="0" w:line="240" w:lineRule="auto"/>
    </w:pPr>
    <w:rPr>
      <w:rFonts w:ascii="Times New Roman" w:hAnsi="Times New Roman" w:eastAsia="宋体"/>
      <w:sz w:val="24"/>
    </w:rPr>
  </w:style>
  <w:style w:type="paragraph" w:customStyle="1" w:styleId="56">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7">
    <w:name w:val="章标题"/>
    <w:next w:val="44"/>
    <w:qFormat/>
    <w:uiPriority w:val="0"/>
    <w:pPr>
      <w:numPr>
        <w:ilvl w:val="1"/>
        <w:numId w:val="2"/>
      </w:numPr>
      <w:spacing w:beforeLines="50" w:afterLines="50"/>
      <w:jc w:val="both"/>
      <w:outlineLvl w:val="1"/>
    </w:pPr>
    <w:rPr>
      <w:rFonts w:ascii="黑体" w:hAnsi="Times New Roman" w:eastAsia="黑体" w:cs="Times New Roman"/>
      <w:sz w:val="21"/>
      <w:lang w:val="en-US" w:eastAsia="zh-CN" w:bidi="ar-SA"/>
    </w:rPr>
  </w:style>
  <w:style w:type="paragraph" w:customStyle="1" w:styleId="58">
    <w:name w:val="一级条标题"/>
    <w:basedOn w:val="57"/>
    <w:next w:val="44"/>
    <w:qFormat/>
    <w:uiPriority w:val="0"/>
    <w:pPr>
      <w:numPr>
        <w:ilvl w:val="2"/>
      </w:numPr>
      <w:spacing w:beforeLines="0" w:afterLines="0"/>
      <w:outlineLvl w:val="2"/>
    </w:pPr>
  </w:style>
  <w:style w:type="paragraph" w:customStyle="1" w:styleId="59">
    <w:name w:val="二级条标题"/>
    <w:basedOn w:val="58"/>
    <w:next w:val="44"/>
    <w:qFormat/>
    <w:uiPriority w:val="0"/>
    <w:pPr>
      <w:numPr>
        <w:ilvl w:val="3"/>
      </w:numPr>
      <w:outlineLvl w:val="3"/>
    </w:pPr>
  </w:style>
  <w:style w:type="paragraph" w:customStyle="1" w:styleId="60">
    <w:name w:val="三级条标题"/>
    <w:basedOn w:val="59"/>
    <w:next w:val="44"/>
    <w:qFormat/>
    <w:uiPriority w:val="0"/>
    <w:pPr>
      <w:numPr>
        <w:ilvl w:val="4"/>
      </w:numPr>
      <w:outlineLvl w:val="4"/>
    </w:pPr>
  </w:style>
  <w:style w:type="paragraph" w:customStyle="1" w:styleId="61">
    <w:name w:val="四级条标题"/>
    <w:basedOn w:val="60"/>
    <w:next w:val="44"/>
    <w:qFormat/>
    <w:uiPriority w:val="0"/>
    <w:pPr>
      <w:numPr>
        <w:ilvl w:val="5"/>
      </w:numPr>
      <w:outlineLvl w:val="5"/>
    </w:pPr>
  </w:style>
  <w:style w:type="paragraph" w:customStyle="1" w:styleId="62">
    <w:name w:val="五级条标题"/>
    <w:basedOn w:val="61"/>
    <w:next w:val="44"/>
    <w:qFormat/>
    <w:uiPriority w:val="0"/>
    <w:pPr>
      <w:numPr>
        <w:ilvl w:val="6"/>
      </w:numPr>
      <w:outlineLvl w:val="6"/>
    </w:pPr>
  </w:style>
  <w:style w:type="paragraph" w:customStyle="1" w:styleId="63">
    <w:name w:val="正文表标题"/>
    <w:next w:val="44"/>
    <w:qFormat/>
    <w:uiPriority w:val="0"/>
    <w:pPr>
      <w:numPr>
        <w:ilvl w:val="0"/>
        <w:numId w:val="3"/>
      </w:numPr>
      <w:tabs>
        <w:tab w:val="left" w:pos="360"/>
      </w:tabs>
      <w:jc w:val="center"/>
    </w:pPr>
    <w:rPr>
      <w:rFonts w:ascii="黑体" w:hAnsi="Times New Roman" w:eastAsia="黑体" w:cs="Times New Roman"/>
      <w:sz w:val="21"/>
      <w:lang w:val="en-US" w:eastAsia="zh-CN" w:bidi="ar-SA"/>
    </w:rPr>
  </w:style>
  <w:style w:type="character" w:customStyle="1" w:styleId="64">
    <w:name w:val="tpc_content1"/>
    <w:qFormat/>
    <w:uiPriority w:val="0"/>
    <w:rPr>
      <w:sz w:val="15"/>
      <w:szCs w:val="15"/>
    </w:rPr>
  </w:style>
  <w:style w:type="character" w:customStyle="1" w:styleId="65">
    <w:name w:val="tpc_title1"/>
    <w:qFormat/>
    <w:uiPriority w:val="0"/>
    <w:rPr>
      <w:b/>
      <w:bCs/>
      <w:sz w:val="14"/>
      <w:szCs w:val="14"/>
    </w:rPr>
  </w:style>
  <w:style w:type="character" w:customStyle="1" w:styleId="66">
    <w:name w:val="批注框文本 字符"/>
    <w:basedOn w:val="29"/>
    <w:link w:val="16"/>
    <w:qFormat/>
    <w:uiPriority w:val="0"/>
    <w:rPr>
      <w:rFonts w:ascii="Times New Roman" w:hAnsi="Times New Roman" w:eastAsia="宋体" w:cs="Times New Roman"/>
      <w:sz w:val="18"/>
      <w:szCs w:val="18"/>
    </w:rPr>
  </w:style>
  <w:style w:type="character" w:customStyle="1" w:styleId="67">
    <w:name w:val="批注文字 字符"/>
    <w:basedOn w:val="29"/>
    <w:link w:val="9"/>
    <w:qFormat/>
    <w:uiPriority w:val="0"/>
    <w:rPr>
      <w:rFonts w:ascii="Times New Roman" w:hAnsi="Times New Roman" w:eastAsia="宋体" w:cs="Times New Roman"/>
      <w:szCs w:val="24"/>
    </w:rPr>
  </w:style>
  <w:style w:type="character" w:customStyle="1" w:styleId="68">
    <w:name w:val="批注主题 字符"/>
    <w:basedOn w:val="67"/>
    <w:link w:val="26"/>
    <w:qFormat/>
    <w:uiPriority w:val="0"/>
    <w:rPr>
      <w:rFonts w:ascii="Times New Roman" w:hAnsi="Times New Roman" w:eastAsia="宋体" w:cs="Times New Roman"/>
      <w:b/>
      <w:bCs/>
      <w:szCs w:val="24"/>
    </w:rPr>
  </w:style>
  <w:style w:type="paragraph" w:customStyle="1" w:styleId="69">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70">
    <w:name w:val="日期 字符"/>
    <w:basedOn w:val="29"/>
    <w:link w:val="15"/>
    <w:qFormat/>
    <w:uiPriority w:val="0"/>
    <w:rPr>
      <w:rFonts w:ascii="Times New Roman" w:hAnsi="Times New Roman" w:eastAsia="宋体" w:cs="Times New Roman"/>
      <w:szCs w:val="24"/>
    </w:rPr>
  </w:style>
  <w:style w:type="paragraph" w:customStyle="1" w:styleId="71">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72">
    <w:name w:val="标题 字符"/>
    <w:basedOn w:val="29"/>
    <w:link w:val="25"/>
    <w:qFormat/>
    <w:uiPriority w:val="0"/>
    <w:rPr>
      <w:rFonts w:ascii="Cambria" w:hAnsi="Cambria" w:eastAsia="宋体" w:cs="Times New Roman"/>
      <w:bCs/>
      <w:sz w:val="36"/>
      <w:szCs w:val="32"/>
    </w:rPr>
  </w:style>
  <w:style w:type="paragraph" w:customStyle="1" w:styleId="73">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74">
    <w:name w:val="列出段落1"/>
    <w:basedOn w:val="1"/>
    <w:qFormat/>
    <w:uiPriority w:val="0"/>
    <w:pPr>
      <w:widowControl/>
      <w:spacing w:before="120" w:after="120" w:line="276" w:lineRule="exact"/>
      <w:ind w:left="720"/>
      <w:contextualSpacing/>
      <w:jc w:val="left"/>
    </w:pPr>
    <w:rPr>
      <w:rFonts w:ascii="Tahoma" w:hAnsi="Tahoma" w:eastAsia="PMingLiU"/>
      <w:kern w:val="0"/>
      <w:sz w:val="20"/>
      <w:lang w:eastAsia="en-US"/>
    </w:rPr>
  </w:style>
  <w:style w:type="paragraph" w:customStyle="1" w:styleId="75">
    <w:name w:val="纯文本1"/>
    <w:basedOn w:val="1"/>
    <w:qFormat/>
    <w:uiPriority w:val="0"/>
    <w:rPr>
      <w:rFonts w:ascii="宋体" w:hAnsi="宋体" w:eastAsia="仿宋_GB2312"/>
      <w:kern w:val="0"/>
      <w:sz w:val="28"/>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CFDA</Company>
  <Pages>20</Pages>
  <Words>8690</Words>
  <Characters>9227</Characters>
  <Lines>67</Lines>
  <Paragraphs>19</Paragraphs>
  <TotalTime>8</TotalTime>
  <ScaleCrop>false</ScaleCrop>
  <LinksUpToDate>false</LinksUpToDate>
  <CharactersWithSpaces>9264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2026-07-21T22:54:00Z</dcterms:created>
  <dc:creator>时娟</dc:creator>
  <cp:lastModifiedBy>kylin</cp:lastModifiedBy>
  <dcterms:modified xsi:type="dcterms:W3CDTF">2026-07-23T16:23:23Z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623BBF9241CC4247BE071FFE9FD4D6B7_13</vt:lpwstr>
  </property>
  <property fmtid="{D5CDD505-2E9C-101B-9397-08002B2CF9AE}" pid="4" name="KSOTemplateDocerSaveRecord">
    <vt:lpwstr>eyJoZGlkIjoiNDM1YzFkZmUzZTRiY2I1NjA1ZDJkY2FkMTBmOWM4YzgiLCJ1c2VySWQiOiIzMzQwNDY3MTYifQ==</vt:lpwstr>
  </property>
</Properties>
</file>