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20C34">
      <w:pPr>
        <w:keepNext w:val="0"/>
        <w:keepLines w:val="0"/>
        <w:pageBreakBefore w:val="0"/>
        <w:widowControl w:val="0"/>
        <w:kinsoku/>
        <w:wordWrap/>
        <w:overflowPunct w:val="0"/>
        <w:topLinePunct w:val="0"/>
        <w:autoSpaceDE/>
        <w:autoSpaceDN/>
        <w:bidi w:val="0"/>
        <w:adjustRightInd/>
        <w:snapToGrid/>
        <w:spacing w:before="0" w:after="0" w:line="520" w:lineRule="exact"/>
        <w:jc w:val="center"/>
        <w:textAlignment w:val="auto"/>
        <w:rPr>
          <w:rFonts w:hint="eastAsia" w:ascii="方正小标宋简体" w:hAnsi="宋体" w:eastAsia="方正小标宋简体" w:cs="Times New Roman"/>
          <w:b w:val="0"/>
          <w:bCs w:val="0"/>
          <w:color w:val="auto"/>
          <w:kern w:val="2"/>
          <w:sz w:val="44"/>
          <w:szCs w:val="44"/>
          <w:lang w:val="en-US" w:eastAsia="zh-CN"/>
        </w:rPr>
      </w:pPr>
    </w:p>
    <w:p w14:paraId="55D9B068">
      <w:pPr>
        <w:keepNext w:val="0"/>
        <w:keepLines w:val="0"/>
        <w:pageBreakBefore w:val="0"/>
        <w:widowControl w:val="0"/>
        <w:kinsoku/>
        <w:wordWrap/>
        <w:overflowPunct w:val="0"/>
        <w:topLinePunct w:val="0"/>
        <w:autoSpaceDE/>
        <w:autoSpaceDN/>
        <w:bidi w:val="0"/>
        <w:adjustRightInd/>
        <w:snapToGrid/>
        <w:spacing w:before="0" w:after="0" w:line="520" w:lineRule="exact"/>
        <w:jc w:val="center"/>
        <w:textAlignment w:val="auto"/>
        <w:rPr>
          <w:rFonts w:hint="eastAsia" w:ascii="方正小标宋简体" w:hAnsi="宋体" w:eastAsia="方正小标宋简体" w:cs="Times New Roman"/>
          <w:b w:val="0"/>
          <w:bCs w:val="0"/>
          <w:color w:val="auto"/>
          <w:kern w:val="2"/>
          <w:sz w:val="44"/>
          <w:szCs w:val="44"/>
          <w:lang w:val="en-US" w:eastAsia="zh-CN"/>
        </w:rPr>
      </w:pPr>
      <w:r>
        <w:rPr>
          <w:rFonts w:hint="eastAsia" w:ascii="方正小标宋简体" w:hAnsi="宋体" w:eastAsia="方正小标宋简体" w:cs="Times New Roman"/>
          <w:b w:val="0"/>
          <w:bCs w:val="0"/>
          <w:color w:val="auto"/>
          <w:kern w:val="2"/>
          <w:sz w:val="44"/>
          <w:szCs w:val="44"/>
          <w:lang w:val="en-US" w:eastAsia="zh-CN"/>
        </w:rPr>
        <w:t>呼吸管路辅助器械</w:t>
      </w:r>
    </w:p>
    <w:p w14:paraId="6BC99721">
      <w:pPr>
        <w:keepNext w:val="0"/>
        <w:keepLines w:val="0"/>
        <w:pageBreakBefore w:val="0"/>
        <w:widowControl w:val="0"/>
        <w:kinsoku/>
        <w:wordWrap/>
        <w:overflowPunct w:val="0"/>
        <w:topLinePunct w:val="0"/>
        <w:autoSpaceDE/>
        <w:autoSpaceDN/>
        <w:bidi w:val="0"/>
        <w:adjustRightInd/>
        <w:snapToGrid/>
        <w:spacing w:before="0" w:after="0" w:line="520" w:lineRule="exact"/>
        <w:jc w:val="center"/>
        <w:textAlignment w:val="auto"/>
        <w:rPr>
          <w:rFonts w:hint="eastAsia" w:ascii="方正小标宋简体" w:hAnsi="宋体" w:eastAsia="方正小标宋简体" w:cs="Times New Roman"/>
          <w:b w:val="0"/>
          <w:bCs w:val="0"/>
          <w:color w:val="auto"/>
          <w:kern w:val="2"/>
          <w:sz w:val="44"/>
          <w:szCs w:val="44"/>
        </w:rPr>
      </w:pPr>
      <w:r>
        <w:rPr>
          <w:rFonts w:hint="eastAsia" w:ascii="方正小标宋简体" w:hAnsi="宋体" w:eastAsia="方正小标宋简体" w:cs="Times New Roman"/>
          <w:b w:val="0"/>
          <w:bCs w:val="0"/>
          <w:color w:val="auto"/>
          <w:kern w:val="2"/>
          <w:sz w:val="44"/>
          <w:szCs w:val="44"/>
        </w:rPr>
        <w:t>注册审查指导原则</w:t>
      </w:r>
    </w:p>
    <w:p w14:paraId="0042FD49">
      <w:pPr>
        <w:keepNext w:val="0"/>
        <w:keepLines w:val="0"/>
        <w:pageBreakBefore w:val="0"/>
        <w:widowControl w:val="0"/>
        <w:kinsoku/>
        <w:wordWrap/>
        <w:topLinePunct w:val="0"/>
        <w:autoSpaceDE/>
        <w:autoSpaceDN/>
        <w:bidi w:val="0"/>
        <w:adjustRightInd/>
        <w:snapToGrid/>
        <w:spacing w:line="520" w:lineRule="exact"/>
        <w:jc w:val="center"/>
        <w:textAlignment w:val="auto"/>
        <w:rPr>
          <w:rFonts w:asciiTheme="minorEastAsia" w:hAnsiTheme="minorEastAsia" w:eastAsiaTheme="minorEastAsia"/>
          <w:color w:val="auto"/>
        </w:rPr>
      </w:pPr>
      <w:r>
        <w:rPr>
          <w:rFonts w:hint="eastAsia" w:ascii="方正小标宋简体" w:hAnsi="宋体" w:eastAsia="方正小标宋简体" w:cs="Times New Roman"/>
          <w:b w:val="0"/>
          <w:bCs w:val="0"/>
          <w:color w:val="auto"/>
          <w:kern w:val="2"/>
          <w:sz w:val="44"/>
          <w:szCs w:val="44"/>
        </w:rPr>
        <w:t>（</w:t>
      </w:r>
      <w:r>
        <w:rPr>
          <w:rFonts w:hint="eastAsia" w:ascii="方正小标宋简体" w:hAnsi="宋体" w:eastAsia="方正小标宋简体" w:cs="Times New Roman"/>
          <w:b w:val="0"/>
          <w:bCs w:val="0"/>
          <w:color w:val="auto"/>
          <w:kern w:val="2"/>
          <w:sz w:val="44"/>
          <w:szCs w:val="44"/>
          <w:lang w:val="en-US" w:eastAsia="zh-CN"/>
        </w:rPr>
        <w:t>征求意见稿</w:t>
      </w:r>
      <w:r>
        <w:rPr>
          <w:rFonts w:hint="eastAsia" w:ascii="方正小标宋简体" w:hAnsi="宋体" w:eastAsia="方正小标宋简体" w:cs="Times New Roman"/>
          <w:b w:val="0"/>
          <w:bCs w:val="0"/>
          <w:color w:val="auto"/>
          <w:kern w:val="2"/>
          <w:sz w:val="44"/>
          <w:szCs w:val="44"/>
        </w:rPr>
        <w:t>）</w:t>
      </w:r>
    </w:p>
    <w:p w14:paraId="4EF8B343">
      <w:pPr>
        <w:keepNext w:val="0"/>
        <w:keepLines w:val="0"/>
        <w:pageBreakBefore w:val="0"/>
        <w:widowControl w:val="0"/>
        <w:kinsoku/>
        <w:wordWrap/>
        <w:topLinePunct w:val="0"/>
        <w:autoSpaceDE/>
        <w:autoSpaceDN/>
        <w:bidi w:val="0"/>
        <w:adjustRightInd/>
        <w:snapToGrid/>
        <w:spacing w:line="520" w:lineRule="exact"/>
        <w:jc w:val="center"/>
        <w:textAlignment w:val="auto"/>
        <w:rPr>
          <w:rFonts w:ascii="宋体" w:hAnsi="宋体"/>
          <w:color w:val="auto"/>
          <w:sz w:val="36"/>
          <w:szCs w:val="36"/>
        </w:rPr>
      </w:pPr>
    </w:p>
    <w:p w14:paraId="6450937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color w:val="auto"/>
          <w:sz w:val="32"/>
          <w:szCs w:val="32"/>
        </w:rPr>
      </w:pPr>
      <w:r>
        <w:rPr>
          <w:rFonts w:eastAsia="仿宋_GB2312"/>
          <w:color w:val="auto"/>
          <w:sz w:val="32"/>
          <w:szCs w:val="32"/>
        </w:rPr>
        <w:t>本指导原则旨在指导注册申请人准备及撰写</w:t>
      </w:r>
      <w:r>
        <w:rPr>
          <w:rFonts w:hint="eastAsia" w:eastAsia="仿宋_GB2312"/>
          <w:color w:val="auto"/>
          <w:sz w:val="32"/>
          <w:szCs w:val="32"/>
          <w:lang w:val="en-US" w:eastAsia="zh-CN"/>
        </w:rPr>
        <w:t>呼吸管路辅助器械</w:t>
      </w:r>
      <w:r>
        <w:rPr>
          <w:rFonts w:hint="eastAsia" w:eastAsia="仿宋_GB2312"/>
          <w:color w:val="auto"/>
          <w:sz w:val="32"/>
          <w:szCs w:val="32"/>
        </w:rPr>
        <w:t>产品</w:t>
      </w:r>
      <w:r>
        <w:rPr>
          <w:rFonts w:eastAsia="仿宋_GB2312"/>
          <w:color w:val="auto"/>
          <w:sz w:val="32"/>
          <w:szCs w:val="32"/>
        </w:rPr>
        <w:t>注册申报资料，同时也为</w:t>
      </w:r>
      <w:r>
        <w:rPr>
          <w:rFonts w:hint="eastAsia" w:eastAsia="仿宋_GB2312"/>
          <w:color w:val="auto"/>
          <w:sz w:val="32"/>
          <w:szCs w:val="32"/>
        </w:rPr>
        <w:t>技术审评</w:t>
      </w:r>
      <w:r>
        <w:rPr>
          <w:rFonts w:eastAsia="仿宋_GB2312"/>
          <w:color w:val="auto"/>
          <w:sz w:val="32"/>
          <w:szCs w:val="32"/>
        </w:rPr>
        <w:t>部门对注册申报资料的审评提供技术参考。</w:t>
      </w:r>
    </w:p>
    <w:p w14:paraId="0CD1EACB">
      <w:pPr>
        <w:keepNext w:val="0"/>
        <w:keepLines w:val="0"/>
        <w:pageBreakBefore w:val="0"/>
        <w:kinsoku/>
        <w:wordWrap/>
        <w:overflowPunct/>
        <w:topLinePunct w:val="0"/>
        <w:bidi w:val="0"/>
        <w:spacing w:line="520" w:lineRule="exact"/>
        <w:ind w:firstLine="640" w:firstLineChars="200"/>
        <w:textAlignment w:val="auto"/>
        <w:rPr>
          <w:rFonts w:eastAsia="仿宋_GB2312"/>
          <w:color w:val="auto"/>
          <w:sz w:val="32"/>
          <w:szCs w:val="32"/>
        </w:rPr>
      </w:pPr>
      <w:r>
        <w:rPr>
          <w:rFonts w:eastAsia="仿宋_GB2312"/>
          <w:color w:val="auto"/>
          <w:sz w:val="32"/>
          <w:szCs w:val="32"/>
        </w:rPr>
        <w:t>本指导原则是对</w:t>
      </w:r>
      <w:r>
        <w:rPr>
          <w:rFonts w:hint="eastAsia" w:eastAsia="仿宋_GB2312"/>
          <w:color w:val="auto"/>
          <w:sz w:val="32"/>
          <w:szCs w:val="32"/>
          <w:lang w:val="en-US" w:eastAsia="zh-CN"/>
        </w:rPr>
        <w:t>呼吸管路辅助器械</w:t>
      </w:r>
      <w:r>
        <w:rPr>
          <w:rFonts w:hint="eastAsia" w:eastAsia="仿宋_GB2312"/>
          <w:color w:val="auto"/>
          <w:sz w:val="32"/>
          <w:szCs w:val="32"/>
        </w:rPr>
        <w:t>产品</w:t>
      </w:r>
      <w:r>
        <w:rPr>
          <w:rFonts w:eastAsia="仿宋_GB2312"/>
          <w:color w:val="auto"/>
          <w:sz w:val="32"/>
          <w:szCs w:val="32"/>
        </w:rPr>
        <w:t>的注册申报资料的一般要求，</w:t>
      </w:r>
      <w:r>
        <w:rPr>
          <w:rFonts w:hint="eastAsia" w:eastAsia="仿宋_GB2312"/>
          <w:color w:val="auto"/>
          <w:sz w:val="32"/>
          <w:szCs w:val="32"/>
        </w:rPr>
        <w:t>注册申请人</w:t>
      </w:r>
      <w:r>
        <w:rPr>
          <w:rFonts w:eastAsia="仿宋_GB2312"/>
          <w:color w:val="auto"/>
          <w:sz w:val="32"/>
          <w:szCs w:val="32"/>
        </w:rPr>
        <w:t>应依据具体产品的特性对注册申报资料的内容进行充实和细化，并依据具体产品的特性确定其中的具体内容是否适用，若不适用，需具体阐述其理由及相应的科学依据。</w:t>
      </w:r>
    </w:p>
    <w:p w14:paraId="40402990">
      <w:pPr>
        <w:keepNext w:val="0"/>
        <w:keepLines w:val="0"/>
        <w:pageBreakBefore w:val="0"/>
        <w:kinsoku/>
        <w:wordWrap/>
        <w:overflowPunct/>
        <w:topLinePunct w:val="0"/>
        <w:bidi w:val="0"/>
        <w:spacing w:line="520" w:lineRule="exact"/>
        <w:ind w:firstLine="640" w:firstLineChars="200"/>
        <w:textAlignment w:val="auto"/>
        <w:rPr>
          <w:rFonts w:eastAsia="仿宋_GB2312"/>
          <w:color w:val="auto"/>
          <w:sz w:val="32"/>
          <w:szCs w:val="32"/>
        </w:rPr>
      </w:pPr>
      <w:r>
        <w:rPr>
          <w:rFonts w:eastAsia="仿宋_GB2312"/>
          <w:color w:val="auto"/>
          <w:sz w:val="32"/>
          <w:szCs w:val="32"/>
        </w:rPr>
        <w:t>本指导原则是对</w:t>
      </w:r>
      <w:r>
        <w:rPr>
          <w:rFonts w:hint="eastAsia" w:eastAsia="仿宋_GB2312"/>
          <w:color w:val="auto"/>
          <w:sz w:val="32"/>
          <w:szCs w:val="32"/>
        </w:rPr>
        <w:t>注册</w:t>
      </w:r>
      <w:r>
        <w:rPr>
          <w:rFonts w:eastAsia="仿宋_GB2312"/>
          <w:color w:val="auto"/>
          <w:sz w:val="32"/>
          <w:szCs w:val="32"/>
        </w:rPr>
        <w:t>申请人和</w:t>
      </w:r>
      <w:r>
        <w:rPr>
          <w:rFonts w:hint="eastAsia" w:eastAsia="仿宋_GB2312"/>
          <w:color w:val="auto"/>
          <w:sz w:val="32"/>
          <w:szCs w:val="32"/>
        </w:rPr>
        <w:t>技术审评</w:t>
      </w:r>
      <w:r>
        <w:rPr>
          <w:rFonts w:eastAsia="仿宋_GB2312"/>
          <w:color w:val="auto"/>
          <w:sz w:val="32"/>
          <w:szCs w:val="32"/>
        </w:rPr>
        <w:t xml:space="preserve">人员的指导性文件，但不包括注册审批所涉及的行政事项，亦不作为法规强制执行，如果有能够满足相关法规要求的其他方法，也可以采用，但是需要提供详细的研究资料和验证资料。应在遵循相关法规和标准的前提下使用本指导原则。 </w:t>
      </w:r>
    </w:p>
    <w:p w14:paraId="559BD668">
      <w:pPr>
        <w:keepNext w:val="0"/>
        <w:keepLines w:val="0"/>
        <w:pageBreakBefore w:val="0"/>
        <w:kinsoku/>
        <w:wordWrap/>
        <w:overflowPunct/>
        <w:topLinePunct w:val="0"/>
        <w:bidi w:val="0"/>
        <w:spacing w:line="520" w:lineRule="exact"/>
        <w:ind w:right="0" w:rightChars="0" w:firstLine="640" w:firstLineChars="200"/>
        <w:textAlignment w:val="auto"/>
        <w:rPr>
          <w:rFonts w:ascii="黑体" w:eastAsia="黑体"/>
          <w:color w:val="auto"/>
          <w:sz w:val="32"/>
          <w:szCs w:val="32"/>
        </w:rPr>
      </w:pPr>
      <w:r>
        <w:rPr>
          <w:rFonts w:eastAsia="仿宋_GB2312"/>
          <w:color w:val="auto"/>
          <w:sz w:val="32"/>
          <w:szCs w:val="32"/>
        </w:rPr>
        <w:t>本指导原则是在现行法规和标准体系以及当前认知水平下制定的，随着法规和标准的不断完善，以及科学技术的不断发展，本指导原则相关内容也将进行适时的调整。</w:t>
      </w:r>
    </w:p>
    <w:p w14:paraId="68AAFF8A">
      <w:pPr>
        <w:keepNext w:val="0"/>
        <w:keepLines w:val="0"/>
        <w:pageBreakBefore w:val="0"/>
        <w:kinsoku/>
        <w:wordWrap/>
        <w:overflowPunct/>
        <w:topLinePunct w:val="0"/>
        <w:bidi w:val="0"/>
        <w:spacing w:line="520" w:lineRule="exact"/>
        <w:ind w:right="0" w:rightChars="0" w:firstLine="640" w:firstLineChars="200"/>
        <w:textAlignment w:val="auto"/>
        <w:outlineLvl w:val="0"/>
        <w:rPr>
          <w:rFonts w:ascii="黑体" w:hAnsi="黑体" w:eastAsia="黑体"/>
          <w:b w:val="0"/>
          <w:bCs/>
          <w:color w:val="auto"/>
          <w:sz w:val="32"/>
          <w:szCs w:val="32"/>
        </w:rPr>
      </w:pPr>
      <w:r>
        <w:rPr>
          <w:rFonts w:hint="default" w:ascii="黑体" w:hAnsi="黑体" w:eastAsia="黑体"/>
          <w:b w:val="0"/>
          <w:bCs/>
          <w:color w:val="auto"/>
          <w:sz w:val="32"/>
          <w:szCs w:val="32"/>
        </w:rPr>
        <w:t xml:space="preserve">一、适用范围 </w:t>
      </w:r>
    </w:p>
    <w:p w14:paraId="494407D2">
      <w:pPr>
        <w:keepNext w:val="0"/>
        <w:keepLines w:val="0"/>
        <w:pageBreakBefore w:val="0"/>
        <w:kinsoku/>
        <w:wordWrap/>
        <w:overflowPunct/>
        <w:topLinePunct w:val="0"/>
        <w:bidi w:val="0"/>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rPr>
        <w:t>本指导原则适用于按第</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类医疗器械管理的</w:t>
      </w:r>
      <w:r>
        <w:rPr>
          <w:rFonts w:hint="eastAsia" w:ascii="仿宋_GB2312" w:hAnsi="仿宋_GB2312" w:eastAsia="仿宋_GB2312" w:cs="仿宋_GB2312"/>
          <w:color w:val="auto"/>
          <w:sz w:val="32"/>
          <w:szCs w:val="32"/>
          <w:lang w:val="en-US" w:eastAsia="zh-CN"/>
        </w:rPr>
        <w:t>呼吸管路辅助器械</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呼吸管路辅助器械通常为用于气道产品间的连接，或辅助插入气道等的附件产品，主要功能为实现气道连接、取样、导入等</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highlight w:val="none"/>
          <w:lang w:val="en-US" w:eastAsia="zh-CN"/>
        </w:rPr>
        <w:t>具体产品的适用范围根据产品设计、性能特点、临床证据等进行确定。</w:t>
      </w:r>
      <w:r>
        <w:rPr>
          <w:rFonts w:hint="eastAsia" w:ascii="仿宋_GB2312" w:hAnsi="仿宋_GB2312" w:eastAsia="仿宋_GB2312" w:cs="仿宋_GB2312"/>
          <w:color w:val="auto"/>
          <w:sz w:val="32"/>
          <w:szCs w:val="32"/>
          <w:lang w:val="en-US" w:eastAsia="zh-CN"/>
        </w:rPr>
        <w:t>其他使用了新材料、新作用机理、新功能的产品，可参考本指导原则中适用的内容。</w:t>
      </w:r>
    </w:p>
    <w:p w14:paraId="1703DCF5">
      <w:pPr>
        <w:keepNext w:val="0"/>
        <w:keepLines w:val="0"/>
        <w:pageBreakBefore w:val="0"/>
        <w:kinsoku/>
        <w:wordWrap/>
        <w:overflowPunct/>
        <w:topLinePunct w:val="0"/>
        <w:bidi w:val="0"/>
        <w:spacing w:line="520" w:lineRule="exact"/>
        <w:ind w:right="0" w:rightChars="0" w:firstLine="640" w:firstLineChars="200"/>
        <w:textAlignment w:val="auto"/>
        <w:outlineLvl w:val="0"/>
        <w:rPr>
          <w:rFonts w:ascii="黑体" w:hAnsi="黑体" w:eastAsia="黑体"/>
          <w:b w:val="0"/>
          <w:bCs/>
          <w:color w:val="auto"/>
          <w:sz w:val="32"/>
          <w:szCs w:val="32"/>
        </w:rPr>
      </w:pPr>
      <w:r>
        <w:rPr>
          <w:rFonts w:hint="default" w:ascii="黑体" w:hAnsi="黑体" w:eastAsia="黑体"/>
          <w:b w:val="0"/>
          <w:bCs/>
          <w:color w:val="auto"/>
          <w:sz w:val="32"/>
          <w:szCs w:val="32"/>
        </w:rPr>
        <w:t>二、</w:t>
      </w:r>
      <w:r>
        <w:rPr>
          <w:rFonts w:hint="default" w:ascii="黑体" w:hAnsi="黑体" w:eastAsia="黑体"/>
          <w:b w:val="0"/>
          <w:bCs/>
          <w:color w:val="auto"/>
          <w:sz w:val="32"/>
          <w:szCs w:val="32"/>
          <w:lang w:eastAsia="zh-Hans"/>
        </w:rPr>
        <w:t>注册</w:t>
      </w:r>
      <w:r>
        <w:rPr>
          <w:rFonts w:hint="default" w:ascii="黑体" w:hAnsi="黑体" w:eastAsia="黑体"/>
          <w:b w:val="0"/>
          <w:bCs/>
          <w:color w:val="auto"/>
          <w:sz w:val="32"/>
          <w:szCs w:val="32"/>
        </w:rPr>
        <w:t>审查要点</w:t>
      </w:r>
    </w:p>
    <w:p w14:paraId="7B24C9A9">
      <w:pPr>
        <w:keepNext w:val="0"/>
        <w:keepLines w:val="0"/>
        <w:pageBreakBefore w:val="0"/>
        <w:kinsoku/>
        <w:wordWrap/>
        <w:overflowPunct/>
        <w:topLinePunct w:val="0"/>
        <w:bidi w:val="0"/>
        <w:spacing w:line="520" w:lineRule="exact"/>
        <w:ind w:firstLine="640" w:firstLineChars="200"/>
        <w:textAlignment w:val="auto"/>
        <w:rPr>
          <w:rFonts w:eastAsia="仿宋_GB2312"/>
          <w:color w:val="auto"/>
          <w:sz w:val="32"/>
          <w:szCs w:val="32"/>
          <w:highlight w:val="none"/>
        </w:rPr>
      </w:pPr>
      <w:r>
        <w:rPr>
          <w:rFonts w:hint="eastAsia" w:eastAsia="仿宋_GB2312"/>
          <w:color w:val="auto"/>
          <w:sz w:val="32"/>
          <w:szCs w:val="32"/>
          <w:highlight w:val="none"/>
        </w:rPr>
        <w:t>注册申报资料应符合国家药品监督管理局《关于公布医疗器械注册申报资料要求和批准证明文件格式的公告》中的要求，同时宜符合以下要求：</w:t>
      </w:r>
    </w:p>
    <w:p w14:paraId="0ADF476E">
      <w:pPr>
        <w:keepNext w:val="0"/>
        <w:keepLines w:val="0"/>
        <w:pageBreakBefore w:val="0"/>
        <w:kinsoku/>
        <w:wordWrap/>
        <w:overflowPunct/>
        <w:topLinePunct w:val="0"/>
        <w:bidi w:val="0"/>
        <w:spacing w:line="520" w:lineRule="exact"/>
        <w:ind w:firstLine="640" w:firstLineChars="200"/>
        <w:textAlignment w:val="auto"/>
        <w:outlineLvl w:val="1"/>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（一）监管信息</w:t>
      </w:r>
    </w:p>
    <w:p w14:paraId="4157EDC7">
      <w:pPr>
        <w:keepNext w:val="0"/>
        <w:keepLines w:val="0"/>
        <w:pageBreakBefore w:val="0"/>
        <w:kinsoku/>
        <w:wordWrap/>
        <w:overflowPunct/>
        <w:topLinePunct w:val="0"/>
        <w:bidi w:val="0"/>
        <w:spacing w:line="520" w:lineRule="exact"/>
        <w:ind w:left="1061" w:hanging="420" w:firstLineChars="0"/>
        <w:textAlignment w:val="auto"/>
        <w:outlineLvl w:val="2"/>
        <w:rPr>
          <w:rFonts w:eastAsia="仿宋_GB2312"/>
          <w:color w:val="auto"/>
          <w:sz w:val="32"/>
          <w:szCs w:val="32"/>
        </w:rPr>
      </w:pPr>
      <w:r>
        <w:rPr>
          <w:rFonts w:hint="eastAsia" w:eastAsia="仿宋_GB2312"/>
          <w:color w:val="auto"/>
          <w:sz w:val="32"/>
          <w:szCs w:val="32"/>
        </w:rPr>
        <w:t>1.产品名称</w:t>
      </w:r>
    </w:p>
    <w:p w14:paraId="72EE508F">
      <w:pPr>
        <w:keepNext w:val="0"/>
        <w:keepLines w:val="0"/>
        <w:pageBreakBefore w:val="0"/>
        <w:tabs>
          <w:tab w:val="left" w:pos="7140"/>
        </w:tabs>
        <w:kinsoku/>
        <w:wordWrap/>
        <w:overflowPunct/>
        <w:topLinePunct w:val="0"/>
        <w:autoSpaceDE w:val="0"/>
        <w:autoSpaceDN w:val="0"/>
        <w:bidi w:val="0"/>
        <w:spacing w:line="520" w:lineRule="exact"/>
        <w:ind w:firstLine="640" w:firstLineChars="200"/>
        <w:textAlignment w:val="auto"/>
        <w:rPr>
          <w:color w:val="auto"/>
        </w:rPr>
      </w:pPr>
      <w:r>
        <w:rPr>
          <w:rFonts w:hint="eastAsia" w:eastAsia="仿宋_GB2312"/>
          <w:color w:val="auto"/>
          <w:sz w:val="32"/>
          <w:szCs w:val="32"/>
        </w:rPr>
        <w:t>产品的命名需采用《医疗器械分类目录》或国家标准、行业标准中的通用名称，或以产品结构及组成、临床预期用途、适用部位为依据命名，需符合《医疗器械通用名称命名规则》等相关法规的要求。</w:t>
      </w:r>
      <w:r>
        <w:rPr>
          <w:rFonts w:hint="eastAsia" w:eastAsia="仿宋_GB2312"/>
          <w:color w:val="auto"/>
          <w:sz w:val="32"/>
          <w:szCs w:val="32"/>
          <w:lang w:eastAsia="zh-Hans"/>
        </w:rPr>
        <w:t>如</w:t>
      </w:r>
      <w:r>
        <w:rPr>
          <w:rFonts w:hint="eastAsia" w:eastAsia="仿宋_GB2312"/>
          <w:color w:val="auto"/>
          <w:sz w:val="32"/>
          <w:szCs w:val="32"/>
          <w:lang w:val="en-US" w:eastAsia="zh-CN"/>
        </w:rPr>
        <w:t>用于气道产品间的连接的气道接头类产品可命名为：气道接头、呼吸管路转换接头等；用于辅助插入气道的插管导入器类产品可命名为：插管导入器、经皮气管切开导入器、盲探气管插管装置等</w:t>
      </w:r>
      <w:r>
        <w:rPr>
          <w:rFonts w:hint="eastAsia" w:eastAsia="仿宋_GB2312"/>
          <w:color w:val="auto"/>
          <w:sz w:val="32"/>
          <w:szCs w:val="32"/>
        </w:rPr>
        <w:t>。</w:t>
      </w:r>
      <w:r>
        <w:rPr>
          <w:rFonts w:eastAsia="仿宋_GB2312"/>
          <w:color w:val="auto"/>
          <w:spacing w:val="2"/>
          <w:sz w:val="32"/>
          <w:szCs w:val="32"/>
        </w:rPr>
        <w:t>根据产品一次性使用或者灭菌情况，产品名称中可带有</w:t>
      </w:r>
      <w:r>
        <w:rPr>
          <w:rFonts w:hint="eastAsia" w:eastAsia="仿宋_GB2312"/>
          <w:color w:val="auto"/>
          <w:spacing w:val="2"/>
          <w:sz w:val="32"/>
          <w:szCs w:val="32"/>
        </w:rPr>
        <w:t>“</w:t>
      </w:r>
      <w:r>
        <w:rPr>
          <w:rFonts w:eastAsia="仿宋_GB2312"/>
          <w:color w:val="auto"/>
          <w:spacing w:val="2"/>
          <w:sz w:val="32"/>
          <w:szCs w:val="32"/>
        </w:rPr>
        <w:t>一次性使用</w:t>
      </w:r>
      <w:r>
        <w:rPr>
          <w:rFonts w:hint="eastAsia" w:eastAsia="仿宋_GB2312"/>
          <w:color w:val="auto"/>
          <w:spacing w:val="2"/>
          <w:sz w:val="32"/>
          <w:szCs w:val="32"/>
        </w:rPr>
        <w:t>”</w:t>
      </w:r>
      <w:r>
        <w:rPr>
          <w:rFonts w:eastAsia="仿宋_GB2312"/>
          <w:color w:val="auto"/>
          <w:spacing w:val="2"/>
          <w:sz w:val="32"/>
          <w:szCs w:val="32"/>
        </w:rPr>
        <w:t>或</w:t>
      </w:r>
      <w:r>
        <w:rPr>
          <w:rFonts w:hint="eastAsia" w:eastAsia="仿宋_GB2312"/>
          <w:color w:val="auto"/>
          <w:spacing w:val="2"/>
          <w:sz w:val="32"/>
          <w:szCs w:val="32"/>
        </w:rPr>
        <w:t>“</w:t>
      </w:r>
      <w:r>
        <w:rPr>
          <w:rFonts w:eastAsia="仿宋_GB2312"/>
          <w:color w:val="auto"/>
          <w:spacing w:val="2"/>
          <w:sz w:val="32"/>
          <w:szCs w:val="32"/>
        </w:rPr>
        <w:t>无菌</w:t>
      </w:r>
      <w:r>
        <w:rPr>
          <w:rFonts w:hint="eastAsia" w:eastAsia="仿宋_GB2312"/>
          <w:color w:val="auto"/>
          <w:spacing w:val="2"/>
          <w:sz w:val="32"/>
          <w:szCs w:val="32"/>
        </w:rPr>
        <w:t>”</w:t>
      </w:r>
      <w:r>
        <w:rPr>
          <w:rFonts w:eastAsia="仿宋_GB2312"/>
          <w:color w:val="auto"/>
          <w:spacing w:val="2"/>
          <w:sz w:val="32"/>
          <w:szCs w:val="32"/>
        </w:rPr>
        <w:t>字样。</w:t>
      </w:r>
    </w:p>
    <w:p w14:paraId="5CC5B55D">
      <w:pPr>
        <w:keepNext w:val="0"/>
        <w:keepLines w:val="0"/>
        <w:pageBreakBefore w:val="0"/>
        <w:kinsoku/>
        <w:wordWrap/>
        <w:overflowPunct/>
        <w:topLinePunct w:val="0"/>
        <w:bidi w:val="0"/>
        <w:spacing w:line="520" w:lineRule="exact"/>
        <w:ind w:left="1061" w:hanging="420" w:firstLineChars="0"/>
        <w:textAlignment w:val="auto"/>
        <w:outlineLvl w:val="2"/>
        <w:rPr>
          <w:rFonts w:hint="eastAsia" w:eastAsia="仿宋_GB2312"/>
          <w:color w:val="auto"/>
          <w:sz w:val="32"/>
          <w:szCs w:val="32"/>
          <w:lang w:val="en-US" w:eastAsia="zh-CN"/>
        </w:rPr>
      </w:pPr>
      <w:r>
        <w:rPr>
          <w:rFonts w:hint="eastAsia" w:eastAsia="仿宋_GB2312"/>
          <w:color w:val="auto"/>
          <w:sz w:val="32"/>
          <w:szCs w:val="32"/>
        </w:rPr>
        <w:t>2.分类</w:t>
      </w:r>
      <w:r>
        <w:rPr>
          <w:rFonts w:hint="eastAsia" w:eastAsia="仿宋_GB2312"/>
          <w:color w:val="auto"/>
          <w:sz w:val="32"/>
          <w:szCs w:val="32"/>
          <w:lang w:val="en-US" w:eastAsia="zh-CN"/>
        </w:rPr>
        <w:t>编码</w:t>
      </w:r>
    </w:p>
    <w:p w14:paraId="5F322D89">
      <w:pPr>
        <w:keepNext w:val="0"/>
        <w:keepLines w:val="0"/>
        <w:pageBreakBefore w:val="0"/>
        <w:kinsoku/>
        <w:wordWrap/>
        <w:overflowPunct/>
        <w:topLinePunct w:val="0"/>
        <w:bidi w:val="0"/>
        <w:spacing w:line="52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该类产品在《医疗器械分类目录》中管理类别为第二类，分类编码为</w:t>
      </w:r>
      <w:r>
        <w:rPr>
          <w:rFonts w:hint="eastAsia" w:eastAsia="仿宋_GB2312"/>
          <w:color w:val="auto"/>
          <w:sz w:val="32"/>
          <w:szCs w:val="32"/>
        </w:rPr>
        <w:t>08-05-05</w:t>
      </w:r>
      <w:r>
        <w:rPr>
          <w:rFonts w:hint="eastAsia" w:eastAsia="仿宋_GB2312"/>
          <w:color w:val="auto"/>
          <w:sz w:val="32"/>
          <w:szCs w:val="32"/>
          <w:lang w:eastAsia="zh-CN"/>
        </w:rPr>
        <w:t>。</w:t>
      </w:r>
    </w:p>
    <w:p w14:paraId="12EC5227">
      <w:pPr>
        <w:keepNext w:val="0"/>
        <w:keepLines w:val="0"/>
        <w:pageBreakBefore w:val="0"/>
        <w:kinsoku/>
        <w:wordWrap/>
        <w:overflowPunct/>
        <w:topLinePunct w:val="0"/>
        <w:bidi w:val="0"/>
        <w:spacing w:line="520" w:lineRule="exact"/>
        <w:ind w:left="1061" w:hanging="420" w:firstLineChars="0"/>
        <w:textAlignment w:val="auto"/>
        <w:outlineLvl w:val="2"/>
        <w:rPr>
          <w:rFonts w:hint="default" w:eastAsia="仿宋_GB2312"/>
          <w:color w:val="auto"/>
          <w:sz w:val="32"/>
          <w:szCs w:val="32"/>
          <w:lang w:val="en-US" w:eastAsia="zh-CN"/>
        </w:rPr>
      </w:pPr>
      <w:r>
        <w:rPr>
          <w:rFonts w:hint="eastAsia" w:eastAsia="仿宋_GB2312"/>
          <w:color w:val="auto"/>
          <w:sz w:val="32"/>
          <w:szCs w:val="32"/>
        </w:rPr>
        <w:t>3.</w:t>
      </w:r>
      <w:r>
        <w:rPr>
          <w:rFonts w:hint="eastAsia" w:eastAsia="仿宋_GB2312"/>
          <w:color w:val="auto"/>
          <w:sz w:val="32"/>
          <w:szCs w:val="32"/>
          <w:highlight w:val="none"/>
        </w:rPr>
        <w:t>注册单元</w:t>
      </w:r>
      <w:r>
        <w:rPr>
          <w:rFonts w:hint="eastAsia" w:eastAsia="仿宋_GB2312"/>
          <w:color w:val="auto"/>
          <w:sz w:val="32"/>
          <w:szCs w:val="32"/>
        </w:rPr>
        <w:t>划分</w:t>
      </w:r>
      <w:r>
        <w:rPr>
          <w:rFonts w:hint="eastAsia" w:eastAsia="仿宋_GB2312"/>
          <w:color w:val="auto"/>
          <w:sz w:val="32"/>
          <w:szCs w:val="32"/>
          <w:lang w:val="en-US" w:eastAsia="zh-CN"/>
        </w:rPr>
        <w:t>的原则和实例</w:t>
      </w:r>
    </w:p>
    <w:p w14:paraId="7C3DAEEF">
      <w:pPr>
        <w:keepNext w:val="0"/>
        <w:keepLines w:val="0"/>
        <w:pageBreakBefore w:val="0"/>
        <w:kinsoku/>
        <w:wordWrap/>
        <w:overflowPunct/>
        <w:topLinePunct w:val="0"/>
        <w:bidi w:val="0"/>
        <w:spacing w:line="520" w:lineRule="exact"/>
        <w:ind w:firstLine="640" w:firstLineChars="200"/>
        <w:textAlignment w:val="auto"/>
        <w:rPr>
          <w:rFonts w:eastAsia="仿宋_GB2312"/>
          <w:color w:val="auto"/>
          <w:szCs w:val="32"/>
        </w:rPr>
      </w:pPr>
      <w:r>
        <w:rPr>
          <w:rFonts w:hint="eastAsia" w:eastAsia="仿宋_GB2312"/>
          <w:color w:val="auto"/>
          <w:sz w:val="32"/>
          <w:szCs w:val="28"/>
          <w:lang w:val="en-US" w:eastAsia="zh-CN"/>
        </w:rPr>
        <w:t>注册单元的划分需符合《医疗器械注册单元划分指导原则》的要求，以产品的技术原理、结构组成、主要原材料、性能指标和适用范围等因素为划分依据。气道接头类产品和插管导入器类产品划分为不同的注册单元。产品结构组成或加工处理方式不同而导致产品性能指标不同时，原则上划分为不同的注册单元。</w:t>
      </w:r>
    </w:p>
    <w:p w14:paraId="15A4234C">
      <w:pPr>
        <w:keepNext w:val="0"/>
        <w:keepLines w:val="0"/>
        <w:pageBreakBefore w:val="0"/>
        <w:kinsoku/>
        <w:wordWrap/>
        <w:overflowPunct/>
        <w:topLinePunct w:val="0"/>
        <w:bidi w:val="0"/>
        <w:spacing w:line="520" w:lineRule="exact"/>
        <w:ind w:firstLine="640" w:firstLineChars="200"/>
        <w:textAlignment w:val="auto"/>
        <w:rPr>
          <w:rFonts w:eastAsia="楷体_GB2312"/>
          <w:color w:val="auto"/>
          <w:sz w:val="32"/>
          <w:szCs w:val="32"/>
        </w:rPr>
      </w:pPr>
      <w:r>
        <w:rPr>
          <w:rFonts w:hint="eastAsia" w:eastAsia="楷体_GB2312"/>
          <w:color w:val="auto"/>
          <w:sz w:val="32"/>
          <w:szCs w:val="32"/>
        </w:rPr>
        <w:t>4.</w:t>
      </w:r>
      <w:r>
        <w:rPr>
          <w:rFonts w:hint="eastAsia" w:eastAsia="仿宋_GB2312"/>
          <w:color w:val="auto"/>
          <w:spacing w:val="2"/>
          <w:sz w:val="32"/>
          <w:szCs w:val="32"/>
        </w:rPr>
        <w:t>产品列表</w:t>
      </w:r>
    </w:p>
    <w:p w14:paraId="0DA57636">
      <w:pPr>
        <w:keepNext w:val="0"/>
        <w:keepLines w:val="0"/>
        <w:pageBreakBefore w:val="0"/>
        <w:tabs>
          <w:tab w:val="left" w:pos="7140"/>
        </w:tabs>
        <w:kinsoku/>
        <w:wordWrap/>
        <w:overflowPunct/>
        <w:topLinePunct w:val="0"/>
        <w:autoSpaceDE w:val="0"/>
        <w:autoSpaceDN w:val="0"/>
        <w:bidi w:val="0"/>
        <w:spacing w:line="520" w:lineRule="exact"/>
        <w:ind w:firstLine="648" w:firstLineChars="200"/>
        <w:textAlignment w:val="auto"/>
        <w:rPr>
          <w:rFonts w:eastAsia="仿宋_GB2312"/>
          <w:color w:val="auto"/>
          <w:spacing w:val="2"/>
          <w:sz w:val="32"/>
          <w:szCs w:val="32"/>
        </w:rPr>
      </w:pPr>
      <w:r>
        <w:rPr>
          <w:rFonts w:eastAsia="仿宋_GB2312"/>
          <w:color w:val="auto"/>
          <w:spacing w:val="2"/>
          <w:sz w:val="32"/>
          <w:szCs w:val="32"/>
        </w:rPr>
        <w:t>以表格形式列出拟申报产品的型号、规格、结构及组成，以及每个型号规格的标识（如型号或部件的编号，器械唯一标识等）和描述说明（如</w:t>
      </w:r>
      <w:r>
        <w:rPr>
          <w:rFonts w:hint="eastAsia" w:eastAsia="仿宋_GB2312"/>
          <w:color w:val="auto"/>
          <w:spacing w:val="2"/>
          <w:sz w:val="32"/>
          <w:szCs w:val="32"/>
          <w:lang w:val="en-US" w:eastAsia="zh-CN"/>
        </w:rPr>
        <w:t>尺寸、</w:t>
      </w:r>
      <w:r>
        <w:rPr>
          <w:rFonts w:eastAsia="仿宋_GB2312"/>
          <w:color w:val="auto"/>
          <w:spacing w:val="2"/>
          <w:sz w:val="32"/>
          <w:szCs w:val="32"/>
        </w:rPr>
        <w:t>材质等）。</w:t>
      </w:r>
    </w:p>
    <w:p w14:paraId="11B5F526">
      <w:pPr>
        <w:keepNext w:val="0"/>
        <w:keepLines w:val="0"/>
        <w:pageBreakBefore w:val="0"/>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5.既往沟通记录</w:t>
      </w:r>
    </w:p>
    <w:p w14:paraId="53B751AE">
      <w:pPr>
        <w:keepNext w:val="0"/>
        <w:keepLines w:val="0"/>
        <w:pageBreakBefore w:val="0"/>
        <w:kinsoku/>
        <w:wordWrap/>
        <w:overflowPunct/>
        <w:topLinePunct w:val="0"/>
        <w:bidi w:val="0"/>
        <w:spacing w:line="520" w:lineRule="exact"/>
        <w:ind w:firstLine="640" w:firstLineChars="200"/>
        <w:textAlignment w:val="auto"/>
        <w:rPr>
          <w:rFonts w:hint="eastAsia" w:eastAsia="仿宋_GB2312"/>
          <w:color w:val="auto"/>
          <w:sz w:val="32"/>
          <w:szCs w:val="28"/>
          <w:lang w:val="en-US" w:eastAsia="zh-CN"/>
        </w:rPr>
      </w:pPr>
      <w:r>
        <w:rPr>
          <w:rFonts w:eastAsia="仿宋_GB2312"/>
          <w:bCs/>
          <w:color w:val="auto"/>
          <w:sz w:val="32"/>
          <w:szCs w:val="32"/>
        </w:rPr>
        <w:t>在产品申报前，如果申请人与监管机构针对申报产品以会议形式进行了沟通，或者申报产品与既往注册申报相关</w:t>
      </w:r>
      <w:r>
        <w:rPr>
          <w:rFonts w:hint="eastAsia" w:eastAsia="仿宋_GB2312"/>
          <w:bCs/>
          <w:color w:val="auto"/>
          <w:sz w:val="32"/>
          <w:szCs w:val="32"/>
        </w:rPr>
        <w:t>。应提交相关沟通记录。</w:t>
      </w:r>
    </w:p>
    <w:p w14:paraId="6570F200">
      <w:pPr>
        <w:keepNext w:val="0"/>
        <w:keepLines w:val="0"/>
        <w:pageBreakBefore w:val="0"/>
        <w:kinsoku/>
        <w:wordWrap/>
        <w:overflowPunct/>
        <w:topLinePunct w:val="0"/>
        <w:bidi w:val="0"/>
        <w:spacing w:line="520" w:lineRule="exact"/>
        <w:ind w:firstLine="640" w:firstLineChars="200"/>
        <w:textAlignment w:val="auto"/>
        <w:outlineLvl w:val="1"/>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（二）综述资料</w:t>
      </w:r>
    </w:p>
    <w:p w14:paraId="6695657C">
      <w:pPr>
        <w:keepNext w:val="0"/>
        <w:keepLines w:val="0"/>
        <w:pageBreakBefore w:val="0"/>
        <w:kinsoku/>
        <w:wordWrap/>
        <w:overflowPunct/>
        <w:topLinePunct w:val="0"/>
        <w:bidi w:val="0"/>
        <w:spacing w:line="520" w:lineRule="exact"/>
        <w:textAlignment w:val="auto"/>
        <w:rPr>
          <w:rFonts w:hint="default" w:eastAsia="仿宋_GB2312"/>
          <w:color w:val="auto"/>
          <w:sz w:val="32"/>
          <w:szCs w:val="28"/>
          <w:lang w:val="en-US" w:eastAsia="zh-CN"/>
        </w:rPr>
      </w:pPr>
      <w:r>
        <w:rPr>
          <w:rFonts w:hint="eastAsia"/>
          <w:color w:val="auto"/>
        </w:rPr>
        <w:t xml:space="preserve">    </w:t>
      </w:r>
      <w:r>
        <w:rPr>
          <w:rFonts w:hint="eastAsia" w:eastAsia="仿宋_GB2312"/>
          <w:color w:val="auto"/>
          <w:sz w:val="32"/>
          <w:szCs w:val="32"/>
        </w:rPr>
        <w:t xml:space="preserve"> 1.</w:t>
      </w:r>
      <w:r>
        <w:rPr>
          <w:rFonts w:hint="eastAsia" w:eastAsia="仿宋_GB2312"/>
          <w:color w:val="auto"/>
          <w:sz w:val="32"/>
          <w:szCs w:val="32"/>
          <w:lang w:val="en-US" w:eastAsia="zh-CN"/>
        </w:rPr>
        <w:t>产品描述</w:t>
      </w:r>
    </w:p>
    <w:p w14:paraId="5D1A17F5">
      <w:pPr>
        <w:keepNext w:val="0"/>
        <w:keepLines w:val="0"/>
        <w:pageBreakBefore w:val="0"/>
        <w:kinsoku/>
        <w:wordWrap/>
        <w:overflowPunct/>
        <w:topLinePunct w:val="0"/>
        <w:bidi w:val="0"/>
        <w:spacing w:line="520" w:lineRule="exact"/>
        <w:ind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用于实现气道产品间连接的气道接头类产品通常由接头主体、机器端、病人端和功能配件（若有，如Y型/T型分支端口、密封件、可旋转部位）等组成。产品主体通常由高分子材料（例如：PC、PP、PVC等）制成；密封件可为硅胶密封圈或硅胶垫等。机器端和病人端应为符合GB/T45665.1规定的圆锥接头。产品图示见图1。</w:t>
      </w:r>
    </w:p>
    <w:p w14:paraId="02971F00">
      <w:pPr>
        <w:pStyle w:val="2"/>
        <w:keepNext w:val="0"/>
        <w:keepLines w:val="0"/>
        <w:pageBreakBefore w:val="0"/>
        <w:kinsoku/>
        <w:wordWrap/>
        <w:overflowPunct/>
        <w:topLinePunct w:val="0"/>
        <w:bidi w:val="0"/>
        <w:spacing w:line="520" w:lineRule="exact"/>
        <w:jc w:val="center"/>
        <w:textAlignment w:val="auto"/>
        <w:rPr>
          <w:rFonts w:hint="eastAsia"/>
          <w:color w:val="auto"/>
          <w:lang w:val="en-US" w:eastAsia="zh-CN"/>
        </w:rPr>
      </w:pPr>
      <w:r>
        <w:rPr>
          <w:rFonts w:hint="eastAsia"/>
          <w:color w:val="auto"/>
          <w:lang w:val="en-US" w:eastAsia="zh-CN"/>
        </w:rPr>
        <w:drawing>
          <wp:anchor distT="0" distB="0" distL="114300" distR="114300" simplePos="0" relativeHeight="251659264" behindDoc="0" locked="0" layoutInCell="1" allowOverlap="1">
            <wp:simplePos x="0" y="0"/>
            <wp:positionH relativeFrom="column">
              <wp:posOffset>1229995</wp:posOffset>
            </wp:positionH>
            <wp:positionV relativeFrom="paragraph">
              <wp:posOffset>363855</wp:posOffset>
            </wp:positionV>
            <wp:extent cx="3234055" cy="2468880"/>
            <wp:effectExtent l="0" t="0" r="4445" b="7620"/>
            <wp:wrapTopAndBottom/>
            <wp:docPr id="5" name="图片 5" descr="6432faf492fc0a459295db92441a5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432faf492fc0a459295db92441a5de1"/>
                    <pic:cNvPicPr>
                      <a:picLocks noChangeAspect="1"/>
                    </pic:cNvPicPr>
                  </pic:nvPicPr>
                  <pic:blipFill>
                    <a:blip r:embed="rId5"/>
                    <a:srcRect r="38594"/>
                    <a:stretch>
                      <a:fillRect/>
                    </a:stretch>
                  </pic:blipFill>
                  <pic:spPr>
                    <a:xfrm>
                      <a:off x="0" y="0"/>
                      <a:ext cx="3234055" cy="2468880"/>
                    </a:xfrm>
                    <a:prstGeom prst="rect">
                      <a:avLst/>
                    </a:prstGeom>
                  </pic:spPr>
                </pic:pic>
              </a:graphicData>
            </a:graphic>
          </wp:anchor>
        </w:drawing>
      </w:r>
    </w:p>
    <w:p w14:paraId="4DB66561">
      <w:pPr>
        <w:keepNext w:val="0"/>
        <w:keepLines w:val="0"/>
        <w:pageBreakBefore w:val="0"/>
        <w:tabs>
          <w:tab w:val="left" w:pos="7140"/>
        </w:tabs>
        <w:kinsoku/>
        <w:wordWrap/>
        <w:overflowPunct/>
        <w:topLinePunct w:val="0"/>
        <w:autoSpaceDE w:val="0"/>
        <w:autoSpaceDN w:val="0"/>
        <w:bidi w:val="0"/>
        <w:spacing w:line="520" w:lineRule="exact"/>
        <w:ind w:firstLine="560" w:firstLineChars="200"/>
        <w:jc w:val="center"/>
        <w:textAlignment w:val="auto"/>
        <w:rPr>
          <w:rFonts w:hint="default" w:eastAsia="仿宋_GB2312"/>
          <w:color w:val="auto"/>
          <w:sz w:val="32"/>
          <w:szCs w:val="32"/>
          <w:lang w:val="en-US" w:eastAsia="zh-CN"/>
        </w:rPr>
      </w:pPr>
      <w:r>
        <w:rPr>
          <w:rFonts w:hint="eastAsia" w:eastAsia="黑体" w:cs="黑体"/>
          <w:color w:val="auto"/>
          <w:sz w:val="28"/>
          <w:szCs w:val="28"/>
        </w:rPr>
        <w:t xml:space="preserve">图1 </w:t>
      </w:r>
      <w:r>
        <w:rPr>
          <w:rFonts w:hint="eastAsia" w:eastAsia="黑体" w:cs="黑体"/>
          <w:color w:val="auto"/>
          <w:sz w:val="28"/>
          <w:szCs w:val="28"/>
          <w:lang w:val="en-US" w:eastAsia="zh-CN"/>
        </w:rPr>
        <w:t>气道接头</w:t>
      </w:r>
      <w:r>
        <w:rPr>
          <w:rFonts w:hint="eastAsia" w:eastAsia="黑体" w:cs="黑体"/>
          <w:color w:val="auto"/>
          <w:sz w:val="28"/>
          <w:szCs w:val="28"/>
        </w:rPr>
        <w:t>结构示意图</w:t>
      </w:r>
    </w:p>
    <w:p w14:paraId="33094691">
      <w:pPr>
        <w:keepNext w:val="0"/>
        <w:keepLines w:val="0"/>
        <w:pageBreakBefore w:val="0"/>
        <w:tabs>
          <w:tab w:val="left" w:pos="7140"/>
        </w:tabs>
        <w:kinsoku/>
        <w:wordWrap/>
        <w:overflowPunct/>
        <w:topLinePunct w:val="0"/>
        <w:autoSpaceDE w:val="0"/>
        <w:autoSpaceDN w:val="0"/>
        <w:bidi w:val="0"/>
        <w:spacing w:line="520" w:lineRule="exact"/>
        <w:ind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用于辅助插入气道的插管导入器类产品通常由导管、加硬套管、定位扣等组成。产品主体通常由可塑性材料（例如：医用不锈钢）和高分子材料制成。产品通常可适配对应规格气管导管内腔使用，依靠自身导向支撑结构，辅助导管顺利探入气道，以此完成插管操作。产品图示见图2。</w:t>
      </w:r>
    </w:p>
    <w:p w14:paraId="50AFC428">
      <w:pPr>
        <w:pStyle w:val="2"/>
        <w:keepNext w:val="0"/>
        <w:keepLines w:val="0"/>
        <w:pageBreakBefore w:val="0"/>
        <w:kinsoku/>
        <w:wordWrap/>
        <w:overflowPunct/>
        <w:topLinePunct w:val="0"/>
        <w:bidi w:val="0"/>
        <w:spacing w:line="520" w:lineRule="exact"/>
        <w:jc w:val="center"/>
        <w:textAlignment w:val="auto"/>
        <w:rPr>
          <w:rFonts w:hint="eastAsia"/>
          <w:color w:val="auto"/>
          <w:lang w:val="en-US" w:eastAsia="zh-CN"/>
        </w:rPr>
      </w:pPr>
      <w:r>
        <w:rPr>
          <w:rFonts w:hint="eastAsia"/>
          <w:color w:val="auto"/>
          <w:lang w:val="en-US" w:eastAsia="zh-CN"/>
        </w:rPr>
        <w:drawing>
          <wp:anchor distT="0" distB="0" distL="114300" distR="114300" simplePos="0" relativeHeight="251660288" behindDoc="0" locked="0" layoutInCell="1" allowOverlap="1">
            <wp:simplePos x="0" y="0"/>
            <wp:positionH relativeFrom="column">
              <wp:posOffset>15875</wp:posOffset>
            </wp:positionH>
            <wp:positionV relativeFrom="paragraph">
              <wp:posOffset>434340</wp:posOffset>
            </wp:positionV>
            <wp:extent cx="5262880" cy="739140"/>
            <wp:effectExtent l="0" t="0" r="4445" b="3810"/>
            <wp:wrapTopAndBottom/>
            <wp:docPr id="1" name="图片 1" descr="96b87f64aca8d3b9bf6a23fbc41f54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6b87f64aca8d3b9bf6a23fbc41f544b"/>
                    <pic:cNvPicPr>
                      <a:picLocks noChangeAspect="1"/>
                    </pic:cNvPicPr>
                  </pic:nvPicPr>
                  <pic:blipFill>
                    <a:blip r:embed="rId6"/>
                    <a:stretch>
                      <a:fillRect/>
                    </a:stretch>
                  </pic:blipFill>
                  <pic:spPr>
                    <a:xfrm>
                      <a:off x="0" y="0"/>
                      <a:ext cx="5262880" cy="739140"/>
                    </a:xfrm>
                    <a:prstGeom prst="rect">
                      <a:avLst/>
                    </a:prstGeom>
                  </pic:spPr>
                </pic:pic>
              </a:graphicData>
            </a:graphic>
          </wp:anchor>
        </w:drawing>
      </w:r>
    </w:p>
    <w:p w14:paraId="57E81540">
      <w:pPr>
        <w:pStyle w:val="2"/>
        <w:keepNext w:val="0"/>
        <w:keepLines w:val="0"/>
        <w:pageBreakBefore w:val="0"/>
        <w:kinsoku/>
        <w:wordWrap/>
        <w:overflowPunct/>
        <w:topLinePunct w:val="0"/>
        <w:bidi w:val="0"/>
        <w:spacing w:line="520" w:lineRule="exact"/>
        <w:jc w:val="center"/>
        <w:textAlignment w:val="auto"/>
        <w:rPr>
          <w:rFonts w:hint="default"/>
          <w:color w:val="auto"/>
          <w:lang w:val="en-US" w:eastAsia="zh-CN"/>
        </w:rPr>
      </w:pPr>
      <w:r>
        <w:rPr>
          <w:rFonts w:hint="eastAsia" w:eastAsia="黑体" w:cs="黑体"/>
          <w:color w:val="auto"/>
          <w:sz w:val="28"/>
          <w:szCs w:val="28"/>
        </w:rPr>
        <w:t>图</w:t>
      </w:r>
      <w:r>
        <w:rPr>
          <w:rFonts w:hint="eastAsia" w:eastAsia="黑体" w:cs="黑体"/>
          <w:color w:val="auto"/>
          <w:sz w:val="28"/>
          <w:szCs w:val="28"/>
          <w:lang w:val="en-US" w:eastAsia="zh-CN"/>
        </w:rPr>
        <w:t>2</w:t>
      </w:r>
      <w:r>
        <w:rPr>
          <w:rFonts w:hint="eastAsia" w:eastAsia="黑体" w:cs="黑体"/>
          <w:color w:val="auto"/>
          <w:sz w:val="28"/>
          <w:szCs w:val="28"/>
        </w:rPr>
        <w:t xml:space="preserve"> </w:t>
      </w:r>
      <w:r>
        <w:rPr>
          <w:rFonts w:hint="eastAsia" w:eastAsia="黑体" w:cs="黑体"/>
          <w:color w:val="auto"/>
          <w:sz w:val="28"/>
          <w:szCs w:val="28"/>
          <w:lang w:val="en-US" w:eastAsia="zh-CN"/>
        </w:rPr>
        <w:t>插管导入器</w:t>
      </w:r>
      <w:r>
        <w:rPr>
          <w:rFonts w:hint="eastAsia" w:eastAsia="黑体" w:cs="黑体"/>
          <w:color w:val="auto"/>
          <w:sz w:val="28"/>
          <w:szCs w:val="28"/>
        </w:rPr>
        <w:t>结构示意图</w:t>
      </w:r>
    </w:p>
    <w:p w14:paraId="689CBC21">
      <w:pPr>
        <w:keepNext w:val="0"/>
        <w:keepLines w:val="0"/>
        <w:pageBreakBefore w:val="0"/>
        <w:tabs>
          <w:tab w:val="left" w:pos="7140"/>
        </w:tabs>
        <w:kinsoku/>
        <w:wordWrap/>
        <w:overflowPunct/>
        <w:topLinePunct w:val="0"/>
        <w:autoSpaceDE w:val="0"/>
        <w:autoSpaceDN w:val="0"/>
        <w:bidi w:val="0"/>
        <w:spacing w:line="520" w:lineRule="exact"/>
        <w:ind w:firstLine="636" w:firstLineChars="200"/>
        <w:textAlignment w:val="auto"/>
        <w:rPr>
          <w:rFonts w:hint="eastAsia" w:eastAsia="仿宋_GB2312"/>
          <w:color w:val="auto"/>
          <w:sz w:val="32"/>
          <w:szCs w:val="32"/>
        </w:rPr>
      </w:pPr>
      <w:r>
        <w:rPr>
          <w:rFonts w:hint="eastAsia" w:eastAsia="仿宋_GB2312"/>
          <w:color w:val="auto"/>
          <w:spacing w:val="-1"/>
          <w:sz w:val="32"/>
          <w:szCs w:val="32"/>
        </w:rPr>
        <w:t>应</w:t>
      </w:r>
      <w:r>
        <w:rPr>
          <w:rFonts w:eastAsia="仿宋_GB2312"/>
          <w:color w:val="auto"/>
          <w:spacing w:val="-1"/>
          <w:sz w:val="32"/>
          <w:szCs w:val="32"/>
        </w:rPr>
        <w:t>列表</w:t>
      </w:r>
      <w:r>
        <w:rPr>
          <w:rFonts w:hint="eastAsia" w:eastAsia="仿宋_GB2312"/>
          <w:color w:val="auto"/>
          <w:spacing w:val="-1"/>
          <w:sz w:val="32"/>
          <w:szCs w:val="32"/>
        </w:rPr>
        <w:t>明确所有部件</w:t>
      </w:r>
      <w:r>
        <w:rPr>
          <w:rFonts w:eastAsia="仿宋_GB2312"/>
          <w:color w:val="auto"/>
          <w:spacing w:val="-1"/>
          <w:sz w:val="32"/>
          <w:szCs w:val="32"/>
        </w:rPr>
        <w:t>的</w:t>
      </w:r>
      <w:r>
        <w:rPr>
          <w:rFonts w:hint="eastAsia" w:eastAsia="仿宋_GB2312"/>
          <w:color w:val="auto"/>
          <w:spacing w:val="-1"/>
          <w:sz w:val="32"/>
          <w:szCs w:val="32"/>
        </w:rPr>
        <w:t>材质及符合的标准等</w:t>
      </w:r>
      <w:r>
        <w:rPr>
          <w:rFonts w:eastAsia="仿宋_GB2312"/>
          <w:color w:val="auto"/>
          <w:spacing w:val="-1"/>
          <w:sz w:val="32"/>
          <w:szCs w:val="32"/>
        </w:rPr>
        <w:t>信息</w:t>
      </w:r>
      <w:r>
        <w:rPr>
          <w:rFonts w:hint="eastAsia" w:eastAsia="仿宋_GB2312"/>
          <w:color w:val="auto"/>
          <w:spacing w:val="-1"/>
          <w:sz w:val="32"/>
          <w:szCs w:val="32"/>
        </w:rPr>
        <w:t>。</w:t>
      </w:r>
    </w:p>
    <w:p w14:paraId="37850922">
      <w:pPr>
        <w:pStyle w:val="4"/>
        <w:keepNext w:val="0"/>
        <w:keepLines w:val="0"/>
        <w:pageBreakBefore w:val="0"/>
        <w:kinsoku/>
        <w:wordWrap/>
        <w:overflowPunct/>
        <w:topLinePunct w:val="0"/>
        <w:bidi w:val="0"/>
        <w:spacing w:line="520" w:lineRule="exact"/>
        <w:ind w:firstLine="640"/>
        <w:textAlignment w:val="auto"/>
        <w:rPr>
          <w:rFonts w:eastAsia="仿宋_GB2312"/>
          <w:color w:val="auto"/>
          <w:sz w:val="32"/>
          <w:szCs w:val="32"/>
        </w:rPr>
      </w:pPr>
      <w:r>
        <w:rPr>
          <w:rFonts w:hint="eastAsia" w:eastAsia="仿宋_GB2312"/>
          <w:color w:val="auto"/>
          <w:sz w:val="32"/>
          <w:szCs w:val="32"/>
        </w:rPr>
        <w:t>产品的结构及组成包括但不限于以上描述，宜提供各部件的结构视图和照片，图示中注意标注各部分名称、关键尺寸信息。</w:t>
      </w:r>
    </w:p>
    <w:p w14:paraId="2608F2EE">
      <w:pPr>
        <w:keepNext w:val="0"/>
        <w:keepLines w:val="0"/>
        <w:pageBreakBefore w:val="0"/>
        <w:kinsoku/>
        <w:wordWrap/>
        <w:overflowPunct/>
        <w:topLinePunct w:val="0"/>
        <w:bidi w:val="0"/>
        <w:spacing w:line="520" w:lineRule="exact"/>
        <w:ind w:left="1061" w:hanging="420"/>
        <w:textAlignment w:val="auto"/>
        <w:outlineLvl w:val="2"/>
        <w:rPr>
          <w:rFonts w:hint="default" w:ascii="Times New Roman" w:hAnsi="Times New Roman" w:eastAsia="仿宋_GB2312" w:cs="Times New Roman"/>
          <w:color w:val="auto"/>
          <w:sz w:val="32"/>
          <w:szCs w:val="32"/>
          <w:highlight w:val="none"/>
          <w:lang w:val="en-US" w:eastAsia="zh-CN"/>
        </w:rPr>
      </w:pPr>
      <w:r>
        <w:rPr>
          <w:rFonts w:hint="eastAsia" w:eastAsia="仿宋_GB2312"/>
          <w:color w:val="auto"/>
          <w:sz w:val="32"/>
          <w:szCs w:val="32"/>
          <w:highlight w:val="none"/>
        </w:rPr>
        <w:t>2.产品</w:t>
      </w:r>
      <w:r>
        <w:rPr>
          <w:rFonts w:hint="eastAsia" w:ascii="Times New Roman" w:hAnsi="Times New Roman" w:eastAsia="仿宋_GB2312" w:cs="Times New Roman"/>
          <w:color w:val="auto"/>
          <w:sz w:val="32"/>
          <w:szCs w:val="32"/>
          <w:highlight w:val="none"/>
        </w:rPr>
        <w:t>工作原理</w:t>
      </w:r>
      <w:r>
        <w:rPr>
          <w:rFonts w:hint="eastAsia" w:eastAsia="仿宋_GB2312" w:cs="Times New Roman"/>
          <w:color w:val="auto"/>
          <w:sz w:val="32"/>
          <w:szCs w:val="32"/>
          <w:highlight w:val="none"/>
          <w:lang w:val="en-US" w:eastAsia="zh-CN"/>
        </w:rPr>
        <w:t>/作用机理</w:t>
      </w:r>
    </w:p>
    <w:p w14:paraId="71A5B9ED">
      <w:pPr>
        <w:pStyle w:val="4"/>
        <w:keepNext w:val="0"/>
        <w:keepLines w:val="0"/>
        <w:pageBreakBefore w:val="0"/>
        <w:kinsoku/>
        <w:wordWrap/>
        <w:overflowPunct/>
        <w:topLinePunct w:val="0"/>
        <w:bidi w:val="0"/>
        <w:spacing w:line="520" w:lineRule="exact"/>
        <w:ind w:firstLine="640"/>
        <w:textAlignment w:val="auto"/>
        <w:rPr>
          <w:rFonts w:eastAsia="仿宋_GB2312"/>
          <w:color w:val="auto"/>
          <w:sz w:val="32"/>
          <w:szCs w:val="32"/>
        </w:rPr>
      </w:pPr>
      <w:r>
        <w:rPr>
          <w:rFonts w:hint="eastAsia" w:eastAsia="仿宋_GB2312"/>
          <w:color w:val="auto"/>
          <w:sz w:val="32"/>
          <w:szCs w:val="32"/>
          <w:lang w:val="en-US" w:eastAsia="zh-CN"/>
        </w:rPr>
        <w:t>呼吸管路辅助器械工作原理为与气道产品配合使用，实现气道连接、取样、导入等功能。注册申请人应详细描述其产品工作原理与功能，以及组成部件（关键组件）</w:t>
      </w:r>
      <w:r>
        <w:rPr>
          <w:rFonts w:eastAsia="仿宋_GB2312"/>
          <w:color w:val="auto"/>
          <w:sz w:val="32"/>
          <w:szCs w:val="32"/>
        </w:rPr>
        <w:t>的功能，以及区别于其他同类产品的特征等内容。</w:t>
      </w:r>
    </w:p>
    <w:p w14:paraId="14158F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20" w:lineRule="exact"/>
        <w:ind w:left="0" w:right="0" w:firstLine="640" w:firstLineChars="200"/>
        <w:jc w:val="left"/>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气道接头类产品的主要功能是气道产品间的连接；功能配件可实现采样或角度调节等。机器端可与呼吸机、麻醉机或呼吸管路波纹管等，病人端可与气管插管、面罩或呼吸管路波纹管等，通过双侧圆锥接头的适配来实现气道产品间</w:t>
      </w:r>
      <w:bookmarkStart w:id="0" w:name="_GoBack"/>
      <w:bookmarkEnd w:id="0"/>
      <w:r>
        <w:rPr>
          <w:rFonts w:hint="eastAsia" w:eastAsia="仿宋_GB2312"/>
          <w:color w:val="auto"/>
          <w:sz w:val="32"/>
          <w:szCs w:val="32"/>
          <w:lang w:val="en-US" w:eastAsia="zh-CN"/>
        </w:rPr>
        <w:t>的连接功能。</w:t>
      </w:r>
    </w:p>
    <w:p w14:paraId="1AFFA9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20" w:lineRule="exact"/>
        <w:ind w:left="0" w:right="0" w:firstLine="640" w:firstLineChars="200"/>
        <w:jc w:val="left"/>
        <w:textAlignment w:val="auto"/>
        <w:rPr>
          <w:rFonts w:hint="eastAsia" w:ascii="宋体" w:hAnsi="宋体" w:eastAsia="宋体" w:cs="宋体"/>
          <w:color w:val="auto"/>
          <w:sz w:val="24"/>
        </w:rPr>
      </w:pPr>
      <w:r>
        <w:rPr>
          <w:rFonts w:hint="eastAsia" w:eastAsia="仿宋_GB2312"/>
          <w:color w:val="auto"/>
          <w:sz w:val="32"/>
          <w:szCs w:val="32"/>
          <w:lang w:val="en-US" w:eastAsia="zh-CN"/>
        </w:rPr>
        <w:t>插管导入器类产品的主要功能是用于辅助气管插管置入操作；凭借自身支撑塑形、导向推送等特性助力临床插管作业。器械整体可置入气管导管内部使用，前端可朝向声门气道区域，后端便于医护手持操控推送，依托自身结构强度与导向作用，辅助导管顺利进入目标气道，以此完成人工气道建立作业。</w:t>
      </w:r>
    </w:p>
    <w:p w14:paraId="7C6153BC">
      <w:pPr>
        <w:keepNext w:val="0"/>
        <w:keepLines w:val="0"/>
        <w:pageBreakBefore w:val="0"/>
        <w:kinsoku/>
        <w:wordWrap/>
        <w:overflowPunct/>
        <w:topLinePunct w:val="0"/>
        <w:bidi w:val="0"/>
        <w:spacing w:line="520" w:lineRule="exact"/>
        <w:ind w:left="1061" w:hanging="420" w:firstLineChars="0"/>
        <w:textAlignment w:val="auto"/>
        <w:outlineLvl w:val="2"/>
        <w:rPr>
          <w:rFonts w:eastAsia="仿宋_GB2312"/>
          <w:color w:val="auto"/>
          <w:sz w:val="32"/>
          <w:szCs w:val="32"/>
        </w:rPr>
      </w:pPr>
      <w:r>
        <w:rPr>
          <w:rFonts w:hint="eastAsia" w:eastAsia="仿宋_GB2312"/>
          <w:color w:val="auto"/>
          <w:sz w:val="32"/>
          <w:szCs w:val="32"/>
        </w:rPr>
        <w:t>3.型号规格</w:t>
      </w:r>
    </w:p>
    <w:p w14:paraId="294A83AA">
      <w:pPr>
        <w:keepNext w:val="0"/>
        <w:keepLines w:val="0"/>
        <w:pageBreakBefore w:val="0"/>
        <w:kinsoku/>
        <w:wordWrap/>
        <w:overflowPunct/>
        <w:topLinePunct w:val="0"/>
        <w:bidi w:val="0"/>
        <w:spacing w:line="520" w:lineRule="exact"/>
        <w:ind w:firstLine="640" w:firstLineChars="200"/>
        <w:textAlignment w:val="auto"/>
        <w:outlineLvl w:val="9"/>
        <w:rPr>
          <w:rFonts w:hint="eastAsia" w:eastAsia="仿宋_GB2312"/>
          <w:color w:val="auto"/>
          <w:sz w:val="32"/>
          <w:szCs w:val="32"/>
        </w:rPr>
      </w:pPr>
      <w:r>
        <w:rPr>
          <w:rFonts w:hint="eastAsia" w:eastAsia="仿宋_GB2312"/>
          <w:color w:val="auto"/>
          <w:sz w:val="32"/>
          <w:szCs w:val="32"/>
          <w:lang w:val="en-US" w:eastAsia="zh-CN"/>
        </w:rPr>
        <w:t>存在多种型号、规格的产品，需明确各型号、规格的区别，建议采用对比表或带有说明性文字的图片、图表，对各种型号、规格的结构组成（或配置）、功能、产品特性、性能指标等方面加以描述。</w:t>
      </w:r>
    </w:p>
    <w:p w14:paraId="3ED667D6">
      <w:pPr>
        <w:keepNext w:val="0"/>
        <w:keepLines w:val="0"/>
        <w:pageBreakBefore w:val="0"/>
        <w:kinsoku/>
        <w:wordWrap/>
        <w:overflowPunct/>
        <w:topLinePunct w:val="0"/>
        <w:bidi w:val="0"/>
        <w:spacing w:line="520" w:lineRule="exact"/>
        <w:ind w:left="1061" w:hanging="420"/>
        <w:textAlignment w:val="auto"/>
        <w:outlineLvl w:val="2"/>
        <w:rPr>
          <w:rFonts w:eastAsia="仿宋_GB2312"/>
          <w:color w:val="auto"/>
          <w:sz w:val="32"/>
          <w:szCs w:val="32"/>
        </w:rPr>
      </w:pPr>
      <w:r>
        <w:rPr>
          <w:rFonts w:hint="eastAsia" w:eastAsia="仿宋_GB2312"/>
          <w:color w:val="auto"/>
          <w:sz w:val="32"/>
          <w:szCs w:val="32"/>
        </w:rPr>
        <w:t>4.包装说明</w:t>
      </w:r>
    </w:p>
    <w:p w14:paraId="494072DF">
      <w:pPr>
        <w:keepNext w:val="0"/>
        <w:keepLines w:val="0"/>
        <w:pageBreakBefore w:val="0"/>
        <w:kinsoku/>
        <w:wordWrap/>
        <w:overflowPunct/>
        <w:topLinePunct w:val="0"/>
        <w:bidi w:val="0"/>
        <w:spacing w:line="520" w:lineRule="exact"/>
        <w:ind w:left="2" w:firstLine="640"/>
        <w:textAlignment w:val="auto"/>
        <w:rPr>
          <w:rFonts w:eastAsia="仿宋_GB2312"/>
          <w:color w:val="auto"/>
          <w:sz w:val="32"/>
          <w:szCs w:val="32"/>
        </w:rPr>
      </w:pPr>
      <w:r>
        <w:rPr>
          <w:rFonts w:hint="eastAsia" w:eastAsia="仿宋_GB2312"/>
          <w:color w:val="auto"/>
          <w:sz w:val="32"/>
          <w:szCs w:val="32"/>
        </w:rPr>
        <w:t>申报产品需要描述注册单元内所有产品组成的包装情况，说明包装清单和包装方式，提供包装图示说明如何确保最终使用者可清晰地辨识包装的完整性。对于无菌医疗器械，</w:t>
      </w:r>
      <w:r>
        <w:rPr>
          <w:rFonts w:hint="eastAsia" w:eastAsia="仿宋_GB2312"/>
          <w:color w:val="auto"/>
          <w:sz w:val="32"/>
          <w:szCs w:val="32"/>
          <w:u w:val="none"/>
        </w:rPr>
        <w:t>应当明确包装形式及初包装材料信息（无菌屏障系统）。建议提供各包装的照片及图示，明确各包装的尺寸信息和材料信息，并以列表形式说明所有包装内容物。说明如何确保最终使用者可清晰地辨识包装的完整性。</w:t>
      </w:r>
    </w:p>
    <w:p w14:paraId="07BC579A">
      <w:pPr>
        <w:keepNext w:val="0"/>
        <w:keepLines w:val="0"/>
        <w:pageBreakBefore w:val="0"/>
        <w:kinsoku/>
        <w:wordWrap/>
        <w:overflowPunct/>
        <w:topLinePunct w:val="0"/>
        <w:bidi w:val="0"/>
        <w:spacing w:line="520" w:lineRule="exact"/>
        <w:ind w:left="1061" w:hanging="420"/>
        <w:textAlignment w:val="auto"/>
        <w:outlineLvl w:val="2"/>
        <w:rPr>
          <w:rFonts w:eastAsia="仿宋_GB2312"/>
          <w:color w:val="auto"/>
          <w:sz w:val="32"/>
          <w:szCs w:val="32"/>
        </w:rPr>
      </w:pPr>
      <w:r>
        <w:rPr>
          <w:rFonts w:hint="eastAsia" w:eastAsia="仿宋_GB2312"/>
          <w:color w:val="auto"/>
          <w:sz w:val="32"/>
          <w:szCs w:val="32"/>
        </w:rPr>
        <w:t>5.研发背景</w:t>
      </w:r>
    </w:p>
    <w:p w14:paraId="0607477F">
      <w:pPr>
        <w:keepNext w:val="0"/>
        <w:keepLines w:val="0"/>
        <w:pageBreakBefore w:val="0"/>
        <w:kinsoku/>
        <w:wordWrap/>
        <w:overflowPunct/>
        <w:topLinePunct w:val="0"/>
        <w:bidi w:val="0"/>
        <w:spacing w:line="520" w:lineRule="exact"/>
        <w:ind w:firstLine="640" w:firstLineChars="200"/>
        <w:textAlignment w:val="auto"/>
        <w:rPr>
          <w:rFonts w:eastAsia="仿宋_GB2312"/>
          <w:color w:val="auto"/>
          <w:spacing w:val="-1"/>
          <w:sz w:val="32"/>
          <w:szCs w:val="32"/>
        </w:rPr>
      </w:pPr>
      <w:r>
        <w:rPr>
          <w:rFonts w:hint="eastAsia" w:eastAsia="仿宋_GB2312"/>
          <w:color w:val="auto"/>
          <w:sz w:val="32"/>
          <w:szCs w:val="32"/>
        </w:rPr>
        <w:t>阐述申请注册产品的研发背景和目的。如有参考的同类产品或前代产品，</w:t>
      </w:r>
      <w:r>
        <w:rPr>
          <w:rFonts w:hint="eastAsia" w:eastAsia="仿宋_GB2312"/>
          <w:color w:val="auto"/>
          <w:sz w:val="32"/>
          <w:szCs w:val="32"/>
          <w:lang w:val="en-US" w:eastAsia="zh-CN"/>
        </w:rPr>
        <w:t>应当提供同类产品或前代产品的信息，并说明选择其作为研发参考的原因。以对比表形式，比较说明申报产品与同类产品和/或前代产品在工作原理、结构组成、原材料、生产工艺、灭菌方式、性能指标、作用方式、货架有效期以及适用范围等方面的异同。如与参考产品存在差异，需结合差异及安全有效清单要求，分析差异是否需要进行额外的安全有效性评价。</w:t>
      </w:r>
    </w:p>
    <w:p w14:paraId="5C180674">
      <w:pPr>
        <w:keepNext w:val="0"/>
        <w:keepLines w:val="0"/>
        <w:pageBreakBefore w:val="0"/>
        <w:numPr>
          <w:ilvl w:val="0"/>
          <w:numId w:val="1"/>
        </w:numPr>
        <w:kinsoku/>
        <w:wordWrap/>
        <w:overflowPunct/>
        <w:topLinePunct w:val="0"/>
        <w:bidi w:val="0"/>
        <w:spacing w:line="520" w:lineRule="exact"/>
        <w:ind w:left="1061" w:hanging="420" w:firstLineChars="0"/>
        <w:textAlignment w:val="auto"/>
        <w:outlineLvl w:val="2"/>
        <w:rPr>
          <w:rFonts w:hint="eastAsia" w:eastAsia="仿宋_GB2312"/>
          <w:color w:val="auto"/>
          <w:sz w:val="32"/>
          <w:szCs w:val="32"/>
          <w:highlight w:val="none"/>
        </w:rPr>
      </w:pPr>
      <w:r>
        <w:rPr>
          <w:rFonts w:hint="eastAsia" w:eastAsia="仿宋_GB2312"/>
          <w:color w:val="auto"/>
          <w:sz w:val="32"/>
          <w:szCs w:val="32"/>
        </w:rPr>
        <w:t>产品的</w:t>
      </w:r>
      <w:r>
        <w:rPr>
          <w:rFonts w:hint="eastAsia" w:eastAsia="仿宋_GB2312"/>
          <w:color w:val="auto"/>
          <w:sz w:val="32"/>
          <w:szCs w:val="32"/>
          <w:highlight w:val="none"/>
        </w:rPr>
        <w:t>适用范围/禁忌证</w:t>
      </w:r>
    </w:p>
    <w:p w14:paraId="52409EED">
      <w:pPr>
        <w:keepNext w:val="0"/>
        <w:keepLines w:val="0"/>
        <w:pageBreakBefore w:val="0"/>
        <w:kinsoku/>
        <w:wordWrap/>
        <w:overflowPunct/>
        <w:topLinePunct w:val="0"/>
        <w:bidi w:val="0"/>
        <w:spacing w:line="520" w:lineRule="exact"/>
        <w:ind w:firstLine="640" w:firstLineChars="200"/>
        <w:textAlignment w:val="auto"/>
        <w:rPr>
          <w:rFonts w:hint="default" w:eastAsia="仿宋_GB2312"/>
          <w:color w:val="auto"/>
          <w:sz w:val="32"/>
          <w:szCs w:val="32"/>
          <w:lang w:val="en-US" w:eastAsia="zh-CN"/>
        </w:rPr>
      </w:pPr>
      <w:r>
        <w:rPr>
          <w:rFonts w:hint="eastAsia" w:eastAsia="仿宋_GB2312"/>
          <w:color w:val="auto"/>
          <w:sz w:val="32"/>
          <w:szCs w:val="32"/>
        </w:rPr>
        <w:t>6.1适用范围：</w:t>
      </w:r>
      <w:r>
        <w:rPr>
          <w:rFonts w:hint="eastAsia" w:eastAsia="仿宋_GB2312"/>
          <w:color w:val="auto"/>
          <w:sz w:val="32"/>
          <w:szCs w:val="32"/>
          <w:lang w:val="en-US" w:eastAsia="zh-CN"/>
        </w:rPr>
        <w:t>气道接头类产品用于实现气道产品间的连接，插管导入器类产品用于辅助插入气道。</w:t>
      </w:r>
    </w:p>
    <w:p w14:paraId="3B6A9534">
      <w:pPr>
        <w:keepNext w:val="0"/>
        <w:keepLines w:val="0"/>
        <w:pageBreakBefore w:val="0"/>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6.2预期使用环境：明确该产品预期使用的地点，如医疗机构。明确可能影响其安全性和有效性的环境条件。</w:t>
      </w:r>
    </w:p>
    <w:p w14:paraId="7E9BB74C">
      <w:pPr>
        <w:keepNext w:val="0"/>
        <w:keepLines w:val="0"/>
        <w:pageBreakBefore w:val="0"/>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6.3适用人群：明确目标患者人群的信息，患者选择标准的信息，以及使用过程中需要监测的参数、考虑的因素。</w:t>
      </w:r>
    </w:p>
    <w:p w14:paraId="35763525">
      <w:pPr>
        <w:keepNext w:val="0"/>
        <w:keepLines w:val="0"/>
        <w:pageBreakBefore w:val="0"/>
        <w:kinsoku/>
        <w:wordWrap/>
        <w:overflowPunct/>
        <w:topLinePunct w:val="0"/>
        <w:bidi w:val="0"/>
        <w:spacing w:line="520" w:lineRule="exact"/>
        <w:ind w:firstLine="640" w:firstLineChars="200"/>
        <w:textAlignment w:val="auto"/>
        <w:rPr>
          <w:rFonts w:hint="default" w:eastAsia="仿宋_GB2312"/>
          <w:color w:val="auto"/>
          <w:sz w:val="32"/>
          <w:szCs w:val="32"/>
          <w:lang w:val="en-US" w:eastAsia="zh-CN"/>
        </w:rPr>
      </w:pPr>
      <w:r>
        <w:rPr>
          <w:rFonts w:hint="eastAsia" w:eastAsia="仿宋_GB2312"/>
          <w:color w:val="auto"/>
          <w:sz w:val="32"/>
          <w:szCs w:val="32"/>
        </w:rPr>
        <w:t>6.4</w:t>
      </w:r>
      <w:r>
        <w:rPr>
          <w:rFonts w:hint="eastAsia" w:eastAsia="仿宋_GB2312"/>
          <w:color w:val="auto"/>
          <w:sz w:val="32"/>
          <w:szCs w:val="32"/>
          <w:highlight w:val="none"/>
        </w:rPr>
        <w:t>禁忌证</w:t>
      </w:r>
      <w:r>
        <w:rPr>
          <w:rFonts w:hint="eastAsia" w:eastAsia="仿宋_GB2312"/>
          <w:color w:val="auto"/>
          <w:sz w:val="32"/>
          <w:szCs w:val="32"/>
        </w:rPr>
        <w:t>：</w:t>
      </w:r>
      <w:r>
        <w:rPr>
          <w:rFonts w:hint="eastAsia" w:eastAsia="仿宋_GB2312"/>
          <w:color w:val="auto"/>
          <w:sz w:val="32"/>
          <w:szCs w:val="32"/>
          <w:lang w:val="en-US" w:eastAsia="zh-CN"/>
        </w:rPr>
        <w:t>明确说明该器械不适宜的某些疾病、情况或特定的人群及部位，如适用，应说明对产品材料过敏者禁用。</w:t>
      </w:r>
    </w:p>
    <w:p w14:paraId="2CA14B43">
      <w:pPr>
        <w:keepNext w:val="0"/>
        <w:keepLines w:val="0"/>
        <w:pageBreakBefore w:val="0"/>
        <w:kinsoku/>
        <w:wordWrap/>
        <w:overflowPunct/>
        <w:topLinePunct w:val="0"/>
        <w:bidi w:val="0"/>
        <w:spacing w:line="520" w:lineRule="exact"/>
        <w:ind w:right="0" w:rightChars="0" w:firstLine="640" w:firstLineChars="200"/>
        <w:textAlignment w:val="auto"/>
        <w:outlineLvl w:val="1"/>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（三）非临床资料</w:t>
      </w:r>
    </w:p>
    <w:p w14:paraId="1036B69D">
      <w:pPr>
        <w:keepNext w:val="0"/>
        <w:keepLines w:val="0"/>
        <w:pageBreakBefore w:val="0"/>
        <w:widowControl w:val="0"/>
        <w:kinsoku/>
        <w:wordWrap/>
        <w:overflowPunct/>
        <w:topLinePunct w:val="0"/>
        <w:autoSpaceDE/>
        <w:autoSpaceDN/>
        <w:bidi w:val="0"/>
        <w:adjustRightInd/>
        <w:snapToGrid/>
        <w:spacing w:line="520" w:lineRule="exact"/>
        <w:ind w:left="0" w:firstLine="420" w:firstLineChars="0"/>
        <w:textAlignment w:val="auto"/>
        <w:outlineLvl w:val="2"/>
        <w:rPr>
          <w:rFonts w:hint="eastAsia" w:eastAsia="仿宋_GB2312"/>
          <w:color w:val="auto"/>
          <w:sz w:val="32"/>
          <w:szCs w:val="32"/>
        </w:rPr>
      </w:pPr>
      <w:r>
        <w:rPr>
          <w:rFonts w:hint="eastAsia" w:eastAsia="仿宋_GB2312"/>
          <w:color w:val="auto"/>
          <w:sz w:val="32"/>
          <w:szCs w:val="32"/>
        </w:rPr>
        <w:t>1.产品风险管理资料</w:t>
      </w:r>
    </w:p>
    <w:p w14:paraId="0693AA4D">
      <w:pPr>
        <w:keepNext w:val="0"/>
        <w:keepLines w:val="0"/>
        <w:pageBreakBefore w:val="0"/>
        <w:widowControl w:val="0"/>
        <w:kinsoku/>
        <w:wordWrap/>
        <w:overflowPunct/>
        <w:topLinePunct w:val="0"/>
        <w:autoSpaceDE/>
        <w:autoSpaceDN/>
        <w:bidi w:val="0"/>
        <w:adjustRightInd/>
        <w:snapToGrid/>
        <w:spacing w:line="520" w:lineRule="exact"/>
        <w:ind w:left="0" w:firstLine="420" w:firstLineChars="0"/>
        <w:textAlignment w:val="auto"/>
        <w:outlineLvl w:val="2"/>
        <w:rPr>
          <w:rFonts w:hint="default" w:eastAsia="仿宋_GB2312"/>
          <w:color w:val="auto"/>
          <w:sz w:val="32"/>
          <w:szCs w:val="32"/>
          <w:lang w:val="en-US" w:eastAsia="zh-CN"/>
        </w:rPr>
      </w:pPr>
      <w:r>
        <w:rPr>
          <w:rFonts w:hint="eastAsia" w:eastAsia="仿宋_GB2312"/>
          <w:color w:val="auto"/>
          <w:sz w:val="32"/>
          <w:szCs w:val="32"/>
        </w:rPr>
        <w:t>注册申请人需对产品全生命周期实施风险管理，提交风险管理资料</w:t>
      </w:r>
      <w:r>
        <w:rPr>
          <w:rFonts w:hint="eastAsia" w:eastAsia="仿宋_GB2312"/>
          <w:color w:val="auto"/>
          <w:sz w:val="32"/>
          <w:szCs w:val="32"/>
          <w:lang w:eastAsia="zh-CN"/>
        </w:rPr>
        <w:t>，</w:t>
      </w:r>
      <w:r>
        <w:rPr>
          <w:rFonts w:hint="eastAsia" w:eastAsia="仿宋_GB2312"/>
          <w:color w:val="auto"/>
          <w:sz w:val="32"/>
          <w:szCs w:val="32"/>
          <w:lang w:val="en-US" w:eastAsia="zh-CN"/>
        </w:rPr>
        <w:t>参照GB/T 42062《医疗器械 风险管理对医疗器械的应用》，对产品原材料、生产加工过程、包装、灭菌、运输、贮存、使用等产品寿命全周期的各个环节，从生物学危害、环境危害、有关使用的危害、由功能失效、维护、老化引起的危害等方面进行风险分析，描述所采用的风险控制措施，评定剩余风险的可接受性，与产品受益相比综合评价产品风险是否可接受。</w:t>
      </w:r>
    </w:p>
    <w:p w14:paraId="452D8633">
      <w:pPr>
        <w:keepNext w:val="0"/>
        <w:keepLines w:val="0"/>
        <w:pageBreakBefore w:val="0"/>
        <w:kinsoku/>
        <w:wordWrap/>
        <w:overflowPunct/>
        <w:topLinePunct w:val="0"/>
        <w:bidi w:val="0"/>
        <w:spacing w:line="520" w:lineRule="exact"/>
        <w:ind w:left="1061" w:hanging="420" w:firstLineChars="0"/>
        <w:textAlignment w:val="auto"/>
        <w:outlineLvl w:val="2"/>
        <w:rPr>
          <w:rFonts w:hint="eastAsia" w:eastAsia="仿宋_GB2312"/>
          <w:color w:val="auto"/>
          <w:sz w:val="32"/>
          <w:szCs w:val="32"/>
        </w:rPr>
      </w:pPr>
      <w:r>
        <w:rPr>
          <w:rFonts w:hint="eastAsia" w:eastAsia="仿宋_GB2312"/>
          <w:color w:val="auto"/>
          <w:sz w:val="32"/>
          <w:szCs w:val="32"/>
        </w:rPr>
        <w:t>2.医疗器械安全和性能基本原则清单</w:t>
      </w:r>
    </w:p>
    <w:p w14:paraId="1190F897">
      <w:pPr>
        <w:pStyle w:val="9"/>
        <w:keepNext w:val="0"/>
        <w:keepLines w:val="0"/>
        <w:pageBreakBefore w:val="0"/>
        <w:widowControl/>
        <w:kinsoku/>
        <w:wordWrap/>
        <w:overflowPunct/>
        <w:topLinePunct w:val="0"/>
        <w:bidi w:val="0"/>
        <w:spacing w:before="0" w:beforeAutospacing="0" w:after="0" w:afterAutospacing="0" w:line="520" w:lineRule="exact"/>
        <w:ind w:left="0" w:firstLine="640" w:firstLineChars="200"/>
        <w:textAlignment w:val="auto"/>
        <w:outlineLvl w:val="9"/>
        <w:rPr>
          <w:rFonts w:hint="eastAsia" w:eastAsia="仿宋_GB2312"/>
          <w:color w:val="auto"/>
          <w:kern w:val="2"/>
          <w:sz w:val="32"/>
          <w:szCs w:val="32"/>
        </w:rPr>
      </w:pPr>
      <w:r>
        <w:rPr>
          <w:rFonts w:hint="eastAsia" w:eastAsia="仿宋_GB2312"/>
          <w:color w:val="auto"/>
          <w:kern w:val="2"/>
          <w:sz w:val="32"/>
          <w:szCs w:val="32"/>
        </w:rPr>
        <w:t>说明申报产品符合《医疗器械安全和性能基本原则清单》各项适用要求所采用的方法，以及证明其符合性的文件。对于《医疗器械安全和性能基本原则清单》中不适用的各项要求，应当说明理由。</w:t>
      </w:r>
    </w:p>
    <w:p w14:paraId="0671EAA7">
      <w:pPr>
        <w:keepNext w:val="0"/>
        <w:keepLines w:val="0"/>
        <w:pageBreakBefore w:val="0"/>
        <w:kinsoku/>
        <w:wordWrap/>
        <w:overflowPunct/>
        <w:topLinePunct w:val="0"/>
        <w:bidi w:val="0"/>
        <w:spacing w:line="520" w:lineRule="exact"/>
        <w:ind w:left="1061" w:hanging="420" w:firstLineChars="0"/>
        <w:textAlignment w:val="auto"/>
        <w:outlineLvl w:val="2"/>
        <w:rPr>
          <w:rFonts w:hint="eastAsia" w:eastAsia="仿宋_GB2312"/>
          <w:strike w:val="0"/>
          <w:color w:val="auto"/>
          <w:sz w:val="32"/>
          <w:szCs w:val="32"/>
        </w:rPr>
      </w:pPr>
      <w:r>
        <w:rPr>
          <w:rFonts w:hint="eastAsia" w:eastAsia="仿宋_GB2312"/>
          <w:color w:val="auto"/>
          <w:sz w:val="32"/>
          <w:szCs w:val="32"/>
          <w:lang w:val="en-US" w:eastAsia="zh-CN"/>
        </w:rPr>
        <w:t>3</w:t>
      </w:r>
      <w:r>
        <w:rPr>
          <w:rFonts w:hint="eastAsia" w:eastAsia="仿宋_GB2312"/>
          <w:color w:val="auto"/>
          <w:sz w:val="32"/>
          <w:szCs w:val="32"/>
        </w:rPr>
        <w:t>.</w:t>
      </w:r>
      <w:r>
        <w:rPr>
          <w:rFonts w:hint="eastAsia" w:eastAsia="仿宋_GB2312"/>
          <w:color w:val="auto"/>
          <w:sz w:val="32"/>
          <w:szCs w:val="32"/>
          <w:highlight w:val="none"/>
        </w:rPr>
        <w:t>产品技术要求</w:t>
      </w:r>
    </w:p>
    <w:p w14:paraId="75803FA2">
      <w:pPr>
        <w:keepNext w:val="0"/>
        <w:keepLines w:val="0"/>
        <w:pageBreakBefore w:val="0"/>
        <w:kinsoku/>
        <w:wordWrap/>
        <w:overflowPunct/>
        <w:topLinePunct w:val="0"/>
        <w:bidi w:val="0"/>
        <w:spacing w:line="520" w:lineRule="exact"/>
        <w:ind w:left="2" w:firstLine="640" w:firstLineChars="200"/>
        <w:textAlignment w:val="auto"/>
        <w:rPr>
          <w:rFonts w:eastAsia="仿宋_GB2312"/>
          <w:color w:val="auto"/>
          <w:sz w:val="32"/>
          <w:szCs w:val="32"/>
          <w:highlight w:val="yellow"/>
        </w:rPr>
      </w:pPr>
      <w:r>
        <w:rPr>
          <w:rFonts w:hint="eastAsia" w:eastAsia="仿宋_GB2312"/>
          <w:color w:val="auto"/>
          <w:sz w:val="32"/>
          <w:szCs w:val="32"/>
        </w:rPr>
        <w:t>产品技术要求的制定需符合《医疗器械产品技术要求编写指导原则》的要求，根据产品的技术特征和临床使用情况来确定产品安全有效、质量可控的技术指标与检验方法。对宣称的产品的技术参数和功能，需在产品技术要求中予以规定。</w:t>
      </w:r>
      <w:r>
        <w:rPr>
          <w:rFonts w:hint="eastAsia" w:eastAsia="仿宋_GB2312"/>
          <w:color w:val="auto"/>
          <w:sz w:val="32"/>
          <w:szCs w:val="32"/>
          <w:lang w:val="en-US" w:eastAsia="zh-CN"/>
        </w:rPr>
        <w:t>性能</w:t>
      </w:r>
      <w:r>
        <w:rPr>
          <w:rFonts w:hint="eastAsia" w:eastAsia="仿宋_GB2312"/>
          <w:color w:val="auto"/>
          <w:sz w:val="32"/>
          <w:szCs w:val="32"/>
        </w:rPr>
        <w:t>指标</w:t>
      </w:r>
      <w:r>
        <w:rPr>
          <w:rFonts w:hint="eastAsia" w:eastAsia="仿宋_GB2312"/>
          <w:color w:val="auto"/>
          <w:sz w:val="32"/>
          <w:szCs w:val="32"/>
          <w:lang w:val="en-US" w:eastAsia="zh-CN"/>
        </w:rPr>
        <w:t>应</w:t>
      </w:r>
      <w:r>
        <w:rPr>
          <w:rFonts w:hint="eastAsia" w:eastAsia="仿宋_GB2312"/>
          <w:color w:val="auto"/>
          <w:sz w:val="32"/>
          <w:szCs w:val="32"/>
        </w:rPr>
        <w:t>不低于</w:t>
      </w:r>
      <w:r>
        <w:rPr>
          <w:rFonts w:hint="eastAsia" w:eastAsia="仿宋_GB2312"/>
          <w:color w:val="auto"/>
          <w:sz w:val="32"/>
          <w:szCs w:val="32"/>
          <w:lang w:val="en-US" w:eastAsia="zh-CN"/>
        </w:rPr>
        <w:t>产品适用</w:t>
      </w:r>
      <w:r>
        <w:rPr>
          <w:rFonts w:hint="eastAsia" w:eastAsia="仿宋_GB2312"/>
          <w:color w:val="auto"/>
          <w:sz w:val="32"/>
          <w:szCs w:val="32"/>
        </w:rPr>
        <w:t>的强制性国家标准</w:t>
      </w:r>
      <w:r>
        <w:rPr>
          <w:rFonts w:hint="eastAsia" w:eastAsia="仿宋_GB2312"/>
          <w:color w:val="auto"/>
          <w:sz w:val="32"/>
          <w:szCs w:val="32"/>
          <w:lang w:val="en-US" w:eastAsia="zh-CN"/>
        </w:rPr>
        <w:t>/</w:t>
      </w:r>
      <w:r>
        <w:rPr>
          <w:rFonts w:hint="eastAsia" w:eastAsia="仿宋_GB2312"/>
          <w:color w:val="auto"/>
          <w:sz w:val="32"/>
          <w:szCs w:val="32"/>
        </w:rPr>
        <w:t>行业标准。检验方法宜优先采用强制性国家标准、行业标准中的方法，若采用其他方法则需说明合理性原因并在研究资料中提供验证资料。对于强制性相关国家标准、行业标准中不适用的条款，需说明不适用的原因。</w:t>
      </w:r>
    </w:p>
    <w:p w14:paraId="2D781C6B">
      <w:pPr>
        <w:keepNext w:val="0"/>
        <w:keepLines w:val="0"/>
        <w:pageBreakBefore w:val="0"/>
        <w:kinsoku/>
        <w:wordWrap/>
        <w:overflowPunct/>
        <w:topLinePunct w:val="0"/>
        <w:bidi w:val="0"/>
        <w:spacing w:line="520" w:lineRule="exact"/>
        <w:ind w:left="2" w:firstLine="640" w:firstLineChars="200"/>
        <w:textAlignment w:val="auto"/>
        <w:rPr>
          <w:rFonts w:eastAsia="仿宋_GB2312"/>
          <w:color w:val="auto"/>
          <w:sz w:val="32"/>
          <w:szCs w:val="32"/>
        </w:rPr>
      </w:pPr>
      <w:r>
        <w:rPr>
          <w:rFonts w:hint="eastAsia" w:eastAsia="仿宋_GB2312"/>
          <w:color w:val="auto"/>
          <w:sz w:val="32"/>
          <w:szCs w:val="32"/>
        </w:rPr>
        <w:t>常</w:t>
      </w:r>
      <w:r>
        <w:rPr>
          <w:rFonts w:hint="eastAsia" w:eastAsia="仿宋_GB2312"/>
          <w:color w:val="auto"/>
          <w:sz w:val="32"/>
          <w:szCs w:val="32"/>
          <w:highlight w:val="none"/>
        </w:rPr>
        <w:t>见的性能指标需</w:t>
      </w:r>
      <w:r>
        <w:rPr>
          <w:rFonts w:hint="eastAsia" w:eastAsia="仿宋_GB2312"/>
          <w:color w:val="auto"/>
          <w:sz w:val="32"/>
          <w:szCs w:val="32"/>
        </w:rPr>
        <w:t>包括以下内容但不限于此：</w:t>
      </w:r>
    </w:p>
    <w:p w14:paraId="1CA0EE7F">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w:t>
      </w:r>
      <w:r>
        <w:rPr>
          <w:rFonts w:hint="eastAsia" w:eastAsia="仿宋_GB2312"/>
          <w:color w:val="auto"/>
          <w:sz w:val="32"/>
          <w:szCs w:val="32"/>
        </w:rPr>
        <w:t>.1</w:t>
      </w:r>
      <w:r>
        <w:rPr>
          <w:rFonts w:hint="eastAsia" w:eastAsia="仿宋_GB2312"/>
          <w:color w:val="auto"/>
          <w:sz w:val="32"/>
          <w:szCs w:val="32"/>
          <w:lang w:val="en-US" w:eastAsia="zh-CN"/>
        </w:rPr>
        <w:t>物理性能</w:t>
      </w:r>
    </w:p>
    <w:p w14:paraId="7C744020">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3.1.1气道接头类产品的物理性能</w:t>
      </w:r>
    </w:p>
    <w:p w14:paraId="36B7F891">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3.1.1.1外观</w:t>
      </w:r>
    </w:p>
    <w:p w14:paraId="5F0817BD">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3.1.1.2尺寸及允差</w:t>
      </w:r>
    </w:p>
    <w:p w14:paraId="4A6CBEE3">
      <w:pPr>
        <w:keepNext w:val="0"/>
        <w:keepLines w:val="0"/>
        <w:pageBreakBefore w:val="0"/>
        <w:kinsoku/>
        <w:wordWrap/>
        <w:overflowPunct/>
        <w:topLinePunct w:val="0"/>
        <w:bidi w:val="0"/>
        <w:spacing w:line="520" w:lineRule="exact"/>
        <w:ind w:left="2" w:firstLine="640" w:firstLineChars="200"/>
        <w:textAlignment w:val="auto"/>
        <w:rPr>
          <w:rFonts w:hint="default" w:eastAsia="仿宋_GB2312"/>
          <w:color w:val="auto"/>
          <w:sz w:val="32"/>
          <w:szCs w:val="32"/>
          <w:lang w:val="en-US" w:eastAsia="zh-CN"/>
        </w:rPr>
      </w:pPr>
      <w:r>
        <w:rPr>
          <w:rFonts w:hint="eastAsia" w:eastAsia="仿宋_GB2312"/>
          <w:color w:val="auto"/>
          <w:sz w:val="32"/>
          <w:szCs w:val="32"/>
          <w:lang w:val="en-US" w:eastAsia="zh-CN"/>
        </w:rPr>
        <w:t>3.1.1.3配合性能</w:t>
      </w:r>
    </w:p>
    <w:p w14:paraId="4571D5F6">
      <w:pPr>
        <w:keepNext w:val="0"/>
        <w:keepLines w:val="0"/>
        <w:pageBreakBefore w:val="0"/>
        <w:kinsoku/>
        <w:wordWrap/>
        <w:overflowPunct/>
        <w:topLinePunct w:val="0"/>
        <w:bidi w:val="0"/>
        <w:spacing w:line="520" w:lineRule="exact"/>
        <w:ind w:left="2" w:firstLine="640" w:firstLineChars="200"/>
        <w:textAlignment w:val="auto"/>
        <w:rPr>
          <w:rFonts w:hint="default" w:eastAsia="仿宋_GB2312"/>
          <w:color w:val="auto"/>
          <w:sz w:val="32"/>
          <w:szCs w:val="32"/>
          <w:lang w:val="en-US" w:eastAsia="zh-CN"/>
        </w:rPr>
      </w:pPr>
      <w:r>
        <w:rPr>
          <w:rFonts w:hint="eastAsia" w:eastAsia="仿宋_GB2312"/>
          <w:color w:val="auto"/>
          <w:sz w:val="32"/>
          <w:szCs w:val="32"/>
          <w:lang w:val="en-US" w:eastAsia="zh-CN"/>
        </w:rPr>
        <w:t>3.1.1.3.1机器端、病人端接口</w:t>
      </w:r>
    </w:p>
    <w:p w14:paraId="47DDEF7F">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3.1.1.3.2其他端口（若有）</w:t>
      </w:r>
    </w:p>
    <w:p w14:paraId="6255C21C">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3.1.1.4连接牢固度</w:t>
      </w:r>
    </w:p>
    <w:p w14:paraId="3D103876">
      <w:pPr>
        <w:keepNext w:val="0"/>
        <w:keepLines w:val="0"/>
        <w:pageBreakBefore w:val="0"/>
        <w:kinsoku/>
        <w:wordWrap/>
        <w:overflowPunct/>
        <w:topLinePunct w:val="0"/>
        <w:bidi w:val="0"/>
        <w:spacing w:line="520" w:lineRule="exact"/>
        <w:ind w:left="2" w:firstLine="640" w:firstLineChars="200"/>
        <w:textAlignment w:val="auto"/>
        <w:rPr>
          <w:rFonts w:hint="default" w:eastAsia="仿宋_GB2312"/>
          <w:color w:val="auto"/>
          <w:sz w:val="32"/>
          <w:szCs w:val="32"/>
          <w:lang w:val="en-US" w:eastAsia="zh-CN"/>
        </w:rPr>
      </w:pPr>
      <w:r>
        <w:rPr>
          <w:rFonts w:hint="eastAsia" w:eastAsia="仿宋_GB2312"/>
          <w:color w:val="auto"/>
          <w:sz w:val="32"/>
          <w:szCs w:val="32"/>
          <w:lang w:val="en-US" w:eastAsia="zh-CN"/>
        </w:rPr>
        <w:t>3.1.1.5泄漏</w:t>
      </w:r>
    </w:p>
    <w:p w14:paraId="2ADD16D9">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3.1.2插管导入器类产品的物理性能</w:t>
      </w:r>
    </w:p>
    <w:p w14:paraId="61A0C31F">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3.1.2.1外观</w:t>
      </w:r>
    </w:p>
    <w:p w14:paraId="1917C085">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3.1.2.2尺寸及允差</w:t>
      </w:r>
    </w:p>
    <w:p w14:paraId="43C01C9D">
      <w:pPr>
        <w:keepNext w:val="0"/>
        <w:keepLines w:val="0"/>
        <w:pageBreakBefore w:val="0"/>
        <w:kinsoku/>
        <w:wordWrap/>
        <w:overflowPunct/>
        <w:topLinePunct w:val="0"/>
        <w:bidi w:val="0"/>
        <w:spacing w:line="520" w:lineRule="exact"/>
        <w:ind w:left="2" w:firstLine="640" w:firstLineChars="200"/>
        <w:textAlignment w:val="auto"/>
        <w:rPr>
          <w:rFonts w:hint="default" w:eastAsia="仿宋_GB2312"/>
          <w:color w:val="auto"/>
          <w:sz w:val="32"/>
          <w:szCs w:val="32"/>
          <w:lang w:val="en-US" w:eastAsia="zh-CN"/>
        </w:rPr>
      </w:pPr>
      <w:r>
        <w:rPr>
          <w:rFonts w:hint="eastAsia" w:eastAsia="仿宋_GB2312"/>
          <w:color w:val="auto"/>
          <w:sz w:val="32"/>
          <w:szCs w:val="32"/>
          <w:lang w:val="en-US" w:eastAsia="zh-CN"/>
        </w:rPr>
        <w:t>3.1.2.3配合性能</w:t>
      </w:r>
    </w:p>
    <w:p w14:paraId="2EA5604B">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3.1.2.4可塑性（如适用）</w:t>
      </w:r>
    </w:p>
    <w:p w14:paraId="32DBBEF5">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3.1.2.5射线不透性（如适用）</w:t>
      </w:r>
    </w:p>
    <w:p w14:paraId="6AE9B34D">
      <w:pPr>
        <w:keepNext w:val="0"/>
        <w:keepLines w:val="0"/>
        <w:pageBreakBefore w:val="0"/>
        <w:kinsoku/>
        <w:wordWrap/>
        <w:overflowPunct/>
        <w:topLinePunct w:val="0"/>
        <w:bidi w:val="0"/>
        <w:spacing w:line="520" w:lineRule="exact"/>
        <w:ind w:left="2" w:firstLine="640" w:firstLineChars="200"/>
        <w:textAlignment w:val="auto"/>
        <w:rPr>
          <w:rFonts w:hint="default" w:eastAsia="仿宋_GB2312"/>
          <w:color w:val="auto"/>
          <w:sz w:val="32"/>
          <w:szCs w:val="32"/>
          <w:lang w:val="en-US" w:eastAsia="zh-CN"/>
        </w:rPr>
      </w:pPr>
      <w:r>
        <w:rPr>
          <w:rFonts w:hint="eastAsia" w:eastAsia="仿宋_GB2312"/>
          <w:color w:val="auto"/>
          <w:sz w:val="32"/>
          <w:szCs w:val="32"/>
          <w:lang w:val="en-US" w:eastAsia="zh-CN"/>
        </w:rPr>
        <w:t>3.1.2.6插管弧度（如适用）</w:t>
      </w:r>
    </w:p>
    <w:p w14:paraId="673B4638">
      <w:pPr>
        <w:keepNext w:val="0"/>
        <w:keepLines w:val="0"/>
        <w:pageBreakBefore w:val="0"/>
        <w:kinsoku/>
        <w:wordWrap/>
        <w:overflowPunct/>
        <w:topLinePunct w:val="0"/>
        <w:bidi w:val="0"/>
        <w:spacing w:line="520" w:lineRule="exact"/>
        <w:ind w:left="2" w:firstLine="640" w:firstLineChars="200"/>
        <w:textAlignment w:val="auto"/>
        <w:rPr>
          <w:rFonts w:hint="default" w:eastAsia="仿宋_GB2312"/>
          <w:color w:val="auto"/>
          <w:sz w:val="32"/>
          <w:szCs w:val="32"/>
          <w:lang w:val="en-US" w:eastAsia="zh-CN"/>
        </w:rPr>
      </w:pPr>
      <w:r>
        <w:rPr>
          <w:rFonts w:hint="eastAsia" w:eastAsia="仿宋_GB2312"/>
          <w:color w:val="auto"/>
          <w:sz w:val="32"/>
          <w:szCs w:val="32"/>
        </w:rPr>
        <w:t>3</w:t>
      </w:r>
      <w:r>
        <w:rPr>
          <w:rFonts w:hint="eastAsia" w:eastAsia="仿宋_GB2312"/>
          <w:color w:val="auto"/>
          <w:sz w:val="32"/>
          <w:szCs w:val="32"/>
          <w:lang w:val="en-US" w:eastAsia="zh-CN"/>
        </w:rPr>
        <w:t>.1.3</w:t>
      </w:r>
      <w:r>
        <w:rPr>
          <w:rFonts w:eastAsia="仿宋_GB2312"/>
          <w:color w:val="auto"/>
          <w:sz w:val="32"/>
          <w:szCs w:val="32"/>
        </w:rPr>
        <w:t>企业对宣称的所有其他技术参数和功能，均应在产品技术要求中予以规定</w:t>
      </w:r>
      <w:r>
        <w:rPr>
          <w:rFonts w:hint="eastAsia" w:eastAsia="仿宋_GB2312"/>
          <w:color w:val="auto"/>
          <w:sz w:val="32"/>
          <w:szCs w:val="32"/>
          <w:lang w:val="en-US" w:eastAsia="zh-CN"/>
        </w:rPr>
        <w:t>。</w:t>
      </w:r>
    </w:p>
    <w:p w14:paraId="375A8ADC">
      <w:pPr>
        <w:keepNext w:val="0"/>
        <w:keepLines w:val="0"/>
        <w:pageBreakBefore w:val="0"/>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lang w:val="en-US" w:eastAsia="zh-CN"/>
        </w:rPr>
        <w:t>3</w:t>
      </w:r>
      <w:r>
        <w:rPr>
          <w:rFonts w:eastAsia="仿宋_GB2312"/>
          <w:color w:val="auto"/>
          <w:sz w:val="32"/>
          <w:szCs w:val="32"/>
        </w:rPr>
        <w:t>.</w:t>
      </w:r>
      <w:r>
        <w:rPr>
          <w:rFonts w:hint="eastAsia" w:eastAsia="仿宋_GB2312"/>
          <w:color w:val="auto"/>
          <w:sz w:val="32"/>
          <w:szCs w:val="32"/>
        </w:rPr>
        <w:t>2</w:t>
      </w:r>
      <w:r>
        <w:rPr>
          <w:rFonts w:eastAsia="仿宋_GB2312"/>
          <w:color w:val="auto"/>
          <w:sz w:val="32"/>
          <w:szCs w:val="32"/>
        </w:rPr>
        <w:t>化学性能</w:t>
      </w:r>
    </w:p>
    <w:p w14:paraId="745A8A2C">
      <w:pPr>
        <w:keepNext w:val="0"/>
        <w:keepLines w:val="0"/>
        <w:pageBreakBefore w:val="0"/>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lang w:val="en-US" w:eastAsia="zh-CN"/>
        </w:rPr>
        <w:t>3.</w:t>
      </w:r>
      <w:r>
        <w:rPr>
          <w:rFonts w:hint="eastAsia" w:eastAsia="仿宋_GB2312"/>
          <w:color w:val="auto"/>
          <w:sz w:val="32"/>
          <w:szCs w:val="32"/>
        </w:rPr>
        <w:t>2.1</w:t>
      </w:r>
      <w:r>
        <w:rPr>
          <w:rFonts w:eastAsia="仿宋_GB2312"/>
          <w:color w:val="auto"/>
          <w:sz w:val="32"/>
          <w:szCs w:val="32"/>
        </w:rPr>
        <w:t>根据不同材料特性，由企业对化学性能提出要求。</w:t>
      </w:r>
    </w:p>
    <w:p w14:paraId="42627B0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color w:val="auto"/>
          <w:sz w:val="32"/>
          <w:szCs w:val="32"/>
        </w:rPr>
      </w:pPr>
      <w:r>
        <w:rPr>
          <w:rFonts w:hint="eastAsia" w:eastAsia="仿宋_GB2312"/>
          <w:color w:val="auto"/>
          <w:sz w:val="32"/>
          <w:szCs w:val="32"/>
          <w:lang w:val="en-US" w:eastAsia="zh-CN"/>
        </w:rPr>
        <w:t>3.</w:t>
      </w:r>
      <w:r>
        <w:rPr>
          <w:rFonts w:eastAsia="仿宋_GB2312"/>
          <w:color w:val="auto"/>
          <w:sz w:val="32"/>
          <w:szCs w:val="32"/>
        </w:rPr>
        <w:t>2.2用环氧乙烷灭菌的产品应规定环氧乙烷残留量的要求。</w:t>
      </w:r>
    </w:p>
    <w:p w14:paraId="6BAACEC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eastAsia="仿宋_GB2312"/>
          <w:color w:val="auto"/>
          <w:sz w:val="32"/>
          <w:szCs w:val="32"/>
          <w:lang w:val="en-US"/>
        </w:rPr>
      </w:pPr>
      <w:r>
        <w:rPr>
          <w:rFonts w:hint="eastAsia" w:eastAsia="仿宋_GB2312"/>
          <w:color w:val="auto"/>
          <w:sz w:val="32"/>
          <w:szCs w:val="32"/>
          <w:lang w:val="en-US" w:eastAsia="zh-CN"/>
        </w:rPr>
        <w:t>3</w:t>
      </w:r>
      <w:r>
        <w:rPr>
          <w:rFonts w:hint="eastAsia" w:eastAsia="仿宋_GB2312"/>
          <w:color w:val="auto"/>
          <w:sz w:val="32"/>
          <w:szCs w:val="32"/>
        </w:rPr>
        <w:t>.</w:t>
      </w:r>
      <w:r>
        <w:rPr>
          <w:rFonts w:hint="eastAsia" w:eastAsia="仿宋_GB2312"/>
          <w:color w:val="auto"/>
          <w:sz w:val="32"/>
          <w:szCs w:val="32"/>
          <w:lang w:val="en-US" w:eastAsia="zh-CN"/>
        </w:rPr>
        <w:t>3生物性能</w:t>
      </w:r>
    </w:p>
    <w:p w14:paraId="7D7B14D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eastAsia="仿宋_GB2312"/>
          <w:color w:val="auto"/>
          <w:sz w:val="32"/>
          <w:szCs w:val="32"/>
          <w:lang w:eastAsia="zh-CN"/>
        </w:rPr>
      </w:pPr>
      <w:r>
        <w:rPr>
          <w:rFonts w:hint="eastAsia" w:eastAsia="仿宋_GB2312"/>
          <w:color w:val="auto"/>
          <w:sz w:val="32"/>
          <w:szCs w:val="32"/>
          <w:lang w:val="en-US" w:eastAsia="zh-CN"/>
        </w:rPr>
        <w:t>3.3.1</w:t>
      </w:r>
      <w:r>
        <w:rPr>
          <w:rFonts w:hint="eastAsia" w:eastAsia="仿宋_GB2312"/>
          <w:color w:val="auto"/>
          <w:sz w:val="32"/>
          <w:szCs w:val="32"/>
        </w:rPr>
        <w:t>若无菌供应，应规定无菌性能指标</w:t>
      </w:r>
      <w:r>
        <w:rPr>
          <w:rFonts w:hint="eastAsia" w:eastAsia="仿宋_GB2312"/>
          <w:color w:val="auto"/>
          <w:sz w:val="32"/>
          <w:szCs w:val="32"/>
          <w:lang w:eastAsia="zh-CN"/>
        </w:rPr>
        <w:t>。</w:t>
      </w:r>
    </w:p>
    <w:p w14:paraId="12396BE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eastAsia="仿宋_GB2312"/>
          <w:color w:val="auto"/>
          <w:sz w:val="32"/>
          <w:szCs w:val="32"/>
          <w:lang w:eastAsia="zh-CN"/>
        </w:rPr>
      </w:pPr>
      <w:r>
        <w:rPr>
          <w:rFonts w:hint="eastAsia" w:eastAsia="仿宋_GB2312"/>
          <w:color w:val="auto"/>
          <w:sz w:val="32"/>
          <w:szCs w:val="32"/>
          <w:lang w:val="en-US" w:eastAsia="zh-CN"/>
        </w:rPr>
        <w:t>3.3.2</w:t>
      </w:r>
      <w:r>
        <w:rPr>
          <w:rFonts w:hint="eastAsia" w:eastAsia="仿宋_GB2312"/>
          <w:color w:val="auto"/>
          <w:sz w:val="32"/>
          <w:szCs w:val="32"/>
          <w:lang w:eastAsia="zh-CN"/>
        </w:rPr>
        <w:t>若非无菌供应，应规定微生物限度指标。</w:t>
      </w:r>
    </w:p>
    <w:p w14:paraId="1F501E13">
      <w:pPr>
        <w:keepNext w:val="0"/>
        <w:keepLines w:val="0"/>
        <w:pageBreakBefore w:val="0"/>
        <w:widowControl w:val="0"/>
        <w:kinsoku/>
        <w:wordWrap/>
        <w:overflowPunct/>
        <w:topLinePunct w:val="0"/>
        <w:autoSpaceDE/>
        <w:autoSpaceDN/>
        <w:bidi w:val="0"/>
        <w:adjustRightInd/>
        <w:snapToGrid/>
        <w:spacing w:line="520" w:lineRule="exact"/>
        <w:ind w:left="1061" w:hanging="420" w:firstLineChars="0"/>
        <w:textAlignment w:val="auto"/>
        <w:outlineLvl w:val="2"/>
        <w:rPr>
          <w:rFonts w:eastAsia="仿宋_GB2312"/>
          <w:color w:val="auto"/>
          <w:sz w:val="32"/>
          <w:szCs w:val="32"/>
        </w:rPr>
      </w:pPr>
      <w:r>
        <w:rPr>
          <w:rFonts w:hint="eastAsia" w:eastAsia="仿宋_GB2312"/>
          <w:color w:val="auto"/>
          <w:sz w:val="32"/>
          <w:szCs w:val="32"/>
          <w:lang w:val="en-US" w:eastAsia="zh-CN"/>
        </w:rPr>
        <w:t>4</w:t>
      </w:r>
      <w:r>
        <w:rPr>
          <w:rFonts w:hint="eastAsia" w:eastAsia="仿宋_GB2312"/>
          <w:color w:val="auto"/>
          <w:sz w:val="32"/>
          <w:szCs w:val="32"/>
        </w:rPr>
        <w:t>.同一注册单元内检验代表产品确定原则</w:t>
      </w:r>
    </w:p>
    <w:p w14:paraId="5E8BE37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2"/>
        <w:rPr>
          <w:rFonts w:hint="eastAsia" w:eastAsia="仿宋_GB2312"/>
          <w:color w:val="auto"/>
          <w:sz w:val="32"/>
          <w:szCs w:val="32"/>
        </w:rPr>
      </w:pPr>
      <w:r>
        <w:rPr>
          <w:rFonts w:hint="eastAsia" w:eastAsia="仿宋_GB2312"/>
          <w:color w:val="auto"/>
          <w:sz w:val="32"/>
          <w:szCs w:val="32"/>
        </w:rPr>
        <w:t>同一注册单元中注册检验代表产品是指能够代表本注册单元内其他产品安全性和有效性的产品，其功能最齐全，结构最复杂，风险最高。</w:t>
      </w:r>
    </w:p>
    <w:p w14:paraId="3CC6B302">
      <w:pPr>
        <w:keepNext w:val="0"/>
        <w:keepLines w:val="0"/>
        <w:pageBreakBefore w:val="0"/>
        <w:kinsoku/>
        <w:wordWrap/>
        <w:overflowPunct/>
        <w:topLinePunct w:val="0"/>
        <w:bidi w:val="0"/>
        <w:spacing w:line="520" w:lineRule="exact"/>
        <w:ind w:firstLine="640" w:firstLineChars="200"/>
        <w:textAlignment w:val="auto"/>
        <w:outlineLvl w:val="2"/>
        <w:rPr>
          <w:rFonts w:eastAsia="仿宋_GB2312"/>
          <w:color w:val="auto"/>
          <w:sz w:val="32"/>
          <w:szCs w:val="32"/>
        </w:rPr>
      </w:pPr>
      <w:r>
        <w:rPr>
          <w:rFonts w:hint="eastAsia" w:eastAsia="仿宋_GB2312"/>
          <w:color w:val="auto"/>
          <w:sz w:val="32"/>
          <w:szCs w:val="32"/>
          <w:lang w:val="en-US" w:eastAsia="zh-CN"/>
        </w:rPr>
        <w:t>注册检验代表产品的确定可以通过比较同一注册单元内所有产品的技术结构、性能指标和预期用途等相应资料，说明能够代表本注册单元内其他产品的安全性和有效性。</w:t>
      </w:r>
      <w:r>
        <w:rPr>
          <w:rFonts w:hint="eastAsia" w:eastAsia="仿宋_GB2312"/>
          <w:color w:val="auto"/>
          <w:sz w:val="32"/>
          <w:szCs w:val="32"/>
        </w:rPr>
        <w:t>具有差异性的产品应进行差异性检测。</w:t>
      </w:r>
    </w:p>
    <w:p w14:paraId="153CE911">
      <w:pPr>
        <w:keepNext w:val="0"/>
        <w:keepLines w:val="0"/>
        <w:pageBreakBefore w:val="0"/>
        <w:kinsoku/>
        <w:wordWrap/>
        <w:overflowPunct/>
        <w:topLinePunct w:val="0"/>
        <w:bidi w:val="0"/>
        <w:spacing w:line="520" w:lineRule="exact"/>
        <w:ind w:left="1061" w:hanging="420" w:firstLineChars="0"/>
        <w:textAlignment w:val="auto"/>
        <w:outlineLvl w:val="2"/>
        <w:rPr>
          <w:rFonts w:eastAsia="仿宋_GB2312"/>
          <w:color w:val="auto"/>
          <w:sz w:val="32"/>
          <w:szCs w:val="32"/>
        </w:rPr>
      </w:pPr>
      <w:r>
        <w:rPr>
          <w:rFonts w:hint="eastAsia" w:eastAsia="仿宋_GB2312"/>
          <w:color w:val="auto"/>
          <w:sz w:val="32"/>
          <w:szCs w:val="32"/>
          <w:lang w:val="en-US" w:eastAsia="zh-CN"/>
        </w:rPr>
        <w:t>5</w:t>
      </w:r>
      <w:r>
        <w:rPr>
          <w:rFonts w:hint="eastAsia" w:eastAsia="仿宋_GB2312"/>
          <w:color w:val="auto"/>
          <w:sz w:val="32"/>
          <w:szCs w:val="32"/>
        </w:rPr>
        <w:t>.研究资料</w:t>
      </w:r>
    </w:p>
    <w:p w14:paraId="4F7B3ECC">
      <w:pPr>
        <w:keepNext w:val="0"/>
        <w:keepLines w:val="0"/>
        <w:pageBreakBefore w:val="0"/>
        <w:kinsoku/>
        <w:wordWrap/>
        <w:overflowPunct/>
        <w:topLinePunct w:val="0"/>
        <w:bidi w:val="0"/>
        <w:spacing w:line="520" w:lineRule="exact"/>
        <w:ind w:left="1061" w:hanging="420" w:firstLineChars="0"/>
        <w:textAlignment w:val="auto"/>
        <w:outlineLvl w:val="2"/>
        <w:rPr>
          <w:rFonts w:hint="eastAsia" w:eastAsia="仿宋_GB2312"/>
          <w:color w:val="auto"/>
          <w:sz w:val="32"/>
          <w:szCs w:val="32"/>
          <w:lang w:val="en-US" w:eastAsia="zh-CN"/>
        </w:rPr>
      </w:pPr>
      <w:r>
        <w:rPr>
          <w:rFonts w:hint="eastAsia" w:eastAsia="仿宋_GB2312"/>
          <w:color w:val="auto"/>
          <w:sz w:val="32"/>
          <w:szCs w:val="32"/>
          <w:lang w:val="en-US" w:eastAsia="zh-CN"/>
        </w:rPr>
        <w:t>5.1产品性能研究</w:t>
      </w:r>
    </w:p>
    <w:p w14:paraId="49E0D013">
      <w:pPr>
        <w:keepNext w:val="0"/>
        <w:keepLines w:val="0"/>
        <w:pageBreakBefore w:val="0"/>
        <w:kinsoku/>
        <w:wordWrap/>
        <w:overflowPunct/>
        <w:topLinePunct w:val="0"/>
        <w:bidi w:val="0"/>
        <w:spacing w:line="520" w:lineRule="exact"/>
        <w:ind w:firstLine="640" w:firstLineChars="200"/>
        <w:textAlignment w:val="auto"/>
        <w:outlineLvl w:val="2"/>
        <w:rPr>
          <w:rFonts w:eastAsia="仿宋_GB2312"/>
          <w:color w:val="auto"/>
          <w:sz w:val="32"/>
          <w:szCs w:val="32"/>
        </w:rPr>
      </w:pPr>
      <w:r>
        <w:rPr>
          <w:rFonts w:eastAsia="仿宋_GB2312"/>
          <w:color w:val="auto"/>
          <w:sz w:val="32"/>
          <w:szCs w:val="32"/>
        </w:rPr>
        <w:t>应当提供产品性能研究资料以及产品技术要求的研究和编制说明，包括有效性、安全性指标以及与质量控制相关的其他指标的确定依据、所采用的标准或方法、采用的原因及理论基础等。</w:t>
      </w:r>
    </w:p>
    <w:p w14:paraId="02BA4433">
      <w:pPr>
        <w:keepNext w:val="0"/>
        <w:keepLines w:val="0"/>
        <w:pageBreakBefore w:val="0"/>
        <w:kinsoku/>
        <w:wordWrap/>
        <w:overflowPunct/>
        <w:topLinePunct w:val="0"/>
        <w:bidi w:val="0"/>
        <w:spacing w:line="520" w:lineRule="exact"/>
        <w:ind w:firstLine="640" w:firstLineChars="200"/>
        <w:textAlignment w:val="auto"/>
        <w:outlineLvl w:val="2"/>
        <w:rPr>
          <w:rFonts w:hint="eastAsia" w:eastAsia="仿宋_GB2312" w:cs="仿宋_GB2312"/>
          <w:color w:val="auto"/>
          <w:sz w:val="32"/>
          <w:szCs w:val="32"/>
        </w:rPr>
      </w:pPr>
      <w:r>
        <w:rPr>
          <w:rFonts w:hint="eastAsia" w:eastAsia="仿宋_GB2312" w:cs="仿宋_GB2312"/>
          <w:color w:val="auto"/>
          <w:sz w:val="32"/>
          <w:szCs w:val="32"/>
        </w:rPr>
        <w:t>列明产品生产过程中由起始材料至终产品所需全部材料（包括添加剂、助剂等）的基本信息，如部件、化学名称、商品名/材料代号、供应商、生产商、符合的标准等。原材料应具有稳定的供货渠道以保证产品质量，应提供所用原材料的质量控制标准和检验报告。</w:t>
      </w:r>
    </w:p>
    <w:p w14:paraId="4E39917E">
      <w:pPr>
        <w:keepNext w:val="0"/>
        <w:keepLines w:val="0"/>
        <w:pageBreakBefore w:val="0"/>
        <w:kinsoku/>
        <w:wordWrap/>
        <w:overflowPunct/>
        <w:topLinePunct w:val="0"/>
        <w:bidi w:val="0"/>
        <w:snapToGrid w:val="0"/>
        <w:spacing w:line="520" w:lineRule="exact"/>
        <w:ind w:firstLine="640" w:firstLineChars="200"/>
        <w:textAlignment w:val="auto"/>
        <w:rPr>
          <w:rFonts w:eastAsia="仿宋_GB2312"/>
          <w:color w:val="auto"/>
          <w:sz w:val="32"/>
          <w:szCs w:val="32"/>
        </w:rPr>
      </w:pPr>
      <w:r>
        <w:rPr>
          <w:rFonts w:eastAsia="仿宋_GB2312"/>
          <w:color w:val="auto"/>
          <w:sz w:val="32"/>
          <w:szCs w:val="32"/>
        </w:rPr>
        <w:t>对于首次应用于医疗器械的新材料，应提供该材料适用性相关研究资料。</w:t>
      </w:r>
      <w:r>
        <w:rPr>
          <w:rFonts w:hint="eastAsia" w:eastAsia="仿宋_GB2312"/>
          <w:color w:val="auto"/>
          <w:sz w:val="32"/>
          <w:szCs w:val="32"/>
        </w:rPr>
        <w:t>有特殊设计、性能和结构的，应提供相应研究和验证资料。</w:t>
      </w:r>
    </w:p>
    <w:p w14:paraId="03B114BE">
      <w:pPr>
        <w:keepNext w:val="0"/>
        <w:keepLines w:val="0"/>
        <w:pageBreakBefore w:val="0"/>
        <w:kinsoku/>
        <w:wordWrap/>
        <w:overflowPunct/>
        <w:topLinePunct w:val="0"/>
        <w:bidi w:val="0"/>
        <w:spacing w:line="520" w:lineRule="exact"/>
        <w:ind w:firstLine="640" w:firstLineChars="200"/>
        <w:textAlignment w:val="auto"/>
        <w:outlineLvl w:val="2"/>
        <w:rPr>
          <w:rFonts w:eastAsia="仿宋_GB2312"/>
          <w:color w:val="auto"/>
          <w:sz w:val="32"/>
          <w:szCs w:val="32"/>
        </w:rPr>
      </w:pPr>
      <w:r>
        <w:rPr>
          <w:rFonts w:hint="eastAsia" w:eastAsia="仿宋_GB2312"/>
          <w:color w:val="auto"/>
          <w:sz w:val="32"/>
          <w:szCs w:val="32"/>
        </w:rPr>
        <w:t>5.2</w:t>
      </w:r>
      <w:r>
        <w:rPr>
          <w:rFonts w:eastAsia="仿宋_GB2312"/>
          <w:color w:val="auto"/>
          <w:sz w:val="32"/>
          <w:szCs w:val="32"/>
        </w:rPr>
        <w:t>生物相容性的评价研究</w:t>
      </w:r>
    </w:p>
    <w:p w14:paraId="19F19261">
      <w:pPr>
        <w:keepNext w:val="0"/>
        <w:keepLines w:val="0"/>
        <w:pageBreakBefore w:val="0"/>
        <w:kinsoku/>
        <w:wordWrap/>
        <w:overflowPunct/>
        <w:topLinePunct w:val="0"/>
        <w:bidi w:val="0"/>
        <w:snapToGrid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生物相容性评价研究资料应当包括：生物相容性评价的依据和方法；产品所用材料的描述及与人体接触的性质；实施或豁免生物学试验的理由和论证；对于现有数据或试验结果的评价。</w:t>
      </w:r>
    </w:p>
    <w:p w14:paraId="7F4FD6EF">
      <w:pPr>
        <w:keepNext w:val="0"/>
        <w:keepLines w:val="0"/>
        <w:pageBreakBefore w:val="0"/>
        <w:kinsoku/>
        <w:wordWrap/>
        <w:overflowPunct/>
        <w:topLinePunct w:val="0"/>
        <w:bidi w:val="0"/>
        <w:spacing w:line="520" w:lineRule="exact"/>
        <w:ind w:firstLine="640" w:firstLineChars="200"/>
        <w:textAlignment w:val="auto"/>
        <w:rPr>
          <w:rFonts w:hint="eastAsia" w:eastAsia="仿宋_GB2312"/>
          <w:color w:val="auto"/>
          <w:sz w:val="32"/>
          <w:szCs w:val="32"/>
          <w:lang w:val="en-US" w:eastAsia="zh-CN"/>
        </w:rPr>
      </w:pPr>
      <w:r>
        <w:rPr>
          <w:rFonts w:eastAsia="仿宋_GB2312"/>
          <w:color w:val="auto"/>
          <w:sz w:val="32"/>
          <w:szCs w:val="32"/>
        </w:rPr>
        <w:t>产品注册时应根据产品所用材料及与人体的接触</w:t>
      </w:r>
      <w:r>
        <w:rPr>
          <w:rFonts w:hint="eastAsia" w:eastAsia="仿宋_GB2312"/>
          <w:color w:val="auto"/>
          <w:sz w:val="32"/>
          <w:szCs w:val="32"/>
        </w:rPr>
        <w:t>性质、接触时间</w:t>
      </w:r>
      <w:r>
        <w:rPr>
          <w:rFonts w:eastAsia="仿宋_GB2312"/>
          <w:color w:val="auto"/>
          <w:sz w:val="32"/>
          <w:szCs w:val="32"/>
        </w:rPr>
        <w:t>，</w:t>
      </w:r>
      <w:r>
        <w:rPr>
          <w:rFonts w:hint="eastAsia" w:eastAsia="仿宋_GB2312"/>
          <w:color w:val="auto"/>
          <w:sz w:val="32"/>
          <w:szCs w:val="32"/>
        </w:rPr>
        <w:t>参照</w:t>
      </w:r>
      <w:r>
        <w:rPr>
          <w:rFonts w:eastAsia="仿宋_GB2312"/>
          <w:color w:val="auto"/>
          <w:sz w:val="32"/>
          <w:szCs w:val="32"/>
        </w:rPr>
        <w:t>GB/T</w:t>
      </w:r>
      <w:r>
        <w:rPr>
          <w:rFonts w:hint="eastAsia" w:eastAsia="仿宋_GB2312"/>
          <w:color w:val="auto"/>
          <w:sz w:val="32"/>
          <w:szCs w:val="32"/>
        </w:rPr>
        <w:t xml:space="preserve"> </w:t>
      </w:r>
      <w:r>
        <w:rPr>
          <w:rFonts w:eastAsia="仿宋_GB2312"/>
          <w:color w:val="auto"/>
          <w:sz w:val="32"/>
          <w:szCs w:val="32"/>
        </w:rPr>
        <w:t>16886.1《医疗器械生物学评价 第1部分：风险管理过程中的评价与试验》</w:t>
      </w:r>
      <w:r>
        <w:rPr>
          <w:rFonts w:hint="eastAsia" w:eastAsia="仿宋_GB2312"/>
          <w:color w:val="auto"/>
          <w:sz w:val="32"/>
          <w:szCs w:val="32"/>
          <w:lang w:eastAsia="zh-CN"/>
        </w:rPr>
        <w:t>、</w:t>
      </w:r>
      <w:r>
        <w:rPr>
          <w:rFonts w:hint="eastAsia" w:eastAsia="仿宋_GB2312"/>
          <w:color w:val="auto"/>
          <w:sz w:val="32"/>
          <w:szCs w:val="32"/>
        </w:rPr>
        <w:t>YY/T1778.1《医疗应用中呼吸气体通路生物相容性评价 第1部分：风险管理过程中的评价与试验》</w:t>
      </w:r>
      <w:r>
        <w:rPr>
          <w:rFonts w:hint="eastAsia" w:eastAsia="仿宋_GB2312"/>
          <w:color w:val="auto"/>
          <w:sz w:val="32"/>
          <w:szCs w:val="32"/>
          <w:lang w:val="en-US" w:eastAsia="zh-CN"/>
        </w:rPr>
        <w:t>进行生物相容性评价。</w:t>
      </w:r>
    </w:p>
    <w:p w14:paraId="2054C3AB">
      <w:pPr>
        <w:keepNext w:val="0"/>
        <w:keepLines w:val="0"/>
        <w:pageBreakBefore w:val="0"/>
        <w:kinsoku/>
        <w:wordWrap/>
        <w:overflowPunct/>
        <w:topLinePunct w:val="0"/>
        <w:bidi w:val="0"/>
        <w:spacing w:line="520" w:lineRule="exact"/>
        <w:ind w:firstLine="640" w:firstLineChars="200"/>
        <w:textAlignment w:val="auto"/>
        <w:rPr>
          <w:rFonts w:hint="eastAsia"/>
          <w:color w:val="auto"/>
        </w:rPr>
      </w:pPr>
      <w:r>
        <w:rPr>
          <w:rFonts w:hint="eastAsia" w:eastAsia="仿宋_GB2312" w:cs="仿宋_GB2312"/>
          <w:snapToGrid w:val="0"/>
          <w:color w:val="auto"/>
          <w:sz w:val="32"/>
          <w:szCs w:val="32"/>
        </w:rPr>
        <w:t>若开展申报产品与市售产品的等同性比较的方式进行生物相容性评价，应按照《关于印发医疗器械生物学评价和审查指南的通知》要求进行评价，应提供资料证明申报产品与已上市产品具有等同性。</w:t>
      </w:r>
    </w:p>
    <w:p w14:paraId="6EA955EE">
      <w:pPr>
        <w:keepNext w:val="0"/>
        <w:keepLines w:val="0"/>
        <w:pageBreakBefore w:val="0"/>
        <w:kinsoku/>
        <w:wordWrap/>
        <w:overflowPunct/>
        <w:topLinePunct w:val="0"/>
        <w:bidi w:val="0"/>
        <w:spacing w:line="520" w:lineRule="exact"/>
        <w:ind w:firstLine="640" w:firstLineChars="200"/>
        <w:textAlignment w:val="auto"/>
        <w:outlineLvl w:val="2"/>
        <w:rPr>
          <w:rFonts w:eastAsia="仿宋_GB2312"/>
          <w:color w:val="auto"/>
          <w:sz w:val="32"/>
          <w:szCs w:val="32"/>
        </w:rPr>
      </w:pPr>
      <w:r>
        <w:rPr>
          <w:rFonts w:hint="eastAsia" w:eastAsia="仿宋_GB2312"/>
          <w:color w:val="auto"/>
          <w:sz w:val="32"/>
          <w:szCs w:val="32"/>
        </w:rPr>
        <w:t>5.3</w:t>
      </w:r>
      <w:r>
        <w:rPr>
          <w:rFonts w:eastAsia="仿宋_GB2312"/>
          <w:color w:val="auto"/>
          <w:sz w:val="32"/>
          <w:szCs w:val="32"/>
        </w:rPr>
        <w:t>灭菌工艺研究</w:t>
      </w:r>
    </w:p>
    <w:p w14:paraId="69E10326">
      <w:pPr>
        <w:keepNext w:val="0"/>
        <w:keepLines w:val="0"/>
        <w:pageBreakBefore w:val="0"/>
        <w:kinsoku/>
        <w:wordWrap/>
        <w:overflowPunct/>
        <w:topLinePunct w:val="0"/>
        <w:bidi w:val="0"/>
        <w:snapToGrid w:val="0"/>
        <w:spacing w:line="520" w:lineRule="exact"/>
        <w:ind w:firstLine="640" w:firstLineChars="200"/>
        <w:textAlignment w:val="auto"/>
        <w:rPr>
          <w:rFonts w:hint="eastAsia" w:eastAsia="仿宋_GB2312"/>
          <w:color w:val="auto"/>
          <w:sz w:val="32"/>
          <w:szCs w:val="32"/>
        </w:rPr>
      </w:pPr>
      <w:r>
        <w:rPr>
          <w:rFonts w:hint="eastAsia" w:eastAsia="仿宋_GB2312"/>
          <w:color w:val="auto"/>
          <w:sz w:val="32"/>
          <w:szCs w:val="32"/>
        </w:rPr>
        <w:t>申报产品</w:t>
      </w:r>
      <w:r>
        <w:rPr>
          <w:rFonts w:hint="eastAsia" w:eastAsia="仿宋_GB2312"/>
          <w:color w:val="auto"/>
          <w:sz w:val="32"/>
          <w:szCs w:val="32"/>
          <w:lang w:val="en-US" w:eastAsia="zh-CN"/>
        </w:rPr>
        <w:t>若</w:t>
      </w:r>
      <w:r>
        <w:rPr>
          <w:rFonts w:hint="eastAsia" w:eastAsia="仿宋_GB2312"/>
          <w:color w:val="auto"/>
          <w:sz w:val="32"/>
          <w:szCs w:val="32"/>
        </w:rPr>
        <w:t>为无菌提供，应明确灭菌工艺（方法和参数）和无菌保证水平（SAL），提供灭菌确认报告，并对残留毒性提供研究资料。主要原材料不同、灭菌方式不同的产品，应分别开展相关研究。</w:t>
      </w:r>
    </w:p>
    <w:p w14:paraId="5AF48946">
      <w:pPr>
        <w:keepNext w:val="0"/>
        <w:keepLines w:val="0"/>
        <w:pageBreakBefore w:val="0"/>
        <w:kinsoku/>
        <w:wordWrap/>
        <w:overflowPunct/>
        <w:topLinePunct w:val="0"/>
        <w:bidi w:val="0"/>
        <w:snapToGrid w:val="0"/>
        <w:spacing w:line="520" w:lineRule="exact"/>
        <w:ind w:firstLine="640" w:firstLineChars="200"/>
        <w:textAlignment w:val="auto"/>
        <w:rPr>
          <w:rFonts w:hint="eastAsia" w:eastAsia="仿宋_GB2312"/>
          <w:color w:val="auto"/>
          <w:sz w:val="32"/>
          <w:szCs w:val="32"/>
        </w:rPr>
      </w:pPr>
      <w:r>
        <w:rPr>
          <w:rFonts w:hint="eastAsia" w:eastAsia="仿宋_GB2312"/>
          <w:color w:val="auto"/>
          <w:sz w:val="32"/>
          <w:szCs w:val="32"/>
        </w:rPr>
        <w:t>应参考GB 18279系列标准、GB 18280系列标准和GB/T 16886.7《医疗器械生物学评价 第7部分：环氧乙烷灭菌残留量》提交产品包装及灭菌方法选择的依据，经过确认并进行常规控制。</w:t>
      </w:r>
    </w:p>
    <w:p w14:paraId="1155D1FE">
      <w:pPr>
        <w:keepNext w:val="0"/>
        <w:keepLines w:val="0"/>
        <w:pageBreakBefore w:val="0"/>
        <w:kinsoku/>
        <w:wordWrap/>
        <w:overflowPunct/>
        <w:topLinePunct w:val="0"/>
        <w:bidi w:val="0"/>
        <w:spacing w:line="520" w:lineRule="exact"/>
        <w:ind w:firstLine="640" w:firstLineChars="200"/>
        <w:textAlignment w:val="auto"/>
        <w:outlineLvl w:val="2"/>
        <w:rPr>
          <w:rFonts w:eastAsia="仿宋_GB2312"/>
          <w:color w:val="auto"/>
          <w:sz w:val="32"/>
          <w:szCs w:val="32"/>
        </w:rPr>
      </w:pPr>
      <w:r>
        <w:rPr>
          <w:rFonts w:hint="eastAsia" w:eastAsia="仿宋_GB2312"/>
          <w:color w:val="auto"/>
          <w:sz w:val="32"/>
          <w:szCs w:val="32"/>
        </w:rPr>
        <w:t>5.4</w:t>
      </w:r>
      <w:r>
        <w:rPr>
          <w:rFonts w:hint="eastAsia" w:eastAsia="仿宋_GB2312"/>
          <w:color w:val="auto"/>
          <w:sz w:val="32"/>
          <w:szCs w:val="32"/>
          <w:lang w:val="en-US" w:eastAsia="zh-CN"/>
        </w:rPr>
        <w:t>产品</w:t>
      </w:r>
      <w:r>
        <w:rPr>
          <w:rFonts w:hint="eastAsia" w:eastAsia="仿宋_GB2312"/>
          <w:color w:val="auto"/>
          <w:sz w:val="32"/>
          <w:szCs w:val="32"/>
        </w:rPr>
        <w:t>稳定性</w:t>
      </w:r>
      <w:r>
        <w:rPr>
          <w:rFonts w:eastAsia="仿宋_GB2312"/>
          <w:color w:val="auto"/>
          <w:sz w:val="32"/>
          <w:szCs w:val="32"/>
        </w:rPr>
        <w:t>研究</w:t>
      </w:r>
    </w:p>
    <w:p w14:paraId="176D650D">
      <w:pPr>
        <w:keepNext w:val="0"/>
        <w:keepLines w:val="0"/>
        <w:pageBreakBefore w:val="0"/>
        <w:kinsoku/>
        <w:wordWrap/>
        <w:overflowPunct/>
        <w:topLinePunct w:val="0"/>
        <w:bidi w:val="0"/>
        <w:spacing w:line="520" w:lineRule="exact"/>
        <w:ind w:firstLine="640" w:firstLineChars="200"/>
        <w:textAlignment w:val="auto"/>
        <w:outlineLvl w:val="2"/>
        <w:rPr>
          <w:rFonts w:eastAsia="仿宋_GB2312"/>
          <w:color w:val="auto"/>
          <w:sz w:val="32"/>
          <w:szCs w:val="32"/>
        </w:rPr>
      </w:pPr>
      <w:r>
        <w:rPr>
          <w:rFonts w:hint="eastAsia" w:eastAsia="仿宋_GB2312"/>
          <w:color w:val="auto"/>
          <w:sz w:val="32"/>
          <w:szCs w:val="32"/>
        </w:rPr>
        <w:t>5.4.1货架有效期</w:t>
      </w:r>
    </w:p>
    <w:p w14:paraId="7562649A">
      <w:pPr>
        <w:keepNext w:val="0"/>
        <w:keepLines w:val="0"/>
        <w:pageBreakBefore w:val="0"/>
        <w:kinsoku/>
        <w:wordWrap/>
        <w:overflowPunct/>
        <w:topLinePunct w:val="0"/>
        <w:bidi w:val="0"/>
        <w:snapToGrid w:val="0"/>
        <w:spacing w:line="520" w:lineRule="exact"/>
        <w:ind w:firstLine="640" w:firstLineChars="200"/>
        <w:textAlignment w:val="auto"/>
        <w:rPr>
          <w:rFonts w:hint="eastAsia" w:eastAsia="仿宋_GB2312"/>
          <w:color w:val="auto"/>
          <w:sz w:val="32"/>
          <w:szCs w:val="32"/>
        </w:rPr>
      </w:pPr>
      <w:r>
        <w:rPr>
          <w:rFonts w:hint="eastAsia" w:eastAsia="仿宋_GB2312"/>
          <w:color w:val="auto"/>
          <w:sz w:val="32"/>
          <w:szCs w:val="32"/>
        </w:rPr>
        <w:t>应提供产品货架的验证资料，</w:t>
      </w:r>
      <w:r>
        <w:rPr>
          <w:rFonts w:hint="eastAsia" w:eastAsia="仿宋_GB2312" w:cs="仿宋_GB2312"/>
          <w:color w:val="auto"/>
          <w:sz w:val="32"/>
          <w:szCs w:val="32"/>
        </w:rPr>
        <w:t>证明在货架有效期内，产品可保持性能功能满足使用要求</w:t>
      </w:r>
      <w:r>
        <w:rPr>
          <w:rFonts w:hint="eastAsia" w:eastAsia="仿宋_GB2312"/>
          <w:color w:val="auto"/>
          <w:sz w:val="32"/>
          <w:szCs w:val="32"/>
        </w:rPr>
        <w:t>。不同灭菌方式、不同包装材料的产品，应分别进行有效期验证和包装研究。</w:t>
      </w:r>
    </w:p>
    <w:p w14:paraId="0B7B9565">
      <w:pPr>
        <w:keepNext w:val="0"/>
        <w:keepLines w:val="0"/>
        <w:pageBreakBefore w:val="0"/>
        <w:kinsoku/>
        <w:wordWrap/>
        <w:overflowPunct/>
        <w:topLinePunct w:val="0"/>
        <w:bidi w:val="0"/>
        <w:snapToGrid w:val="0"/>
        <w:spacing w:line="520" w:lineRule="exact"/>
        <w:ind w:firstLine="640" w:firstLineChars="200"/>
        <w:textAlignment w:val="auto"/>
        <w:rPr>
          <w:rFonts w:eastAsia="仿宋_GB2312"/>
          <w:color w:val="auto"/>
          <w:kern w:val="0"/>
          <w:sz w:val="32"/>
          <w:szCs w:val="32"/>
        </w:rPr>
      </w:pPr>
      <w:r>
        <w:rPr>
          <w:rFonts w:eastAsia="仿宋_GB2312"/>
          <w:color w:val="auto"/>
          <w:sz w:val="32"/>
          <w:szCs w:val="32"/>
        </w:rPr>
        <w:t>产品有效期的验证可采用实时老化或加速老化的研究。</w:t>
      </w:r>
      <w:r>
        <w:rPr>
          <w:rFonts w:eastAsia="仿宋_GB2312"/>
          <w:color w:val="auto"/>
          <w:kern w:val="0"/>
          <w:sz w:val="32"/>
          <w:szCs w:val="32"/>
        </w:rPr>
        <w:t>在稳定性研究中应监测整个有效期内确保产品安全性和有效性的关键参数。</w:t>
      </w:r>
      <w:r>
        <w:rPr>
          <w:rFonts w:eastAsia="仿宋_GB2312"/>
          <w:color w:val="auto"/>
          <w:sz w:val="32"/>
          <w:szCs w:val="32"/>
        </w:rPr>
        <w:t>加速老化研究试验的具体要求可参照YY/T 0681</w:t>
      </w:r>
      <w:r>
        <w:rPr>
          <w:rFonts w:hint="eastAsia" w:eastAsia="仿宋_GB2312"/>
          <w:color w:val="auto"/>
          <w:sz w:val="32"/>
          <w:szCs w:val="32"/>
        </w:rPr>
        <w:t>系列标准</w:t>
      </w:r>
      <w:r>
        <w:rPr>
          <w:rFonts w:eastAsia="仿宋_GB2312"/>
          <w:color w:val="auto"/>
          <w:sz w:val="32"/>
          <w:szCs w:val="32"/>
        </w:rPr>
        <w:t>。</w:t>
      </w:r>
    </w:p>
    <w:p w14:paraId="65E17776">
      <w:pPr>
        <w:keepNext w:val="0"/>
        <w:keepLines w:val="0"/>
        <w:pageBreakBefore w:val="0"/>
        <w:kinsoku/>
        <w:wordWrap/>
        <w:overflowPunct/>
        <w:topLinePunct w:val="0"/>
        <w:bidi w:val="0"/>
        <w:snapToGrid w:val="0"/>
        <w:spacing w:line="520" w:lineRule="exact"/>
        <w:ind w:firstLine="640" w:firstLineChars="200"/>
        <w:textAlignment w:val="auto"/>
        <w:rPr>
          <w:rFonts w:eastAsia="仿宋_GB2312"/>
          <w:color w:val="auto"/>
          <w:sz w:val="32"/>
          <w:szCs w:val="32"/>
        </w:rPr>
      </w:pPr>
      <w:r>
        <w:rPr>
          <w:rFonts w:eastAsia="仿宋_GB2312"/>
          <w:color w:val="auto"/>
          <w:sz w:val="32"/>
          <w:szCs w:val="32"/>
        </w:rPr>
        <w:t>在进行加速老化试验研究时应注意：产品选择的环境条件的老化机制应与宣称的运输储存条件真实下发生产品老化的机制相匹配。</w:t>
      </w:r>
      <w:r>
        <w:rPr>
          <w:rFonts w:hint="eastAsia" w:eastAsia="仿宋_GB2312" w:cs="仿宋_GB2312"/>
          <w:snapToGrid w:val="0"/>
          <w:color w:val="auto"/>
          <w:sz w:val="32"/>
          <w:szCs w:val="32"/>
        </w:rPr>
        <w:t>实时老化的研究是唯一能够反映产品在规定储存条件下实际稳定性要求的方法，当加速稳定性试验与实时稳定性试验结果不一致时，应以实时稳定性试验结果为准。</w:t>
      </w:r>
    </w:p>
    <w:p w14:paraId="5C8AD454">
      <w:pPr>
        <w:keepNext w:val="0"/>
        <w:keepLines w:val="0"/>
        <w:pageBreakBefore w:val="0"/>
        <w:kinsoku/>
        <w:wordWrap/>
        <w:overflowPunct/>
        <w:topLinePunct w:val="0"/>
        <w:bidi w:val="0"/>
        <w:snapToGrid w:val="0"/>
        <w:spacing w:line="520" w:lineRule="exact"/>
        <w:ind w:firstLine="640" w:firstLineChars="200"/>
        <w:textAlignment w:val="auto"/>
        <w:rPr>
          <w:rFonts w:hint="eastAsia" w:eastAsia="仿宋_GB2312"/>
          <w:color w:val="auto"/>
          <w:sz w:val="32"/>
          <w:szCs w:val="32"/>
        </w:rPr>
      </w:pPr>
      <w:r>
        <w:rPr>
          <w:rFonts w:hint="eastAsia" w:eastAsia="仿宋_GB2312"/>
          <w:color w:val="auto"/>
          <w:sz w:val="32"/>
          <w:szCs w:val="32"/>
        </w:rPr>
        <w:t>5.4.2运输稳定性</w:t>
      </w:r>
    </w:p>
    <w:p w14:paraId="501ED5A6">
      <w:pPr>
        <w:keepNext w:val="0"/>
        <w:keepLines w:val="0"/>
        <w:pageBreakBefore w:val="0"/>
        <w:kinsoku/>
        <w:wordWrap/>
        <w:overflowPunct/>
        <w:topLinePunct w:val="0"/>
        <w:bidi w:val="0"/>
        <w:snapToGrid w:val="0"/>
        <w:spacing w:line="520" w:lineRule="exact"/>
        <w:ind w:firstLine="640" w:firstLineChars="200"/>
        <w:textAlignment w:val="auto"/>
        <w:rPr>
          <w:rFonts w:hint="eastAsia" w:eastAsia="仿宋_GB2312" w:cs="仿宋_GB2312"/>
          <w:color w:val="auto"/>
          <w:sz w:val="32"/>
          <w:szCs w:val="32"/>
        </w:rPr>
      </w:pPr>
      <w:r>
        <w:rPr>
          <w:rFonts w:hint="eastAsia" w:eastAsia="仿宋_GB2312" w:cs="仿宋_GB2312"/>
          <w:color w:val="auto"/>
          <w:sz w:val="32"/>
          <w:szCs w:val="32"/>
        </w:rPr>
        <w:t>应当提供运输稳定性和包装研究资料，证明在生产企业规定的运输条件下，运输过程中的环境条件（例如：震动、振动、温度和湿度的波动）不会对医疗器械的特性和性能，包括完整性和清洁度，造成不利影响。可参考</w:t>
      </w:r>
      <w:r>
        <w:rPr>
          <w:rFonts w:eastAsia="仿宋_GB2312" w:cs="仿宋_GB2312"/>
          <w:snapToGrid w:val="0"/>
          <w:color w:val="auto"/>
          <w:sz w:val="32"/>
          <w:szCs w:val="32"/>
        </w:rPr>
        <w:t>GB/T 4857系列标准</w:t>
      </w:r>
      <w:r>
        <w:rPr>
          <w:rFonts w:eastAsia="仿宋_GB2312"/>
          <w:color w:val="auto"/>
          <w:sz w:val="32"/>
          <w:szCs w:val="32"/>
        </w:rPr>
        <w:t>提供研究资料</w:t>
      </w:r>
      <w:r>
        <w:rPr>
          <w:rFonts w:hint="eastAsia" w:eastAsia="仿宋_GB2312"/>
          <w:color w:val="auto"/>
          <w:sz w:val="32"/>
          <w:szCs w:val="32"/>
        </w:rPr>
        <w:t>。</w:t>
      </w:r>
    </w:p>
    <w:p w14:paraId="4B553D12">
      <w:pPr>
        <w:keepNext w:val="0"/>
        <w:keepLines w:val="0"/>
        <w:pageBreakBefore w:val="0"/>
        <w:kinsoku/>
        <w:wordWrap/>
        <w:overflowPunct/>
        <w:topLinePunct w:val="0"/>
        <w:bidi w:val="0"/>
        <w:snapToGrid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包装验证资料</w:t>
      </w:r>
      <w:r>
        <w:rPr>
          <w:rFonts w:eastAsia="仿宋_GB2312"/>
          <w:color w:val="auto"/>
          <w:sz w:val="32"/>
          <w:szCs w:val="32"/>
        </w:rPr>
        <w:t>：</w:t>
      </w:r>
      <w:r>
        <w:rPr>
          <w:rFonts w:hint="eastAsia" w:eastAsia="仿宋_GB2312" w:cs="仿宋_GB2312"/>
          <w:snapToGrid w:val="0"/>
          <w:color w:val="auto"/>
          <w:sz w:val="32"/>
          <w:szCs w:val="32"/>
        </w:rPr>
        <w:t>包装研究资料应包括封口试验以及包装材料对灭菌的适应性研究。</w:t>
      </w:r>
      <w:r>
        <w:rPr>
          <w:rFonts w:eastAsia="仿宋_GB2312"/>
          <w:color w:val="auto"/>
          <w:sz w:val="32"/>
          <w:szCs w:val="32"/>
        </w:rPr>
        <w:t>可参考GB/T 19633</w:t>
      </w:r>
      <w:r>
        <w:rPr>
          <w:rFonts w:hint="eastAsia" w:eastAsia="仿宋_GB2312"/>
          <w:color w:val="auto"/>
          <w:sz w:val="32"/>
          <w:szCs w:val="32"/>
        </w:rPr>
        <w:t>系列标准</w:t>
      </w:r>
      <w:r>
        <w:rPr>
          <w:rFonts w:eastAsia="仿宋_GB2312"/>
          <w:color w:val="auto"/>
          <w:sz w:val="32"/>
          <w:szCs w:val="32"/>
        </w:rPr>
        <w:t>、YY/T 0698</w:t>
      </w:r>
      <w:r>
        <w:rPr>
          <w:rFonts w:hint="eastAsia" w:eastAsia="仿宋_GB2312"/>
          <w:color w:val="auto"/>
          <w:sz w:val="32"/>
          <w:szCs w:val="32"/>
        </w:rPr>
        <w:t>系列标准、YY/T0681</w:t>
      </w:r>
      <w:r>
        <w:rPr>
          <w:rFonts w:eastAsia="仿宋_GB2312"/>
          <w:color w:val="auto"/>
          <w:sz w:val="32"/>
          <w:szCs w:val="32"/>
        </w:rPr>
        <w:t>系列标准提供研究资料。</w:t>
      </w:r>
    </w:p>
    <w:p w14:paraId="24DA2979">
      <w:pPr>
        <w:keepNext w:val="0"/>
        <w:keepLines w:val="0"/>
        <w:pageBreakBefore w:val="0"/>
        <w:kinsoku/>
        <w:wordWrap/>
        <w:overflowPunct/>
        <w:topLinePunct w:val="0"/>
        <w:bidi w:val="0"/>
        <w:spacing w:line="520" w:lineRule="exact"/>
        <w:ind w:left="2" w:firstLine="640" w:firstLineChars="200"/>
        <w:textAlignment w:val="auto"/>
        <w:rPr>
          <w:rFonts w:eastAsia="仿宋_GB2312"/>
          <w:color w:val="auto"/>
          <w:sz w:val="32"/>
          <w:szCs w:val="32"/>
        </w:rPr>
      </w:pPr>
      <w:r>
        <w:rPr>
          <w:rFonts w:hint="eastAsia" w:eastAsia="仿宋_GB2312"/>
          <w:color w:val="auto"/>
          <w:sz w:val="32"/>
          <w:szCs w:val="32"/>
        </w:rPr>
        <w:t>5.5证明产品安全性、有效性的</w:t>
      </w:r>
      <w:r>
        <w:rPr>
          <w:rFonts w:eastAsia="仿宋_GB2312"/>
          <w:color w:val="auto"/>
          <w:sz w:val="32"/>
          <w:szCs w:val="32"/>
        </w:rPr>
        <w:t>其他</w:t>
      </w:r>
      <w:r>
        <w:rPr>
          <w:rFonts w:hint="eastAsia" w:eastAsia="仿宋_GB2312"/>
          <w:color w:val="auto"/>
          <w:sz w:val="32"/>
          <w:szCs w:val="32"/>
        </w:rPr>
        <w:t>研究资料</w:t>
      </w:r>
    </w:p>
    <w:p w14:paraId="77F4AD42">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rPr>
      </w:pPr>
      <w:r>
        <w:rPr>
          <w:rFonts w:hint="eastAsia" w:eastAsia="仿宋_GB2312"/>
          <w:color w:val="auto"/>
          <w:sz w:val="32"/>
          <w:szCs w:val="32"/>
          <w:lang w:val="en-US" w:eastAsia="zh-CN"/>
        </w:rPr>
        <w:t>若</w:t>
      </w:r>
      <w:r>
        <w:rPr>
          <w:rFonts w:hint="eastAsia" w:eastAsia="仿宋_GB2312"/>
          <w:color w:val="auto"/>
          <w:sz w:val="32"/>
          <w:szCs w:val="32"/>
        </w:rPr>
        <w:t>申报产品</w:t>
      </w:r>
      <w:r>
        <w:rPr>
          <w:rFonts w:eastAsia="仿宋_GB2312"/>
          <w:color w:val="auto"/>
          <w:sz w:val="32"/>
          <w:szCs w:val="32"/>
        </w:rPr>
        <w:t>与</w:t>
      </w:r>
      <w:r>
        <w:rPr>
          <w:rFonts w:hint="eastAsia" w:eastAsia="仿宋_GB2312"/>
          <w:color w:val="auto"/>
          <w:sz w:val="32"/>
          <w:szCs w:val="32"/>
          <w:lang w:val="en-US" w:eastAsia="zh-CN"/>
        </w:rPr>
        <w:t>药物</w:t>
      </w:r>
      <w:r>
        <w:rPr>
          <w:rFonts w:eastAsia="仿宋_GB2312"/>
          <w:color w:val="auto"/>
          <w:sz w:val="32"/>
          <w:szCs w:val="32"/>
        </w:rPr>
        <w:t>接触</w:t>
      </w:r>
      <w:r>
        <w:rPr>
          <w:rFonts w:hint="eastAsia" w:eastAsia="仿宋_GB2312"/>
          <w:color w:val="auto"/>
          <w:sz w:val="32"/>
          <w:szCs w:val="32"/>
          <w:lang w:eastAsia="zh-CN"/>
        </w:rPr>
        <w:t>，</w:t>
      </w:r>
      <w:r>
        <w:rPr>
          <w:rFonts w:hint="eastAsia" w:eastAsia="仿宋_GB2312"/>
          <w:color w:val="auto"/>
          <w:sz w:val="32"/>
          <w:szCs w:val="32"/>
          <w:lang w:val="en-US" w:eastAsia="zh-CN"/>
        </w:rPr>
        <w:t>应提供</w:t>
      </w:r>
      <w:r>
        <w:rPr>
          <w:rFonts w:hint="eastAsia" w:eastAsia="仿宋_GB2312"/>
          <w:color w:val="auto"/>
          <w:sz w:val="32"/>
          <w:szCs w:val="32"/>
        </w:rPr>
        <w:t>药物</w:t>
      </w:r>
      <w:r>
        <w:rPr>
          <w:rFonts w:eastAsia="仿宋_GB2312"/>
          <w:color w:val="auto"/>
          <w:sz w:val="32"/>
          <w:szCs w:val="32"/>
        </w:rPr>
        <w:t>相容性研究资料。</w:t>
      </w:r>
      <w:r>
        <w:rPr>
          <w:rFonts w:hint="eastAsia" w:eastAsia="仿宋_GB2312"/>
          <w:color w:val="auto"/>
          <w:sz w:val="32"/>
          <w:szCs w:val="32"/>
        </w:rPr>
        <w:t>如申报产品原材料工艺等</w:t>
      </w:r>
      <w:r>
        <w:rPr>
          <w:rStyle w:val="14"/>
          <w:rFonts w:hint="eastAsia" w:eastAsia="仿宋_GB2312"/>
          <w:color w:val="auto"/>
          <w:sz w:val="32"/>
          <w:szCs w:val="32"/>
        </w:rPr>
        <w:t>与</w:t>
      </w:r>
      <w:r>
        <w:rPr>
          <w:rFonts w:hint="eastAsia" w:eastAsia="仿宋_GB2312"/>
          <w:color w:val="auto"/>
          <w:sz w:val="32"/>
          <w:szCs w:val="32"/>
        </w:rPr>
        <w:t>已上市产品相同的，可通过已有的文献、数据和信息资料进行说明；采用新材料、新工艺的产品，应提供相应的</w:t>
      </w:r>
      <w:r>
        <w:rPr>
          <w:rFonts w:eastAsia="仿宋_GB2312"/>
          <w:color w:val="auto"/>
          <w:sz w:val="32"/>
          <w:szCs w:val="32"/>
        </w:rPr>
        <w:t>试验</w:t>
      </w:r>
      <w:r>
        <w:rPr>
          <w:rFonts w:hint="eastAsia" w:eastAsia="仿宋_GB2312"/>
          <w:color w:val="auto"/>
          <w:sz w:val="32"/>
          <w:szCs w:val="32"/>
        </w:rPr>
        <w:t>数据和分析评价资料。</w:t>
      </w:r>
    </w:p>
    <w:p w14:paraId="3771A29D">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z w:val="32"/>
          <w:szCs w:val="32"/>
        </w:rPr>
      </w:pPr>
      <w:r>
        <w:rPr>
          <w:rFonts w:hint="eastAsia" w:eastAsia="仿宋_GB2312"/>
          <w:color w:val="auto"/>
          <w:sz w:val="32"/>
          <w:szCs w:val="32"/>
        </w:rPr>
        <w:t>5.6其他资料</w:t>
      </w:r>
    </w:p>
    <w:p w14:paraId="04125BB0">
      <w:pPr>
        <w:keepNext w:val="0"/>
        <w:keepLines w:val="0"/>
        <w:pageBreakBefore w:val="0"/>
        <w:kinsoku/>
        <w:wordWrap/>
        <w:overflowPunct/>
        <w:topLinePunct w:val="0"/>
        <w:bidi w:val="0"/>
        <w:snapToGrid w:val="0"/>
        <w:spacing w:line="520" w:lineRule="exact"/>
        <w:ind w:firstLine="640" w:firstLineChars="200"/>
        <w:textAlignment w:val="auto"/>
        <w:rPr>
          <w:rFonts w:hint="eastAsia" w:ascii="Times New Roman" w:hAnsi="Times New Roman" w:eastAsia="仿宋_GB2312"/>
          <w:color w:val="auto"/>
          <w:kern w:val="2"/>
          <w:sz w:val="32"/>
          <w:szCs w:val="32"/>
        </w:rPr>
      </w:pPr>
      <w:r>
        <w:rPr>
          <w:rFonts w:hint="eastAsia" w:eastAsia="仿宋_GB2312"/>
          <w:color w:val="auto"/>
          <w:kern w:val="2"/>
          <w:sz w:val="32"/>
          <w:szCs w:val="32"/>
          <w:lang w:val="en-US" w:eastAsia="zh-CN"/>
        </w:rPr>
        <w:t>该产品</w:t>
      </w:r>
      <w:r>
        <w:rPr>
          <w:rFonts w:hint="eastAsia" w:ascii="Times New Roman" w:hAnsi="Times New Roman" w:eastAsia="仿宋_GB2312"/>
          <w:color w:val="auto"/>
          <w:kern w:val="2"/>
          <w:sz w:val="32"/>
          <w:szCs w:val="32"/>
        </w:rPr>
        <w:t>已列入</w:t>
      </w:r>
      <w:r>
        <w:rPr>
          <w:rFonts w:hint="eastAsia" w:eastAsia="仿宋_GB2312"/>
          <w:color w:val="auto"/>
          <w:sz w:val="32"/>
          <w:szCs w:val="32"/>
        </w:rPr>
        <w:t>《免于</w:t>
      </w:r>
      <w:r>
        <w:rPr>
          <w:rFonts w:hint="eastAsia" w:eastAsia="仿宋_GB2312"/>
          <w:color w:val="auto"/>
          <w:sz w:val="32"/>
          <w:szCs w:val="32"/>
          <w:lang w:val="en-US" w:eastAsia="zh-CN"/>
        </w:rPr>
        <w:t>进行</w:t>
      </w:r>
      <w:r>
        <w:rPr>
          <w:rFonts w:hint="eastAsia" w:eastAsia="仿宋_GB2312"/>
          <w:color w:val="auto"/>
          <w:sz w:val="32"/>
          <w:szCs w:val="32"/>
        </w:rPr>
        <w:t>临床评价医疗器械目录》</w:t>
      </w:r>
      <w:r>
        <w:rPr>
          <w:rFonts w:hint="eastAsia" w:ascii="Times New Roman" w:hAnsi="Times New Roman" w:eastAsia="仿宋_GB2312"/>
          <w:color w:val="auto"/>
          <w:kern w:val="2"/>
          <w:sz w:val="32"/>
          <w:szCs w:val="32"/>
        </w:rPr>
        <w:t>，申请人</w:t>
      </w:r>
      <w:r>
        <w:rPr>
          <w:rFonts w:hint="eastAsia" w:eastAsia="仿宋_GB2312"/>
          <w:color w:val="auto"/>
          <w:kern w:val="2"/>
          <w:sz w:val="32"/>
          <w:szCs w:val="32"/>
          <w:lang w:val="en-US" w:eastAsia="zh-CN"/>
        </w:rPr>
        <w:t>应当按照《列入免于</w:t>
      </w:r>
      <w:r>
        <w:rPr>
          <w:rFonts w:hint="eastAsia" w:eastAsia="仿宋_GB2312"/>
          <w:color w:val="auto"/>
          <w:sz w:val="32"/>
          <w:szCs w:val="32"/>
        </w:rPr>
        <w:t>临床评价医疗器械目录</w:t>
      </w:r>
      <w:r>
        <w:rPr>
          <w:rFonts w:hint="eastAsia" w:eastAsia="仿宋_GB2312"/>
          <w:color w:val="auto"/>
          <w:sz w:val="32"/>
          <w:szCs w:val="32"/>
          <w:lang w:val="en-US" w:eastAsia="zh-CN"/>
        </w:rPr>
        <w:t>产品对比说明技术指导原则</w:t>
      </w:r>
      <w:r>
        <w:rPr>
          <w:rFonts w:hint="eastAsia" w:eastAsia="仿宋_GB2312"/>
          <w:color w:val="auto"/>
          <w:kern w:val="2"/>
          <w:sz w:val="32"/>
          <w:szCs w:val="32"/>
          <w:lang w:val="en-US" w:eastAsia="zh-CN"/>
        </w:rPr>
        <w:t>》</w:t>
      </w:r>
      <w:r>
        <w:rPr>
          <w:rFonts w:hint="eastAsia" w:eastAsia="仿宋_GB2312"/>
          <w:color w:val="auto"/>
          <w:kern w:val="2"/>
          <w:sz w:val="32"/>
          <w:szCs w:val="32"/>
          <w:lang w:eastAsia="zh-CN"/>
        </w:rPr>
        <w:t>，</w:t>
      </w:r>
      <w:r>
        <w:rPr>
          <w:rFonts w:hint="eastAsia" w:eastAsia="仿宋_GB2312"/>
          <w:color w:val="auto"/>
          <w:kern w:val="2"/>
          <w:sz w:val="32"/>
          <w:szCs w:val="32"/>
          <w:lang w:val="en-US" w:eastAsia="zh-CN"/>
        </w:rPr>
        <w:t>从基本原理、结构组成、性能、安全性、适用范围等方面，证明产品的安全有效性</w:t>
      </w:r>
      <w:r>
        <w:rPr>
          <w:rFonts w:hint="eastAsia" w:ascii="Times New Roman" w:hAnsi="Times New Roman" w:eastAsia="仿宋_GB2312"/>
          <w:color w:val="auto"/>
          <w:kern w:val="2"/>
          <w:sz w:val="32"/>
          <w:szCs w:val="32"/>
        </w:rPr>
        <w:t>。</w:t>
      </w:r>
    </w:p>
    <w:p w14:paraId="32D95E09">
      <w:pPr>
        <w:keepNext w:val="0"/>
        <w:keepLines w:val="0"/>
        <w:pageBreakBefore w:val="0"/>
        <w:kinsoku/>
        <w:wordWrap/>
        <w:overflowPunct/>
        <w:topLinePunct w:val="0"/>
        <w:bidi w:val="0"/>
        <w:snapToGrid w:val="0"/>
        <w:spacing w:line="520" w:lineRule="exact"/>
        <w:ind w:firstLine="640" w:firstLineChars="200"/>
        <w:textAlignment w:val="auto"/>
        <w:rPr>
          <w:rFonts w:hint="eastAsia" w:eastAsia="仿宋_GB2312"/>
          <w:color w:val="auto"/>
          <w:kern w:val="2"/>
          <w:sz w:val="32"/>
          <w:szCs w:val="32"/>
          <w:lang w:val="en-US" w:eastAsia="zh-CN"/>
        </w:rPr>
      </w:pPr>
      <w:r>
        <w:rPr>
          <w:rFonts w:hint="eastAsia" w:eastAsia="仿宋_GB2312"/>
          <w:color w:val="auto"/>
          <w:kern w:val="2"/>
          <w:sz w:val="32"/>
          <w:szCs w:val="32"/>
          <w:lang w:val="en-US" w:eastAsia="zh-CN"/>
        </w:rPr>
        <w:t>5.7可用性研究</w:t>
      </w:r>
    </w:p>
    <w:p w14:paraId="5A3CA11D">
      <w:pPr>
        <w:keepNext w:val="0"/>
        <w:keepLines w:val="0"/>
        <w:pageBreakBefore w:val="0"/>
        <w:kinsoku/>
        <w:wordWrap/>
        <w:overflowPunct/>
        <w:topLinePunct w:val="0"/>
        <w:bidi w:val="0"/>
        <w:snapToGrid w:val="0"/>
        <w:spacing w:line="520" w:lineRule="exact"/>
        <w:ind w:firstLine="640" w:firstLineChars="200"/>
        <w:textAlignment w:val="auto"/>
        <w:rPr>
          <w:rFonts w:hint="eastAsia" w:eastAsia="仿宋_GB2312"/>
          <w:color w:val="auto"/>
          <w:kern w:val="2"/>
          <w:sz w:val="32"/>
          <w:szCs w:val="32"/>
          <w:lang w:val="en-US" w:eastAsia="zh-CN"/>
        </w:rPr>
      </w:pPr>
      <w:r>
        <w:rPr>
          <w:rFonts w:hint="eastAsia" w:eastAsia="仿宋_GB2312"/>
          <w:color w:val="auto"/>
          <w:kern w:val="2"/>
          <w:sz w:val="32"/>
          <w:szCs w:val="32"/>
          <w:lang w:val="en-US" w:eastAsia="zh-CN"/>
        </w:rPr>
        <w:t>按照《医疗器械可用性工程注册审查指导原则》要求，中、低使用风险医疗器械可基于风险管理过程开展可用性工程生命周期质控工作，提交使用错误评估报告。若前期已开展可用性工程工作，亦可提交可用性工程研究报告，用于替代使用错误评估报告。</w:t>
      </w:r>
    </w:p>
    <w:p w14:paraId="5939E05E">
      <w:pPr>
        <w:keepNext w:val="0"/>
        <w:keepLines w:val="0"/>
        <w:pageBreakBefore w:val="0"/>
        <w:kinsoku/>
        <w:wordWrap/>
        <w:overflowPunct/>
        <w:topLinePunct w:val="0"/>
        <w:bidi w:val="0"/>
        <w:snapToGrid w:val="0"/>
        <w:spacing w:line="520" w:lineRule="exact"/>
        <w:ind w:firstLine="640" w:firstLineChars="200"/>
        <w:textAlignment w:val="auto"/>
        <w:rPr>
          <w:rFonts w:hint="default" w:eastAsia="仿宋_GB2312"/>
          <w:color w:val="auto"/>
          <w:kern w:val="2"/>
          <w:sz w:val="32"/>
          <w:szCs w:val="32"/>
          <w:lang w:val="en-US" w:eastAsia="zh-CN"/>
        </w:rPr>
      </w:pPr>
      <w:r>
        <w:rPr>
          <w:rFonts w:hint="eastAsia" w:eastAsia="仿宋_GB2312"/>
          <w:color w:val="auto"/>
          <w:kern w:val="2"/>
          <w:sz w:val="32"/>
          <w:szCs w:val="32"/>
          <w:lang w:val="en-US" w:eastAsia="zh-CN"/>
        </w:rPr>
        <w:t>使用错误评估报告用于细化风险管理报告关于可用性的内容，包括基本信息、使用风险级别、核心要素、同类医疗器械上市后使用问题分析、使用风险管理、结论等内容。</w:t>
      </w:r>
    </w:p>
    <w:p w14:paraId="234D4928">
      <w:pPr>
        <w:keepNext w:val="0"/>
        <w:keepLines w:val="0"/>
        <w:pageBreakBefore w:val="0"/>
        <w:kinsoku/>
        <w:wordWrap/>
        <w:overflowPunct/>
        <w:topLinePunct w:val="0"/>
        <w:bidi w:val="0"/>
        <w:spacing w:line="520" w:lineRule="exact"/>
        <w:ind w:firstLine="640" w:firstLineChars="200"/>
        <w:textAlignment w:val="auto"/>
        <w:outlineLvl w:val="1"/>
        <w:rPr>
          <w:rFonts w:hint="eastAsia" w:eastAsia="楷体_GB2312"/>
          <w:color w:val="auto"/>
          <w:sz w:val="32"/>
          <w:szCs w:val="32"/>
        </w:rPr>
      </w:pPr>
      <w:r>
        <w:rPr>
          <w:rFonts w:hint="eastAsia" w:eastAsia="楷体_GB2312"/>
          <w:color w:val="auto"/>
          <w:sz w:val="32"/>
          <w:szCs w:val="32"/>
        </w:rPr>
        <w:t>（四）临床评价资料</w:t>
      </w:r>
    </w:p>
    <w:p w14:paraId="31792606">
      <w:pPr>
        <w:keepNext w:val="0"/>
        <w:keepLines w:val="0"/>
        <w:pageBreakBefore w:val="0"/>
        <w:tabs>
          <w:tab w:val="left" w:pos="7140"/>
        </w:tabs>
        <w:kinsoku/>
        <w:wordWrap/>
        <w:overflowPunct/>
        <w:topLinePunct w:val="0"/>
        <w:autoSpaceDE w:val="0"/>
        <w:autoSpaceDN w:val="0"/>
        <w:bidi w:val="0"/>
        <w:spacing w:line="520" w:lineRule="exact"/>
        <w:ind w:firstLine="640" w:firstLineChars="200"/>
        <w:textAlignment w:val="auto"/>
        <w:rPr>
          <w:rFonts w:eastAsia="仿宋_GB2312"/>
          <w:color w:val="auto"/>
          <w:sz w:val="32"/>
          <w:szCs w:val="32"/>
        </w:rPr>
      </w:pPr>
      <w:r>
        <w:rPr>
          <w:rFonts w:eastAsia="仿宋_GB2312"/>
          <w:color w:val="auto"/>
          <w:sz w:val="32"/>
          <w:szCs w:val="32"/>
        </w:rPr>
        <w:t>该产品</w:t>
      </w:r>
      <w:r>
        <w:rPr>
          <w:rFonts w:hint="eastAsia" w:eastAsia="仿宋_GB2312"/>
          <w:color w:val="auto"/>
          <w:sz w:val="32"/>
          <w:szCs w:val="32"/>
          <w:lang w:eastAsia="zh-CN"/>
        </w:rPr>
        <w:t>已</w:t>
      </w:r>
      <w:r>
        <w:rPr>
          <w:rFonts w:eastAsia="仿宋_GB2312"/>
          <w:color w:val="auto"/>
          <w:sz w:val="32"/>
          <w:szCs w:val="32"/>
        </w:rPr>
        <w:t>列入《免于</w:t>
      </w:r>
      <w:r>
        <w:rPr>
          <w:rFonts w:hint="eastAsia" w:eastAsia="仿宋_GB2312"/>
          <w:color w:val="auto"/>
          <w:sz w:val="32"/>
          <w:szCs w:val="32"/>
          <w:lang w:val="en-US" w:eastAsia="zh-CN"/>
        </w:rPr>
        <w:t>进行</w:t>
      </w:r>
      <w:r>
        <w:rPr>
          <w:rFonts w:eastAsia="仿宋_GB2312"/>
          <w:color w:val="auto"/>
          <w:sz w:val="32"/>
          <w:szCs w:val="32"/>
        </w:rPr>
        <w:t>临床评价医疗器械目录》，申请人无需提交临床评价资料。</w:t>
      </w:r>
    </w:p>
    <w:p w14:paraId="4C263255">
      <w:pPr>
        <w:keepNext w:val="0"/>
        <w:keepLines w:val="0"/>
        <w:pageBreakBefore w:val="0"/>
        <w:tabs>
          <w:tab w:val="left" w:pos="7140"/>
        </w:tabs>
        <w:kinsoku/>
        <w:wordWrap/>
        <w:overflowPunct/>
        <w:topLinePunct w:val="0"/>
        <w:autoSpaceDE w:val="0"/>
        <w:autoSpaceDN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lang w:val="en-US" w:eastAsia="zh-CN"/>
        </w:rPr>
        <w:t>应充分考虑豁免情况不包括新材料、新作用机理、新功能的产品。</w:t>
      </w:r>
      <w:r>
        <w:rPr>
          <w:rFonts w:eastAsia="仿宋_GB2312"/>
          <w:color w:val="auto"/>
          <w:sz w:val="32"/>
          <w:szCs w:val="32"/>
        </w:rPr>
        <w:t>若无法证明申报产品与《目录》产品具有等同性，则应按照《医疗器械临床评价技术审查指导原则》</w:t>
      </w:r>
      <w:r>
        <w:rPr>
          <w:rFonts w:hint="eastAsia" w:eastAsia="仿宋_GB2312"/>
          <w:color w:val="auto"/>
          <w:sz w:val="32"/>
          <w:szCs w:val="32"/>
          <w:lang w:val="en-US" w:eastAsia="zh-CN"/>
        </w:rPr>
        <w:t>等相关指导原则开展相应工作，</w:t>
      </w:r>
      <w:r>
        <w:rPr>
          <w:rFonts w:eastAsia="仿宋_GB2312"/>
          <w:color w:val="auto"/>
          <w:sz w:val="32"/>
          <w:szCs w:val="32"/>
        </w:rPr>
        <w:t>提供符合要求的临床评价资料。</w:t>
      </w:r>
    </w:p>
    <w:p w14:paraId="25D8D6EF">
      <w:pPr>
        <w:keepNext w:val="0"/>
        <w:keepLines w:val="0"/>
        <w:pageBreakBefore w:val="0"/>
        <w:kinsoku/>
        <w:wordWrap/>
        <w:overflowPunct/>
        <w:topLinePunct w:val="0"/>
        <w:bidi w:val="0"/>
        <w:spacing w:line="520" w:lineRule="exact"/>
        <w:ind w:right="0" w:rightChars="0" w:firstLine="640" w:firstLineChars="200"/>
        <w:textAlignment w:val="auto"/>
        <w:outlineLvl w:val="1"/>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五</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highlight w:val="none"/>
        </w:rPr>
        <w:t>产品说明书和标签样稿</w:t>
      </w:r>
    </w:p>
    <w:p w14:paraId="150AAB86">
      <w:pPr>
        <w:keepNext w:val="0"/>
        <w:keepLines w:val="0"/>
        <w:pageBreakBefore w:val="0"/>
        <w:kinsoku/>
        <w:wordWrap/>
        <w:overflowPunct/>
        <w:topLinePunct w:val="0"/>
        <w:bidi w:val="0"/>
        <w:snapToGrid w:val="0"/>
        <w:spacing w:line="520" w:lineRule="exact"/>
        <w:ind w:firstLine="640" w:firstLineChars="200"/>
        <w:textAlignment w:val="auto"/>
        <w:rPr>
          <w:rFonts w:eastAsia="仿宋_GB2312"/>
          <w:color w:val="auto"/>
          <w:sz w:val="32"/>
          <w:szCs w:val="32"/>
        </w:rPr>
      </w:pPr>
      <w:r>
        <w:rPr>
          <w:rFonts w:eastAsia="仿宋_GB2312"/>
          <w:color w:val="auto"/>
          <w:sz w:val="32"/>
          <w:szCs w:val="32"/>
        </w:rPr>
        <w:t>产品说明书和标签应符合《医疗器械说明书和标签管理规定》</w:t>
      </w:r>
      <w:r>
        <w:rPr>
          <w:rFonts w:hint="eastAsia" w:eastAsia="仿宋_GB2312"/>
          <w:color w:val="auto"/>
          <w:sz w:val="32"/>
          <w:szCs w:val="32"/>
          <w:lang w:val="en-US" w:eastAsia="zh-CN"/>
        </w:rPr>
        <w:t>和YY/T0466.1《医疗器械 用于制造商提供信息的符号 第1部分：通用要求》</w:t>
      </w:r>
      <w:r>
        <w:rPr>
          <w:rFonts w:eastAsia="仿宋_GB2312"/>
          <w:color w:val="auto"/>
          <w:sz w:val="32"/>
          <w:szCs w:val="32"/>
        </w:rPr>
        <w:t>的要求。同时</w:t>
      </w:r>
      <w:r>
        <w:rPr>
          <w:rFonts w:hint="eastAsia" w:eastAsia="仿宋_GB2312"/>
          <w:color w:val="auto"/>
          <w:sz w:val="32"/>
          <w:szCs w:val="32"/>
          <w:lang w:val="en-US" w:eastAsia="zh-CN"/>
        </w:rPr>
        <w:t>根据产品适用情况可参考以下要求：</w:t>
      </w:r>
    </w:p>
    <w:p w14:paraId="51ED4527">
      <w:pPr>
        <w:keepNext w:val="0"/>
        <w:keepLines w:val="0"/>
        <w:pageBreakBefore w:val="0"/>
        <w:tabs>
          <w:tab w:val="left" w:pos="312"/>
        </w:tabs>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1.</w:t>
      </w:r>
      <w:r>
        <w:rPr>
          <w:rFonts w:eastAsia="仿宋_GB2312"/>
          <w:color w:val="auto"/>
          <w:sz w:val="32"/>
          <w:szCs w:val="32"/>
        </w:rPr>
        <w:t>产品的结构组成及性能指标应与产品技术要求内容一致。</w:t>
      </w:r>
    </w:p>
    <w:p w14:paraId="51B04559">
      <w:pPr>
        <w:keepNext w:val="0"/>
        <w:keepLines w:val="0"/>
        <w:pageBreakBefore w:val="0"/>
        <w:tabs>
          <w:tab w:val="left" w:pos="312"/>
        </w:tabs>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2.</w:t>
      </w:r>
      <w:r>
        <w:rPr>
          <w:rFonts w:eastAsia="仿宋_GB2312"/>
          <w:color w:val="auto"/>
          <w:sz w:val="32"/>
          <w:szCs w:val="32"/>
        </w:rPr>
        <w:t>应注明灭菌方式。</w:t>
      </w:r>
    </w:p>
    <w:p w14:paraId="335F09A6">
      <w:pPr>
        <w:keepNext w:val="0"/>
        <w:keepLines w:val="0"/>
        <w:pageBreakBefore w:val="0"/>
        <w:tabs>
          <w:tab w:val="left" w:pos="312"/>
        </w:tabs>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3.</w:t>
      </w:r>
      <w:r>
        <w:rPr>
          <w:rFonts w:eastAsia="仿宋_GB2312"/>
          <w:color w:val="auto"/>
          <w:sz w:val="32"/>
          <w:szCs w:val="32"/>
        </w:rPr>
        <w:t>使用前检查包装是否完好，如有破损，严禁使用。</w:t>
      </w:r>
    </w:p>
    <w:p w14:paraId="444D50DB">
      <w:pPr>
        <w:keepNext w:val="0"/>
        <w:keepLines w:val="0"/>
        <w:pageBreakBefore w:val="0"/>
        <w:tabs>
          <w:tab w:val="left" w:pos="312"/>
        </w:tabs>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4.</w:t>
      </w:r>
      <w:r>
        <w:rPr>
          <w:rFonts w:eastAsia="仿宋_GB2312"/>
          <w:color w:val="auto"/>
          <w:sz w:val="32"/>
          <w:szCs w:val="32"/>
        </w:rPr>
        <w:t>产品有效期若是通过加速老化试验获得，应标明。</w:t>
      </w:r>
    </w:p>
    <w:p w14:paraId="758BB804">
      <w:pPr>
        <w:keepNext w:val="0"/>
        <w:keepLines w:val="0"/>
        <w:pageBreakBefore w:val="0"/>
        <w:tabs>
          <w:tab w:val="left" w:pos="312"/>
        </w:tabs>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5.</w:t>
      </w:r>
      <w:r>
        <w:rPr>
          <w:rFonts w:eastAsia="仿宋_GB2312"/>
          <w:color w:val="auto"/>
          <w:sz w:val="32"/>
          <w:szCs w:val="32"/>
        </w:rPr>
        <w:t>一次性使用产品应当注明，并明确禁止重复使用。</w:t>
      </w:r>
    </w:p>
    <w:p w14:paraId="34522080">
      <w:pPr>
        <w:keepNext w:val="0"/>
        <w:keepLines w:val="0"/>
        <w:pageBreakBefore w:val="0"/>
        <w:tabs>
          <w:tab w:val="left" w:pos="312"/>
        </w:tabs>
        <w:kinsoku/>
        <w:wordWrap/>
        <w:overflowPunct/>
        <w:topLinePunct w:val="0"/>
        <w:bidi w:val="0"/>
        <w:spacing w:line="520" w:lineRule="exact"/>
        <w:ind w:firstLine="640" w:firstLineChars="200"/>
        <w:textAlignment w:val="auto"/>
        <w:rPr>
          <w:rFonts w:hint="eastAsia" w:eastAsia="仿宋_GB2312"/>
          <w:color w:val="auto"/>
          <w:sz w:val="32"/>
          <w:szCs w:val="32"/>
        </w:rPr>
      </w:pPr>
      <w:r>
        <w:rPr>
          <w:rFonts w:hint="eastAsia" w:eastAsia="仿宋_GB2312"/>
          <w:color w:val="auto"/>
          <w:sz w:val="32"/>
          <w:szCs w:val="32"/>
          <w:lang w:val="en-US" w:eastAsia="zh-CN"/>
        </w:rPr>
        <w:t>6.提示对产品材料过敏者禁用</w:t>
      </w:r>
      <w:r>
        <w:rPr>
          <w:rFonts w:hint="eastAsia" w:eastAsia="仿宋_GB2312"/>
          <w:color w:val="auto"/>
          <w:sz w:val="32"/>
          <w:szCs w:val="32"/>
        </w:rPr>
        <w:t>。</w:t>
      </w:r>
    </w:p>
    <w:p w14:paraId="06DFEAF5">
      <w:pPr>
        <w:keepNext w:val="0"/>
        <w:keepLines w:val="0"/>
        <w:pageBreakBefore w:val="0"/>
        <w:tabs>
          <w:tab w:val="left" w:pos="312"/>
        </w:tabs>
        <w:kinsoku/>
        <w:wordWrap/>
        <w:overflowPunct/>
        <w:topLinePunct w:val="0"/>
        <w:bidi w:val="0"/>
        <w:spacing w:line="520" w:lineRule="exact"/>
        <w:ind w:firstLine="640" w:firstLineChars="200"/>
        <w:textAlignment w:val="auto"/>
        <w:rPr>
          <w:rFonts w:hint="eastAsia" w:eastAsia="仿宋_GB2312"/>
          <w:color w:val="auto"/>
          <w:sz w:val="32"/>
          <w:szCs w:val="32"/>
        </w:rPr>
      </w:pPr>
      <w:r>
        <w:rPr>
          <w:rFonts w:hint="eastAsia" w:eastAsia="仿宋_GB2312"/>
          <w:color w:val="auto"/>
          <w:sz w:val="32"/>
          <w:szCs w:val="32"/>
          <w:lang w:val="en-US" w:eastAsia="zh-CN"/>
        </w:rPr>
        <w:t>7.</w:t>
      </w:r>
      <w:r>
        <w:rPr>
          <w:rFonts w:hint="eastAsia" w:eastAsia="仿宋_GB2312"/>
          <w:color w:val="auto"/>
          <w:sz w:val="32"/>
          <w:szCs w:val="32"/>
        </w:rPr>
        <w:t>产品与配套使用器械的相关注意事项提示。</w:t>
      </w:r>
    </w:p>
    <w:p w14:paraId="07A286DF">
      <w:pPr>
        <w:keepNext w:val="0"/>
        <w:keepLines w:val="0"/>
        <w:pageBreakBefore w:val="0"/>
        <w:tabs>
          <w:tab w:val="left" w:pos="312"/>
        </w:tabs>
        <w:kinsoku/>
        <w:wordWrap/>
        <w:overflowPunct/>
        <w:topLinePunct w:val="0"/>
        <w:bidi w:val="0"/>
        <w:spacing w:line="52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8.应注明“</w:t>
      </w:r>
      <w:r>
        <w:rPr>
          <w:rFonts w:hint="eastAsia" w:eastAsia="仿宋_GB2312" w:cs="Times New Roman"/>
          <w:color w:val="auto"/>
          <w:sz w:val="32"/>
          <w:szCs w:val="32"/>
          <w:lang w:val="en-US" w:eastAsia="zh-CN"/>
        </w:rPr>
        <w:t>由经培训的专业医务人员</w:t>
      </w:r>
      <w:r>
        <w:rPr>
          <w:rFonts w:hint="eastAsia" w:ascii="Times New Roman" w:hAnsi="Times New Roman" w:eastAsia="仿宋_GB2312" w:cs="Times New Roman"/>
          <w:color w:val="auto"/>
          <w:sz w:val="32"/>
          <w:szCs w:val="32"/>
          <w:lang w:val="en-US" w:eastAsia="zh-CN"/>
        </w:rPr>
        <w:t>使用，选择合适的型号规格”。</w:t>
      </w:r>
    </w:p>
    <w:p w14:paraId="6CC76E07">
      <w:pPr>
        <w:keepNext w:val="0"/>
        <w:keepLines w:val="0"/>
        <w:pageBreakBefore w:val="0"/>
        <w:tabs>
          <w:tab w:val="left" w:pos="411"/>
        </w:tabs>
        <w:kinsoku/>
        <w:wordWrap/>
        <w:overflowPunct/>
        <w:topLinePunct w:val="0"/>
        <w:bidi w:val="0"/>
        <w:spacing w:line="520" w:lineRule="exact"/>
        <w:ind w:firstLine="640" w:firstLineChars="200"/>
        <w:textAlignment w:val="auto"/>
        <w:outlineLvl w:val="1"/>
        <w:rPr>
          <w:rFonts w:eastAsia="楷体_GB2312"/>
          <w:color w:val="auto"/>
          <w:sz w:val="32"/>
          <w:szCs w:val="32"/>
        </w:rPr>
      </w:pPr>
      <w:r>
        <w:rPr>
          <w:rFonts w:hint="eastAsia" w:eastAsia="楷体_GB2312"/>
          <w:color w:val="auto"/>
          <w:sz w:val="32"/>
          <w:szCs w:val="32"/>
        </w:rPr>
        <w:t>（六）质量管理体系文件</w:t>
      </w:r>
    </w:p>
    <w:p w14:paraId="3F958F89">
      <w:pPr>
        <w:keepNext w:val="0"/>
        <w:keepLines w:val="0"/>
        <w:pageBreakBefore w:val="0"/>
        <w:kinsoku/>
        <w:wordWrap/>
        <w:overflowPunct/>
        <w:topLinePunct w:val="0"/>
        <w:bidi w:val="0"/>
        <w:spacing w:line="520" w:lineRule="exact"/>
        <w:ind w:left="2" w:firstLine="640" w:firstLineChars="200"/>
        <w:textAlignment w:val="auto"/>
        <w:rPr>
          <w:rFonts w:eastAsia="仿宋_GB2312"/>
          <w:color w:val="auto"/>
          <w:spacing w:val="2"/>
          <w:sz w:val="32"/>
          <w:szCs w:val="32"/>
        </w:rPr>
      </w:pPr>
      <w:r>
        <w:rPr>
          <w:rFonts w:eastAsia="仿宋_GB2312"/>
          <w:color w:val="auto"/>
          <w:sz w:val="32"/>
          <w:szCs w:val="32"/>
        </w:rPr>
        <w:t>1.</w:t>
      </w:r>
      <w:r>
        <w:rPr>
          <w:rFonts w:eastAsia="仿宋_GB2312"/>
          <w:color w:val="auto"/>
          <w:spacing w:val="2"/>
          <w:sz w:val="32"/>
          <w:szCs w:val="32"/>
        </w:rPr>
        <w:t>应当明确</w:t>
      </w:r>
      <w:r>
        <w:rPr>
          <w:rFonts w:hint="eastAsia" w:eastAsia="仿宋_GB2312"/>
          <w:color w:val="auto"/>
          <w:spacing w:val="2"/>
          <w:sz w:val="32"/>
          <w:szCs w:val="32"/>
          <w:lang w:val="en-US" w:eastAsia="zh-CN"/>
        </w:rPr>
        <w:t>产品</w:t>
      </w:r>
      <w:r>
        <w:rPr>
          <w:rFonts w:eastAsia="仿宋_GB2312"/>
          <w:color w:val="auto"/>
          <w:spacing w:val="2"/>
          <w:sz w:val="32"/>
          <w:szCs w:val="32"/>
        </w:rPr>
        <w:t>生产工艺流程，注明关键工序和特殊过程，并说明其过程控制点。明确生产过程中各种加工助剂的使用情况及对杂质（如残留单体、小分子残留物等）的控制情况。</w:t>
      </w:r>
    </w:p>
    <w:p w14:paraId="790BD432">
      <w:pPr>
        <w:keepNext w:val="0"/>
        <w:keepLines w:val="0"/>
        <w:pageBreakBefore w:val="0"/>
        <w:kinsoku/>
        <w:wordWrap/>
        <w:overflowPunct/>
        <w:topLinePunct w:val="0"/>
        <w:bidi w:val="0"/>
        <w:spacing w:line="520" w:lineRule="exact"/>
        <w:ind w:left="2" w:firstLine="640" w:firstLineChars="200"/>
        <w:textAlignment w:val="auto"/>
        <w:rPr>
          <w:rFonts w:eastAsia="仿宋_GB2312"/>
          <w:color w:val="auto"/>
          <w:sz w:val="32"/>
          <w:szCs w:val="32"/>
        </w:rPr>
      </w:pPr>
      <w:r>
        <w:rPr>
          <w:rFonts w:eastAsia="仿宋_GB2312"/>
          <w:color w:val="auto"/>
          <w:sz w:val="32"/>
          <w:szCs w:val="32"/>
        </w:rPr>
        <w:t>2.有多个研制、生产场地，应当概述</w:t>
      </w:r>
      <w:r>
        <w:rPr>
          <w:rFonts w:hint="eastAsia" w:eastAsia="仿宋_GB2312"/>
          <w:color w:val="auto"/>
          <w:sz w:val="32"/>
          <w:szCs w:val="32"/>
          <w:lang w:val="en-US" w:eastAsia="zh-CN"/>
        </w:rPr>
        <w:t>产品</w:t>
      </w:r>
      <w:r>
        <w:rPr>
          <w:rFonts w:eastAsia="仿宋_GB2312"/>
          <w:color w:val="auto"/>
          <w:sz w:val="32"/>
          <w:szCs w:val="32"/>
        </w:rPr>
        <w:t>每个研制、生产场地的实际情况。</w:t>
      </w:r>
    </w:p>
    <w:p w14:paraId="63E70D2F">
      <w:pPr>
        <w:keepNext w:val="0"/>
        <w:keepLines w:val="0"/>
        <w:pageBreakBefore w:val="0"/>
        <w:kinsoku/>
        <w:wordWrap/>
        <w:overflowPunct/>
        <w:topLinePunct w:val="0"/>
        <w:bidi w:val="0"/>
        <w:spacing w:line="520" w:lineRule="exact"/>
        <w:ind w:firstLine="640" w:firstLineChars="200"/>
        <w:textAlignment w:val="auto"/>
        <w:outlineLvl w:val="0"/>
        <w:rPr>
          <w:rFonts w:hint="eastAsia" w:eastAsia="黑体"/>
          <w:color w:val="auto"/>
          <w:sz w:val="32"/>
          <w:szCs w:val="32"/>
        </w:rPr>
      </w:pPr>
      <w:r>
        <w:rPr>
          <w:rFonts w:hint="eastAsia" w:eastAsia="黑体"/>
          <w:color w:val="auto"/>
          <w:sz w:val="32"/>
          <w:szCs w:val="32"/>
        </w:rPr>
        <w:t>三、参考文献</w:t>
      </w:r>
    </w:p>
    <w:p w14:paraId="2414791C">
      <w:pPr>
        <w:keepNext w:val="0"/>
        <w:keepLines w:val="0"/>
        <w:pageBreakBefore w:val="0"/>
        <w:kinsoku/>
        <w:wordWrap/>
        <w:overflowPunct/>
        <w:topLinePunct w:val="0"/>
        <w:bidi w:val="0"/>
        <w:spacing w:line="520" w:lineRule="exact"/>
        <w:ind w:left="2" w:firstLine="640" w:firstLineChars="200"/>
        <w:textAlignment w:val="auto"/>
        <w:rPr>
          <w:rFonts w:eastAsia="仿宋_GB2312"/>
          <w:color w:val="auto"/>
          <w:sz w:val="32"/>
          <w:szCs w:val="32"/>
        </w:rPr>
      </w:pPr>
      <w:r>
        <w:rPr>
          <w:rFonts w:eastAsia="仿宋_GB2312"/>
          <w:color w:val="auto"/>
          <w:sz w:val="32"/>
          <w:szCs w:val="32"/>
        </w:rPr>
        <w:t>[1]中华人民共和国国务院.医疗器械监督管理条例:中华人民共和国国务院令第739号[Z].</w:t>
      </w:r>
    </w:p>
    <w:p w14:paraId="036EFA33">
      <w:pPr>
        <w:keepNext w:val="0"/>
        <w:keepLines w:val="0"/>
        <w:pageBreakBefore w:val="0"/>
        <w:kinsoku/>
        <w:wordWrap/>
        <w:overflowPunct/>
        <w:topLinePunct w:val="0"/>
        <w:bidi w:val="0"/>
        <w:spacing w:line="520" w:lineRule="exact"/>
        <w:ind w:left="2" w:firstLine="640" w:firstLineChars="200"/>
        <w:textAlignment w:val="auto"/>
        <w:rPr>
          <w:rFonts w:eastAsia="仿宋_GB2312"/>
          <w:color w:val="auto"/>
          <w:sz w:val="32"/>
          <w:szCs w:val="32"/>
        </w:rPr>
      </w:pPr>
      <w:r>
        <w:rPr>
          <w:rFonts w:eastAsia="仿宋_GB2312"/>
          <w:color w:val="auto"/>
          <w:sz w:val="32"/>
          <w:szCs w:val="32"/>
        </w:rPr>
        <w:t xml:space="preserve">[2]国家市场监督管理总局.医疗器械注册与备案管理办法:国家市场监督管理总局令第47号[Z]. </w:t>
      </w:r>
    </w:p>
    <w:p w14:paraId="0DD7AC98">
      <w:pPr>
        <w:keepNext w:val="0"/>
        <w:keepLines w:val="0"/>
        <w:pageBreakBefore w:val="0"/>
        <w:tabs>
          <w:tab w:val="left" w:pos="532"/>
        </w:tabs>
        <w:kinsoku/>
        <w:wordWrap/>
        <w:overflowPunct/>
        <w:topLinePunct w:val="0"/>
        <w:bidi w:val="0"/>
        <w:spacing w:line="520" w:lineRule="exact"/>
        <w:ind w:left="2" w:firstLine="624" w:firstLineChars="200"/>
        <w:textAlignment w:val="auto"/>
        <w:rPr>
          <w:rFonts w:eastAsia="仿宋_GB2312"/>
          <w:color w:val="auto"/>
          <w:sz w:val="32"/>
          <w:szCs w:val="32"/>
        </w:rPr>
      </w:pPr>
      <w:r>
        <w:rPr>
          <w:rFonts w:hint="eastAsia" w:eastAsia="仿宋_GB2312"/>
          <w:color w:val="auto"/>
          <w:spacing w:val="-4"/>
          <w:sz w:val="32"/>
          <w:szCs w:val="28"/>
        </w:rPr>
        <w:t>[3]国家药品监督管理局.医疗器械注册申报资料要求和批准证明文件格式:国家药品监督管理局公告2021年第121号[Z].</w:t>
      </w:r>
    </w:p>
    <w:p w14:paraId="74CA39D9">
      <w:pPr>
        <w:keepNext w:val="0"/>
        <w:keepLines w:val="0"/>
        <w:pageBreakBefore w:val="0"/>
        <w:tabs>
          <w:tab w:val="left" w:pos="532"/>
        </w:tabs>
        <w:kinsoku/>
        <w:wordWrap/>
        <w:overflowPunct/>
        <w:topLinePunct w:val="0"/>
        <w:bidi w:val="0"/>
        <w:spacing w:line="520" w:lineRule="exact"/>
        <w:ind w:left="2" w:firstLine="624" w:firstLineChars="200"/>
        <w:textAlignment w:val="auto"/>
        <w:rPr>
          <w:rFonts w:eastAsia="仿宋_GB2312"/>
          <w:color w:val="auto"/>
          <w:sz w:val="32"/>
          <w:szCs w:val="32"/>
        </w:rPr>
      </w:pPr>
      <w:r>
        <w:rPr>
          <w:rFonts w:hint="eastAsia" w:eastAsia="仿宋_GB2312"/>
          <w:color w:val="auto"/>
          <w:spacing w:val="-4"/>
          <w:sz w:val="32"/>
          <w:szCs w:val="28"/>
        </w:rPr>
        <w:t>[4]</w:t>
      </w:r>
      <w:r>
        <w:rPr>
          <w:rFonts w:hint="eastAsia" w:eastAsia="仿宋_GB2312"/>
          <w:color w:val="auto"/>
          <w:sz w:val="32"/>
          <w:szCs w:val="32"/>
        </w:rPr>
        <w:t>国家食品药品监督管理总局.</w:t>
      </w:r>
      <w:r>
        <w:rPr>
          <w:rFonts w:eastAsia="仿宋_GB2312"/>
          <w:color w:val="auto"/>
          <w:sz w:val="32"/>
          <w:szCs w:val="32"/>
        </w:rPr>
        <w:t>医疗器械分类目录</w:t>
      </w:r>
      <w:r>
        <w:rPr>
          <w:rFonts w:hint="eastAsia" w:eastAsia="仿宋_GB2312"/>
          <w:color w:val="auto"/>
          <w:sz w:val="32"/>
          <w:szCs w:val="32"/>
        </w:rPr>
        <w:t>:国家食品药品监督管理总局</w:t>
      </w:r>
      <w:r>
        <w:rPr>
          <w:rFonts w:eastAsia="仿宋_GB2312"/>
          <w:color w:val="auto"/>
          <w:sz w:val="32"/>
          <w:szCs w:val="32"/>
        </w:rPr>
        <w:t>公告2017年第104号</w:t>
      </w:r>
      <w:r>
        <w:rPr>
          <w:rFonts w:hint="eastAsia" w:eastAsia="仿宋_GB2312"/>
          <w:color w:val="auto"/>
          <w:spacing w:val="-4"/>
          <w:sz w:val="32"/>
          <w:szCs w:val="28"/>
        </w:rPr>
        <w:t>[Z].</w:t>
      </w:r>
    </w:p>
    <w:p w14:paraId="74EF22D5">
      <w:pPr>
        <w:keepNext w:val="0"/>
        <w:keepLines w:val="0"/>
        <w:pageBreakBefore w:val="0"/>
        <w:kinsoku/>
        <w:wordWrap/>
        <w:overflowPunct/>
        <w:topLinePunct w:val="0"/>
        <w:bidi w:val="0"/>
        <w:spacing w:line="520" w:lineRule="exact"/>
        <w:ind w:left="2" w:firstLine="624" w:firstLineChars="200"/>
        <w:textAlignment w:val="auto"/>
        <w:rPr>
          <w:rFonts w:eastAsia="仿宋_GB2312"/>
          <w:color w:val="auto"/>
          <w:sz w:val="32"/>
          <w:szCs w:val="32"/>
        </w:rPr>
      </w:pPr>
      <w:r>
        <w:rPr>
          <w:rFonts w:hint="eastAsia" w:eastAsia="仿宋_GB2312"/>
          <w:color w:val="auto"/>
          <w:spacing w:val="-4"/>
          <w:sz w:val="32"/>
          <w:szCs w:val="28"/>
        </w:rPr>
        <w:t>[5]国家食品药品监督管理总局.医疗器械通用名称命名规则:国家食品药品监督管理总局令第19号</w:t>
      </w:r>
      <w:r>
        <w:rPr>
          <w:rFonts w:eastAsia="仿宋_GB2312"/>
          <w:color w:val="auto"/>
          <w:sz w:val="32"/>
          <w:szCs w:val="32"/>
        </w:rPr>
        <w:t>[Z].</w:t>
      </w:r>
    </w:p>
    <w:p w14:paraId="1A750457">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pacing w:val="-4"/>
          <w:sz w:val="32"/>
          <w:szCs w:val="28"/>
        </w:rPr>
      </w:pPr>
      <w:r>
        <w:rPr>
          <w:rFonts w:eastAsia="仿宋_GB2312"/>
          <w:color w:val="auto"/>
          <w:sz w:val="32"/>
          <w:szCs w:val="32"/>
        </w:rPr>
        <w:t>[</w:t>
      </w:r>
      <w:r>
        <w:rPr>
          <w:rFonts w:hint="eastAsia" w:eastAsia="仿宋_GB2312"/>
          <w:color w:val="auto"/>
          <w:sz w:val="32"/>
          <w:szCs w:val="32"/>
        </w:rPr>
        <w:t>6</w:t>
      </w:r>
      <w:r>
        <w:rPr>
          <w:rFonts w:eastAsia="仿宋_GB2312"/>
          <w:color w:val="auto"/>
          <w:sz w:val="32"/>
          <w:szCs w:val="32"/>
        </w:rPr>
        <w:t>]</w:t>
      </w:r>
      <w:r>
        <w:rPr>
          <w:rFonts w:hint="eastAsia" w:eastAsia="仿宋_GB2312"/>
          <w:color w:val="auto"/>
          <w:sz w:val="32"/>
          <w:szCs w:val="32"/>
        </w:rPr>
        <w:t>国家药品监督管理局.医疗器械通用名称命名指导原则:国家药品监督管理局通告2019年第99号</w:t>
      </w:r>
      <w:r>
        <w:rPr>
          <w:rFonts w:hint="eastAsia" w:eastAsia="仿宋_GB2312"/>
          <w:color w:val="auto"/>
          <w:spacing w:val="-4"/>
          <w:sz w:val="32"/>
          <w:szCs w:val="28"/>
        </w:rPr>
        <w:t>[Z].</w:t>
      </w:r>
    </w:p>
    <w:p w14:paraId="486E5FD9">
      <w:pPr>
        <w:keepNext w:val="0"/>
        <w:keepLines w:val="0"/>
        <w:pageBreakBefore w:val="0"/>
        <w:tabs>
          <w:tab w:val="left" w:pos="532"/>
        </w:tabs>
        <w:kinsoku/>
        <w:wordWrap/>
        <w:overflowPunct/>
        <w:topLinePunct w:val="0"/>
        <w:bidi w:val="0"/>
        <w:spacing w:line="520" w:lineRule="exact"/>
        <w:ind w:firstLine="640" w:firstLineChars="200"/>
        <w:textAlignment w:val="auto"/>
        <w:rPr>
          <w:rFonts w:hint="eastAsia" w:eastAsia="仿宋_GB2312"/>
          <w:color w:val="auto"/>
          <w:spacing w:val="-4"/>
          <w:sz w:val="32"/>
          <w:szCs w:val="28"/>
        </w:rPr>
      </w:pPr>
      <w:r>
        <w:rPr>
          <w:rFonts w:eastAsia="仿宋_GB2312"/>
          <w:color w:val="auto"/>
          <w:sz w:val="32"/>
          <w:szCs w:val="32"/>
        </w:rPr>
        <w:t>[</w:t>
      </w:r>
      <w:r>
        <w:rPr>
          <w:rFonts w:hint="eastAsia" w:eastAsia="仿宋_GB2312"/>
          <w:color w:val="auto"/>
          <w:sz w:val="32"/>
          <w:szCs w:val="32"/>
        </w:rPr>
        <w:t>7</w:t>
      </w:r>
      <w:r>
        <w:rPr>
          <w:rFonts w:eastAsia="仿宋_GB2312"/>
          <w:color w:val="auto"/>
          <w:sz w:val="32"/>
          <w:szCs w:val="32"/>
        </w:rPr>
        <w:t>]</w:t>
      </w:r>
      <w:r>
        <w:rPr>
          <w:rFonts w:hint="eastAsia" w:eastAsia="仿宋_GB2312"/>
          <w:color w:val="auto"/>
          <w:sz w:val="32"/>
          <w:szCs w:val="32"/>
        </w:rPr>
        <w:t>国家药品监督管理局.呼吸、麻醉和急救器械通用名称命名指导原则:国家药品监督管理局通告2021年第48号</w:t>
      </w:r>
      <w:r>
        <w:rPr>
          <w:rFonts w:hint="eastAsia" w:eastAsia="仿宋_GB2312"/>
          <w:color w:val="auto"/>
          <w:spacing w:val="-4"/>
          <w:sz w:val="32"/>
          <w:szCs w:val="28"/>
        </w:rPr>
        <w:t>[Z].</w:t>
      </w:r>
    </w:p>
    <w:p w14:paraId="452EC9F1">
      <w:pPr>
        <w:keepNext w:val="0"/>
        <w:keepLines w:val="0"/>
        <w:pageBreakBefore w:val="0"/>
        <w:tabs>
          <w:tab w:val="left" w:pos="532"/>
        </w:tabs>
        <w:kinsoku/>
        <w:wordWrap/>
        <w:overflowPunct/>
        <w:topLinePunct w:val="0"/>
        <w:bidi w:val="0"/>
        <w:spacing w:line="520" w:lineRule="exact"/>
        <w:ind w:firstLine="640" w:firstLineChars="200"/>
        <w:textAlignment w:val="auto"/>
        <w:rPr>
          <w:rFonts w:eastAsia="仿宋_GB2312"/>
          <w:color w:val="auto"/>
          <w:sz w:val="32"/>
          <w:szCs w:val="32"/>
        </w:rPr>
      </w:pPr>
      <w:r>
        <w:rPr>
          <w:rFonts w:eastAsia="仿宋_GB2312"/>
          <w:color w:val="auto"/>
          <w:sz w:val="32"/>
          <w:szCs w:val="32"/>
        </w:rPr>
        <w:t>[8]</w:t>
      </w:r>
      <w:r>
        <w:rPr>
          <w:rFonts w:hint="eastAsia" w:eastAsia="仿宋_GB2312"/>
          <w:color w:val="auto"/>
          <w:sz w:val="32"/>
          <w:szCs w:val="32"/>
        </w:rPr>
        <w:t>国家食品药品监督管理. 医疗器械注册单元划分指导原则：国家食品药品监督管理总局公告2017年第187号[Z].</w:t>
      </w:r>
    </w:p>
    <w:p w14:paraId="525CC635">
      <w:pPr>
        <w:keepNext w:val="0"/>
        <w:keepLines w:val="0"/>
        <w:pageBreakBefore w:val="0"/>
        <w:tabs>
          <w:tab w:val="left" w:pos="532"/>
        </w:tabs>
        <w:kinsoku/>
        <w:wordWrap/>
        <w:overflowPunct/>
        <w:topLinePunct w:val="0"/>
        <w:bidi w:val="0"/>
        <w:spacing w:line="520" w:lineRule="exact"/>
        <w:ind w:firstLine="640" w:firstLineChars="200"/>
        <w:textAlignment w:val="auto"/>
        <w:rPr>
          <w:rFonts w:hint="eastAsia" w:eastAsia="仿宋_GB2312"/>
          <w:color w:val="auto"/>
          <w:sz w:val="32"/>
          <w:szCs w:val="32"/>
        </w:rPr>
      </w:pPr>
      <w:r>
        <w:rPr>
          <w:rFonts w:eastAsia="仿宋_GB2312"/>
          <w:color w:val="auto"/>
          <w:sz w:val="32"/>
          <w:szCs w:val="32"/>
        </w:rPr>
        <w:t>[</w:t>
      </w:r>
      <w:r>
        <w:rPr>
          <w:rFonts w:hint="eastAsia" w:eastAsia="仿宋_GB2312"/>
          <w:color w:val="auto"/>
          <w:sz w:val="32"/>
          <w:szCs w:val="32"/>
        </w:rPr>
        <w:t>9</w:t>
      </w:r>
      <w:r>
        <w:rPr>
          <w:rFonts w:eastAsia="仿宋_GB2312"/>
          <w:color w:val="auto"/>
          <w:sz w:val="32"/>
          <w:szCs w:val="32"/>
        </w:rPr>
        <w:t>]</w:t>
      </w:r>
      <w:r>
        <w:rPr>
          <w:rFonts w:hint="eastAsia" w:eastAsia="仿宋_GB2312"/>
          <w:color w:val="auto"/>
          <w:sz w:val="32"/>
          <w:szCs w:val="32"/>
        </w:rPr>
        <w:t>国家药品监督管理局. 医疗器械安全和性能的基本原则：国家药品监督管理局通告2020年第18号[Z].</w:t>
      </w:r>
    </w:p>
    <w:p w14:paraId="22549AA9">
      <w:pPr>
        <w:keepNext w:val="0"/>
        <w:keepLines w:val="0"/>
        <w:pageBreakBefore w:val="0"/>
        <w:kinsoku/>
        <w:wordWrap/>
        <w:overflowPunct/>
        <w:topLinePunct w:val="0"/>
        <w:bidi w:val="0"/>
        <w:spacing w:line="520" w:lineRule="exact"/>
        <w:ind w:left="2" w:firstLine="640" w:firstLineChars="200"/>
        <w:textAlignment w:val="auto"/>
        <w:rPr>
          <w:rFonts w:hint="eastAsia" w:eastAsia="仿宋_GB2312"/>
          <w:color w:val="auto"/>
          <w:spacing w:val="-4"/>
          <w:sz w:val="32"/>
          <w:szCs w:val="28"/>
        </w:rPr>
      </w:pPr>
      <w:r>
        <w:rPr>
          <w:rFonts w:hint="eastAsia" w:eastAsia="仿宋_GB2312"/>
          <w:color w:val="auto"/>
          <w:sz w:val="32"/>
          <w:szCs w:val="32"/>
        </w:rPr>
        <w:t>[10]</w:t>
      </w:r>
      <w:r>
        <w:rPr>
          <w:rFonts w:hint="eastAsia" w:eastAsia="仿宋_GB2312"/>
          <w:color w:val="auto"/>
          <w:spacing w:val="-4"/>
          <w:sz w:val="32"/>
          <w:szCs w:val="28"/>
        </w:rPr>
        <w:t xml:space="preserve">国家药品监督管理局.医疗器械产品技术要求编写指导原则:国家药品监督管理局通告2022年第8号[Z]. </w:t>
      </w:r>
    </w:p>
    <w:p w14:paraId="76393493">
      <w:pPr>
        <w:keepNext w:val="0"/>
        <w:keepLines w:val="0"/>
        <w:pageBreakBefore w:val="0"/>
        <w:tabs>
          <w:tab w:val="left" w:pos="532"/>
        </w:tabs>
        <w:kinsoku/>
        <w:wordWrap/>
        <w:overflowPunct/>
        <w:topLinePunct w:val="0"/>
        <w:bidi w:val="0"/>
        <w:spacing w:line="520" w:lineRule="exact"/>
        <w:ind w:firstLine="640" w:firstLineChars="200"/>
        <w:textAlignment w:val="auto"/>
        <w:rPr>
          <w:rFonts w:hint="eastAsia" w:eastAsia="仿宋_GB2312"/>
          <w:color w:val="auto"/>
          <w:sz w:val="32"/>
          <w:szCs w:val="32"/>
        </w:rPr>
      </w:pPr>
      <w:r>
        <w:rPr>
          <w:rFonts w:hint="eastAsia" w:eastAsia="仿宋_GB2312"/>
          <w:color w:val="auto"/>
          <w:sz w:val="32"/>
          <w:szCs w:val="32"/>
        </w:rPr>
        <w:t>[11]国家食品药品监督管理局. 关于印发医疗器械生物学评价和审查指南的通知2007年第345号[Z].</w:t>
      </w:r>
    </w:p>
    <w:p w14:paraId="3596ECB7">
      <w:pPr>
        <w:keepNext w:val="0"/>
        <w:keepLines w:val="0"/>
        <w:pageBreakBefore w:val="0"/>
        <w:tabs>
          <w:tab w:val="left" w:pos="532"/>
        </w:tabs>
        <w:kinsoku/>
        <w:wordWrap/>
        <w:overflowPunct/>
        <w:topLinePunct w:val="0"/>
        <w:bidi w:val="0"/>
        <w:spacing w:line="520" w:lineRule="exact"/>
        <w:ind w:firstLine="640" w:firstLineChars="200"/>
        <w:textAlignment w:val="auto"/>
        <w:rPr>
          <w:rFonts w:hint="eastAsia" w:eastAsia="仿宋_GB2312"/>
          <w:color w:val="auto"/>
          <w:sz w:val="32"/>
          <w:szCs w:val="32"/>
        </w:rPr>
      </w:pPr>
      <w:r>
        <w:rPr>
          <w:rFonts w:hint="eastAsia" w:eastAsia="仿宋_GB2312"/>
          <w:color w:val="auto"/>
          <w:sz w:val="32"/>
          <w:szCs w:val="32"/>
        </w:rPr>
        <w:t>[12]国家药品监督管理局.免于临床评价医疗器械目录：</w:t>
      </w:r>
      <w:r>
        <w:rPr>
          <w:rFonts w:hint="eastAsia" w:eastAsia="仿宋_GB2312"/>
          <w:color w:val="auto"/>
          <w:spacing w:val="-4"/>
          <w:sz w:val="32"/>
          <w:szCs w:val="28"/>
        </w:rPr>
        <w:t>国家药</w:t>
      </w:r>
      <w:r>
        <w:rPr>
          <w:rFonts w:hint="eastAsia" w:eastAsia="仿宋_GB2312"/>
          <w:color w:val="auto"/>
          <w:sz w:val="32"/>
          <w:szCs w:val="32"/>
        </w:rPr>
        <w:t>品监督管理局通告202</w:t>
      </w:r>
      <w:r>
        <w:rPr>
          <w:rFonts w:hint="eastAsia" w:eastAsia="仿宋_GB2312"/>
          <w:color w:val="auto"/>
          <w:sz w:val="32"/>
          <w:szCs w:val="32"/>
          <w:lang w:val="en-US" w:eastAsia="zh-CN"/>
        </w:rPr>
        <w:t>5</w:t>
      </w:r>
      <w:r>
        <w:rPr>
          <w:rFonts w:hint="eastAsia" w:eastAsia="仿宋_GB2312"/>
          <w:color w:val="auto"/>
          <w:sz w:val="32"/>
          <w:szCs w:val="32"/>
        </w:rPr>
        <w:t>年第</w:t>
      </w:r>
      <w:r>
        <w:rPr>
          <w:rFonts w:hint="eastAsia" w:eastAsia="仿宋_GB2312"/>
          <w:color w:val="auto"/>
          <w:sz w:val="32"/>
          <w:szCs w:val="32"/>
          <w:lang w:val="en-US" w:eastAsia="zh-CN"/>
        </w:rPr>
        <w:t>19</w:t>
      </w:r>
      <w:r>
        <w:rPr>
          <w:rFonts w:hint="eastAsia" w:eastAsia="仿宋_GB2312"/>
          <w:color w:val="auto"/>
          <w:sz w:val="32"/>
          <w:szCs w:val="32"/>
        </w:rPr>
        <w:t>号[Z].</w:t>
      </w:r>
    </w:p>
    <w:p w14:paraId="08F86FFD">
      <w:pPr>
        <w:keepNext w:val="0"/>
        <w:keepLines w:val="0"/>
        <w:pageBreakBefore w:val="0"/>
        <w:tabs>
          <w:tab w:val="left" w:pos="532"/>
        </w:tabs>
        <w:kinsoku/>
        <w:wordWrap/>
        <w:overflowPunct/>
        <w:topLinePunct w:val="0"/>
        <w:bidi w:val="0"/>
        <w:spacing w:line="520" w:lineRule="exact"/>
        <w:ind w:left="2" w:firstLine="640" w:firstLineChars="200"/>
        <w:textAlignment w:val="auto"/>
        <w:rPr>
          <w:rFonts w:eastAsia="仿宋_GB2312"/>
          <w:color w:val="auto"/>
          <w:sz w:val="32"/>
          <w:szCs w:val="32"/>
        </w:rPr>
      </w:pPr>
      <w:r>
        <w:rPr>
          <w:rFonts w:eastAsia="仿宋_GB2312"/>
          <w:color w:val="auto"/>
          <w:sz w:val="32"/>
          <w:szCs w:val="32"/>
        </w:rPr>
        <w:t>[</w:t>
      </w:r>
      <w:r>
        <w:rPr>
          <w:rFonts w:hint="eastAsia" w:eastAsia="仿宋_GB2312"/>
          <w:color w:val="auto"/>
          <w:sz w:val="32"/>
          <w:szCs w:val="32"/>
        </w:rPr>
        <w:t>13</w:t>
      </w:r>
      <w:r>
        <w:rPr>
          <w:rFonts w:eastAsia="仿宋_GB2312"/>
          <w:color w:val="auto"/>
          <w:sz w:val="32"/>
          <w:szCs w:val="32"/>
        </w:rPr>
        <w:t>]</w:t>
      </w:r>
      <w:r>
        <w:rPr>
          <w:rFonts w:hint="eastAsia" w:eastAsia="仿宋_GB2312"/>
          <w:color w:val="auto"/>
          <w:sz w:val="32"/>
          <w:szCs w:val="32"/>
        </w:rPr>
        <w:t>国家药品监督管理局.</w:t>
      </w:r>
      <w:r>
        <w:rPr>
          <w:rFonts w:eastAsia="仿宋_GB2312"/>
          <w:color w:val="auto"/>
          <w:sz w:val="32"/>
          <w:szCs w:val="32"/>
        </w:rPr>
        <w:t>列入免于临床评价医疗器械目录产品对比说明技术指导原则</w:t>
      </w:r>
      <w:r>
        <w:rPr>
          <w:rFonts w:hint="eastAsia" w:eastAsia="仿宋_GB2312"/>
          <w:color w:val="auto"/>
          <w:sz w:val="32"/>
          <w:szCs w:val="32"/>
        </w:rPr>
        <w:t>:国家食品药品监督管理总局</w:t>
      </w:r>
      <w:r>
        <w:rPr>
          <w:rFonts w:eastAsia="仿宋_GB2312"/>
          <w:color w:val="auto"/>
          <w:sz w:val="32"/>
          <w:szCs w:val="32"/>
        </w:rPr>
        <w:t>公告</w:t>
      </w:r>
      <w:r>
        <w:rPr>
          <w:rFonts w:hint="eastAsia" w:eastAsia="仿宋_GB2312"/>
          <w:color w:val="auto"/>
          <w:sz w:val="32"/>
          <w:szCs w:val="32"/>
        </w:rPr>
        <w:t>2021年第73号</w:t>
      </w:r>
      <w:r>
        <w:rPr>
          <w:rFonts w:hint="eastAsia" w:eastAsia="仿宋_GB2312"/>
          <w:color w:val="auto"/>
          <w:sz w:val="32"/>
          <w:szCs w:val="32"/>
          <w:lang w:val="en"/>
        </w:rPr>
        <w:t>[Z]</w:t>
      </w:r>
      <w:r>
        <w:rPr>
          <w:rFonts w:hint="eastAsia" w:eastAsia="仿宋_GB2312"/>
          <w:color w:val="auto"/>
          <w:sz w:val="32"/>
          <w:szCs w:val="32"/>
        </w:rPr>
        <w:t>.</w:t>
      </w:r>
    </w:p>
    <w:p w14:paraId="2027CC47">
      <w:pPr>
        <w:keepNext w:val="0"/>
        <w:keepLines w:val="0"/>
        <w:pageBreakBefore w:val="0"/>
        <w:tabs>
          <w:tab w:val="left" w:pos="532"/>
        </w:tabs>
        <w:kinsoku/>
        <w:wordWrap/>
        <w:overflowPunct/>
        <w:topLinePunct w:val="0"/>
        <w:bidi w:val="0"/>
        <w:spacing w:line="520" w:lineRule="exact"/>
        <w:ind w:firstLine="640" w:firstLineChars="200"/>
        <w:textAlignment w:val="auto"/>
        <w:rPr>
          <w:rFonts w:eastAsia="仿宋_GB2312"/>
          <w:color w:val="auto"/>
          <w:sz w:val="32"/>
          <w:szCs w:val="32"/>
        </w:rPr>
      </w:pPr>
      <w:r>
        <w:rPr>
          <w:rFonts w:eastAsia="仿宋_GB2312"/>
          <w:color w:val="auto"/>
          <w:sz w:val="32"/>
          <w:szCs w:val="32"/>
        </w:rPr>
        <w:t>[</w:t>
      </w:r>
      <w:r>
        <w:rPr>
          <w:rFonts w:hint="eastAsia" w:eastAsia="仿宋_GB2312"/>
          <w:color w:val="auto"/>
          <w:sz w:val="32"/>
          <w:szCs w:val="32"/>
        </w:rPr>
        <w:t>14</w:t>
      </w:r>
      <w:r>
        <w:rPr>
          <w:rFonts w:eastAsia="仿宋_GB2312"/>
          <w:color w:val="auto"/>
          <w:sz w:val="32"/>
          <w:szCs w:val="32"/>
        </w:rPr>
        <w:t>]</w:t>
      </w:r>
      <w:r>
        <w:rPr>
          <w:rFonts w:hint="eastAsia" w:eastAsia="仿宋_GB2312"/>
          <w:color w:val="auto"/>
          <w:sz w:val="32"/>
          <w:szCs w:val="32"/>
        </w:rPr>
        <w:t>国家药品监督管理局.医疗器械临床评价技术指导原则:国家药品监督管理局通告2021年第73号[Z].</w:t>
      </w:r>
    </w:p>
    <w:p w14:paraId="4FC64517">
      <w:pPr>
        <w:keepNext w:val="0"/>
        <w:keepLines w:val="0"/>
        <w:pageBreakBefore w:val="0"/>
        <w:tabs>
          <w:tab w:val="left" w:pos="532"/>
        </w:tabs>
        <w:kinsoku/>
        <w:wordWrap/>
        <w:overflowPunct/>
        <w:topLinePunct w:val="0"/>
        <w:bidi w:val="0"/>
        <w:spacing w:line="520" w:lineRule="exact"/>
        <w:ind w:firstLine="640" w:firstLineChars="200"/>
        <w:textAlignment w:val="auto"/>
        <w:rPr>
          <w:rFonts w:hint="eastAsia" w:eastAsia="仿宋_GB2312"/>
          <w:color w:val="auto"/>
          <w:spacing w:val="-4"/>
          <w:sz w:val="32"/>
          <w:szCs w:val="28"/>
        </w:rPr>
      </w:pPr>
      <w:r>
        <w:rPr>
          <w:rFonts w:eastAsia="仿宋_GB2312"/>
          <w:color w:val="auto"/>
          <w:sz w:val="32"/>
          <w:szCs w:val="32"/>
        </w:rPr>
        <w:t>[</w:t>
      </w:r>
      <w:r>
        <w:rPr>
          <w:rFonts w:hint="eastAsia" w:eastAsia="仿宋_GB2312"/>
          <w:color w:val="auto"/>
          <w:sz w:val="32"/>
          <w:szCs w:val="32"/>
        </w:rPr>
        <w:t>15</w:t>
      </w:r>
      <w:r>
        <w:rPr>
          <w:rFonts w:eastAsia="仿宋_GB2312"/>
          <w:color w:val="auto"/>
          <w:sz w:val="32"/>
          <w:szCs w:val="32"/>
        </w:rPr>
        <w:t>]</w:t>
      </w:r>
      <w:r>
        <w:rPr>
          <w:rFonts w:hint="eastAsia" w:eastAsia="仿宋_GB2312"/>
          <w:color w:val="auto"/>
          <w:sz w:val="32"/>
          <w:szCs w:val="32"/>
        </w:rPr>
        <w:t>国家药品监督管理局 国家卫生健康委员会. 医疗器械临床试验质量管理规范：国家药品监督管理局 国家卫生健康委员会公告2022年第28号[Z]</w:t>
      </w:r>
      <w:r>
        <w:rPr>
          <w:rFonts w:hint="eastAsia" w:eastAsia="仿宋_GB2312"/>
          <w:color w:val="auto"/>
          <w:spacing w:val="-4"/>
          <w:sz w:val="32"/>
          <w:szCs w:val="28"/>
        </w:rPr>
        <w:t>.</w:t>
      </w:r>
    </w:p>
    <w:p w14:paraId="5035334E">
      <w:pPr>
        <w:keepNext w:val="0"/>
        <w:keepLines w:val="0"/>
        <w:pageBreakBefore w:val="0"/>
        <w:tabs>
          <w:tab w:val="left" w:pos="532"/>
        </w:tabs>
        <w:kinsoku/>
        <w:wordWrap/>
        <w:overflowPunct/>
        <w:topLinePunct w:val="0"/>
        <w:bidi w:val="0"/>
        <w:spacing w:line="520" w:lineRule="exact"/>
        <w:ind w:left="2" w:firstLine="640" w:firstLineChars="200"/>
        <w:textAlignment w:val="auto"/>
        <w:rPr>
          <w:rFonts w:eastAsia="仿宋_GB2312"/>
          <w:color w:val="auto"/>
          <w:sz w:val="32"/>
          <w:szCs w:val="32"/>
        </w:rPr>
      </w:pPr>
      <w:r>
        <w:rPr>
          <w:rFonts w:eastAsia="仿宋_GB2312"/>
          <w:color w:val="auto"/>
          <w:sz w:val="32"/>
          <w:szCs w:val="32"/>
        </w:rPr>
        <w:t>[</w:t>
      </w:r>
      <w:r>
        <w:rPr>
          <w:rFonts w:hint="eastAsia" w:eastAsia="仿宋_GB2312"/>
          <w:color w:val="auto"/>
          <w:sz w:val="32"/>
          <w:szCs w:val="32"/>
        </w:rPr>
        <w:t>16</w:t>
      </w:r>
      <w:r>
        <w:rPr>
          <w:rFonts w:eastAsia="仿宋_GB2312"/>
          <w:color w:val="auto"/>
          <w:sz w:val="32"/>
          <w:szCs w:val="32"/>
        </w:rPr>
        <w:t>]</w:t>
      </w:r>
      <w:r>
        <w:rPr>
          <w:rFonts w:hint="eastAsia" w:eastAsia="仿宋_GB2312"/>
          <w:color w:val="auto"/>
          <w:spacing w:val="-4"/>
          <w:sz w:val="32"/>
          <w:szCs w:val="28"/>
        </w:rPr>
        <w:t>国家食品药品监督管理总局.医疗器械说明书和标签管理规定:国家食品药品监督管理总局令第6号[Z].</w:t>
      </w:r>
    </w:p>
    <w:p w14:paraId="2695BBD5">
      <w:pPr>
        <w:keepNext w:val="0"/>
        <w:keepLines w:val="0"/>
        <w:pageBreakBefore w:val="0"/>
        <w:tabs>
          <w:tab w:val="left" w:pos="532"/>
        </w:tabs>
        <w:kinsoku/>
        <w:wordWrap/>
        <w:overflowPunct/>
        <w:topLinePunct w:val="0"/>
        <w:bidi w:val="0"/>
        <w:spacing w:line="520" w:lineRule="exact"/>
        <w:ind w:left="2" w:firstLine="640" w:firstLineChars="200"/>
        <w:textAlignment w:val="auto"/>
        <w:rPr>
          <w:rFonts w:eastAsia="仿宋_GB2312"/>
          <w:color w:val="auto"/>
          <w:sz w:val="32"/>
          <w:szCs w:val="32"/>
        </w:rPr>
      </w:pPr>
      <w:r>
        <w:rPr>
          <w:rFonts w:eastAsia="仿宋_GB2312"/>
          <w:color w:val="auto"/>
          <w:sz w:val="32"/>
          <w:szCs w:val="32"/>
        </w:rPr>
        <w:t>[1</w:t>
      </w:r>
      <w:r>
        <w:rPr>
          <w:rFonts w:hint="eastAsia" w:eastAsia="仿宋_GB2312"/>
          <w:color w:val="auto"/>
          <w:sz w:val="32"/>
          <w:szCs w:val="32"/>
        </w:rPr>
        <w:t>7</w:t>
      </w:r>
      <w:r>
        <w:rPr>
          <w:rFonts w:eastAsia="仿宋_GB2312"/>
          <w:color w:val="auto"/>
          <w:sz w:val="32"/>
          <w:szCs w:val="32"/>
        </w:rPr>
        <w:t>]</w:t>
      </w:r>
      <w:r>
        <w:rPr>
          <w:rFonts w:hint="eastAsia" w:eastAsia="仿宋_GB2312"/>
          <w:color w:val="auto"/>
          <w:sz w:val="32"/>
          <w:szCs w:val="32"/>
        </w:rPr>
        <w:t>GB/T 45665.1</w:t>
      </w:r>
      <w:r>
        <w:rPr>
          <w:rFonts w:hint="eastAsia" w:eastAsia="仿宋_GB2312"/>
          <w:color w:val="auto"/>
          <w:sz w:val="32"/>
          <w:szCs w:val="32"/>
          <w:lang w:val="en-US" w:eastAsia="zh-CN"/>
        </w:rPr>
        <w:t>,</w:t>
      </w:r>
      <w:r>
        <w:rPr>
          <w:rFonts w:hint="eastAsia" w:eastAsia="仿宋_GB2312"/>
          <w:color w:val="auto"/>
          <w:sz w:val="32"/>
          <w:szCs w:val="32"/>
        </w:rPr>
        <w:t>麻醉和呼吸设备 圆锥接头 第1部分：锥头和锥套</w:t>
      </w:r>
      <w:r>
        <w:rPr>
          <w:rFonts w:eastAsia="仿宋_GB2312"/>
          <w:color w:val="auto"/>
          <w:sz w:val="32"/>
          <w:szCs w:val="32"/>
        </w:rPr>
        <w:t>[S].</w:t>
      </w:r>
    </w:p>
    <w:p w14:paraId="6831367B">
      <w:pPr>
        <w:keepNext w:val="0"/>
        <w:keepLines w:val="0"/>
        <w:pageBreakBefore w:val="0"/>
        <w:tabs>
          <w:tab w:val="left" w:pos="532"/>
        </w:tabs>
        <w:kinsoku/>
        <w:wordWrap/>
        <w:overflowPunct/>
        <w:topLinePunct w:val="0"/>
        <w:bidi w:val="0"/>
        <w:spacing w:line="520" w:lineRule="exact"/>
        <w:ind w:firstLine="640" w:firstLineChars="200"/>
        <w:textAlignment w:val="auto"/>
        <w:rPr>
          <w:rFonts w:eastAsia="仿宋_GB2312"/>
          <w:color w:val="auto"/>
          <w:sz w:val="32"/>
          <w:szCs w:val="32"/>
        </w:rPr>
      </w:pPr>
      <w:r>
        <w:rPr>
          <w:rFonts w:hint="eastAsia" w:eastAsia="仿宋_GB2312"/>
          <w:color w:val="auto"/>
          <w:sz w:val="32"/>
          <w:szCs w:val="32"/>
        </w:rPr>
        <w:t>[18]</w:t>
      </w:r>
      <w:r>
        <w:rPr>
          <w:rStyle w:val="21"/>
          <w:rFonts w:hint="eastAsia" w:eastAsia="仿宋_GB2312"/>
          <w:color w:val="auto"/>
          <w:sz w:val="32"/>
          <w:szCs w:val="32"/>
        </w:rPr>
        <w:t>GB/T</w:t>
      </w:r>
      <w:r>
        <w:rPr>
          <w:rStyle w:val="21"/>
          <w:rFonts w:eastAsia="仿宋_GB2312"/>
          <w:color w:val="auto"/>
          <w:sz w:val="32"/>
          <w:szCs w:val="32"/>
        </w:rPr>
        <w:t xml:space="preserve"> </w:t>
      </w:r>
      <w:r>
        <w:rPr>
          <w:rStyle w:val="21"/>
          <w:rFonts w:hint="eastAsia" w:eastAsia="仿宋_GB2312"/>
          <w:color w:val="auto"/>
          <w:sz w:val="32"/>
          <w:szCs w:val="32"/>
        </w:rPr>
        <w:t>42062</w:t>
      </w:r>
      <w:r>
        <w:rPr>
          <w:rFonts w:eastAsia="仿宋_GB2312"/>
          <w:color w:val="auto"/>
          <w:sz w:val="32"/>
          <w:szCs w:val="32"/>
        </w:rPr>
        <w:t>,</w:t>
      </w:r>
      <w:r>
        <w:rPr>
          <w:rStyle w:val="21"/>
          <w:rFonts w:eastAsia="仿宋_GB2312"/>
          <w:color w:val="auto"/>
          <w:sz w:val="32"/>
          <w:szCs w:val="32"/>
        </w:rPr>
        <w:t>医疗器械</w:t>
      </w:r>
      <w:r>
        <w:rPr>
          <w:rStyle w:val="21"/>
          <w:rFonts w:hint="eastAsia" w:eastAsia="仿宋_GB2312"/>
          <w:color w:val="auto"/>
          <w:sz w:val="32"/>
          <w:szCs w:val="32"/>
        </w:rPr>
        <w:t xml:space="preserve"> </w:t>
      </w:r>
      <w:r>
        <w:rPr>
          <w:rStyle w:val="21"/>
          <w:rFonts w:eastAsia="仿宋_GB2312"/>
          <w:color w:val="auto"/>
          <w:sz w:val="32"/>
          <w:szCs w:val="32"/>
        </w:rPr>
        <w:t>风险管理对医疗器械的应用</w:t>
      </w:r>
      <w:r>
        <w:rPr>
          <w:rFonts w:eastAsia="仿宋_GB2312"/>
          <w:color w:val="auto"/>
          <w:sz w:val="32"/>
          <w:szCs w:val="32"/>
        </w:rPr>
        <w:t>[S].</w:t>
      </w:r>
    </w:p>
    <w:p w14:paraId="4323F96A">
      <w:pPr>
        <w:keepNext w:val="0"/>
        <w:keepLines w:val="0"/>
        <w:pageBreakBefore w:val="0"/>
        <w:tabs>
          <w:tab w:val="left" w:pos="532"/>
        </w:tabs>
        <w:kinsoku/>
        <w:wordWrap/>
        <w:overflowPunct/>
        <w:topLinePunct w:val="0"/>
        <w:bidi w:val="0"/>
        <w:spacing w:line="520" w:lineRule="exact"/>
        <w:ind w:left="2" w:firstLine="640" w:firstLineChars="200"/>
        <w:textAlignment w:val="auto"/>
        <w:rPr>
          <w:rFonts w:eastAsia="仿宋_GB2312"/>
          <w:color w:val="auto"/>
          <w:sz w:val="32"/>
          <w:szCs w:val="32"/>
        </w:rPr>
      </w:pPr>
      <w:r>
        <w:rPr>
          <w:rFonts w:hint="eastAsia" w:eastAsia="仿宋_GB2312"/>
          <w:color w:val="auto"/>
          <w:sz w:val="32"/>
          <w:szCs w:val="32"/>
        </w:rPr>
        <w:t>[19]</w:t>
      </w:r>
      <w:r>
        <w:rPr>
          <w:rStyle w:val="21"/>
          <w:rFonts w:eastAsia="仿宋_GB2312"/>
          <w:color w:val="auto"/>
          <w:sz w:val="32"/>
          <w:szCs w:val="32"/>
        </w:rPr>
        <w:t>GB/T 14233.1</w:t>
      </w:r>
      <w:r>
        <w:rPr>
          <w:rFonts w:eastAsia="仿宋_GB2312"/>
          <w:color w:val="auto"/>
          <w:sz w:val="32"/>
          <w:szCs w:val="32"/>
        </w:rPr>
        <w:t>,</w:t>
      </w:r>
      <w:r>
        <w:rPr>
          <w:rStyle w:val="21"/>
          <w:rFonts w:eastAsia="仿宋_GB2312"/>
          <w:color w:val="auto"/>
          <w:sz w:val="32"/>
          <w:szCs w:val="32"/>
        </w:rPr>
        <w:t>医用输液、输血、注射器具检验方法</w:t>
      </w:r>
      <w:r>
        <w:rPr>
          <w:rStyle w:val="21"/>
          <w:rFonts w:hint="eastAsia" w:eastAsia="仿宋_GB2312"/>
          <w:color w:val="auto"/>
          <w:sz w:val="32"/>
          <w:szCs w:val="32"/>
        </w:rPr>
        <w:t xml:space="preserve"> </w:t>
      </w:r>
      <w:r>
        <w:rPr>
          <w:rStyle w:val="21"/>
          <w:rFonts w:eastAsia="仿宋_GB2312"/>
          <w:color w:val="auto"/>
          <w:sz w:val="32"/>
          <w:szCs w:val="32"/>
        </w:rPr>
        <w:t>第1部分：化学分析方法</w:t>
      </w:r>
      <w:r>
        <w:rPr>
          <w:rFonts w:eastAsia="仿宋_GB2312"/>
          <w:color w:val="auto"/>
          <w:sz w:val="32"/>
          <w:szCs w:val="32"/>
        </w:rPr>
        <w:t>[S].</w:t>
      </w:r>
    </w:p>
    <w:p w14:paraId="71426366">
      <w:pPr>
        <w:keepNext w:val="0"/>
        <w:keepLines w:val="0"/>
        <w:pageBreakBefore w:val="0"/>
        <w:tabs>
          <w:tab w:val="left" w:pos="532"/>
        </w:tabs>
        <w:kinsoku/>
        <w:wordWrap/>
        <w:overflowPunct/>
        <w:topLinePunct w:val="0"/>
        <w:bidi w:val="0"/>
        <w:spacing w:line="520" w:lineRule="exact"/>
        <w:ind w:left="2" w:firstLine="640" w:firstLineChars="200"/>
        <w:textAlignment w:val="auto"/>
        <w:rPr>
          <w:rStyle w:val="21"/>
          <w:rFonts w:hint="eastAsia" w:eastAsia="仿宋_GB2312"/>
          <w:color w:val="auto"/>
          <w:sz w:val="32"/>
          <w:szCs w:val="32"/>
        </w:rPr>
      </w:pPr>
      <w:r>
        <w:rPr>
          <w:rStyle w:val="21"/>
          <w:rFonts w:hint="eastAsia" w:eastAsia="仿宋_GB2312"/>
          <w:color w:val="auto"/>
          <w:sz w:val="32"/>
          <w:szCs w:val="32"/>
        </w:rPr>
        <w:t>[2</w:t>
      </w:r>
      <w:r>
        <w:rPr>
          <w:rStyle w:val="21"/>
          <w:rFonts w:hint="eastAsia" w:eastAsia="仿宋_GB2312"/>
          <w:color w:val="auto"/>
          <w:sz w:val="32"/>
          <w:szCs w:val="32"/>
          <w:lang w:val="en-US" w:eastAsia="zh-CN"/>
        </w:rPr>
        <w:t>0</w:t>
      </w:r>
      <w:r>
        <w:rPr>
          <w:rStyle w:val="21"/>
          <w:rFonts w:hint="eastAsia" w:eastAsia="仿宋_GB2312"/>
          <w:color w:val="auto"/>
          <w:sz w:val="32"/>
          <w:szCs w:val="32"/>
        </w:rPr>
        <w:t>]</w:t>
      </w:r>
      <w:r>
        <w:rPr>
          <w:rStyle w:val="21"/>
          <w:rFonts w:eastAsia="仿宋_GB2312"/>
          <w:color w:val="auto"/>
          <w:sz w:val="32"/>
          <w:szCs w:val="32"/>
        </w:rPr>
        <w:t>GB/T 14233.2</w:t>
      </w:r>
      <w:r>
        <w:rPr>
          <w:rFonts w:eastAsia="仿宋_GB2312"/>
          <w:color w:val="auto"/>
          <w:sz w:val="32"/>
          <w:szCs w:val="32"/>
        </w:rPr>
        <w:t>,</w:t>
      </w:r>
      <w:r>
        <w:rPr>
          <w:rStyle w:val="21"/>
          <w:rFonts w:eastAsia="仿宋_GB2312"/>
          <w:color w:val="auto"/>
          <w:sz w:val="32"/>
          <w:szCs w:val="32"/>
        </w:rPr>
        <w:t>医用输液、输血、注射器具检验方法 第2部分：生物学试验方法</w:t>
      </w:r>
      <w:r>
        <w:rPr>
          <w:rFonts w:eastAsia="仿宋_GB2312"/>
          <w:color w:val="auto"/>
          <w:sz w:val="32"/>
          <w:szCs w:val="32"/>
        </w:rPr>
        <w:t>[S].</w:t>
      </w:r>
    </w:p>
    <w:p w14:paraId="3EAE1C2A">
      <w:pPr>
        <w:keepNext w:val="0"/>
        <w:keepLines w:val="0"/>
        <w:pageBreakBefore w:val="0"/>
        <w:tabs>
          <w:tab w:val="left" w:pos="532"/>
        </w:tabs>
        <w:kinsoku/>
        <w:wordWrap/>
        <w:overflowPunct/>
        <w:topLinePunct w:val="0"/>
        <w:bidi w:val="0"/>
        <w:spacing w:line="520" w:lineRule="exact"/>
        <w:ind w:left="2" w:firstLine="640" w:firstLineChars="200"/>
        <w:textAlignment w:val="auto"/>
        <w:rPr>
          <w:rFonts w:eastAsia="仿宋_GB2312"/>
          <w:color w:val="auto"/>
          <w:sz w:val="32"/>
          <w:szCs w:val="32"/>
        </w:rPr>
      </w:pPr>
      <w:r>
        <w:rPr>
          <w:rStyle w:val="21"/>
          <w:rFonts w:hint="eastAsia" w:eastAsia="仿宋_GB2312"/>
          <w:color w:val="auto"/>
          <w:sz w:val="32"/>
          <w:szCs w:val="32"/>
        </w:rPr>
        <w:t>[2</w:t>
      </w:r>
      <w:r>
        <w:rPr>
          <w:rStyle w:val="21"/>
          <w:rFonts w:hint="eastAsia" w:eastAsia="仿宋_GB2312"/>
          <w:color w:val="auto"/>
          <w:sz w:val="32"/>
          <w:szCs w:val="32"/>
          <w:lang w:val="en-US" w:eastAsia="zh-CN"/>
        </w:rPr>
        <w:t>1</w:t>
      </w:r>
      <w:r>
        <w:rPr>
          <w:rStyle w:val="21"/>
          <w:rFonts w:hint="eastAsia" w:eastAsia="仿宋_GB2312"/>
          <w:color w:val="auto"/>
          <w:sz w:val="32"/>
          <w:szCs w:val="32"/>
        </w:rPr>
        <w:t>]</w:t>
      </w:r>
      <w:r>
        <w:rPr>
          <w:rStyle w:val="21"/>
          <w:rFonts w:eastAsia="仿宋_GB2312"/>
          <w:color w:val="auto"/>
          <w:sz w:val="32"/>
          <w:szCs w:val="32"/>
        </w:rPr>
        <w:t>GB/T 16886</w:t>
      </w:r>
      <w:r>
        <w:rPr>
          <w:rStyle w:val="21"/>
          <w:rFonts w:hint="eastAsia" w:ascii="Times New Roman" w:hAnsi="Times New Roman" w:eastAsia="仿宋_GB2312" w:cs="Times New Roman"/>
          <w:color w:val="auto"/>
          <w:kern w:val="2"/>
          <w:sz w:val="32"/>
          <w:szCs w:val="32"/>
          <w:lang w:val="en-US" w:eastAsia="zh-CN" w:bidi="ar-SA"/>
        </w:rPr>
        <w:t>,</w:t>
      </w:r>
      <w:r>
        <w:rPr>
          <w:rStyle w:val="21"/>
          <w:rFonts w:hint="eastAsia" w:eastAsia="仿宋_GB2312"/>
          <w:color w:val="auto"/>
          <w:sz w:val="32"/>
          <w:szCs w:val="32"/>
          <w:lang w:eastAsia="zh-CN"/>
        </w:rPr>
        <w:t>《</w:t>
      </w:r>
      <w:r>
        <w:rPr>
          <w:rStyle w:val="21"/>
          <w:rFonts w:hint="eastAsia" w:eastAsia="仿宋_GB2312"/>
          <w:color w:val="auto"/>
          <w:sz w:val="32"/>
          <w:szCs w:val="32"/>
          <w:lang w:val="en-US" w:eastAsia="zh-CN"/>
        </w:rPr>
        <w:t>医疗器械生物学评价</w:t>
      </w:r>
      <w:r>
        <w:rPr>
          <w:rStyle w:val="21"/>
          <w:rFonts w:hint="eastAsia" w:eastAsia="仿宋_GB2312"/>
          <w:color w:val="auto"/>
          <w:sz w:val="32"/>
          <w:szCs w:val="32"/>
          <w:lang w:eastAsia="zh-CN"/>
        </w:rPr>
        <w:t>》</w:t>
      </w:r>
      <w:r>
        <w:rPr>
          <w:rStyle w:val="21"/>
          <w:rFonts w:hint="eastAsia" w:eastAsia="仿宋_GB2312"/>
          <w:color w:val="auto"/>
          <w:sz w:val="32"/>
          <w:szCs w:val="32"/>
          <w:lang w:val="en-US" w:eastAsia="zh-CN"/>
        </w:rPr>
        <w:t>系列标准</w:t>
      </w:r>
      <w:r>
        <w:rPr>
          <w:rFonts w:eastAsia="仿宋_GB2312"/>
          <w:color w:val="auto"/>
          <w:sz w:val="32"/>
          <w:szCs w:val="32"/>
        </w:rPr>
        <w:t>[S].</w:t>
      </w:r>
    </w:p>
    <w:p w14:paraId="6279B6C4">
      <w:pPr>
        <w:pStyle w:val="2"/>
        <w:keepNext w:val="0"/>
        <w:keepLines w:val="0"/>
        <w:pageBreakBefore w:val="0"/>
        <w:kinsoku/>
        <w:wordWrap/>
        <w:overflowPunct/>
        <w:topLinePunct w:val="0"/>
        <w:bidi w:val="0"/>
        <w:spacing w:line="520" w:lineRule="exact"/>
        <w:ind w:firstLine="640" w:firstLineChars="200"/>
        <w:textAlignment w:val="auto"/>
        <w:rPr>
          <w:rStyle w:val="21"/>
          <w:rFonts w:hint="eastAsia" w:eastAsia="仿宋_GB2312"/>
          <w:color w:val="auto"/>
          <w:sz w:val="32"/>
          <w:szCs w:val="32"/>
        </w:rPr>
      </w:pPr>
      <w:r>
        <w:rPr>
          <w:rStyle w:val="21"/>
          <w:rFonts w:hint="eastAsia" w:ascii="Times New Roman" w:hAnsi="Times New Roman" w:eastAsia="仿宋_GB2312" w:cs="Times New Roman"/>
          <w:color w:val="auto"/>
          <w:kern w:val="2"/>
          <w:sz w:val="32"/>
          <w:szCs w:val="32"/>
          <w:lang w:val="en-US" w:eastAsia="zh-CN" w:bidi="ar-SA"/>
        </w:rPr>
        <w:t>[22]YY/T1778.1,医疗应用中呼吸气体通路生物相容性</w:t>
      </w:r>
      <w:r>
        <w:rPr>
          <w:rStyle w:val="21"/>
          <w:rFonts w:hint="eastAsia" w:ascii="Times New Roman" w:hAnsi="Times New Roman" w:eastAsia="仿宋_GB2312"/>
          <w:color w:val="auto"/>
          <w:kern w:val="2"/>
          <w:sz w:val="32"/>
          <w:szCs w:val="32"/>
        </w:rPr>
        <w:t>评价第1部分：风险管理过程中的评价与</w:t>
      </w:r>
      <w:r>
        <w:rPr>
          <w:rFonts w:hint="eastAsia" w:ascii="Times New Roman" w:hAnsi="Times New Roman" w:eastAsia="仿宋_GB2312"/>
          <w:color w:val="auto"/>
          <w:kern w:val="2"/>
          <w:sz w:val="32"/>
          <w:szCs w:val="32"/>
        </w:rPr>
        <w:t>试验</w:t>
      </w:r>
      <w:r>
        <w:rPr>
          <w:rFonts w:ascii="Times New Roman" w:hAnsi="Times New Roman" w:eastAsia="仿宋_GB2312"/>
          <w:color w:val="auto"/>
          <w:kern w:val="2"/>
          <w:sz w:val="32"/>
          <w:szCs w:val="32"/>
        </w:rPr>
        <w:t>[S].</w:t>
      </w:r>
    </w:p>
    <w:p w14:paraId="2855D4F3">
      <w:pPr>
        <w:keepNext w:val="0"/>
        <w:keepLines w:val="0"/>
        <w:pageBreakBefore w:val="0"/>
        <w:tabs>
          <w:tab w:val="left" w:pos="532"/>
        </w:tabs>
        <w:kinsoku/>
        <w:wordWrap/>
        <w:overflowPunct/>
        <w:topLinePunct w:val="0"/>
        <w:bidi w:val="0"/>
        <w:spacing w:line="520" w:lineRule="exact"/>
        <w:ind w:firstLine="640" w:firstLineChars="200"/>
        <w:textAlignment w:val="auto"/>
        <w:rPr>
          <w:rFonts w:eastAsia="仿宋_GB2312"/>
          <w:color w:val="auto"/>
          <w:sz w:val="32"/>
          <w:szCs w:val="32"/>
        </w:rPr>
      </w:pPr>
      <w:r>
        <w:rPr>
          <w:rStyle w:val="21"/>
          <w:rFonts w:hint="eastAsia" w:ascii="Times New Roman" w:hAnsi="Times New Roman" w:eastAsia="仿宋_GB2312"/>
          <w:color w:val="auto"/>
          <w:kern w:val="2"/>
          <w:sz w:val="32"/>
          <w:szCs w:val="32"/>
        </w:rPr>
        <w:t>[2</w:t>
      </w:r>
      <w:r>
        <w:rPr>
          <w:rStyle w:val="21"/>
          <w:rFonts w:hint="eastAsia" w:eastAsia="仿宋_GB2312"/>
          <w:color w:val="auto"/>
          <w:kern w:val="2"/>
          <w:sz w:val="32"/>
          <w:szCs w:val="32"/>
          <w:lang w:val="en-US" w:eastAsia="zh-CN"/>
        </w:rPr>
        <w:t>3</w:t>
      </w:r>
      <w:r>
        <w:rPr>
          <w:rStyle w:val="21"/>
          <w:rFonts w:hint="eastAsia" w:ascii="Times New Roman" w:hAnsi="Times New Roman" w:eastAsia="仿宋_GB2312"/>
          <w:color w:val="auto"/>
          <w:kern w:val="2"/>
          <w:sz w:val="32"/>
          <w:szCs w:val="32"/>
        </w:rPr>
        <w:t>]</w:t>
      </w:r>
      <w:r>
        <w:rPr>
          <w:rFonts w:eastAsia="仿宋_GB2312"/>
          <w:color w:val="auto"/>
          <w:sz w:val="32"/>
          <w:szCs w:val="32"/>
        </w:rPr>
        <w:t>GB 18279,</w:t>
      </w:r>
      <w:r>
        <w:rPr>
          <w:rFonts w:hint="eastAsia" w:eastAsia="仿宋_GB2312"/>
          <w:color w:val="auto"/>
          <w:sz w:val="32"/>
          <w:szCs w:val="32"/>
        </w:rPr>
        <w:t>医疗保健产品灭菌环氧乙烷医疗器械灭菌过程的开发、确认和常规控制要求[S].</w:t>
      </w:r>
    </w:p>
    <w:p w14:paraId="400B437D">
      <w:pPr>
        <w:keepNext w:val="0"/>
        <w:keepLines w:val="0"/>
        <w:pageBreakBefore w:val="0"/>
        <w:tabs>
          <w:tab w:val="left" w:pos="532"/>
        </w:tabs>
        <w:kinsoku/>
        <w:wordWrap/>
        <w:overflowPunct/>
        <w:topLinePunct w:val="0"/>
        <w:bidi w:val="0"/>
        <w:spacing w:line="520" w:lineRule="exact"/>
        <w:ind w:left="2" w:firstLine="640" w:firstLineChars="200"/>
        <w:textAlignment w:val="auto"/>
      </w:pPr>
      <w:r>
        <w:rPr>
          <w:rStyle w:val="21"/>
          <w:rFonts w:hint="eastAsia" w:eastAsia="仿宋_GB2312"/>
          <w:color w:val="auto"/>
          <w:sz w:val="32"/>
          <w:szCs w:val="32"/>
        </w:rPr>
        <w:t>[2</w:t>
      </w:r>
      <w:r>
        <w:rPr>
          <w:rStyle w:val="21"/>
          <w:rFonts w:hint="eastAsia" w:eastAsia="仿宋_GB2312"/>
          <w:color w:val="auto"/>
          <w:sz w:val="32"/>
          <w:szCs w:val="32"/>
          <w:lang w:val="en-US" w:eastAsia="zh-CN"/>
        </w:rPr>
        <w:t>4</w:t>
      </w:r>
      <w:r>
        <w:rPr>
          <w:rStyle w:val="21"/>
          <w:rFonts w:hint="eastAsia" w:eastAsia="仿宋_GB2312"/>
          <w:color w:val="auto"/>
          <w:sz w:val="32"/>
          <w:szCs w:val="32"/>
        </w:rPr>
        <w:t>]</w:t>
      </w:r>
      <w:r>
        <w:rPr>
          <w:rFonts w:hint="eastAsia" w:eastAsia="仿宋_GB2312"/>
          <w:color w:val="auto"/>
          <w:sz w:val="32"/>
          <w:szCs w:val="32"/>
        </w:rPr>
        <w:t>GB 18280</w:t>
      </w:r>
      <w:r>
        <w:rPr>
          <w:rFonts w:eastAsia="仿宋_GB2312"/>
          <w:color w:val="auto"/>
          <w:sz w:val="32"/>
          <w:szCs w:val="32"/>
        </w:rPr>
        <w:t>,</w:t>
      </w:r>
      <w:r>
        <w:rPr>
          <w:rFonts w:hint="eastAsia" w:eastAsia="仿宋_GB2312"/>
          <w:color w:val="auto"/>
          <w:sz w:val="32"/>
          <w:szCs w:val="32"/>
          <w:lang w:eastAsia="zh-CN"/>
        </w:rPr>
        <w:t>《</w:t>
      </w:r>
      <w:r>
        <w:rPr>
          <w:rFonts w:hint="eastAsia" w:eastAsia="仿宋_GB2312"/>
          <w:color w:val="auto"/>
          <w:sz w:val="32"/>
          <w:szCs w:val="32"/>
        </w:rPr>
        <w:t>医疗产品灭菌辐射</w:t>
      </w:r>
      <w:r>
        <w:rPr>
          <w:rFonts w:hint="eastAsia" w:eastAsia="仿宋_GB2312"/>
          <w:color w:val="auto"/>
          <w:sz w:val="32"/>
          <w:szCs w:val="32"/>
          <w:lang w:eastAsia="zh-CN"/>
        </w:rPr>
        <w:t>》</w:t>
      </w:r>
      <w:r>
        <w:rPr>
          <w:rStyle w:val="21"/>
          <w:rFonts w:hint="eastAsia" w:eastAsia="仿宋_GB2312"/>
          <w:color w:val="auto"/>
          <w:sz w:val="32"/>
          <w:szCs w:val="32"/>
          <w:lang w:val="en-US" w:eastAsia="zh-CN"/>
        </w:rPr>
        <w:t>系列标准</w:t>
      </w:r>
      <w:r>
        <w:rPr>
          <w:rFonts w:eastAsia="仿宋_GB2312"/>
          <w:color w:val="auto"/>
          <w:sz w:val="32"/>
          <w:szCs w:val="32"/>
        </w:rPr>
        <w:t>[S].</w:t>
      </w:r>
    </w:p>
    <w:p w14:paraId="77C066AC">
      <w:pPr>
        <w:keepNext w:val="0"/>
        <w:keepLines w:val="0"/>
        <w:pageBreakBefore w:val="0"/>
        <w:tabs>
          <w:tab w:val="left" w:pos="532"/>
        </w:tabs>
        <w:kinsoku/>
        <w:wordWrap/>
        <w:overflowPunct/>
        <w:topLinePunct w:val="0"/>
        <w:bidi w:val="0"/>
        <w:spacing w:line="520" w:lineRule="exact"/>
        <w:ind w:firstLine="640" w:firstLineChars="200"/>
        <w:textAlignment w:val="auto"/>
        <w:rPr>
          <w:rStyle w:val="21"/>
          <w:rFonts w:eastAsia="仿宋_GB2312"/>
          <w:color w:val="auto"/>
          <w:sz w:val="32"/>
          <w:szCs w:val="32"/>
        </w:rPr>
      </w:pPr>
      <w:r>
        <w:rPr>
          <w:rStyle w:val="21"/>
          <w:rFonts w:hint="eastAsia" w:eastAsia="仿宋_GB2312"/>
          <w:color w:val="auto"/>
          <w:sz w:val="32"/>
          <w:szCs w:val="32"/>
        </w:rPr>
        <w:t>[2</w:t>
      </w:r>
      <w:r>
        <w:rPr>
          <w:rStyle w:val="21"/>
          <w:rFonts w:hint="eastAsia" w:eastAsia="仿宋_GB2312"/>
          <w:color w:val="auto"/>
          <w:sz w:val="32"/>
          <w:szCs w:val="32"/>
          <w:lang w:val="en-US" w:eastAsia="zh-CN"/>
        </w:rPr>
        <w:t>5</w:t>
      </w:r>
      <w:r>
        <w:rPr>
          <w:rStyle w:val="21"/>
          <w:rFonts w:hint="eastAsia" w:eastAsia="仿宋_GB2312"/>
          <w:color w:val="auto"/>
          <w:sz w:val="32"/>
          <w:szCs w:val="32"/>
        </w:rPr>
        <w:t>]YY/T 0681</w:t>
      </w:r>
      <w:r>
        <w:rPr>
          <w:rStyle w:val="21"/>
          <w:rFonts w:hint="eastAsia" w:ascii="Times New Roman" w:hAnsi="Times New Roman" w:eastAsia="仿宋_GB2312" w:cs="Times New Roman"/>
          <w:color w:val="auto"/>
          <w:kern w:val="2"/>
          <w:sz w:val="32"/>
          <w:szCs w:val="32"/>
          <w:lang w:val="en-US" w:eastAsia="zh-CN" w:bidi="ar-SA"/>
        </w:rPr>
        <w:t>,</w:t>
      </w:r>
      <w:r>
        <w:rPr>
          <w:rStyle w:val="21"/>
          <w:rFonts w:hint="eastAsia" w:eastAsia="仿宋_GB2312"/>
          <w:color w:val="auto"/>
          <w:sz w:val="32"/>
          <w:szCs w:val="32"/>
        </w:rPr>
        <w:t>《无菌医疗器械包装试验方法》系列标准</w:t>
      </w:r>
      <w:r>
        <w:rPr>
          <w:rFonts w:eastAsia="仿宋_GB2312"/>
          <w:color w:val="auto"/>
          <w:sz w:val="32"/>
          <w:szCs w:val="32"/>
        </w:rPr>
        <w:t>[S].</w:t>
      </w:r>
    </w:p>
    <w:p w14:paraId="4964326C">
      <w:pPr>
        <w:keepNext w:val="0"/>
        <w:keepLines w:val="0"/>
        <w:pageBreakBefore w:val="0"/>
        <w:tabs>
          <w:tab w:val="left" w:pos="532"/>
        </w:tabs>
        <w:kinsoku/>
        <w:wordWrap/>
        <w:overflowPunct/>
        <w:topLinePunct w:val="0"/>
        <w:bidi w:val="0"/>
        <w:spacing w:line="520" w:lineRule="exact"/>
        <w:ind w:left="2" w:firstLine="640" w:firstLineChars="200"/>
        <w:textAlignment w:val="auto"/>
        <w:rPr>
          <w:rFonts w:eastAsia="仿宋_GB2312"/>
          <w:color w:val="auto"/>
          <w:sz w:val="32"/>
          <w:szCs w:val="32"/>
        </w:rPr>
      </w:pPr>
      <w:r>
        <w:rPr>
          <w:rFonts w:hint="eastAsia" w:eastAsia="仿宋_GB2312" w:cs="仿宋_GB2312"/>
          <w:snapToGrid w:val="0"/>
          <w:color w:val="auto"/>
          <w:sz w:val="32"/>
          <w:szCs w:val="32"/>
        </w:rPr>
        <w:t>[2</w:t>
      </w:r>
      <w:r>
        <w:rPr>
          <w:rFonts w:hint="eastAsia" w:eastAsia="仿宋_GB2312" w:cs="仿宋_GB2312"/>
          <w:snapToGrid w:val="0"/>
          <w:color w:val="auto"/>
          <w:sz w:val="32"/>
          <w:szCs w:val="32"/>
          <w:lang w:val="en-US" w:eastAsia="zh-CN"/>
        </w:rPr>
        <w:t>6</w:t>
      </w:r>
      <w:r>
        <w:rPr>
          <w:rFonts w:hint="eastAsia" w:eastAsia="仿宋_GB2312" w:cs="仿宋_GB2312"/>
          <w:snapToGrid w:val="0"/>
          <w:color w:val="auto"/>
          <w:sz w:val="32"/>
          <w:szCs w:val="32"/>
        </w:rPr>
        <w:t>]</w:t>
      </w:r>
      <w:r>
        <w:rPr>
          <w:rFonts w:eastAsia="仿宋_GB2312" w:cs="仿宋_GB2312"/>
          <w:snapToGrid w:val="0"/>
          <w:color w:val="auto"/>
          <w:sz w:val="32"/>
          <w:szCs w:val="32"/>
        </w:rPr>
        <w:t>GB/T 485</w:t>
      </w:r>
      <w:r>
        <w:rPr>
          <w:rStyle w:val="21"/>
          <w:rFonts w:eastAsia="仿宋_GB2312"/>
          <w:color w:val="auto"/>
          <w:sz w:val="32"/>
          <w:szCs w:val="32"/>
        </w:rPr>
        <w:t>7</w:t>
      </w:r>
      <w:r>
        <w:rPr>
          <w:rStyle w:val="21"/>
          <w:rFonts w:hint="eastAsia" w:ascii="Times New Roman" w:hAnsi="Times New Roman" w:eastAsia="仿宋_GB2312" w:cs="Times New Roman"/>
          <w:color w:val="auto"/>
          <w:kern w:val="2"/>
          <w:sz w:val="32"/>
          <w:szCs w:val="32"/>
          <w:lang w:val="en-US" w:eastAsia="zh-CN" w:bidi="ar-SA"/>
        </w:rPr>
        <w:t>,</w:t>
      </w:r>
      <w:r>
        <w:rPr>
          <w:rStyle w:val="21"/>
          <w:rFonts w:eastAsia="仿宋_GB2312"/>
          <w:color w:val="auto"/>
          <w:sz w:val="32"/>
          <w:szCs w:val="32"/>
        </w:rPr>
        <w:t>《包装</w:t>
      </w:r>
      <w:r>
        <w:rPr>
          <w:rStyle w:val="21"/>
          <w:rFonts w:hint="eastAsia" w:eastAsia="仿宋_GB2312"/>
          <w:color w:val="auto"/>
          <w:sz w:val="32"/>
          <w:szCs w:val="32"/>
        </w:rPr>
        <w:t xml:space="preserve"> 运输包装件</w:t>
      </w:r>
      <w:r>
        <w:rPr>
          <w:rStyle w:val="21"/>
          <w:rFonts w:eastAsia="仿宋_GB2312"/>
          <w:color w:val="auto"/>
          <w:sz w:val="32"/>
          <w:szCs w:val="32"/>
        </w:rPr>
        <w:t>》系列标准[S].</w:t>
      </w:r>
    </w:p>
    <w:p w14:paraId="7022720E">
      <w:pPr>
        <w:keepNext w:val="0"/>
        <w:keepLines w:val="0"/>
        <w:pageBreakBefore w:val="0"/>
        <w:tabs>
          <w:tab w:val="left" w:pos="532"/>
        </w:tabs>
        <w:kinsoku/>
        <w:wordWrap/>
        <w:overflowPunct/>
        <w:topLinePunct w:val="0"/>
        <w:bidi w:val="0"/>
        <w:spacing w:line="520" w:lineRule="exact"/>
        <w:ind w:firstLine="640" w:firstLineChars="200"/>
        <w:textAlignment w:val="auto"/>
        <w:rPr>
          <w:rFonts w:eastAsia="仿宋_GB2312"/>
          <w:color w:val="auto"/>
          <w:sz w:val="32"/>
          <w:szCs w:val="32"/>
        </w:rPr>
      </w:pPr>
      <w:r>
        <w:rPr>
          <w:rStyle w:val="21"/>
          <w:rFonts w:hint="eastAsia" w:eastAsia="仿宋_GB2312"/>
          <w:color w:val="auto"/>
          <w:sz w:val="32"/>
          <w:szCs w:val="32"/>
        </w:rPr>
        <w:t>[2</w:t>
      </w:r>
      <w:r>
        <w:rPr>
          <w:rStyle w:val="21"/>
          <w:rFonts w:hint="eastAsia" w:eastAsia="仿宋_GB2312"/>
          <w:color w:val="auto"/>
          <w:sz w:val="32"/>
          <w:szCs w:val="32"/>
          <w:lang w:val="en-US" w:eastAsia="zh-CN"/>
        </w:rPr>
        <w:t>7</w:t>
      </w:r>
      <w:r>
        <w:rPr>
          <w:rStyle w:val="21"/>
          <w:rFonts w:hint="eastAsia" w:eastAsia="仿宋_GB2312"/>
          <w:color w:val="auto"/>
          <w:sz w:val="32"/>
          <w:szCs w:val="32"/>
        </w:rPr>
        <w:t>]GB/T 19633</w:t>
      </w:r>
      <w:r>
        <w:rPr>
          <w:rStyle w:val="21"/>
          <w:rFonts w:hint="eastAsia" w:ascii="Times New Roman" w:hAnsi="Times New Roman" w:eastAsia="仿宋_GB2312" w:cs="Times New Roman"/>
          <w:color w:val="auto"/>
          <w:kern w:val="2"/>
          <w:sz w:val="32"/>
          <w:szCs w:val="32"/>
          <w:lang w:val="en-US" w:eastAsia="zh-CN" w:bidi="ar-SA"/>
        </w:rPr>
        <w:t>,</w:t>
      </w:r>
      <w:r>
        <w:rPr>
          <w:rStyle w:val="21"/>
          <w:rFonts w:hint="eastAsia" w:eastAsia="仿宋_GB2312"/>
          <w:color w:val="auto"/>
          <w:sz w:val="32"/>
          <w:szCs w:val="32"/>
        </w:rPr>
        <w:t>《最终灭菌医疗器械包装》系列标准</w:t>
      </w:r>
      <w:r>
        <w:rPr>
          <w:rFonts w:eastAsia="仿宋_GB2312"/>
          <w:color w:val="auto"/>
          <w:sz w:val="32"/>
          <w:szCs w:val="32"/>
        </w:rPr>
        <w:t>[S].</w:t>
      </w:r>
    </w:p>
    <w:p w14:paraId="62228B13">
      <w:pPr>
        <w:keepNext w:val="0"/>
        <w:keepLines w:val="0"/>
        <w:pageBreakBefore w:val="0"/>
        <w:tabs>
          <w:tab w:val="left" w:pos="532"/>
        </w:tabs>
        <w:kinsoku/>
        <w:wordWrap/>
        <w:overflowPunct/>
        <w:topLinePunct w:val="0"/>
        <w:bidi w:val="0"/>
        <w:spacing w:line="520" w:lineRule="exact"/>
        <w:ind w:firstLine="640" w:firstLineChars="200"/>
        <w:textAlignment w:val="auto"/>
        <w:rPr>
          <w:rStyle w:val="21"/>
          <w:rFonts w:hint="eastAsia" w:eastAsia="仿宋_GB2312"/>
          <w:color w:val="auto"/>
          <w:sz w:val="32"/>
          <w:szCs w:val="32"/>
        </w:rPr>
      </w:pPr>
      <w:r>
        <w:rPr>
          <w:rStyle w:val="21"/>
          <w:rFonts w:hint="eastAsia" w:eastAsia="仿宋_GB2312"/>
          <w:color w:val="auto"/>
          <w:sz w:val="32"/>
          <w:szCs w:val="32"/>
        </w:rPr>
        <w:t>[</w:t>
      </w:r>
      <w:r>
        <w:rPr>
          <w:rStyle w:val="21"/>
          <w:rFonts w:hint="eastAsia" w:eastAsia="仿宋_GB2312"/>
          <w:color w:val="auto"/>
          <w:sz w:val="32"/>
          <w:szCs w:val="32"/>
          <w:lang w:val="en-US" w:eastAsia="zh-CN"/>
        </w:rPr>
        <w:t>28</w:t>
      </w:r>
      <w:r>
        <w:rPr>
          <w:rStyle w:val="21"/>
          <w:rFonts w:hint="eastAsia" w:eastAsia="仿宋_GB2312"/>
          <w:color w:val="auto"/>
          <w:sz w:val="32"/>
          <w:szCs w:val="32"/>
        </w:rPr>
        <w:t>]YY/T 0698</w:t>
      </w:r>
      <w:r>
        <w:rPr>
          <w:rStyle w:val="21"/>
          <w:rFonts w:hint="eastAsia" w:ascii="Times New Roman" w:hAnsi="Times New Roman" w:eastAsia="仿宋_GB2312" w:cs="Times New Roman"/>
          <w:color w:val="auto"/>
          <w:kern w:val="2"/>
          <w:sz w:val="32"/>
          <w:szCs w:val="32"/>
          <w:lang w:val="en-US" w:eastAsia="zh-CN" w:bidi="ar-SA"/>
        </w:rPr>
        <w:t>,</w:t>
      </w:r>
      <w:r>
        <w:rPr>
          <w:rStyle w:val="21"/>
          <w:rFonts w:hint="eastAsia" w:eastAsia="仿宋_GB2312"/>
          <w:color w:val="auto"/>
          <w:sz w:val="32"/>
          <w:szCs w:val="32"/>
        </w:rPr>
        <w:t>《最终灭菌医疗器械包装材料》系列标准[S]</w:t>
      </w:r>
      <w:r>
        <w:rPr>
          <w:rFonts w:eastAsia="仿宋_GB2312"/>
          <w:color w:val="auto"/>
          <w:sz w:val="32"/>
          <w:szCs w:val="32"/>
        </w:rPr>
        <w:t>.</w:t>
      </w:r>
    </w:p>
    <w:p w14:paraId="44F79467">
      <w:pPr>
        <w:keepNext w:val="0"/>
        <w:keepLines w:val="0"/>
        <w:pageBreakBefore w:val="0"/>
        <w:tabs>
          <w:tab w:val="left" w:pos="532"/>
        </w:tabs>
        <w:kinsoku/>
        <w:wordWrap/>
        <w:overflowPunct/>
        <w:topLinePunct w:val="0"/>
        <w:bidi w:val="0"/>
        <w:spacing w:line="520" w:lineRule="exact"/>
        <w:ind w:firstLine="640" w:firstLineChars="200"/>
        <w:textAlignment w:val="auto"/>
        <w:rPr>
          <w:rFonts w:hint="eastAsia" w:eastAsia="仿宋_GB2312"/>
          <w:color w:val="auto"/>
          <w:sz w:val="32"/>
          <w:szCs w:val="32"/>
        </w:rPr>
      </w:pPr>
      <w:r>
        <w:rPr>
          <w:rStyle w:val="21"/>
          <w:rFonts w:hint="eastAsia" w:eastAsia="仿宋_GB2312"/>
          <w:color w:val="auto"/>
          <w:sz w:val="32"/>
          <w:szCs w:val="32"/>
        </w:rPr>
        <w:t>[</w:t>
      </w:r>
      <w:r>
        <w:rPr>
          <w:rStyle w:val="21"/>
          <w:rFonts w:hint="eastAsia" w:eastAsia="仿宋_GB2312"/>
          <w:color w:val="auto"/>
          <w:sz w:val="32"/>
          <w:szCs w:val="32"/>
          <w:lang w:val="en-US" w:eastAsia="zh-CN"/>
        </w:rPr>
        <w:t>29</w:t>
      </w:r>
      <w:r>
        <w:rPr>
          <w:rStyle w:val="21"/>
          <w:rFonts w:hint="eastAsia" w:eastAsia="仿宋_GB2312"/>
          <w:color w:val="auto"/>
          <w:sz w:val="32"/>
          <w:szCs w:val="32"/>
        </w:rPr>
        <w:t>]</w:t>
      </w:r>
      <w:r>
        <w:rPr>
          <w:rStyle w:val="21"/>
          <w:rFonts w:eastAsia="仿宋_GB2312"/>
          <w:color w:val="auto"/>
          <w:sz w:val="32"/>
          <w:szCs w:val="32"/>
        </w:rPr>
        <w:t>YY/T 0313</w:t>
      </w:r>
      <w:r>
        <w:rPr>
          <w:rFonts w:eastAsia="仿宋_GB2312"/>
          <w:color w:val="auto"/>
          <w:sz w:val="32"/>
          <w:szCs w:val="32"/>
        </w:rPr>
        <w:t>,</w:t>
      </w:r>
      <w:r>
        <w:rPr>
          <w:rStyle w:val="21"/>
          <w:rFonts w:eastAsia="仿宋_GB2312"/>
          <w:color w:val="auto"/>
          <w:sz w:val="32"/>
          <w:szCs w:val="32"/>
        </w:rPr>
        <w:t>医用高分子产品 包装和制造商提供信息的要求</w:t>
      </w:r>
      <w:r>
        <w:rPr>
          <w:rFonts w:eastAsia="仿宋_GB2312"/>
          <w:color w:val="auto"/>
          <w:sz w:val="32"/>
          <w:szCs w:val="32"/>
        </w:rPr>
        <w:t>[S].</w:t>
      </w:r>
    </w:p>
    <w:p w14:paraId="41F2E579">
      <w:pPr>
        <w:keepNext w:val="0"/>
        <w:keepLines w:val="0"/>
        <w:pageBreakBefore w:val="0"/>
        <w:tabs>
          <w:tab w:val="left" w:pos="532"/>
        </w:tabs>
        <w:kinsoku/>
        <w:wordWrap/>
        <w:overflowPunct/>
        <w:topLinePunct w:val="0"/>
        <w:bidi w:val="0"/>
        <w:spacing w:line="520" w:lineRule="exact"/>
        <w:ind w:firstLine="640" w:firstLineChars="200"/>
        <w:textAlignment w:val="auto"/>
        <w:rPr>
          <w:rStyle w:val="21"/>
          <w:rFonts w:hint="eastAsia" w:eastAsia="仿宋_GB2312"/>
          <w:color w:val="auto"/>
          <w:sz w:val="32"/>
          <w:szCs w:val="32"/>
        </w:rPr>
      </w:pPr>
      <w:r>
        <w:rPr>
          <w:rStyle w:val="21"/>
          <w:rFonts w:hint="eastAsia" w:eastAsia="仿宋_GB2312"/>
          <w:color w:val="auto"/>
          <w:sz w:val="32"/>
          <w:szCs w:val="32"/>
        </w:rPr>
        <w:t>[</w:t>
      </w:r>
      <w:r>
        <w:rPr>
          <w:rStyle w:val="21"/>
          <w:rFonts w:hint="eastAsia" w:eastAsia="仿宋_GB2312"/>
          <w:color w:val="auto"/>
          <w:sz w:val="32"/>
          <w:szCs w:val="32"/>
          <w:lang w:val="en-US" w:eastAsia="zh-CN"/>
        </w:rPr>
        <w:t>30</w:t>
      </w:r>
      <w:r>
        <w:rPr>
          <w:rStyle w:val="21"/>
          <w:rFonts w:hint="eastAsia" w:eastAsia="仿宋_GB2312"/>
          <w:color w:val="auto"/>
          <w:sz w:val="32"/>
          <w:szCs w:val="32"/>
        </w:rPr>
        <w:t>]YY/T 0802</w:t>
      </w:r>
      <w:r>
        <w:rPr>
          <w:rStyle w:val="21"/>
          <w:rFonts w:hint="eastAsia" w:ascii="Times New Roman" w:hAnsi="Times New Roman" w:eastAsia="仿宋_GB2312" w:cs="Times New Roman"/>
          <w:color w:val="auto"/>
          <w:kern w:val="2"/>
          <w:sz w:val="32"/>
          <w:szCs w:val="32"/>
          <w:lang w:val="en-US" w:eastAsia="zh-CN" w:bidi="ar-SA"/>
        </w:rPr>
        <w:t>,</w:t>
      </w:r>
      <w:r>
        <w:rPr>
          <w:rFonts w:hint="eastAsia" w:eastAsia="仿宋_GB2312"/>
          <w:color w:val="auto"/>
          <w:sz w:val="32"/>
          <w:szCs w:val="32"/>
          <w:lang w:eastAsia="zh-CN"/>
        </w:rPr>
        <w:t>《</w:t>
      </w:r>
      <w:r>
        <w:rPr>
          <w:rStyle w:val="21"/>
          <w:rFonts w:hint="eastAsia" w:eastAsia="仿宋_GB2312"/>
          <w:color w:val="auto"/>
          <w:sz w:val="32"/>
          <w:szCs w:val="32"/>
        </w:rPr>
        <w:t>医疗器械的处理 医疗器械制造商提供的信息</w:t>
      </w:r>
      <w:r>
        <w:rPr>
          <w:rFonts w:hint="eastAsia" w:eastAsia="仿宋_GB2312"/>
          <w:color w:val="auto"/>
          <w:sz w:val="32"/>
          <w:szCs w:val="32"/>
          <w:lang w:eastAsia="zh-CN"/>
        </w:rPr>
        <w:t>》</w:t>
      </w:r>
      <w:r>
        <w:rPr>
          <w:rStyle w:val="21"/>
          <w:rFonts w:hint="eastAsia" w:eastAsia="仿宋_GB2312"/>
          <w:color w:val="auto"/>
          <w:sz w:val="32"/>
          <w:szCs w:val="32"/>
        </w:rPr>
        <w:t>系列标准</w:t>
      </w:r>
      <w:r>
        <w:rPr>
          <w:rFonts w:eastAsia="仿宋_GB2312"/>
          <w:color w:val="auto"/>
          <w:sz w:val="32"/>
          <w:szCs w:val="32"/>
        </w:rPr>
        <w:t>[S].</w:t>
      </w:r>
    </w:p>
    <w:p w14:paraId="3F4B13A7">
      <w:pPr>
        <w:keepNext w:val="0"/>
        <w:keepLines w:val="0"/>
        <w:pageBreakBefore w:val="0"/>
        <w:tabs>
          <w:tab w:val="left" w:pos="532"/>
        </w:tabs>
        <w:kinsoku/>
        <w:wordWrap/>
        <w:overflowPunct/>
        <w:topLinePunct w:val="0"/>
        <w:bidi w:val="0"/>
        <w:spacing w:line="520" w:lineRule="exact"/>
        <w:ind w:firstLine="640" w:firstLineChars="200"/>
        <w:textAlignment w:val="auto"/>
        <w:rPr>
          <w:rStyle w:val="21"/>
          <w:rFonts w:hint="eastAsia" w:eastAsia="仿宋_GB2312"/>
          <w:color w:val="auto"/>
          <w:sz w:val="32"/>
          <w:szCs w:val="32"/>
        </w:rPr>
      </w:pPr>
      <w:r>
        <w:rPr>
          <w:rStyle w:val="21"/>
          <w:rFonts w:hint="eastAsia" w:ascii="Times New Roman" w:hAnsi="Times New Roman" w:eastAsia="仿宋_GB2312" w:cs="Times New Roman"/>
          <w:color w:val="auto"/>
          <w:kern w:val="2"/>
          <w:sz w:val="32"/>
          <w:szCs w:val="32"/>
          <w:lang w:val="en-US" w:eastAsia="zh-CN" w:bidi="ar-SA"/>
        </w:rPr>
        <w:t>[31]</w:t>
      </w:r>
      <w:r>
        <w:rPr>
          <w:rStyle w:val="21"/>
          <w:rFonts w:eastAsia="仿宋_GB2312"/>
          <w:color w:val="auto"/>
          <w:sz w:val="32"/>
          <w:szCs w:val="32"/>
        </w:rPr>
        <w:t>YY/T 0466</w:t>
      </w:r>
      <w:r>
        <w:rPr>
          <w:rStyle w:val="21"/>
          <w:rFonts w:hint="eastAsia" w:eastAsia="仿宋_GB2312"/>
          <w:color w:val="auto"/>
          <w:sz w:val="32"/>
          <w:szCs w:val="32"/>
        </w:rPr>
        <w:t>.1</w:t>
      </w:r>
      <w:r>
        <w:rPr>
          <w:rFonts w:eastAsia="仿宋_GB2312"/>
          <w:color w:val="auto"/>
          <w:sz w:val="32"/>
          <w:szCs w:val="32"/>
        </w:rPr>
        <w:t>,</w:t>
      </w:r>
      <w:r>
        <w:rPr>
          <w:rStyle w:val="21"/>
          <w:rFonts w:eastAsia="仿宋_GB2312"/>
          <w:color w:val="auto"/>
          <w:sz w:val="32"/>
          <w:szCs w:val="32"/>
        </w:rPr>
        <w:t>医疗器械 用于医疗器械标签、标记和提供信息的符号</w:t>
      </w:r>
      <w:r>
        <w:rPr>
          <w:rStyle w:val="21"/>
          <w:rFonts w:hint="eastAsia" w:eastAsia="仿宋_GB2312"/>
          <w:color w:val="auto"/>
          <w:sz w:val="32"/>
          <w:szCs w:val="32"/>
        </w:rPr>
        <w:t xml:space="preserve"> 第1部分：通用要求</w:t>
      </w:r>
      <w:r>
        <w:rPr>
          <w:rFonts w:eastAsia="仿宋_GB2312"/>
          <w:color w:val="auto"/>
          <w:sz w:val="32"/>
          <w:szCs w:val="32"/>
        </w:rPr>
        <w:t>[S].</w:t>
      </w:r>
    </w:p>
    <w:p w14:paraId="47E8F150">
      <w:pPr>
        <w:keepNext w:val="0"/>
        <w:keepLines w:val="0"/>
        <w:pageBreakBefore w:val="0"/>
        <w:tabs>
          <w:tab w:val="left" w:pos="532"/>
        </w:tabs>
        <w:kinsoku/>
        <w:wordWrap/>
        <w:overflowPunct/>
        <w:topLinePunct w:val="0"/>
        <w:bidi w:val="0"/>
        <w:spacing w:line="520" w:lineRule="exact"/>
        <w:ind w:firstLine="640" w:firstLineChars="200"/>
        <w:textAlignment w:val="auto"/>
        <w:rPr>
          <w:rFonts w:hint="eastAsia" w:eastAsia="仿宋_GB2312"/>
          <w:color w:val="auto"/>
          <w:sz w:val="32"/>
          <w:szCs w:val="32"/>
        </w:rPr>
      </w:pPr>
      <w:r>
        <w:rPr>
          <w:rStyle w:val="21"/>
          <w:rFonts w:hint="eastAsia" w:eastAsia="仿宋_GB2312"/>
          <w:color w:val="auto"/>
          <w:sz w:val="32"/>
          <w:szCs w:val="32"/>
        </w:rPr>
        <w:t>[3</w:t>
      </w:r>
      <w:r>
        <w:rPr>
          <w:rStyle w:val="21"/>
          <w:rFonts w:hint="eastAsia" w:eastAsia="仿宋_GB2312"/>
          <w:color w:val="auto"/>
          <w:sz w:val="32"/>
          <w:szCs w:val="32"/>
          <w:lang w:val="en-US" w:eastAsia="zh-CN"/>
        </w:rPr>
        <w:t>2</w:t>
      </w:r>
      <w:r>
        <w:rPr>
          <w:rStyle w:val="21"/>
          <w:rFonts w:hint="eastAsia" w:eastAsia="仿宋_GB2312"/>
          <w:color w:val="auto"/>
          <w:sz w:val="32"/>
          <w:szCs w:val="32"/>
        </w:rPr>
        <w:t>]</w:t>
      </w:r>
      <w:r>
        <w:rPr>
          <w:rFonts w:eastAsia="仿宋_GB2312"/>
          <w:color w:val="auto"/>
          <w:sz w:val="32"/>
          <w:szCs w:val="32"/>
        </w:rPr>
        <w:t>中华人民共和国药典[S].</w:t>
      </w:r>
    </w:p>
    <w:p w14:paraId="092F6F67">
      <w:pPr>
        <w:keepNext w:val="0"/>
        <w:keepLines w:val="0"/>
        <w:pageBreakBefore w:val="0"/>
        <w:tabs>
          <w:tab w:val="left" w:pos="532"/>
        </w:tabs>
        <w:kinsoku/>
        <w:wordWrap/>
        <w:topLinePunct w:val="0"/>
        <w:bidi w:val="0"/>
        <w:spacing w:line="520" w:lineRule="exact"/>
        <w:textAlignment w:val="auto"/>
        <w:rPr>
          <w:rFonts w:eastAsia="仿宋_GB2312"/>
          <w:color w:val="auto"/>
          <w:sz w:val="32"/>
          <w:szCs w:val="32"/>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2C379D-0EB4-4C7D-BF53-6EBBAC2A519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1002AFF" w:usb1="C0000002" w:usb2="00000008" w:usb3="00000000" w:csb0="200101FF" w:csb1="20280000"/>
  </w:font>
  <w:font w:name="方正小标宋简体">
    <w:panose1 w:val="03000509000000000000"/>
    <w:charset w:val="86"/>
    <w:family w:val="script"/>
    <w:pitch w:val="default"/>
    <w:sig w:usb0="00000001" w:usb1="080E0000" w:usb2="00000000" w:usb3="00000000" w:csb0="00040000" w:csb1="00000000"/>
    <w:embedRegular r:id="rId2" w:fontKey="{5DAA174B-46DC-4374-AD3D-7381663D248C}"/>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130FE01E-2EC9-4BA1-A872-B431CDCB5653}"/>
  </w:font>
  <w:font w:name="楷体_GB2312">
    <w:panose1 w:val="02010609030101010101"/>
    <w:charset w:val="86"/>
    <w:family w:val="auto"/>
    <w:pitch w:val="default"/>
    <w:sig w:usb0="00000001" w:usb1="080E0000" w:usb2="00000000" w:usb3="00000000" w:csb0="00040000" w:csb1="00000000"/>
    <w:embedRegular r:id="rId4" w:fontKey="{5A369F46-7A83-41DC-900E-8BD3D73CAABC}"/>
  </w:font>
  <w:font w:name="等线">
    <w:panose1 w:val="02010600030101010101"/>
    <w:charset w:val="86"/>
    <w:family w:val="auto"/>
    <w:pitch w:val="default"/>
    <w:sig w:usb0="A00002BF" w:usb1="38CF7CFA" w:usb2="00000016" w:usb3="00000000" w:csb0="0004000F" w:csb1="00000000"/>
    <w:embedRegular r:id="rId5" w:fontKey="{4CB20BC4-219A-4998-8F13-C425BE64AF7D}"/>
  </w:font>
  <w:font w:name="WPSEMBED1">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B9E50">
    <w:pPr>
      <w:pStyle w:val="7"/>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573D07">
                          <w:pPr>
                            <w:pStyle w:val="7"/>
                          </w:pPr>
                          <w:r>
                            <w:fldChar w:fldCharType="begin"/>
                          </w:r>
                          <w:r>
                            <w:instrText xml:space="preserve"> PAGE  \* MERGEFORMAT </w:instrText>
                          </w:r>
                          <w:r>
                            <w:fldChar w:fldCharType="separate"/>
                          </w:r>
                          <w:r>
                            <w:t>- 23 -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6D573D07">
                    <w:pPr>
                      <w:pStyle w:val="7"/>
                    </w:pPr>
                    <w:r>
                      <w:fldChar w:fldCharType="begin"/>
                    </w:r>
                    <w:r>
                      <w:instrText xml:space="preserve"> PAGE  \* MERGEFORMAT </w:instrText>
                    </w:r>
                    <w:r>
                      <w:fldChar w:fldCharType="separate"/>
                    </w:r>
                    <w:r>
                      <w:t>- 23 -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C9D278"/>
    <w:multiLevelType w:val="singleLevel"/>
    <w:tmpl w:val="50C9D278"/>
    <w:lvl w:ilvl="0" w:tentative="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2MzJlNjZjZWM4NTliODg2Y2FkMjBkNTQwMDk2NjgifQ=="/>
  </w:docVars>
  <w:rsids>
    <w:rsidRoot w:val="009E01B6"/>
    <w:rsid w:val="000519A9"/>
    <w:rsid w:val="000B17E3"/>
    <w:rsid w:val="000B419D"/>
    <w:rsid w:val="000F2515"/>
    <w:rsid w:val="00132B87"/>
    <w:rsid w:val="001876DE"/>
    <w:rsid w:val="001D669C"/>
    <w:rsid w:val="001E1819"/>
    <w:rsid w:val="002420D3"/>
    <w:rsid w:val="00251846"/>
    <w:rsid w:val="002D5AD9"/>
    <w:rsid w:val="002F57D7"/>
    <w:rsid w:val="003162BD"/>
    <w:rsid w:val="003612A5"/>
    <w:rsid w:val="003A01AE"/>
    <w:rsid w:val="003A4367"/>
    <w:rsid w:val="003B39E1"/>
    <w:rsid w:val="003C0D48"/>
    <w:rsid w:val="003F7BF4"/>
    <w:rsid w:val="00410953"/>
    <w:rsid w:val="004C6E13"/>
    <w:rsid w:val="00505263"/>
    <w:rsid w:val="0053081F"/>
    <w:rsid w:val="00566B61"/>
    <w:rsid w:val="00566B8B"/>
    <w:rsid w:val="00594C19"/>
    <w:rsid w:val="005A0DA3"/>
    <w:rsid w:val="005A240E"/>
    <w:rsid w:val="005C17C1"/>
    <w:rsid w:val="005F2E72"/>
    <w:rsid w:val="006064DB"/>
    <w:rsid w:val="006230ED"/>
    <w:rsid w:val="0062699B"/>
    <w:rsid w:val="00636461"/>
    <w:rsid w:val="006D288F"/>
    <w:rsid w:val="006F23EE"/>
    <w:rsid w:val="0070083C"/>
    <w:rsid w:val="007266B8"/>
    <w:rsid w:val="007432F9"/>
    <w:rsid w:val="00790A0E"/>
    <w:rsid w:val="007B16E4"/>
    <w:rsid w:val="007E600E"/>
    <w:rsid w:val="0080161C"/>
    <w:rsid w:val="00803F63"/>
    <w:rsid w:val="00835ADC"/>
    <w:rsid w:val="008635EF"/>
    <w:rsid w:val="008E57C9"/>
    <w:rsid w:val="008F0B87"/>
    <w:rsid w:val="008F4741"/>
    <w:rsid w:val="009128D8"/>
    <w:rsid w:val="00992CAB"/>
    <w:rsid w:val="00993DFB"/>
    <w:rsid w:val="00995E9B"/>
    <w:rsid w:val="009B3CC7"/>
    <w:rsid w:val="009C7B0B"/>
    <w:rsid w:val="009E01B6"/>
    <w:rsid w:val="00A055BD"/>
    <w:rsid w:val="00A32D64"/>
    <w:rsid w:val="00A76BDA"/>
    <w:rsid w:val="00A827D8"/>
    <w:rsid w:val="00AF26C2"/>
    <w:rsid w:val="00B00838"/>
    <w:rsid w:val="00B454FF"/>
    <w:rsid w:val="00BA3803"/>
    <w:rsid w:val="00BD3856"/>
    <w:rsid w:val="00C05C7D"/>
    <w:rsid w:val="00C159E0"/>
    <w:rsid w:val="00C75269"/>
    <w:rsid w:val="00C93B71"/>
    <w:rsid w:val="00D10C79"/>
    <w:rsid w:val="00D63B9E"/>
    <w:rsid w:val="00D7349B"/>
    <w:rsid w:val="00D96E29"/>
    <w:rsid w:val="00DC5E46"/>
    <w:rsid w:val="00E947F3"/>
    <w:rsid w:val="00EA0E81"/>
    <w:rsid w:val="00F13A9E"/>
    <w:rsid w:val="00F77FB9"/>
    <w:rsid w:val="00FB7C70"/>
    <w:rsid w:val="00FE38EA"/>
    <w:rsid w:val="00FE6752"/>
    <w:rsid w:val="00FE6A6F"/>
    <w:rsid w:val="00FF1A03"/>
    <w:rsid w:val="019555B6"/>
    <w:rsid w:val="0227136C"/>
    <w:rsid w:val="03050054"/>
    <w:rsid w:val="030665A1"/>
    <w:rsid w:val="035C5045"/>
    <w:rsid w:val="035C7A7E"/>
    <w:rsid w:val="03AA1EB0"/>
    <w:rsid w:val="03B76A95"/>
    <w:rsid w:val="040439AE"/>
    <w:rsid w:val="047132BC"/>
    <w:rsid w:val="04D830A7"/>
    <w:rsid w:val="05D435B9"/>
    <w:rsid w:val="062D0989"/>
    <w:rsid w:val="06535B79"/>
    <w:rsid w:val="06606BFB"/>
    <w:rsid w:val="06C673A5"/>
    <w:rsid w:val="07CD15AB"/>
    <w:rsid w:val="08CF0DCE"/>
    <w:rsid w:val="0902043D"/>
    <w:rsid w:val="093A7BD7"/>
    <w:rsid w:val="097D5DA0"/>
    <w:rsid w:val="098C2922"/>
    <w:rsid w:val="09CB1681"/>
    <w:rsid w:val="09D771D4"/>
    <w:rsid w:val="0A0B50CF"/>
    <w:rsid w:val="0A1E0976"/>
    <w:rsid w:val="0A37025B"/>
    <w:rsid w:val="0A9521C4"/>
    <w:rsid w:val="0AA94C29"/>
    <w:rsid w:val="0AD82547"/>
    <w:rsid w:val="0AF51E92"/>
    <w:rsid w:val="0B2536F3"/>
    <w:rsid w:val="0B664CB3"/>
    <w:rsid w:val="0C063DA0"/>
    <w:rsid w:val="0C504628"/>
    <w:rsid w:val="0CDE257B"/>
    <w:rsid w:val="0DE62A50"/>
    <w:rsid w:val="0E776651"/>
    <w:rsid w:val="0EF93CF4"/>
    <w:rsid w:val="0F4E4656"/>
    <w:rsid w:val="0F855910"/>
    <w:rsid w:val="103A794B"/>
    <w:rsid w:val="103E1A33"/>
    <w:rsid w:val="10585C24"/>
    <w:rsid w:val="1065378B"/>
    <w:rsid w:val="10E91F38"/>
    <w:rsid w:val="10F0113A"/>
    <w:rsid w:val="11016229"/>
    <w:rsid w:val="11317039"/>
    <w:rsid w:val="113D0264"/>
    <w:rsid w:val="11A81293"/>
    <w:rsid w:val="11C40985"/>
    <w:rsid w:val="12C02EFB"/>
    <w:rsid w:val="12CF75E2"/>
    <w:rsid w:val="12F11306"/>
    <w:rsid w:val="138B342A"/>
    <w:rsid w:val="13EE0DDF"/>
    <w:rsid w:val="143436D7"/>
    <w:rsid w:val="14C0167F"/>
    <w:rsid w:val="14FB354B"/>
    <w:rsid w:val="16337E88"/>
    <w:rsid w:val="16D66D2E"/>
    <w:rsid w:val="16FC7F43"/>
    <w:rsid w:val="17B60EAA"/>
    <w:rsid w:val="180970F2"/>
    <w:rsid w:val="18104D4C"/>
    <w:rsid w:val="183354BA"/>
    <w:rsid w:val="18945AF0"/>
    <w:rsid w:val="18C37D98"/>
    <w:rsid w:val="18DC4A8F"/>
    <w:rsid w:val="19210789"/>
    <w:rsid w:val="192561AE"/>
    <w:rsid w:val="19EB748E"/>
    <w:rsid w:val="1A34326E"/>
    <w:rsid w:val="1A7064C1"/>
    <w:rsid w:val="1AA90FFC"/>
    <w:rsid w:val="1ABB1DC7"/>
    <w:rsid w:val="1AE94FB9"/>
    <w:rsid w:val="1B2017A9"/>
    <w:rsid w:val="1B381FCA"/>
    <w:rsid w:val="1B672B1C"/>
    <w:rsid w:val="1B805A22"/>
    <w:rsid w:val="1B822DE7"/>
    <w:rsid w:val="1B9969DF"/>
    <w:rsid w:val="1C2C344C"/>
    <w:rsid w:val="1CC40F5E"/>
    <w:rsid w:val="1D6C117E"/>
    <w:rsid w:val="1D750D86"/>
    <w:rsid w:val="1D8F71E2"/>
    <w:rsid w:val="1DBC69B5"/>
    <w:rsid w:val="1DDB1796"/>
    <w:rsid w:val="1E054F82"/>
    <w:rsid w:val="1E3D7AF5"/>
    <w:rsid w:val="1E9E60BA"/>
    <w:rsid w:val="1F1B2294"/>
    <w:rsid w:val="1F765D88"/>
    <w:rsid w:val="1F9B58B9"/>
    <w:rsid w:val="1FA13487"/>
    <w:rsid w:val="20193933"/>
    <w:rsid w:val="203B750A"/>
    <w:rsid w:val="205F6BDE"/>
    <w:rsid w:val="20CF2DF9"/>
    <w:rsid w:val="218617B3"/>
    <w:rsid w:val="21CB4B5F"/>
    <w:rsid w:val="223E4DC1"/>
    <w:rsid w:val="23160915"/>
    <w:rsid w:val="2338088B"/>
    <w:rsid w:val="2362615C"/>
    <w:rsid w:val="239829D4"/>
    <w:rsid w:val="239977F1"/>
    <w:rsid w:val="24B403E6"/>
    <w:rsid w:val="26411E8A"/>
    <w:rsid w:val="26981279"/>
    <w:rsid w:val="26F063E8"/>
    <w:rsid w:val="27206206"/>
    <w:rsid w:val="27830F5B"/>
    <w:rsid w:val="279022FD"/>
    <w:rsid w:val="27D8263D"/>
    <w:rsid w:val="282D5367"/>
    <w:rsid w:val="28E57C59"/>
    <w:rsid w:val="299F65D6"/>
    <w:rsid w:val="29BC20A1"/>
    <w:rsid w:val="29C665D3"/>
    <w:rsid w:val="29DC1D93"/>
    <w:rsid w:val="29FA7CB2"/>
    <w:rsid w:val="2A8C7AA1"/>
    <w:rsid w:val="2A975C19"/>
    <w:rsid w:val="2AF92FF6"/>
    <w:rsid w:val="2B4A59B3"/>
    <w:rsid w:val="2B5F1F76"/>
    <w:rsid w:val="2B603075"/>
    <w:rsid w:val="2B7560A3"/>
    <w:rsid w:val="2B82123D"/>
    <w:rsid w:val="2C250DD8"/>
    <w:rsid w:val="2C475C45"/>
    <w:rsid w:val="2C6E0973"/>
    <w:rsid w:val="2F884949"/>
    <w:rsid w:val="2FBC158D"/>
    <w:rsid w:val="300D096E"/>
    <w:rsid w:val="30737369"/>
    <w:rsid w:val="309B5C60"/>
    <w:rsid w:val="30A00D75"/>
    <w:rsid w:val="31732E13"/>
    <w:rsid w:val="329479E1"/>
    <w:rsid w:val="32C43EEA"/>
    <w:rsid w:val="33070121"/>
    <w:rsid w:val="336E5B2A"/>
    <w:rsid w:val="347B2CCE"/>
    <w:rsid w:val="359B768F"/>
    <w:rsid w:val="35A63D7A"/>
    <w:rsid w:val="366F2631"/>
    <w:rsid w:val="36C84296"/>
    <w:rsid w:val="373A2A4C"/>
    <w:rsid w:val="375C659B"/>
    <w:rsid w:val="378B147A"/>
    <w:rsid w:val="38CC231A"/>
    <w:rsid w:val="39486EFC"/>
    <w:rsid w:val="39B17971"/>
    <w:rsid w:val="39C81AB4"/>
    <w:rsid w:val="39D569DC"/>
    <w:rsid w:val="3A670989"/>
    <w:rsid w:val="3A773F37"/>
    <w:rsid w:val="3A943354"/>
    <w:rsid w:val="3B006840"/>
    <w:rsid w:val="3BD056AD"/>
    <w:rsid w:val="3C4147FD"/>
    <w:rsid w:val="3C771FCD"/>
    <w:rsid w:val="3D010941"/>
    <w:rsid w:val="3D7528D7"/>
    <w:rsid w:val="3E882962"/>
    <w:rsid w:val="3E9F1194"/>
    <w:rsid w:val="3F1A03F3"/>
    <w:rsid w:val="3F29115E"/>
    <w:rsid w:val="3F327AE1"/>
    <w:rsid w:val="3FEB4A66"/>
    <w:rsid w:val="40D55396"/>
    <w:rsid w:val="42394EE5"/>
    <w:rsid w:val="42BE145D"/>
    <w:rsid w:val="4422611C"/>
    <w:rsid w:val="44507B71"/>
    <w:rsid w:val="45D95C54"/>
    <w:rsid w:val="462F1B6A"/>
    <w:rsid w:val="46FA20F2"/>
    <w:rsid w:val="47A45C40"/>
    <w:rsid w:val="47CB75C8"/>
    <w:rsid w:val="481A6D86"/>
    <w:rsid w:val="481B3ED9"/>
    <w:rsid w:val="482E25FC"/>
    <w:rsid w:val="486A50DB"/>
    <w:rsid w:val="487142E7"/>
    <w:rsid w:val="49373210"/>
    <w:rsid w:val="499B31B4"/>
    <w:rsid w:val="49D67D2C"/>
    <w:rsid w:val="4A4F109C"/>
    <w:rsid w:val="4ACC6717"/>
    <w:rsid w:val="4C3954F1"/>
    <w:rsid w:val="4C6D6F48"/>
    <w:rsid w:val="4D302450"/>
    <w:rsid w:val="4D55113B"/>
    <w:rsid w:val="4D577CB0"/>
    <w:rsid w:val="4DED4171"/>
    <w:rsid w:val="4EA64975"/>
    <w:rsid w:val="4EC07803"/>
    <w:rsid w:val="4F262A93"/>
    <w:rsid w:val="4FE72120"/>
    <w:rsid w:val="4FFA4F97"/>
    <w:rsid w:val="50735E9B"/>
    <w:rsid w:val="50884351"/>
    <w:rsid w:val="50A70CF4"/>
    <w:rsid w:val="519D3E2C"/>
    <w:rsid w:val="51F17F8C"/>
    <w:rsid w:val="522C20E9"/>
    <w:rsid w:val="524726F2"/>
    <w:rsid w:val="5277735B"/>
    <w:rsid w:val="52B047F0"/>
    <w:rsid w:val="531269BE"/>
    <w:rsid w:val="534F73A8"/>
    <w:rsid w:val="538A3CB4"/>
    <w:rsid w:val="544E1E89"/>
    <w:rsid w:val="545D5AF4"/>
    <w:rsid w:val="54A81909"/>
    <w:rsid w:val="566B01D5"/>
    <w:rsid w:val="56CA5064"/>
    <w:rsid w:val="57286D75"/>
    <w:rsid w:val="577E025B"/>
    <w:rsid w:val="57C2639A"/>
    <w:rsid w:val="58CB68D8"/>
    <w:rsid w:val="58FD6E23"/>
    <w:rsid w:val="591A3296"/>
    <w:rsid w:val="594B0DE9"/>
    <w:rsid w:val="5A2C6DA0"/>
    <w:rsid w:val="5A7F0240"/>
    <w:rsid w:val="5AAD285F"/>
    <w:rsid w:val="5AC735ED"/>
    <w:rsid w:val="5B56628C"/>
    <w:rsid w:val="5B996931"/>
    <w:rsid w:val="5CCC3817"/>
    <w:rsid w:val="5D3F66DF"/>
    <w:rsid w:val="5E1515B5"/>
    <w:rsid w:val="5EB54260"/>
    <w:rsid w:val="5EC67643"/>
    <w:rsid w:val="5F582975"/>
    <w:rsid w:val="5F675382"/>
    <w:rsid w:val="5F825D41"/>
    <w:rsid w:val="5FBC4443"/>
    <w:rsid w:val="60AA3E6F"/>
    <w:rsid w:val="61A22D98"/>
    <w:rsid w:val="61B01959"/>
    <w:rsid w:val="621437FF"/>
    <w:rsid w:val="628D0A61"/>
    <w:rsid w:val="63C67146"/>
    <w:rsid w:val="63E91F4E"/>
    <w:rsid w:val="63ED5557"/>
    <w:rsid w:val="642B3664"/>
    <w:rsid w:val="64F1206D"/>
    <w:rsid w:val="64FC48CF"/>
    <w:rsid w:val="65C17FAE"/>
    <w:rsid w:val="666A54CC"/>
    <w:rsid w:val="66772A46"/>
    <w:rsid w:val="66FD5775"/>
    <w:rsid w:val="670D797D"/>
    <w:rsid w:val="684A736E"/>
    <w:rsid w:val="68D45F2D"/>
    <w:rsid w:val="68F760C0"/>
    <w:rsid w:val="69AF7710"/>
    <w:rsid w:val="6A641533"/>
    <w:rsid w:val="6A795B01"/>
    <w:rsid w:val="6A826E3E"/>
    <w:rsid w:val="6BE40822"/>
    <w:rsid w:val="6C8E49B4"/>
    <w:rsid w:val="6CCE64D6"/>
    <w:rsid w:val="6D1A7236"/>
    <w:rsid w:val="6D56199F"/>
    <w:rsid w:val="6D6C62C5"/>
    <w:rsid w:val="6D9914F3"/>
    <w:rsid w:val="6E0334CC"/>
    <w:rsid w:val="6E5056E4"/>
    <w:rsid w:val="6EBF3887"/>
    <w:rsid w:val="6F853F55"/>
    <w:rsid w:val="6FC4339E"/>
    <w:rsid w:val="703A4D97"/>
    <w:rsid w:val="71290DE0"/>
    <w:rsid w:val="71994F6C"/>
    <w:rsid w:val="72064AF4"/>
    <w:rsid w:val="72E43211"/>
    <w:rsid w:val="730B298A"/>
    <w:rsid w:val="73367E96"/>
    <w:rsid w:val="73495FE3"/>
    <w:rsid w:val="7352795B"/>
    <w:rsid w:val="73EC1AA2"/>
    <w:rsid w:val="7419513C"/>
    <w:rsid w:val="74E219D2"/>
    <w:rsid w:val="756D3991"/>
    <w:rsid w:val="762B71C2"/>
    <w:rsid w:val="768720F9"/>
    <w:rsid w:val="769B62DC"/>
    <w:rsid w:val="76E11FCF"/>
    <w:rsid w:val="76E71522"/>
    <w:rsid w:val="76FE0619"/>
    <w:rsid w:val="774F42CE"/>
    <w:rsid w:val="790714E1"/>
    <w:rsid w:val="791C0AB3"/>
    <w:rsid w:val="79490272"/>
    <w:rsid w:val="7976541C"/>
    <w:rsid w:val="797B7098"/>
    <w:rsid w:val="79C243F7"/>
    <w:rsid w:val="79FB7B0E"/>
    <w:rsid w:val="7AFA76CA"/>
    <w:rsid w:val="7B83645A"/>
    <w:rsid w:val="7CE10508"/>
    <w:rsid w:val="7D0946A4"/>
    <w:rsid w:val="7D765923"/>
    <w:rsid w:val="7D8D09BB"/>
    <w:rsid w:val="7E2E7A36"/>
    <w:rsid w:val="7E5A36D5"/>
    <w:rsid w:val="7E5D6F6C"/>
    <w:rsid w:val="7F945FBF"/>
    <w:rsid w:val="7FB0082D"/>
    <w:rsid w:val="7FD24C39"/>
    <w:rsid w:val="7FDD5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7"/>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4">
    <w:name w:val="Normal Indent"/>
    <w:basedOn w:val="1"/>
    <w:unhideWhenUsed/>
    <w:qFormat/>
    <w:uiPriority w:val="99"/>
    <w:pPr>
      <w:ind w:firstLine="420" w:firstLineChars="200"/>
    </w:pPr>
  </w:style>
  <w:style w:type="paragraph" w:styleId="5">
    <w:name w:val="annotation text"/>
    <w:basedOn w:val="1"/>
    <w:semiHidden/>
    <w:unhideWhenUsed/>
    <w:qFormat/>
    <w:uiPriority w:val="99"/>
    <w:pPr>
      <w:jc w:val="left"/>
    </w:pPr>
  </w:style>
  <w:style w:type="paragraph" w:styleId="6">
    <w:name w:val="Body Text"/>
    <w:basedOn w:val="1"/>
    <w:semiHidden/>
    <w:qFormat/>
    <w:uiPriority w:val="0"/>
    <w:rPr>
      <w:rFonts w:ascii="宋体" w:hAnsi="宋体" w:eastAsia="宋体" w:cs="宋体"/>
      <w:sz w:val="23"/>
      <w:szCs w:val="23"/>
      <w:lang w:val="en-US" w:eastAsia="en-US" w:bidi="ar-SA"/>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kern w:val="0"/>
      <w:sz w:val="24"/>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8"/>
    <w:qFormat/>
    <w:uiPriority w:val="99"/>
    <w:rPr>
      <w:sz w:val="18"/>
      <w:szCs w:val="18"/>
    </w:rPr>
  </w:style>
  <w:style w:type="character" w:customStyle="1" w:styleId="16">
    <w:name w:val="页脚 字符"/>
    <w:basedOn w:val="12"/>
    <w:link w:val="7"/>
    <w:qFormat/>
    <w:uiPriority w:val="99"/>
    <w:rPr>
      <w:sz w:val="18"/>
      <w:szCs w:val="18"/>
    </w:rPr>
  </w:style>
  <w:style w:type="character" w:customStyle="1" w:styleId="17">
    <w:name w:val="标题 1 字符"/>
    <w:basedOn w:val="12"/>
    <w:link w:val="3"/>
    <w:qFormat/>
    <w:uiPriority w:val="0"/>
    <w:rPr>
      <w:rFonts w:ascii="Times New Roman" w:hAnsi="Times New Roman" w:eastAsia="宋体" w:cs="Times New Roman"/>
      <w:b/>
      <w:bCs/>
      <w:kern w:val="44"/>
      <w:sz w:val="44"/>
      <w:szCs w:val="44"/>
    </w:rPr>
  </w:style>
  <w:style w:type="paragraph" w:customStyle="1" w:styleId="18">
    <w:name w:val="Table Text"/>
    <w:basedOn w:val="1"/>
    <w:semiHidden/>
    <w:qFormat/>
    <w:uiPriority w:val="0"/>
    <w:rPr>
      <w:rFonts w:ascii="宋体" w:hAnsi="宋体" w:cs="宋体"/>
      <w:sz w:val="18"/>
      <w:szCs w:val="18"/>
      <w:lang w:eastAsia="en-US"/>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王奕，内文"/>
    <w:basedOn w:val="9"/>
    <w:qFormat/>
    <w:uiPriority w:val="0"/>
    <w:pPr>
      <w:widowControl/>
      <w:spacing w:line="360" w:lineRule="auto"/>
      <w:ind w:firstLine="200" w:firstLineChars="200"/>
    </w:pPr>
    <w:rPr>
      <w:rFonts w:cs="MS Shell Dlg"/>
      <w:color w:val="000000"/>
      <w:szCs w:val="20"/>
    </w:rPr>
  </w:style>
  <w:style w:type="character" w:customStyle="1" w:styleId="21">
    <w:name w:val="f101"/>
    <w:qFormat/>
    <w:uiPriority w:val="0"/>
    <w:rPr>
      <w:sz w:val="24"/>
      <w:szCs w:val="24"/>
    </w:rPr>
  </w:style>
  <w:style w:type="paragraph" w:customStyle="1" w:styleId="2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6795</Words>
  <Characters>7448</Characters>
  <Lines>56</Lines>
  <Paragraphs>16</Paragraphs>
  <TotalTime>5</TotalTime>
  <ScaleCrop>false</ScaleCrop>
  <LinksUpToDate>false</LinksUpToDate>
  <CharactersWithSpaces>7504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2024-05-19T16:00:00Z</dcterms:created>
  <dc:creator>若冰 张</dc:creator>
  <cp:lastModifiedBy>谢</cp:lastModifiedBy>
  <cp:lastPrinted>2024-12-10T09:35:00Z</cp:lastPrinted>
  <dcterms:modified xsi:type="dcterms:W3CDTF">2026-07-29T03:58:43Z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549FA787AFE34659AEE88156AE3F542C_13</vt:lpwstr>
  </property>
  <property fmtid="{D5CDD505-2E9C-101B-9397-08002B2CF9AE}" pid="4" name="KSOTemplateDocerSaveRecord">
    <vt:lpwstr>eyJoZGlkIjoiNGJiOTcwMjdhNTQ4MDk1Yjc3MTFmNmY1M2Q0MmRkMTciLCJ1c2VySWQiOiI3ODIyNDgwMTQifQ==</vt:lpwstr>
  </property>
</Properties>
</file>