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E23D70">
      <w:pPr>
        <w:spacing w:line="520" w:lineRule="exact"/>
        <w:jc w:val="center"/>
        <w:rPr>
          <w:rFonts w:hint="eastAsia" w:eastAsia="方正小标宋简体"/>
          <w:sz w:val="44"/>
          <w:szCs w:val="44"/>
        </w:rPr>
      </w:pPr>
      <w:r>
        <w:rPr>
          <w:rFonts w:hint="eastAsia" w:eastAsia="方正小标宋简体"/>
          <w:sz w:val="44"/>
          <w:szCs w:val="44"/>
          <w:lang w:eastAsia="zh-CN"/>
        </w:rPr>
        <w:t>环氧乙烷</w:t>
      </w:r>
      <w:r>
        <w:rPr>
          <w:rFonts w:hint="eastAsia" w:eastAsia="方正小标宋简体"/>
          <w:sz w:val="44"/>
          <w:szCs w:val="44"/>
        </w:rPr>
        <w:t>灭菌器注册审查指导原则</w:t>
      </w:r>
    </w:p>
    <w:p w14:paraId="54678C00">
      <w:pPr>
        <w:spacing w:line="520" w:lineRule="exact"/>
        <w:jc w:val="center"/>
        <w:rPr>
          <w:rFonts w:eastAsia="方正小标宋简体"/>
          <w:sz w:val="44"/>
          <w:szCs w:val="44"/>
        </w:rPr>
      </w:pPr>
      <w:r>
        <w:rPr>
          <w:rFonts w:hint="eastAsia" w:eastAsia="方正小标宋简体"/>
          <w:sz w:val="44"/>
          <w:szCs w:val="44"/>
        </w:rPr>
        <w:t>（征求意见稿）</w:t>
      </w:r>
    </w:p>
    <w:p w14:paraId="3356CF2B">
      <w:pPr>
        <w:spacing w:line="520" w:lineRule="exact"/>
        <w:jc w:val="center"/>
        <w:rPr>
          <w:rFonts w:eastAsia="仿宋_GB2312"/>
          <w:bCs/>
          <w:sz w:val="32"/>
          <w:szCs w:val="32"/>
        </w:rPr>
      </w:pPr>
    </w:p>
    <w:p w14:paraId="7540191B">
      <w:pPr>
        <w:spacing w:line="520" w:lineRule="exact"/>
        <w:ind w:firstLine="640" w:firstLineChars="200"/>
        <w:rPr>
          <w:rFonts w:eastAsia="仿宋_GB2312"/>
          <w:kern w:val="0"/>
          <w:sz w:val="32"/>
          <w:szCs w:val="32"/>
        </w:rPr>
      </w:pPr>
      <w:r>
        <w:rPr>
          <w:rFonts w:hint="eastAsia" w:eastAsia="仿宋_GB2312"/>
          <w:kern w:val="0"/>
          <w:sz w:val="32"/>
          <w:szCs w:val="32"/>
        </w:rPr>
        <w:t>本指导原则旨在指导注册申请人对</w:t>
      </w:r>
      <w:r>
        <w:rPr>
          <w:rFonts w:hint="eastAsia" w:eastAsia="仿宋_GB2312"/>
          <w:kern w:val="0"/>
          <w:sz w:val="32"/>
          <w:szCs w:val="32"/>
          <w:lang w:eastAsia="zh-CN"/>
        </w:rPr>
        <w:t>环氧乙烷灭菌器</w:t>
      </w:r>
      <w:r>
        <w:rPr>
          <w:rFonts w:hint="eastAsia" w:eastAsia="仿宋_GB2312"/>
          <w:kern w:val="0"/>
          <w:sz w:val="32"/>
          <w:szCs w:val="32"/>
        </w:rPr>
        <w:t>注册申报资料的准备及撰写，同时也为技术审评部门审评注册申报资料提供参考。</w:t>
      </w:r>
    </w:p>
    <w:p w14:paraId="52B508AA">
      <w:pPr>
        <w:spacing w:line="520" w:lineRule="exact"/>
        <w:ind w:firstLine="640" w:firstLineChars="200"/>
        <w:rPr>
          <w:rFonts w:eastAsia="仿宋_GB2312"/>
          <w:kern w:val="0"/>
          <w:sz w:val="32"/>
          <w:szCs w:val="32"/>
        </w:rPr>
      </w:pPr>
      <w:r>
        <w:rPr>
          <w:rFonts w:hint="eastAsia" w:eastAsia="仿宋_GB2312"/>
          <w:kern w:val="0"/>
          <w:sz w:val="32"/>
          <w:szCs w:val="32"/>
        </w:rPr>
        <w:t>本指导原则是对</w:t>
      </w:r>
      <w:r>
        <w:rPr>
          <w:rFonts w:hint="eastAsia" w:eastAsia="仿宋_GB2312"/>
          <w:kern w:val="0"/>
          <w:sz w:val="32"/>
          <w:szCs w:val="32"/>
          <w:lang w:eastAsia="zh-CN"/>
        </w:rPr>
        <w:t>环氧乙烷</w:t>
      </w:r>
      <w:r>
        <w:rPr>
          <w:rFonts w:hint="eastAsia" w:eastAsia="仿宋_GB2312"/>
          <w:kern w:val="0"/>
          <w:sz w:val="32"/>
          <w:szCs w:val="32"/>
        </w:rPr>
        <w:t>灭菌器的一般要求，</w:t>
      </w:r>
      <w:r>
        <w:rPr>
          <w:rFonts w:eastAsia="仿宋_GB2312"/>
          <w:kern w:val="0"/>
          <w:sz w:val="32"/>
        </w:rPr>
        <w:t>注册</w:t>
      </w:r>
      <w:r>
        <w:rPr>
          <w:rFonts w:hint="eastAsia" w:eastAsia="仿宋_GB2312"/>
          <w:kern w:val="0"/>
          <w:sz w:val="32"/>
          <w:szCs w:val="32"/>
        </w:rPr>
        <w:t>申请人需依据产品的具体特性确定其中内容是否适用。若不适用，需具体阐述理由及相应的科学依据，并依据产品的具体特性对注册申报资料的内容进行充实和细化。</w:t>
      </w:r>
    </w:p>
    <w:p w14:paraId="13CC0FEA">
      <w:pPr>
        <w:spacing w:line="520" w:lineRule="exact"/>
        <w:ind w:firstLine="640" w:firstLineChars="200"/>
        <w:rPr>
          <w:rFonts w:eastAsia="仿宋_GB2312"/>
          <w:kern w:val="0"/>
          <w:sz w:val="32"/>
          <w:szCs w:val="32"/>
        </w:rPr>
      </w:pPr>
      <w:r>
        <w:rPr>
          <w:rFonts w:eastAsia="仿宋_GB2312"/>
          <w:kern w:val="0"/>
          <w:sz w:val="32"/>
          <w:szCs w:val="32"/>
        </w:rPr>
        <w:t>本指导原则是供注册申请人和技术审评人员使用的指导性文件，但不包括审评审批所涉及的行政事项，亦不作为法规强制执行，需在遵循相关法规的前提下使用本指导原则。如果有能够满足相关法规要求的其他方法，也可以采用，但是需要提供详细的研究资料和验证资料。</w:t>
      </w:r>
    </w:p>
    <w:p w14:paraId="42AD896C">
      <w:pPr>
        <w:spacing w:line="520" w:lineRule="exact"/>
        <w:ind w:firstLine="640" w:firstLineChars="200"/>
        <w:rPr>
          <w:rFonts w:eastAsia="仿宋_GB2312"/>
          <w:sz w:val="32"/>
          <w:szCs w:val="32"/>
        </w:rPr>
      </w:pPr>
      <w:r>
        <w:rPr>
          <w:rFonts w:hint="eastAsia" w:eastAsia="仿宋_GB2312"/>
          <w:kern w:val="0"/>
          <w:sz w:val="32"/>
          <w:szCs w:val="32"/>
        </w:rPr>
        <w:t>本指导原则是在现行法规、标准体系及当前认知水平下制定的，随着法规、标准体系的不断完善和科学技术的不断发展，本指导原则相关内容也将适时进行调整。</w:t>
      </w:r>
    </w:p>
    <w:p w14:paraId="24393E59">
      <w:pPr>
        <w:snapToGrid w:val="0"/>
        <w:spacing w:line="520" w:lineRule="exact"/>
        <w:ind w:firstLine="640" w:firstLineChars="200"/>
        <w:rPr>
          <w:rFonts w:eastAsia="黑体"/>
          <w:bCs/>
          <w:sz w:val="32"/>
          <w:szCs w:val="32"/>
        </w:rPr>
      </w:pPr>
      <w:r>
        <w:rPr>
          <w:rFonts w:hint="eastAsia" w:eastAsia="黑体"/>
          <w:sz w:val="32"/>
          <w:szCs w:val="32"/>
        </w:rPr>
        <w:t>一、</w:t>
      </w:r>
      <w:r>
        <w:rPr>
          <w:rFonts w:hint="eastAsia" w:eastAsia="黑体"/>
          <w:bCs/>
          <w:sz w:val="32"/>
          <w:szCs w:val="32"/>
        </w:rPr>
        <w:t>适用范围</w:t>
      </w:r>
    </w:p>
    <w:p w14:paraId="319C00BE">
      <w:pPr>
        <w:snapToGrid w:val="0"/>
        <w:spacing w:line="520" w:lineRule="exact"/>
        <w:ind w:firstLine="640" w:firstLineChars="200"/>
        <w:rPr>
          <w:rFonts w:eastAsia="仿宋_GB2312"/>
          <w:color w:val="auto"/>
          <w:sz w:val="32"/>
          <w:szCs w:val="32"/>
          <w:highlight w:val="none"/>
        </w:rPr>
      </w:pPr>
      <w:r>
        <w:rPr>
          <w:rFonts w:hint="eastAsia" w:eastAsia="仿宋_GB2312"/>
          <w:kern w:val="0"/>
          <w:sz w:val="32"/>
          <w:szCs w:val="32"/>
        </w:rPr>
        <w:t>根据《医疗器械分类目录》，本指导原则适用于《医疗器械分类目录》中分类编码为11（医疗器械消毒灭菌器械）-03（化学消毒灭菌器械）-03（环氧乙烷灭菌器）中所述的产品。</w:t>
      </w:r>
    </w:p>
    <w:p w14:paraId="26CD36C2">
      <w:pPr>
        <w:snapToGrid w:val="0"/>
        <w:spacing w:line="520" w:lineRule="exact"/>
        <w:ind w:firstLine="640" w:firstLineChars="200"/>
        <w:rPr>
          <w:rFonts w:eastAsia="黑体"/>
          <w:bCs/>
          <w:sz w:val="32"/>
          <w:szCs w:val="32"/>
        </w:rPr>
      </w:pPr>
      <w:r>
        <w:rPr>
          <w:rFonts w:hint="eastAsia" w:eastAsia="黑体"/>
          <w:sz w:val="32"/>
          <w:szCs w:val="32"/>
        </w:rPr>
        <w:t>二、注册审查</w:t>
      </w:r>
      <w:r>
        <w:rPr>
          <w:rFonts w:hint="eastAsia" w:eastAsia="黑体"/>
          <w:bCs/>
          <w:sz w:val="32"/>
          <w:szCs w:val="32"/>
        </w:rPr>
        <w:t>要点</w:t>
      </w:r>
    </w:p>
    <w:p w14:paraId="45E9F61B">
      <w:pPr>
        <w:spacing w:line="520" w:lineRule="exact"/>
        <w:ind w:right="-67" w:rightChars="-32" w:firstLine="640" w:firstLineChars="200"/>
      </w:pPr>
      <w:r>
        <w:rPr>
          <w:rFonts w:eastAsia="楷体_GB2312"/>
          <w:sz w:val="32"/>
          <w:szCs w:val="32"/>
        </w:rPr>
        <w:t>（一）监管信息</w:t>
      </w:r>
    </w:p>
    <w:p w14:paraId="6E9023D7">
      <w:pPr>
        <w:spacing w:line="520" w:lineRule="exact"/>
        <w:ind w:right="-67" w:rightChars="-32" w:firstLine="640" w:firstLineChars="200"/>
      </w:pPr>
      <w:r>
        <w:rPr>
          <w:rFonts w:eastAsia="仿宋_GB2312"/>
          <w:sz w:val="32"/>
          <w:szCs w:val="32"/>
        </w:rPr>
        <w:t>注册申请人（以下简称申请人）需要描述申报产品的管理类别、分类编码、产品名称</w:t>
      </w:r>
      <w:r>
        <w:rPr>
          <w:rFonts w:hint="eastAsia" w:eastAsia="仿宋_GB2312"/>
          <w:sz w:val="32"/>
          <w:szCs w:val="32"/>
        </w:rPr>
        <w:t>及其</w:t>
      </w:r>
      <w:r>
        <w:rPr>
          <w:rFonts w:eastAsia="仿宋_GB2312"/>
          <w:sz w:val="32"/>
          <w:szCs w:val="32"/>
        </w:rPr>
        <w:t>确定依据。</w:t>
      </w:r>
    </w:p>
    <w:p w14:paraId="11E85D30">
      <w:pPr>
        <w:spacing w:line="520" w:lineRule="exact"/>
        <w:ind w:firstLine="640" w:firstLineChars="200"/>
        <w:outlineLvl w:val="2"/>
        <w:rPr>
          <w:rFonts w:eastAsia="仿宋_GB2312"/>
          <w:sz w:val="32"/>
          <w:szCs w:val="32"/>
        </w:rPr>
      </w:pPr>
      <w:r>
        <w:rPr>
          <w:rFonts w:hint="eastAsia" w:eastAsia="仿宋_GB2312"/>
          <w:sz w:val="32"/>
          <w:szCs w:val="32"/>
        </w:rPr>
        <w:t>1.</w:t>
      </w:r>
      <w:r>
        <w:rPr>
          <w:rFonts w:eastAsia="仿宋_GB2312"/>
          <w:sz w:val="32"/>
          <w:szCs w:val="32"/>
        </w:rPr>
        <w:t>产品名称</w:t>
      </w:r>
    </w:p>
    <w:p w14:paraId="1A617FDC">
      <w:pPr>
        <w:spacing w:line="520" w:lineRule="exact"/>
        <w:ind w:firstLine="640" w:firstLineChars="200"/>
        <w:rPr>
          <w:rFonts w:eastAsia="仿宋_GB2312"/>
          <w:sz w:val="32"/>
          <w:szCs w:val="32"/>
        </w:rPr>
      </w:pPr>
      <w:r>
        <w:rPr>
          <w:rFonts w:eastAsia="仿宋_GB2312"/>
          <w:sz w:val="32"/>
        </w:rPr>
        <w:t>产品的名称应符合《医疗器械通用名称命名规则》、《医疗器械消毒灭菌器械通用名称命名指导原则》要求，</w:t>
      </w:r>
      <w:r>
        <w:rPr>
          <w:rFonts w:eastAsia="仿宋_GB2312"/>
          <w:sz w:val="32"/>
          <w:szCs w:val="32"/>
        </w:rPr>
        <w:t>采用《分类目录》或国家标准、行业标准上的通用名称。</w:t>
      </w:r>
      <w:r>
        <w:rPr>
          <w:rFonts w:eastAsia="仿宋_GB2312"/>
          <w:sz w:val="32"/>
        </w:rPr>
        <w:t>如</w:t>
      </w:r>
      <w:r>
        <w:rPr>
          <w:rFonts w:hint="eastAsia" w:eastAsia="仿宋_GB2312"/>
          <w:sz w:val="32"/>
        </w:rPr>
        <w:t>环氧乙烷</w:t>
      </w:r>
      <w:r>
        <w:rPr>
          <w:rFonts w:eastAsia="仿宋_GB2312"/>
          <w:sz w:val="32"/>
        </w:rPr>
        <w:t>灭菌器</w:t>
      </w:r>
      <w:r>
        <w:rPr>
          <w:rFonts w:hint="eastAsia" w:eastAsia="仿宋_GB2312"/>
          <w:sz w:val="32"/>
          <w:szCs w:val="32"/>
        </w:rPr>
        <w:t>。</w:t>
      </w:r>
    </w:p>
    <w:p w14:paraId="498D60C8">
      <w:pPr>
        <w:spacing w:line="520" w:lineRule="exact"/>
        <w:ind w:firstLine="640" w:firstLineChars="200"/>
        <w:outlineLvl w:val="2"/>
        <w:rPr>
          <w:rFonts w:eastAsia="仿宋_GB2312"/>
          <w:sz w:val="32"/>
          <w:szCs w:val="32"/>
        </w:rPr>
      </w:pPr>
      <w:r>
        <w:rPr>
          <w:rFonts w:hint="eastAsia" w:eastAsia="仿宋_GB2312"/>
          <w:sz w:val="32"/>
          <w:szCs w:val="32"/>
        </w:rPr>
        <w:t>2.管理类别和分类编码</w:t>
      </w:r>
    </w:p>
    <w:p w14:paraId="2800E0CC">
      <w:pPr>
        <w:spacing w:line="520" w:lineRule="exact"/>
        <w:ind w:firstLine="640" w:firstLineChars="200"/>
        <w:rPr>
          <w:rFonts w:eastAsia="仿宋_GB2312"/>
          <w:bCs/>
          <w:sz w:val="32"/>
          <w:szCs w:val="32"/>
        </w:rPr>
      </w:pPr>
      <w:r>
        <w:rPr>
          <w:rFonts w:eastAsia="仿宋_GB2312"/>
          <w:sz w:val="32"/>
          <w:szCs w:val="32"/>
        </w:rPr>
        <w:t>根据《医疗器械分类目录》，分类编码为</w:t>
      </w:r>
      <w:r>
        <w:rPr>
          <w:rFonts w:hint="eastAsia" w:eastAsia="仿宋_GB2312"/>
          <w:bCs/>
          <w:sz w:val="32"/>
          <w:szCs w:val="32"/>
        </w:rPr>
        <w:t>11</w:t>
      </w:r>
      <w:r>
        <w:rPr>
          <w:rFonts w:eastAsia="仿宋_GB2312"/>
          <w:bCs/>
          <w:sz w:val="32"/>
          <w:szCs w:val="32"/>
        </w:rPr>
        <w:t>-0</w:t>
      </w:r>
      <w:r>
        <w:rPr>
          <w:rFonts w:hint="eastAsia" w:eastAsia="仿宋_GB2312"/>
          <w:bCs/>
          <w:sz w:val="32"/>
          <w:szCs w:val="32"/>
          <w:lang w:val="en-US" w:eastAsia="zh-CN"/>
        </w:rPr>
        <w:t>3</w:t>
      </w:r>
      <w:r>
        <w:rPr>
          <w:rFonts w:eastAsia="仿宋_GB2312"/>
          <w:bCs/>
          <w:sz w:val="32"/>
          <w:szCs w:val="32"/>
        </w:rPr>
        <w:t>-0</w:t>
      </w:r>
      <w:r>
        <w:rPr>
          <w:rFonts w:hint="eastAsia" w:eastAsia="仿宋_GB2312"/>
          <w:bCs/>
          <w:sz w:val="32"/>
          <w:szCs w:val="32"/>
        </w:rPr>
        <w:t>3，</w:t>
      </w:r>
      <w:r>
        <w:rPr>
          <w:rFonts w:eastAsia="仿宋_GB2312"/>
          <w:sz w:val="32"/>
          <w:szCs w:val="32"/>
        </w:rPr>
        <w:t>管理类别为Ⅱ类</w:t>
      </w:r>
      <w:r>
        <w:rPr>
          <w:rFonts w:hint="eastAsia" w:eastAsia="仿宋_GB2312"/>
          <w:bCs/>
          <w:sz w:val="32"/>
          <w:szCs w:val="32"/>
        </w:rPr>
        <w:t>。</w:t>
      </w:r>
    </w:p>
    <w:p w14:paraId="50136B28">
      <w:pPr>
        <w:spacing w:line="520" w:lineRule="exact"/>
        <w:ind w:firstLine="640" w:firstLineChars="200"/>
        <w:outlineLvl w:val="2"/>
        <w:rPr>
          <w:rFonts w:eastAsia="仿宋_GB2312"/>
          <w:sz w:val="32"/>
          <w:szCs w:val="32"/>
        </w:rPr>
      </w:pPr>
      <w:r>
        <w:rPr>
          <w:rFonts w:hint="eastAsia" w:eastAsia="仿宋_GB2312"/>
          <w:sz w:val="32"/>
          <w:szCs w:val="32"/>
        </w:rPr>
        <w:t>3.</w:t>
      </w:r>
      <w:r>
        <w:rPr>
          <w:rFonts w:eastAsia="仿宋_GB2312"/>
          <w:sz w:val="32"/>
          <w:szCs w:val="32"/>
        </w:rPr>
        <w:t>注册单元划分</w:t>
      </w:r>
    </w:p>
    <w:p w14:paraId="794DB474">
      <w:pPr>
        <w:spacing w:line="520" w:lineRule="exact"/>
        <w:ind w:firstLine="640" w:firstLineChars="200"/>
        <w:rPr>
          <w:rFonts w:eastAsia="仿宋_GB2312"/>
          <w:color w:val="auto"/>
          <w:sz w:val="32"/>
          <w:szCs w:val="32"/>
        </w:rPr>
      </w:pPr>
      <w:r>
        <w:rPr>
          <w:rFonts w:eastAsia="仿宋_GB2312"/>
          <w:color w:val="auto"/>
          <w:sz w:val="32"/>
          <w:szCs w:val="32"/>
        </w:rPr>
        <w:t>注册单元划分</w:t>
      </w:r>
      <w:r>
        <w:rPr>
          <w:rFonts w:hint="eastAsia" w:eastAsia="仿宋_GB2312"/>
          <w:color w:val="auto"/>
          <w:sz w:val="32"/>
          <w:szCs w:val="32"/>
        </w:rPr>
        <w:t>需</w:t>
      </w:r>
      <w:r>
        <w:rPr>
          <w:rFonts w:eastAsia="仿宋_GB2312"/>
          <w:color w:val="auto"/>
          <w:sz w:val="32"/>
          <w:szCs w:val="32"/>
        </w:rPr>
        <w:t>符合《医疗器械注册单元划分指导原则》的要求，原则上以产品的技术原理、结构组成</w:t>
      </w:r>
      <w:r>
        <w:rPr>
          <w:rFonts w:eastAsia="仿宋_GB2312"/>
          <w:color w:val="auto"/>
          <w:sz w:val="32"/>
        </w:rPr>
        <w:t>、</w:t>
      </w:r>
      <w:r>
        <w:rPr>
          <w:rFonts w:eastAsia="仿宋_GB2312"/>
          <w:color w:val="auto"/>
          <w:sz w:val="32"/>
          <w:szCs w:val="32"/>
        </w:rPr>
        <w:t>性能指标和适用范围为划分依据。</w:t>
      </w:r>
    </w:p>
    <w:p w14:paraId="536CA4C8">
      <w:pPr>
        <w:spacing w:line="520" w:lineRule="exact"/>
        <w:ind w:firstLine="640" w:firstLineChars="200"/>
        <w:rPr>
          <w:rFonts w:hint="eastAsia" w:eastAsia="宋体"/>
          <w:color w:val="auto"/>
          <w:sz w:val="32"/>
          <w:szCs w:val="32"/>
          <w:lang w:eastAsia="zh-CN"/>
        </w:rPr>
      </w:pPr>
      <w:r>
        <w:rPr>
          <w:rFonts w:hint="eastAsia" w:eastAsia="仿宋_GB2312"/>
          <w:color w:val="auto"/>
          <w:sz w:val="32"/>
          <w:szCs w:val="32"/>
        </w:rPr>
        <w:t>例如，环氧乙烷气瓶供应方式存在较大差异</w:t>
      </w:r>
      <w:r>
        <w:rPr>
          <w:rFonts w:hint="eastAsia" w:eastAsia="仿宋_GB2312"/>
          <w:color w:val="auto"/>
          <w:sz w:val="32"/>
          <w:szCs w:val="32"/>
          <w:lang w:eastAsia="zh-CN"/>
        </w:rPr>
        <w:t>的</w:t>
      </w:r>
      <w:r>
        <w:rPr>
          <w:rFonts w:hint="eastAsia" w:eastAsia="仿宋_GB2312"/>
          <w:color w:val="auto"/>
          <w:sz w:val="32"/>
          <w:szCs w:val="32"/>
        </w:rPr>
        <w:t>，宜划分为不同的注册单元</w:t>
      </w:r>
      <w:r>
        <w:rPr>
          <w:rFonts w:hint="eastAsia" w:eastAsia="仿宋_GB2312"/>
          <w:color w:val="auto"/>
          <w:sz w:val="32"/>
          <w:szCs w:val="32"/>
          <w:lang w:eastAsia="zh-CN"/>
        </w:rPr>
        <w:t>；</w:t>
      </w:r>
      <w:r>
        <w:rPr>
          <w:rFonts w:hint="eastAsia" w:eastAsia="仿宋_GB2312"/>
          <w:color w:val="auto"/>
          <w:sz w:val="32"/>
          <w:szCs w:val="32"/>
        </w:rPr>
        <w:t>A类和B类灭菌器其预期用途不同，宜划分为不同的注册单元。</w:t>
      </w:r>
    </w:p>
    <w:p w14:paraId="49F96145">
      <w:pPr>
        <w:spacing w:line="520" w:lineRule="exact"/>
        <w:ind w:firstLine="640" w:firstLineChars="200"/>
        <w:rPr>
          <w:rFonts w:eastAsia="仿宋_GB2312"/>
          <w:bCs/>
          <w:sz w:val="32"/>
          <w:szCs w:val="32"/>
        </w:rPr>
      </w:pPr>
      <w:r>
        <w:rPr>
          <w:rFonts w:hint="eastAsia" w:eastAsia="楷体_GB2312"/>
          <w:bCs/>
          <w:sz w:val="32"/>
          <w:szCs w:val="32"/>
        </w:rPr>
        <w:t>（二）</w:t>
      </w:r>
      <w:r>
        <w:rPr>
          <w:rFonts w:eastAsia="楷体_GB2312"/>
          <w:sz w:val="32"/>
          <w:szCs w:val="32"/>
        </w:rPr>
        <w:t>综述资料</w:t>
      </w:r>
    </w:p>
    <w:p w14:paraId="3FEFA187">
      <w:pPr>
        <w:spacing w:line="520" w:lineRule="exact"/>
        <w:ind w:firstLine="640" w:firstLineChars="200"/>
        <w:rPr>
          <w:rFonts w:eastAsia="仿宋_GB2312"/>
          <w:bCs/>
          <w:sz w:val="32"/>
          <w:szCs w:val="32"/>
        </w:rPr>
      </w:pPr>
      <w:r>
        <w:rPr>
          <w:rFonts w:eastAsia="仿宋_GB2312"/>
          <w:bCs/>
          <w:sz w:val="32"/>
          <w:szCs w:val="32"/>
        </w:rPr>
        <w:t>1.概述</w:t>
      </w:r>
    </w:p>
    <w:p w14:paraId="1FDED4E7">
      <w:pPr>
        <w:spacing w:line="520" w:lineRule="exact"/>
        <w:ind w:firstLine="640" w:firstLineChars="200"/>
        <w:rPr>
          <w:rFonts w:eastAsia="仿宋_GB2312"/>
          <w:sz w:val="32"/>
          <w:szCs w:val="32"/>
        </w:rPr>
      </w:pPr>
      <w:r>
        <w:rPr>
          <w:rFonts w:eastAsia="仿宋_GB2312"/>
          <w:sz w:val="32"/>
          <w:szCs w:val="32"/>
        </w:rPr>
        <w:t>申请人需要描述申报产品的通用名称及其确定依据，描述产品的</w:t>
      </w:r>
      <w:r>
        <w:rPr>
          <w:rFonts w:eastAsia="仿宋_GB2312"/>
          <w:bCs/>
          <w:sz w:val="32"/>
          <w:szCs w:val="32"/>
        </w:rPr>
        <w:t>管理类别、分类编码。</w:t>
      </w:r>
    </w:p>
    <w:p w14:paraId="733D8608">
      <w:pPr>
        <w:spacing w:line="520" w:lineRule="exact"/>
        <w:ind w:firstLine="640" w:firstLineChars="200"/>
        <w:rPr>
          <w:rFonts w:eastAsia="仿宋_GB2312"/>
          <w:bCs/>
          <w:sz w:val="32"/>
          <w:szCs w:val="32"/>
        </w:rPr>
      </w:pPr>
      <w:r>
        <w:rPr>
          <w:rFonts w:eastAsia="仿宋_GB2312"/>
          <w:sz w:val="32"/>
          <w:szCs w:val="32"/>
        </w:rPr>
        <w:t>如适用，描述有关申报产品的背景信息概述或特别细节，如：申报产品的历史概述、历次提交的信息，与其他经批准上市产品的关系等。</w:t>
      </w:r>
    </w:p>
    <w:p w14:paraId="26561CDB">
      <w:pPr>
        <w:numPr>
          <w:ilvl w:val="0"/>
          <w:numId w:val="1"/>
        </w:numPr>
        <w:spacing w:line="520" w:lineRule="exact"/>
        <w:ind w:firstLine="640" w:firstLineChars="200"/>
        <w:rPr>
          <w:rFonts w:eastAsia="仿宋_GB2312"/>
          <w:sz w:val="32"/>
          <w:szCs w:val="32"/>
        </w:rPr>
      </w:pPr>
      <w:r>
        <w:rPr>
          <w:rFonts w:eastAsia="仿宋_GB2312"/>
          <w:sz w:val="32"/>
          <w:szCs w:val="32"/>
        </w:rPr>
        <w:t>产品描述</w:t>
      </w:r>
    </w:p>
    <w:p w14:paraId="6141EED3">
      <w:pPr>
        <w:snapToGrid w:val="0"/>
        <w:spacing w:line="520" w:lineRule="exact"/>
        <w:ind w:firstLine="640" w:firstLineChars="200"/>
        <w:rPr>
          <w:rFonts w:hint="eastAsia" w:eastAsia="仿宋_GB2312"/>
          <w:sz w:val="32"/>
          <w:szCs w:val="32"/>
        </w:rPr>
      </w:pPr>
      <w:r>
        <w:rPr>
          <w:rFonts w:hint="eastAsia" w:eastAsia="仿宋_GB2312"/>
          <w:sz w:val="32"/>
          <w:szCs w:val="32"/>
        </w:rPr>
        <w:t>2.1工作原理</w:t>
      </w:r>
    </w:p>
    <w:p w14:paraId="0A158533">
      <w:pPr>
        <w:spacing w:line="520" w:lineRule="exact"/>
        <w:ind w:firstLine="640" w:firstLineChars="200"/>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环氧乙烷可以杀灭各种微生物，包括细菌繁殖体、芽孢、病毒和真菌孢子</w:t>
      </w:r>
      <w:r>
        <w:rPr>
          <w:rFonts w:hint="eastAsia" w:eastAsia="仿宋_GB2312" w:cs="Times New Roman"/>
          <w:sz w:val="32"/>
          <w:szCs w:val="32"/>
          <w:lang w:eastAsia="zh-CN"/>
        </w:rPr>
        <w:t>，</w:t>
      </w:r>
      <w:r>
        <w:rPr>
          <w:rFonts w:ascii="Times New Roman" w:hAnsi="Times New Roman" w:eastAsia="仿宋_GB2312" w:cs="Times New Roman"/>
          <w:sz w:val="32"/>
          <w:szCs w:val="32"/>
        </w:rPr>
        <w:t>在低温</w:t>
      </w:r>
      <w:r>
        <w:rPr>
          <w:rFonts w:hint="eastAsia" w:eastAsia="仿宋_GB2312" w:cs="Times New Roman"/>
          <w:sz w:val="32"/>
          <w:szCs w:val="32"/>
          <w:lang w:eastAsia="zh-CN"/>
        </w:rPr>
        <w:t>（</w:t>
      </w:r>
      <w:r>
        <w:rPr>
          <w:rFonts w:ascii="Times New Roman" w:hAnsi="Times New Roman" w:eastAsia="仿宋_GB2312" w:cs="Times New Roman"/>
          <w:sz w:val="32"/>
          <w:szCs w:val="32"/>
        </w:rPr>
        <w:t>55℃或者37℃</w:t>
      </w:r>
      <w:r>
        <w:rPr>
          <w:rFonts w:hint="eastAsia" w:eastAsia="仿宋_GB2312" w:cs="Times New Roman"/>
          <w:sz w:val="32"/>
          <w:szCs w:val="32"/>
          <w:lang w:eastAsia="zh-CN"/>
        </w:rPr>
        <w:t>）</w:t>
      </w:r>
      <w:r>
        <w:rPr>
          <w:rFonts w:ascii="Times New Roman" w:hAnsi="Times New Roman" w:eastAsia="仿宋_GB2312" w:cs="Times New Roman"/>
          <w:sz w:val="32"/>
          <w:szCs w:val="32"/>
        </w:rPr>
        <w:t>和真空状态下，环氧乙烷汽化扩散至</w:t>
      </w:r>
      <w:r>
        <w:rPr>
          <w:rFonts w:hint="eastAsia" w:eastAsia="仿宋_GB2312" w:cs="Times New Roman"/>
          <w:sz w:val="32"/>
          <w:szCs w:val="32"/>
          <w:lang w:eastAsia="zh-CN"/>
        </w:rPr>
        <w:t>灭菌室</w:t>
      </w:r>
      <w:r>
        <w:rPr>
          <w:rFonts w:ascii="Times New Roman" w:hAnsi="Times New Roman" w:eastAsia="仿宋_GB2312" w:cs="Times New Roman"/>
          <w:sz w:val="32"/>
          <w:szCs w:val="32"/>
        </w:rPr>
        <w:t>内待灭菌物品的表面，它与微生物的蛋白质、DNA和RNA发生非特异性烷基化作用。水溶液中的环氧乙烷能与蛋白质上的游离羧基，硫氢基和羧基发生烷基化作用，取代不稳定的氢原子而形成带有羧乙根的化合物，蛋白质上的基团被烷基化，使蛋白质失去了在基本代谢中需要的反应基，阻碍了细菌蛋白质正常的化学反应和新陈代谢，从而导致微生物死亡。灭菌完成后通过多次气体解析，抽负压，回气使</w:t>
      </w:r>
      <w:r>
        <w:rPr>
          <w:rFonts w:hint="eastAsia" w:eastAsia="仿宋_GB2312" w:cs="Times New Roman"/>
          <w:sz w:val="32"/>
          <w:szCs w:val="32"/>
          <w:lang w:eastAsia="zh-CN"/>
        </w:rPr>
        <w:t>灭菌室</w:t>
      </w:r>
      <w:r>
        <w:rPr>
          <w:rFonts w:ascii="Times New Roman" w:hAnsi="Times New Roman" w:eastAsia="仿宋_GB2312" w:cs="Times New Roman"/>
          <w:sz w:val="32"/>
          <w:szCs w:val="32"/>
        </w:rPr>
        <w:t>的空气达到安全水平</w:t>
      </w:r>
      <w:r>
        <w:rPr>
          <w:rFonts w:hint="eastAsia" w:ascii="Times New Roman" w:hAnsi="Times New Roman" w:eastAsia="仿宋_GB2312" w:cs="Times New Roman"/>
          <w:sz w:val="32"/>
          <w:szCs w:val="32"/>
          <w:lang w:eastAsia="zh-CN"/>
        </w:rPr>
        <w:t>。</w:t>
      </w:r>
    </w:p>
    <w:p w14:paraId="422C77AC">
      <w:pPr>
        <w:spacing w:line="520" w:lineRule="exact"/>
        <w:ind w:firstLine="640" w:firstLineChars="200"/>
        <w:rPr>
          <w:rFonts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⑴</w:t>
      </w:r>
      <w:r>
        <w:rPr>
          <w:rFonts w:ascii="Times New Roman" w:hAnsi="Times New Roman" w:eastAsia="仿宋_GB2312" w:cs="Times New Roman"/>
          <w:sz w:val="32"/>
          <w:szCs w:val="32"/>
          <w:lang w:val="en-US" w:eastAsia="zh-CN"/>
        </w:rPr>
        <w:t>烷基化作用：烷基化是烷基由一个分子转移到另一个</w:t>
      </w:r>
    </w:p>
    <w:p w14:paraId="73705559">
      <w:pPr>
        <w:spacing w:line="520" w:lineRule="exact"/>
        <w:rPr>
          <w:rFonts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分子的过程</w:t>
      </w:r>
      <w:r>
        <w:rPr>
          <w:rFonts w:hint="eastAsia" w:eastAsia="仿宋_GB2312" w:cs="Times New Roman"/>
          <w:sz w:val="32"/>
          <w:szCs w:val="32"/>
          <w:lang w:val="en-US" w:eastAsia="zh-CN"/>
        </w:rPr>
        <w:t>，</w:t>
      </w:r>
      <w:r>
        <w:rPr>
          <w:rFonts w:ascii="Times New Roman" w:hAnsi="Times New Roman" w:eastAsia="仿宋_GB2312" w:cs="Times New Roman"/>
          <w:sz w:val="32"/>
          <w:szCs w:val="32"/>
          <w:lang w:val="en-US" w:eastAsia="zh-CN"/>
        </w:rPr>
        <w:t>是化合物分子中引入烷基</w:t>
      </w:r>
      <w:r>
        <w:rPr>
          <w:rFonts w:hint="eastAsia" w:eastAsia="仿宋_GB2312" w:cs="Times New Roman"/>
          <w:sz w:val="32"/>
          <w:szCs w:val="32"/>
          <w:lang w:val="en-US" w:eastAsia="zh-CN"/>
        </w:rPr>
        <w:t>（</w:t>
      </w:r>
      <w:r>
        <w:rPr>
          <w:rFonts w:ascii="Times New Roman" w:hAnsi="Times New Roman" w:eastAsia="仿宋_GB2312" w:cs="Times New Roman"/>
          <w:sz w:val="32"/>
          <w:szCs w:val="32"/>
          <w:lang w:val="en-US" w:eastAsia="zh-CN"/>
        </w:rPr>
        <w:t>甲基、乙基等</w:t>
      </w:r>
      <w:r>
        <w:rPr>
          <w:rFonts w:hint="eastAsia" w:eastAsia="仿宋_GB2312" w:cs="Times New Roman"/>
          <w:sz w:val="32"/>
          <w:szCs w:val="32"/>
          <w:lang w:val="en-US" w:eastAsia="zh-CN"/>
        </w:rPr>
        <w:t>）</w:t>
      </w:r>
      <w:r>
        <w:rPr>
          <w:rFonts w:ascii="Times New Roman" w:hAnsi="Times New Roman" w:eastAsia="仿宋_GB2312" w:cs="Times New Roman"/>
          <w:sz w:val="32"/>
          <w:szCs w:val="32"/>
          <w:lang w:val="en-US" w:eastAsia="zh-CN"/>
        </w:rPr>
        <w:t>的反应。</w:t>
      </w:r>
    </w:p>
    <w:p w14:paraId="0CD5EDD0">
      <w:pPr>
        <w:spacing w:line="520" w:lineRule="exact"/>
        <w:ind w:firstLine="640" w:firstLineChars="200"/>
        <w:rPr>
          <w:rFonts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⑵</w:t>
      </w:r>
      <w:r>
        <w:rPr>
          <w:rFonts w:ascii="Times New Roman" w:hAnsi="Times New Roman" w:eastAsia="仿宋_GB2312" w:cs="Times New Roman"/>
          <w:sz w:val="32"/>
          <w:szCs w:val="32"/>
          <w:lang w:val="en-US" w:eastAsia="zh-CN"/>
        </w:rPr>
        <w:t>抑制生物酶活性：环氧乙烷能抑制微生物各种酶的活</w:t>
      </w:r>
    </w:p>
    <w:p w14:paraId="40A8A210">
      <w:pPr>
        <w:spacing w:line="520" w:lineRule="exact"/>
        <w:rPr>
          <w:rFonts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性，如磷酸脱氢酶、胆碱脂酶及其他氧化酶等，阻碍了微生物正常代谢过程的完成，导致其死亡。</w:t>
      </w:r>
    </w:p>
    <w:p w14:paraId="29429768">
      <w:pPr>
        <w:spacing w:line="520" w:lineRule="exact"/>
        <w:ind w:firstLine="640" w:firstLineChars="200"/>
        <w:rPr>
          <w:rFonts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⑶</w:t>
      </w:r>
      <w:r>
        <w:rPr>
          <w:rFonts w:ascii="Times New Roman" w:hAnsi="Times New Roman" w:eastAsia="仿宋_GB2312" w:cs="Times New Roman"/>
          <w:sz w:val="32"/>
          <w:szCs w:val="32"/>
          <w:lang w:val="en-US" w:eastAsia="zh-CN"/>
        </w:rPr>
        <w:t>环氧乙烷的杀菌原理：环氧乙烷（简称EO，又称氧化乙烯，分子式</w:t>
      </w:r>
      <m:oMath>
        <m:sSub>
          <m:sSubPr>
            <m:ctrlPr>
              <w:rPr>
                <w:rFonts w:ascii="Cambria Math" w:hAnsi="Cambria Math" w:eastAsia="仿宋_GB2312" w:cs="Times New Roman"/>
                <w:sz w:val="32"/>
                <w:szCs w:val="32"/>
                <w:lang w:val="en-US" w:eastAsia="zh-CN"/>
              </w:rPr>
            </m:ctrlPr>
          </m:sSubPr>
          <m:e>
            <m:r>
              <m:rPr>
                <m:sty m:val="p"/>
              </m:rPr>
              <w:rPr>
                <w:rFonts w:ascii="Times New Roman" w:hAnsi="Times New Roman" w:eastAsia="仿宋_GB2312" w:cs="Times New Roman"/>
                <w:sz w:val="32"/>
                <w:szCs w:val="32"/>
                <w:lang w:val="en-US" w:eastAsia="zh-CN"/>
              </w:rPr>
              <m:t>C</m:t>
            </m:r>
            <m:ctrlPr>
              <w:rPr>
                <w:rFonts w:ascii="Cambria Math" w:hAnsi="Cambria Math" w:eastAsia="仿宋_GB2312" w:cs="Times New Roman"/>
                <w:sz w:val="32"/>
                <w:szCs w:val="32"/>
                <w:lang w:val="en-US" w:eastAsia="zh-CN"/>
              </w:rPr>
            </m:ctrlPr>
          </m:e>
          <m:sub>
            <m:r>
              <m:rPr>
                <m:sty m:val="p"/>
              </m:rPr>
              <w:rPr>
                <w:rFonts w:hint="default" w:ascii="Times New Roman" w:hAnsi="Times New Roman" w:eastAsia="仿宋_GB2312" w:cs="Times New Roman"/>
                <w:sz w:val="32"/>
                <w:szCs w:val="32"/>
                <w:lang w:val="en-US" w:eastAsia="zh-CN"/>
              </w:rPr>
              <m:t>2</m:t>
            </m:r>
            <m:ctrlPr>
              <w:rPr>
                <w:rFonts w:ascii="Cambria Math" w:hAnsi="Cambria Math" w:eastAsia="仿宋_GB2312" w:cs="Times New Roman"/>
                <w:sz w:val="32"/>
                <w:szCs w:val="32"/>
                <w:lang w:val="en-US" w:eastAsia="zh-CN"/>
              </w:rPr>
            </m:ctrlPr>
          </m:sub>
        </m:sSub>
        <m:sSub>
          <m:sSubPr>
            <m:ctrlPr>
              <w:rPr>
                <w:rFonts w:ascii="Cambria Math" w:hAnsi="Cambria Math" w:eastAsia="仿宋_GB2312" w:cs="Times New Roman"/>
                <w:sz w:val="32"/>
                <w:szCs w:val="32"/>
                <w:lang w:val="en-US" w:eastAsia="zh-CN"/>
              </w:rPr>
            </m:ctrlPr>
          </m:sSubPr>
          <m:e>
            <m:r>
              <m:rPr>
                <m:sty m:val="p"/>
              </m:rPr>
              <w:rPr>
                <w:rFonts w:ascii="Times New Roman" w:hAnsi="Times New Roman" w:eastAsia="仿宋_GB2312" w:cs="Times New Roman"/>
                <w:sz w:val="32"/>
                <w:szCs w:val="32"/>
                <w:lang w:val="en-US" w:eastAsia="zh-CN"/>
              </w:rPr>
              <m:t>H</m:t>
            </m:r>
            <m:ctrlPr>
              <w:rPr>
                <w:rFonts w:ascii="Cambria Math" w:hAnsi="Cambria Math" w:eastAsia="仿宋_GB2312" w:cs="Times New Roman"/>
                <w:sz w:val="32"/>
                <w:szCs w:val="32"/>
                <w:lang w:val="en-US" w:eastAsia="zh-CN"/>
              </w:rPr>
            </m:ctrlPr>
          </m:e>
          <m:sub>
            <m:r>
              <m:rPr>
                <m:sty m:val="p"/>
              </m:rPr>
              <w:rPr>
                <w:rFonts w:hint="default" w:ascii="Times New Roman" w:hAnsi="Times New Roman" w:eastAsia="仿宋_GB2312" w:cs="Times New Roman"/>
                <w:sz w:val="32"/>
                <w:szCs w:val="32"/>
                <w:lang w:val="en-US" w:eastAsia="zh-CN"/>
              </w:rPr>
              <m:t>4</m:t>
            </m:r>
            <m:ctrlPr>
              <w:rPr>
                <w:rFonts w:ascii="Cambria Math" w:hAnsi="Cambria Math" w:eastAsia="仿宋_GB2312" w:cs="Times New Roman"/>
                <w:sz w:val="32"/>
                <w:szCs w:val="32"/>
                <w:lang w:val="en-US" w:eastAsia="zh-CN"/>
              </w:rPr>
            </m:ctrlPr>
          </m:sub>
        </m:sSub>
      </m:oMath>
      <w:r>
        <w:rPr>
          <w:rFonts w:ascii="Times New Roman" w:hAnsi="Times New Roman" w:eastAsia="仿宋_GB2312" w:cs="Times New Roman"/>
          <w:sz w:val="32"/>
          <w:szCs w:val="32"/>
          <w:lang w:val="en-US" w:eastAsia="zh-CN"/>
        </w:rPr>
        <w:t>O，分子量44.05）分子具备不稳定三元环状结构，分子体积小，化学活性与穿透性能优异，为广谱低温灭菌介质，常温条件下可杀灭细菌芽孢、结核分枝杆菌、细菌、病毒、真菌等全部类型微生物。其灭菌作用机制为烷基化反应：环氧乙烷可与微生物蛋白质分子上的羧基、氨基、巯基、羟基发生烷基化结合，消耗蛋白质活性官能团，阻断微生物正常生化反应与代谢过程，最终造成微生物灭活死亡。 湿度是EO灭菌的必要条件，环境相对湿度低于25%时无法实现有效灭菌，单纯延长灭菌时长不能弥补湿度不足带来的灭菌失效问题。灭菌效果关键影响因素包含五项：灭菌温度、相对湿度、灭菌腔压力、环氧乙烷气体浓度、灭菌维持作用时间。</w:t>
      </w:r>
    </w:p>
    <w:p w14:paraId="67C5C4D6">
      <w:pPr>
        <w:spacing w:line="52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⑷控制系统工作原理：按照预先烧录进PLC控制系统的程序，通过控制面板的操作按钮选择相应的工作程序。通过自动控制器检测并确保工作程序每个阶段预设的过程变量在规定阈值范围内，并实时显示每个过程的运行状态及参数。若过程变量的数值未达到或超出制造商规定的限值，自动控制器及时提示发生故障的阶段和故障的性质，并通过显示屏显示信息，</w:t>
      </w:r>
      <w:r>
        <w:rPr>
          <w:rFonts w:hint="eastAsia" w:eastAsia="仿宋_GB2312" w:cs="Times New Roman"/>
          <w:sz w:val="32"/>
          <w:szCs w:val="32"/>
          <w:lang w:val="en-US" w:eastAsia="zh-CN"/>
        </w:rPr>
        <w:t>必要时</w:t>
      </w:r>
      <w:r>
        <w:rPr>
          <w:rFonts w:hint="eastAsia" w:ascii="Times New Roman" w:hAnsi="Times New Roman" w:eastAsia="仿宋_GB2312" w:cs="Times New Roman"/>
          <w:sz w:val="32"/>
          <w:szCs w:val="32"/>
          <w:lang w:val="en-US" w:eastAsia="zh-CN"/>
        </w:rPr>
        <w:t>终止设备的工作周期，以达到对设备的灭菌周期等各阶段过程变量和状态控制的目的。各工作程序运行过程主要包括：真空处理、泄漏测试、环境调控、灭菌剂注入、EO灭菌、EO清除、结束。</w:t>
      </w:r>
    </w:p>
    <w:p w14:paraId="600CDEBD">
      <w:pPr>
        <w:snapToGrid w:val="0"/>
        <w:spacing w:line="520" w:lineRule="exact"/>
        <w:ind w:firstLine="640" w:firstLineChars="200"/>
        <w:rPr>
          <w:rFonts w:hint="eastAsia" w:eastAsia="仿宋_GB2312"/>
          <w:sz w:val="32"/>
          <w:szCs w:val="32"/>
          <w:lang w:val="en-US" w:eastAsia="zh-CN"/>
        </w:rPr>
      </w:pPr>
      <w:r>
        <w:rPr>
          <w:rFonts w:hint="eastAsia" w:eastAsia="仿宋_GB2312"/>
          <w:sz w:val="32"/>
          <w:szCs w:val="32"/>
          <w:lang w:val="en-US" w:eastAsia="zh-CN"/>
        </w:rPr>
        <w:t>2.2结构组成</w:t>
      </w:r>
    </w:p>
    <w:p w14:paraId="02BF7D6D">
      <w:pPr>
        <w:snapToGrid w:val="0"/>
        <w:spacing w:line="240" w:lineRule="auto"/>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drawing>
          <wp:inline distT="0" distB="0" distL="114300" distR="114300">
            <wp:extent cx="3424555" cy="3945255"/>
            <wp:effectExtent l="0" t="0" r="4445" b="17145"/>
            <wp:docPr id="3" name="图片 3" descr="57bd2d27f36a938db196a8292f2ecb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57bd2d27f36a938db196a8292f2ecbfa"/>
                    <pic:cNvPicPr>
                      <a:picLocks noChangeAspect="1"/>
                    </pic:cNvPicPr>
                  </pic:nvPicPr>
                  <pic:blipFill>
                    <a:blip r:embed="rId5"/>
                    <a:stretch>
                      <a:fillRect/>
                    </a:stretch>
                  </pic:blipFill>
                  <pic:spPr>
                    <a:xfrm>
                      <a:off x="0" y="0"/>
                      <a:ext cx="3424555" cy="3945255"/>
                    </a:xfrm>
                    <a:prstGeom prst="rect">
                      <a:avLst/>
                    </a:prstGeom>
                  </pic:spPr>
                </pic:pic>
              </a:graphicData>
            </a:graphic>
          </wp:inline>
        </w:drawing>
      </w:r>
    </w:p>
    <w:p w14:paraId="2D4868C7">
      <w:pPr>
        <w:spacing w:line="520" w:lineRule="exact"/>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图1环氧乙烷灭菌器结构组成示意图</w:t>
      </w:r>
    </w:p>
    <w:p w14:paraId="3F7DC4C8">
      <w:pPr>
        <w:snapToGrid w:val="0"/>
        <w:spacing w:line="240" w:lineRule="auto"/>
        <w:ind w:firstLine="640" w:firstLineChars="200"/>
        <w:rPr>
          <w:rFonts w:hint="eastAsia" w:ascii="Times New Roman" w:hAnsi="Times New Roman" w:eastAsia="仿宋_GB2312" w:cs="Times New Roman"/>
          <w:sz w:val="32"/>
          <w:szCs w:val="32"/>
          <w:lang w:val="en-US" w:eastAsia="zh-CN"/>
        </w:rPr>
      </w:pPr>
    </w:p>
    <w:p w14:paraId="647855DD">
      <w:pPr>
        <w:spacing w:line="52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环氧乙烷灭菌器产品一般由灭菌室、加热系统、加湿系统、真空系统、加药及气化装置、残气处理系统、监测系统、控制系统组成。申请人应根据产品实际，描述产品各组成部件。</w:t>
      </w:r>
    </w:p>
    <w:p w14:paraId="30DF89DF">
      <w:pPr>
        <w:snapToGrid w:val="0"/>
        <w:spacing w:line="520" w:lineRule="exact"/>
        <w:ind w:firstLine="640" w:firstLineChars="200"/>
        <w:rPr>
          <w:rFonts w:hint="eastAsia" w:ascii="Times New Roman" w:hAnsi="Times New Roman" w:eastAsia="仿宋_GB2312" w:cs="Times New Roman"/>
          <w:sz w:val="32"/>
          <w:szCs w:val="32"/>
          <w:lang w:val="en-US" w:eastAsia="zh-CN"/>
        </w:rPr>
      </w:pPr>
    </w:p>
    <w:p w14:paraId="05BC00BB">
      <w:pPr>
        <w:snapToGrid w:val="0"/>
        <w:spacing w:line="52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color w:val="FF0000"/>
          <w:sz w:val="32"/>
          <w:szCs w:val="32"/>
          <w:lang w:val="en-US" w:eastAsia="zh-CN"/>
        </w:rPr>
        <w:drawing>
          <wp:anchor distT="0" distB="0" distL="114300" distR="114300" simplePos="0" relativeHeight="251660288" behindDoc="0" locked="0" layoutInCell="1" allowOverlap="1">
            <wp:simplePos x="0" y="0"/>
            <wp:positionH relativeFrom="column">
              <wp:posOffset>2914015</wp:posOffset>
            </wp:positionH>
            <wp:positionV relativeFrom="paragraph">
              <wp:posOffset>283845</wp:posOffset>
            </wp:positionV>
            <wp:extent cx="2322195" cy="2317115"/>
            <wp:effectExtent l="0" t="0" r="0" b="0"/>
            <wp:wrapNone/>
            <wp:docPr id="2" name="图片 2" descr="34ed29d7c307e6c63d2e943e194c8d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34ed29d7c307e6c63d2e943e194c8d39(1)"/>
                    <pic:cNvPicPr>
                      <a:picLocks noChangeAspect="1"/>
                    </pic:cNvPicPr>
                  </pic:nvPicPr>
                  <pic:blipFill>
                    <a:blip r:embed="rId6"/>
                    <a:stretch>
                      <a:fillRect/>
                    </a:stretch>
                  </pic:blipFill>
                  <pic:spPr>
                    <a:xfrm>
                      <a:off x="0" y="0"/>
                      <a:ext cx="2322195" cy="2317115"/>
                    </a:xfrm>
                    <a:prstGeom prst="rect">
                      <a:avLst/>
                    </a:prstGeom>
                  </pic:spPr>
                </pic:pic>
              </a:graphicData>
            </a:graphic>
          </wp:anchor>
        </w:drawing>
      </w:r>
    </w:p>
    <w:p w14:paraId="72FB101D">
      <w:pPr>
        <w:snapToGrid w:val="0"/>
        <w:spacing w:line="520" w:lineRule="exact"/>
        <w:ind w:firstLine="640" w:firstLineChars="200"/>
        <w:rPr>
          <w:rFonts w:hint="eastAsia" w:ascii="Times New Roman" w:hAnsi="Times New Roman" w:eastAsia="仿宋_GB2312" w:cs="Times New Roman"/>
          <w:sz w:val="32"/>
          <w:szCs w:val="32"/>
          <w:lang w:val="en-US" w:eastAsia="zh-CN"/>
        </w:rPr>
      </w:pPr>
    </w:p>
    <w:p w14:paraId="4D11F16A">
      <w:pPr>
        <w:snapToGrid w:val="0"/>
        <w:spacing w:line="52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drawing>
          <wp:anchor distT="0" distB="0" distL="114300" distR="114300" simplePos="0" relativeHeight="251659264" behindDoc="0" locked="0" layoutInCell="1" allowOverlap="1">
            <wp:simplePos x="0" y="0"/>
            <wp:positionH relativeFrom="column">
              <wp:posOffset>-193675</wp:posOffset>
            </wp:positionH>
            <wp:positionV relativeFrom="paragraph">
              <wp:posOffset>278130</wp:posOffset>
            </wp:positionV>
            <wp:extent cx="2433320" cy="1534160"/>
            <wp:effectExtent l="0" t="0" r="5080" b="8890"/>
            <wp:wrapNone/>
            <wp:docPr id="1" name="图片 1" descr="B2E4BE3C-3F48-4d24-BFC2-686BA99BE3D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B2E4BE3C-3F48-4d24-BFC2-686BA99BE3DF(1)"/>
                    <pic:cNvPicPr>
                      <a:picLocks noChangeAspect="1"/>
                    </pic:cNvPicPr>
                  </pic:nvPicPr>
                  <pic:blipFill>
                    <a:blip r:embed="rId7"/>
                    <a:stretch>
                      <a:fillRect/>
                    </a:stretch>
                  </pic:blipFill>
                  <pic:spPr>
                    <a:xfrm>
                      <a:off x="0" y="0"/>
                      <a:ext cx="2433320" cy="1534160"/>
                    </a:xfrm>
                    <a:prstGeom prst="rect">
                      <a:avLst/>
                    </a:prstGeom>
                  </pic:spPr>
                </pic:pic>
              </a:graphicData>
            </a:graphic>
          </wp:anchor>
        </w:drawing>
      </w:r>
    </w:p>
    <w:p w14:paraId="05C8C0A5">
      <w:pPr>
        <w:snapToGrid w:val="0"/>
        <w:spacing w:line="520" w:lineRule="exact"/>
        <w:ind w:firstLine="640" w:firstLineChars="200"/>
        <w:rPr>
          <w:rFonts w:hint="eastAsia" w:ascii="Times New Roman" w:hAnsi="Times New Roman" w:eastAsia="仿宋_GB2312" w:cs="Times New Roman"/>
          <w:sz w:val="32"/>
          <w:szCs w:val="32"/>
          <w:lang w:val="en-US" w:eastAsia="zh-CN"/>
        </w:rPr>
      </w:pPr>
      <w:r>
        <w:rPr>
          <w:rFonts w:hint="eastAsia" w:eastAsia="仿宋_GB2312" w:cs="Times New Roman"/>
          <w:sz w:val="32"/>
          <w:szCs w:val="32"/>
          <w:lang w:val="en-US" w:eastAsia="zh-CN"/>
        </w:rPr>
        <w:t xml:space="preserve">   </w:t>
      </w:r>
    </w:p>
    <w:p w14:paraId="3A346E97">
      <w:pPr>
        <w:snapToGrid w:val="0"/>
        <w:spacing w:line="520" w:lineRule="exact"/>
        <w:ind w:firstLine="1600" w:firstLineChars="500"/>
        <w:rPr>
          <w:rFonts w:hint="eastAsia" w:ascii="Times New Roman" w:hAnsi="Times New Roman" w:eastAsia="仿宋_GB2312" w:cs="Times New Roman"/>
          <w:color w:val="FF0000"/>
          <w:sz w:val="32"/>
          <w:szCs w:val="32"/>
          <w:lang w:val="en-US" w:eastAsia="zh-CN"/>
        </w:rPr>
      </w:pPr>
    </w:p>
    <w:p w14:paraId="6AF0525B">
      <w:pPr>
        <w:snapToGrid w:val="0"/>
        <w:spacing w:line="520" w:lineRule="exact"/>
        <w:ind w:firstLine="1600" w:firstLineChars="500"/>
        <w:rPr>
          <w:rFonts w:hint="eastAsia" w:ascii="Times New Roman" w:hAnsi="Times New Roman" w:eastAsia="仿宋_GB2312" w:cs="Times New Roman"/>
          <w:color w:val="FF0000"/>
          <w:sz w:val="32"/>
          <w:szCs w:val="32"/>
          <w:lang w:val="en-US" w:eastAsia="zh-CN"/>
        </w:rPr>
      </w:pPr>
    </w:p>
    <w:p w14:paraId="581AAF88">
      <w:pPr>
        <w:snapToGrid w:val="0"/>
        <w:spacing w:line="520" w:lineRule="exact"/>
        <w:ind w:firstLine="1600" w:firstLineChars="500"/>
        <w:rPr>
          <w:rFonts w:hint="eastAsia" w:ascii="Times New Roman" w:hAnsi="Times New Roman" w:eastAsia="仿宋_GB2312" w:cs="Times New Roman"/>
          <w:color w:val="FF0000"/>
          <w:sz w:val="32"/>
          <w:szCs w:val="32"/>
          <w:lang w:val="en-US" w:eastAsia="zh-CN"/>
        </w:rPr>
      </w:pPr>
    </w:p>
    <w:p w14:paraId="7E76825A">
      <w:pPr>
        <w:snapToGrid w:val="0"/>
        <w:spacing w:line="520" w:lineRule="exact"/>
        <w:rPr>
          <w:rFonts w:hint="eastAsia" w:ascii="Times New Roman" w:hAnsi="Times New Roman" w:eastAsia="仿宋_GB2312" w:cs="Times New Roman"/>
          <w:color w:val="FF0000"/>
          <w:sz w:val="32"/>
          <w:szCs w:val="32"/>
          <w:lang w:val="en-US" w:eastAsia="zh-CN"/>
        </w:rPr>
      </w:pPr>
    </w:p>
    <w:p w14:paraId="30D0017E">
      <w:pPr>
        <w:snapToGrid w:val="0"/>
        <w:spacing w:line="520" w:lineRule="exact"/>
        <w:ind w:firstLine="2240" w:firstLineChars="7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color w:val="auto"/>
          <w:sz w:val="32"/>
          <w:szCs w:val="32"/>
          <w:lang w:val="en-US" w:eastAsia="zh-CN"/>
        </w:rPr>
        <w:t>图2环氧乙烷灭菌器实物图</w:t>
      </w:r>
    </w:p>
    <w:p w14:paraId="4853132E">
      <w:pPr>
        <w:snapToGrid w:val="0"/>
        <w:spacing w:line="500" w:lineRule="exact"/>
        <w:ind w:firstLine="640" w:firstLineChars="200"/>
        <w:rPr>
          <w:rFonts w:hint="eastAsia" w:eastAsia="仿宋_GB2312"/>
          <w:sz w:val="32"/>
          <w:szCs w:val="32"/>
        </w:rPr>
      </w:pPr>
      <w:r>
        <w:rPr>
          <w:rFonts w:hint="eastAsia" w:eastAsia="仿宋_GB2312"/>
          <w:sz w:val="32"/>
          <w:szCs w:val="32"/>
        </w:rPr>
        <w:t>2.3主要功能及其组成部件的功能</w:t>
      </w:r>
    </w:p>
    <w:p w14:paraId="5BC90B23">
      <w:pPr>
        <w:snapToGrid w:val="0"/>
        <w:spacing w:line="520" w:lineRule="exact"/>
        <w:ind w:firstLine="640" w:firstLineChars="200"/>
        <w:rPr>
          <w:rFonts w:eastAsia="仿宋_GB2312"/>
          <w:sz w:val="32"/>
          <w:szCs w:val="32"/>
        </w:rPr>
      </w:pPr>
      <w:r>
        <w:rPr>
          <w:rFonts w:eastAsia="仿宋_GB2312"/>
          <w:sz w:val="32"/>
          <w:szCs w:val="32"/>
        </w:rPr>
        <w:t>申请人</w:t>
      </w:r>
      <w:r>
        <w:rPr>
          <w:rFonts w:hint="eastAsia" w:eastAsia="仿宋_GB2312"/>
          <w:sz w:val="32"/>
          <w:szCs w:val="32"/>
        </w:rPr>
        <w:t>需</w:t>
      </w:r>
      <w:r>
        <w:rPr>
          <w:rFonts w:eastAsia="仿宋_GB2312"/>
          <w:sz w:val="32"/>
          <w:szCs w:val="32"/>
        </w:rPr>
        <w:t>对</w:t>
      </w:r>
      <w:r>
        <w:rPr>
          <w:rFonts w:hint="eastAsia" w:eastAsia="仿宋_GB2312"/>
          <w:sz w:val="32"/>
          <w:szCs w:val="28"/>
          <w:lang w:eastAsia="zh-CN"/>
        </w:rPr>
        <w:t>产品结构</w:t>
      </w:r>
      <w:r>
        <w:rPr>
          <w:rFonts w:hint="eastAsia" w:eastAsia="仿宋_GB2312"/>
          <w:sz w:val="32"/>
          <w:szCs w:val="28"/>
        </w:rPr>
        <w:t>、功能</w:t>
      </w:r>
      <w:r>
        <w:rPr>
          <w:rFonts w:eastAsia="仿宋_GB2312"/>
          <w:sz w:val="32"/>
          <w:szCs w:val="28"/>
        </w:rPr>
        <w:t>进行详细描述，包括所有组成部分，给出部件的说明（如图表、照片和图纸），关键部件/组件的</w:t>
      </w:r>
      <w:r>
        <w:rPr>
          <w:rFonts w:hint="eastAsia" w:eastAsia="仿宋_GB2312"/>
          <w:sz w:val="32"/>
          <w:szCs w:val="28"/>
        </w:rPr>
        <w:t>功能</w:t>
      </w:r>
      <w:r>
        <w:rPr>
          <w:rFonts w:eastAsia="仿宋_GB2312"/>
          <w:sz w:val="32"/>
          <w:szCs w:val="28"/>
        </w:rPr>
        <w:t>说明</w:t>
      </w:r>
      <w:r>
        <w:rPr>
          <w:rFonts w:hint="eastAsia" w:eastAsia="仿宋_GB2312"/>
          <w:sz w:val="32"/>
          <w:szCs w:val="28"/>
        </w:rPr>
        <w:t>、</w:t>
      </w:r>
      <w:r>
        <w:rPr>
          <w:rFonts w:eastAsia="仿宋_GB2312"/>
          <w:sz w:val="32"/>
          <w:szCs w:val="28"/>
        </w:rPr>
        <w:t>标识</w:t>
      </w:r>
      <w:r>
        <w:rPr>
          <w:rFonts w:hint="eastAsia" w:eastAsia="仿宋_GB2312"/>
          <w:sz w:val="32"/>
          <w:szCs w:val="28"/>
        </w:rPr>
        <w:t>和图示等</w:t>
      </w:r>
      <w:r>
        <w:rPr>
          <w:rFonts w:eastAsia="仿宋_GB2312"/>
          <w:sz w:val="32"/>
          <w:szCs w:val="28"/>
        </w:rPr>
        <w:t>，其中包括充分的解释来方便理解这些图示</w:t>
      </w:r>
      <w:r>
        <w:rPr>
          <w:rFonts w:hint="eastAsia" w:eastAsia="仿宋_GB2312"/>
          <w:sz w:val="32"/>
          <w:szCs w:val="32"/>
        </w:rPr>
        <w:t>。</w:t>
      </w:r>
    </w:p>
    <w:p w14:paraId="4057BC39">
      <w:pPr>
        <w:snapToGrid w:val="0"/>
        <w:spacing w:line="520" w:lineRule="exact"/>
        <w:ind w:firstLine="640" w:firstLineChars="200"/>
        <w:rPr>
          <w:rFonts w:eastAsia="仿宋_GB2312"/>
          <w:sz w:val="32"/>
          <w:szCs w:val="32"/>
        </w:rPr>
      </w:pPr>
      <w:r>
        <w:rPr>
          <w:rFonts w:eastAsia="仿宋_GB2312"/>
          <w:color w:val="000000"/>
          <w:sz w:val="32"/>
          <w:szCs w:val="32"/>
        </w:rPr>
        <w:t>关于主要结构组成（包括关键组件和软件等）及主要功能的描述举例如下：</w:t>
      </w:r>
    </w:p>
    <w:p w14:paraId="097F2C0F">
      <w:pPr>
        <w:pStyle w:val="2"/>
        <w:numPr>
          <w:ilvl w:val="0"/>
          <w:numId w:val="0"/>
        </w:numPr>
        <w:ind w:leftChars="0" w:firstLine="640" w:firstLineChars="200"/>
        <w:rPr>
          <w:rFonts w:ascii="Times New Roman" w:hAnsi="Times New Roman" w:eastAsia="仿宋_GB2312" w:cs="Times New Roman"/>
          <w:kern w:val="2"/>
          <w:sz w:val="32"/>
          <w:szCs w:val="28"/>
          <w:lang w:val="en-US" w:eastAsia="zh-CN" w:bidi="ar-SA"/>
        </w:rPr>
      </w:pPr>
      <w:r>
        <w:rPr>
          <w:rFonts w:hint="eastAsia" w:ascii="Times New Roman" w:hAnsi="Times New Roman" w:eastAsia="仿宋_GB2312" w:cs="Times New Roman"/>
          <w:kern w:val="2"/>
          <w:sz w:val="32"/>
          <w:szCs w:val="28"/>
          <w:lang w:val="en-US" w:eastAsia="zh-CN" w:bidi="ar-SA"/>
        </w:rPr>
        <w:t>灭菌舱：灭菌舱是运行灭菌过程的载体。通常由灭菌腔体、舱门等组成，通过连接管路与真空系统、加药及气化装置、残气处理系统相连接。灭菌舱的门控制可以自动开门和手动开门方式，灭菌舱的门也可以单侧开门或双侧开门方式。</w:t>
      </w:r>
    </w:p>
    <w:p w14:paraId="28A6C2CD">
      <w:pPr>
        <w:pStyle w:val="2"/>
        <w:numPr>
          <w:ilvl w:val="0"/>
          <w:numId w:val="0"/>
        </w:numPr>
        <w:ind w:firstLine="640" w:firstLineChars="200"/>
        <w:rPr>
          <w:rFonts w:ascii="Times New Roman" w:hAnsi="Times New Roman" w:eastAsia="仿宋_GB2312" w:cs="Times New Roman"/>
          <w:kern w:val="2"/>
          <w:sz w:val="32"/>
          <w:szCs w:val="28"/>
          <w:lang w:val="en-US" w:eastAsia="zh-CN" w:bidi="ar-SA"/>
        </w:rPr>
      </w:pPr>
      <w:r>
        <w:rPr>
          <w:rFonts w:hint="eastAsia" w:ascii="Times New Roman" w:hAnsi="Times New Roman" w:eastAsia="仿宋_GB2312" w:cs="Times New Roman"/>
          <w:kern w:val="2"/>
          <w:sz w:val="32"/>
          <w:szCs w:val="28"/>
          <w:lang w:val="en-US" w:eastAsia="zh-CN" w:bidi="ar-SA"/>
        </w:rPr>
        <w:t>加热系统：对灭菌舱和汽化室进行加热，保证灭菌过程中灭菌舱维持在灭菌所需的温度，汽化室环氧乙烷气化所需的温度。</w:t>
      </w:r>
    </w:p>
    <w:p w14:paraId="34A89ED3">
      <w:pPr>
        <w:pStyle w:val="2"/>
        <w:numPr>
          <w:ilvl w:val="0"/>
          <w:numId w:val="0"/>
        </w:numPr>
        <w:ind w:firstLine="640" w:firstLineChars="200"/>
        <w:rPr>
          <w:rFonts w:ascii="Times New Roman" w:hAnsi="Times New Roman" w:eastAsia="仿宋_GB2312" w:cs="Times New Roman"/>
          <w:kern w:val="2"/>
          <w:sz w:val="32"/>
          <w:szCs w:val="28"/>
          <w:lang w:val="en-US" w:eastAsia="zh-CN" w:bidi="ar-SA"/>
        </w:rPr>
      </w:pPr>
      <w:r>
        <w:rPr>
          <w:rFonts w:hint="eastAsia" w:ascii="Times New Roman" w:hAnsi="Times New Roman" w:eastAsia="仿宋_GB2312" w:cs="Times New Roman"/>
          <w:kern w:val="2"/>
          <w:sz w:val="32"/>
          <w:szCs w:val="28"/>
          <w:lang w:val="en-US" w:eastAsia="zh-CN" w:bidi="ar-SA"/>
        </w:rPr>
        <w:t>真空系统：该系统对灭菌舱进行抽真空的功能，真空性能与环氧乙烷气化、灭菌效果密切相关。通常由真空泵、压力传感器、空气过滤器、真空阀等组成。</w:t>
      </w:r>
    </w:p>
    <w:p w14:paraId="5811229D">
      <w:pPr>
        <w:pStyle w:val="2"/>
        <w:numPr>
          <w:ilvl w:val="0"/>
          <w:numId w:val="0"/>
        </w:numPr>
        <w:ind w:firstLine="640" w:firstLineChars="200"/>
        <w:rPr>
          <w:rFonts w:ascii="Times New Roman" w:hAnsi="Times New Roman" w:eastAsia="仿宋_GB2312" w:cs="Times New Roman"/>
          <w:kern w:val="2"/>
          <w:sz w:val="32"/>
          <w:szCs w:val="28"/>
          <w:lang w:val="en-US" w:eastAsia="zh-CN" w:bidi="ar-SA"/>
        </w:rPr>
      </w:pPr>
      <w:r>
        <w:rPr>
          <w:rFonts w:hint="eastAsia" w:ascii="Times New Roman" w:hAnsi="Times New Roman" w:eastAsia="仿宋_GB2312" w:cs="Times New Roman"/>
          <w:kern w:val="2"/>
          <w:sz w:val="32"/>
          <w:szCs w:val="28"/>
          <w:lang w:val="en-US" w:eastAsia="zh-CN" w:bidi="ar-SA"/>
        </w:rPr>
        <w:t>加湿系统：</w:t>
      </w:r>
      <w:r>
        <w:rPr>
          <w:rFonts w:ascii="Times New Roman" w:hAnsi="Times New Roman" w:eastAsia="仿宋_GB2312" w:cs="Times New Roman"/>
          <w:kern w:val="2"/>
          <w:sz w:val="32"/>
          <w:szCs w:val="28"/>
          <w:lang w:val="en-US" w:eastAsia="zh-CN" w:bidi="ar-SA"/>
        </w:rPr>
        <w:t>是在灭菌前将舱内湿度精准维持在 40%–80% RH，让微生物充分水合，显著提升</w:t>
      </w:r>
      <w:r>
        <w:rPr>
          <w:rFonts w:hint="eastAsia" w:ascii="Times New Roman" w:hAnsi="Times New Roman" w:eastAsia="仿宋_GB2312" w:cs="Times New Roman"/>
          <w:kern w:val="2"/>
          <w:sz w:val="32"/>
          <w:szCs w:val="28"/>
          <w:lang w:val="en-US" w:eastAsia="zh-CN" w:bidi="ar-SA"/>
        </w:rPr>
        <w:t>环氧乙烷</w:t>
      </w:r>
      <w:r>
        <w:rPr>
          <w:rFonts w:ascii="Times New Roman" w:hAnsi="Times New Roman" w:eastAsia="仿宋_GB2312" w:cs="Times New Roman"/>
          <w:kern w:val="2"/>
          <w:sz w:val="32"/>
          <w:szCs w:val="28"/>
          <w:lang w:val="en-US" w:eastAsia="zh-CN" w:bidi="ar-SA"/>
        </w:rPr>
        <w:t>的穿透与烷基化效率。</w:t>
      </w:r>
      <w:r>
        <w:rPr>
          <w:rFonts w:hint="eastAsia" w:ascii="Times New Roman" w:hAnsi="Times New Roman" w:eastAsia="仿宋_GB2312" w:cs="Times New Roman"/>
          <w:kern w:val="2"/>
          <w:sz w:val="32"/>
          <w:szCs w:val="28"/>
          <w:lang w:val="en-US" w:eastAsia="zh-CN" w:bidi="ar-SA"/>
        </w:rPr>
        <w:t>通常由水箱、加注阀、湿度传感器等组成。</w:t>
      </w:r>
    </w:p>
    <w:p w14:paraId="4E5E72E9">
      <w:pPr>
        <w:pStyle w:val="2"/>
        <w:numPr>
          <w:ilvl w:val="0"/>
          <w:numId w:val="0"/>
        </w:numPr>
        <w:ind w:firstLine="640" w:firstLineChars="200"/>
        <w:rPr>
          <w:rFonts w:ascii="Times New Roman" w:hAnsi="Times New Roman" w:eastAsia="仿宋_GB2312" w:cs="Times New Roman"/>
          <w:kern w:val="2"/>
          <w:sz w:val="32"/>
          <w:szCs w:val="28"/>
          <w:lang w:val="en-US" w:eastAsia="zh-CN" w:bidi="ar-SA"/>
        </w:rPr>
      </w:pPr>
      <w:r>
        <w:rPr>
          <w:rFonts w:hint="eastAsia" w:ascii="Times New Roman" w:hAnsi="Times New Roman" w:eastAsia="仿宋_GB2312" w:cs="Times New Roman"/>
          <w:kern w:val="2"/>
          <w:sz w:val="32"/>
          <w:szCs w:val="28"/>
          <w:lang w:val="en-US" w:eastAsia="zh-CN" w:bidi="ar-SA"/>
        </w:rPr>
        <w:t>加药及气化装置：实现对环氧乙烷气体向灭菌舱的定量加注。通常A类灭菌器由环氧乙烷气瓶供应，B类灭菌器由环氧乙烷气雾罐供应。</w:t>
      </w:r>
    </w:p>
    <w:p w14:paraId="42256861">
      <w:pPr>
        <w:pStyle w:val="2"/>
        <w:numPr>
          <w:ilvl w:val="0"/>
          <w:numId w:val="0"/>
        </w:numPr>
        <w:ind w:firstLine="640" w:firstLineChars="200"/>
        <w:rPr>
          <w:rFonts w:ascii="Times New Roman" w:hAnsi="Times New Roman" w:eastAsia="仿宋_GB2312" w:cs="Times New Roman"/>
          <w:kern w:val="2"/>
          <w:sz w:val="32"/>
          <w:szCs w:val="28"/>
          <w:lang w:val="en-US" w:eastAsia="zh-CN" w:bidi="ar-SA"/>
        </w:rPr>
      </w:pPr>
      <w:r>
        <w:rPr>
          <w:rFonts w:hint="eastAsia" w:ascii="Times New Roman" w:hAnsi="Times New Roman" w:eastAsia="仿宋_GB2312" w:cs="Times New Roman"/>
          <w:kern w:val="2"/>
          <w:sz w:val="32"/>
          <w:szCs w:val="28"/>
          <w:lang w:val="en-US" w:eastAsia="zh-CN" w:bidi="ar-SA"/>
        </w:rPr>
        <w:t>残气处理系统：</w:t>
      </w:r>
      <w:r>
        <w:rPr>
          <w:rFonts w:ascii="Times New Roman" w:hAnsi="Times New Roman" w:eastAsia="仿宋_GB2312" w:cs="Times New Roman"/>
          <w:kern w:val="2"/>
          <w:sz w:val="32"/>
          <w:szCs w:val="28"/>
          <w:lang w:val="en-US" w:eastAsia="zh-CN" w:bidi="ar-SA"/>
        </w:rPr>
        <w:t>灭菌完成后，通过加温、通风、换气、延时放置，让医疗器械内部、管腔、包装里残留的环氧乙烷气体自然逸出、散发干净的过程。</w:t>
      </w:r>
    </w:p>
    <w:p w14:paraId="5E62F76B">
      <w:pPr>
        <w:pStyle w:val="2"/>
        <w:numPr>
          <w:ilvl w:val="0"/>
          <w:numId w:val="0"/>
        </w:num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kern w:val="2"/>
          <w:sz w:val="32"/>
          <w:szCs w:val="28"/>
          <w:lang w:val="en-US" w:eastAsia="zh-CN" w:bidi="ar-SA"/>
        </w:rPr>
        <w:t>控制系统：</w:t>
      </w:r>
      <w:r>
        <w:rPr>
          <w:rFonts w:ascii="Times New Roman" w:hAnsi="Times New Roman" w:eastAsia="仿宋_GB2312" w:cs="Times New Roman"/>
          <w:kern w:val="2"/>
          <w:sz w:val="32"/>
          <w:szCs w:val="28"/>
          <w:lang w:val="en-US" w:eastAsia="zh-CN" w:bidi="ar-SA"/>
        </w:rPr>
        <w:t>该部分实现对灭菌过程的压力、温度</w:t>
      </w:r>
      <w:r>
        <w:rPr>
          <w:rFonts w:hint="eastAsia" w:ascii="Times New Roman" w:hAnsi="Times New Roman" w:eastAsia="仿宋_GB2312" w:cs="Times New Roman"/>
          <w:kern w:val="2"/>
          <w:sz w:val="32"/>
          <w:szCs w:val="28"/>
          <w:lang w:val="en-US" w:eastAsia="zh-CN" w:bidi="ar-SA"/>
        </w:rPr>
        <w:t>、湿度</w:t>
      </w:r>
      <w:r>
        <w:rPr>
          <w:rFonts w:ascii="Times New Roman" w:hAnsi="Times New Roman" w:eastAsia="仿宋_GB2312" w:cs="Times New Roman"/>
          <w:kern w:val="2"/>
          <w:sz w:val="32"/>
          <w:szCs w:val="28"/>
          <w:lang w:val="en-US" w:eastAsia="zh-CN" w:bidi="ar-SA"/>
        </w:rPr>
        <w:t>、时间等过程参数的控制、显示、输出，达到灭菌所需的量值和精度，并对预设周期参数进行监控。通常由控制装置、显示装置、数据记录装置等组成。</w:t>
      </w:r>
    </w:p>
    <w:p w14:paraId="033D7BE4">
      <w:pPr>
        <w:snapToGrid w:val="0"/>
        <w:spacing w:line="520" w:lineRule="exact"/>
        <w:ind w:firstLine="640" w:firstLineChars="200"/>
        <w:rPr>
          <w:rFonts w:hint="eastAsia" w:eastAsia="仿宋_GB2312"/>
          <w:kern w:val="0"/>
          <w:sz w:val="32"/>
          <w:szCs w:val="32"/>
        </w:rPr>
      </w:pPr>
      <w:r>
        <w:rPr>
          <w:rFonts w:hint="eastAsia" w:eastAsia="仿宋_GB2312"/>
          <w:kern w:val="0"/>
          <w:sz w:val="32"/>
          <w:szCs w:val="32"/>
        </w:rPr>
        <w:t>2.4型号规格</w:t>
      </w:r>
    </w:p>
    <w:p w14:paraId="48A82C65">
      <w:pPr>
        <w:snapToGrid w:val="0"/>
        <w:spacing w:line="520" w:lineRule="exact"/>
        <w:ind w:firstLine="640" w:firstLineChars="200"/>
        <w:rPr>
          <w:rFonts w:hint="eastAsia" w:eastAsia="仿宋_GB2312"/>
          <w:sz w:val="32"/>
          <w:szCs w:val="32"/>
        </w:rPr>
      </w:pPr>
      <w:r>
        <w:rPr>
          <w:rFonts w:hint="eastAsia" w:eastAsia="仿宋_GB2312"/>
          <w:sz w:val="32"/>
          <w:szCs w:val="32"/>
        </w:rPr>
        <w:t>申请人需要说明申报产品的型号规格。若存在多个产品型号规格或配置，需采用对比表或带有说明性文字的图片、图表详述不同型号规格、产品配置之间的差异，包括：结构组成、</w:t>
      </w:r>
      <w:r>
        <w:rPr>
          <w:rFonts w:hint="eastAsia" w:eastAsia="仿宋_GB2312"/>
          <w:sz w:val="32"/>
          <w:szCs w:val="32"/>
          <w:lang w:eastAsia="zh-CN"/>
        </w:rPr>
        <w:t>灭菌室容积、</w:t>
      </w:r>
      <w:r>
        <w:rPr>
          <w:rFonts w:hint="eastAsia" w:eastAsia="仿宋_GB2312"/>
          <w:sz w:val="32"/>
          <w:szCs w:val="32"/>
        </w:rPr>
        <w:t>性能指标、技术特征等。</w:t>
      </w:r>
    </w:p>
    <w:p w14:paraId="6657433F">
      <w:pPr>
        <w:snapToGrid w:val="0"/>
        <w:spacing w:line="520" w:lineRule="exact"/>
        <w:ind w:firstLine="640" w:firstLineChars="200"/>
        <w:rPr>
          <w:rFonts w:hint="eastAsia" w:eastAsia="仿宋_GB2312"/>
          <w:kern w:val="0"/>
          <w:sz w:val="32"/>
          <w:szCs w:val="32"/>
        </w:rPr>
      </w:pPr>
      <w:r>
        <w:rPr>
          <w:rFonts w:hint="eastAsia" w:eastAsia="仿宋_GB2312"/>
          <w:sz w:val="32"/>
          <w:szCs w:val="32"/>
        </w:rPr>
        <w:t>划分</w:t>
      </w:r>
      <w:r>
        <w:rPr>
          <w:rFonts w:eastAsia="仿宋_GB2312"/>
          <w:sz w:val="32"/>
          <w:szCs w:val="32"/>
        </w:rPr>
        <w:t>在一个注册单元中的灭菌器</w:t>
      </w:r>
      <w:r>
        <w:rPr>
          <w:rFonts w:eastAsia="仿宋_GB2312"/>
          <w:color w:val="000000"/>
          <w:sz w:val="32"/>
          <w:szCs w:val="32"/>
        </w:rPr>
        <w:t>申请人</w:t>
      </w:r>
      <w:r>
        <w:rPr>
          <w:rFonts w:eastAsia="仿宋_GB2312"/>
          <w:sz w:val="32"/>
          <w:szCs w:val="32"/>
        </w:rPr>
        <w:t>可按</w:t>
      </w:r>
      <w:r>
        <w:rPr>
          <w:rFonts w:hint="eastAsia" w:eastAsia="仿宋_GB2312"/>
          <w:sz w:val="32"/>
          <w:szCs w:val="32"/>
        </w:rPr>
        <w:t>结构型式、</w:t>
      </w:r>
      <w:r>
        <w:rPr>
          <w:rFonts w:eastAsia="仿宋_GB2312"/>
          <w:sz w:val="32"/>
          <w:szCs w:val="32"/>
        </w:rPr>
        <w:t>灭菌</w:t>
      </w:r>
      <w:r>
        <w:rPr>
          <w:rFonts w:hint="eastAsia" w:eastAsia="仿宋_GB2312"/>
          <w:sz w:val="32"/>
          <w:szCs w:val="32"/>
          <w:lang w:eastAsia="zh-CN"/>
        </w:rPr>
        <w:t>室容积</w:t>
      </w:r>
      <w:r>
        <w:rPr>
          <w:rFonts w:eastAsia="仿宋_GB2312"/>
          <w:sz w:val="32"/>
          <w:szCs w:val="32"/>
        </w:rPr>
        <w:t>、</w:t>
      </w:r>
      <w:r>
        <w:rPr>
          <w:rFonts w:hint="eastAsia" w:eastAsia="仿宋_GB2312"/>
          <w:sz w:val="32"/>
          <w:szCs w:val="32"/>
          <w:lang w:eastAsia="zh-CN"/>
        </w:rPr>
        <w:t>技术参数、辅助功能</w:t>
      </w:r>
      <w:r>
        <w:rPr>
          <w:rFonts w:hint="eastAsia" w:eastAsia="仿宋_GB2312"/>
          <w:sz w:val="32"/>
          <w:szCs w:val="32"/>
        </w:rPr>
        <w:t>等</w:t>
      </w:r>
      <w:r>
        <w:rPr>
          <w:rFonts w:eastAsia="仿宋_GB2312"/>
          <w:sz w:val="32"/>
          <w:szCs w:val="32"/>
        </w:rPr>
        <w:t>不同</w:t>
      </w:r>
      <w:r>
        <w:rPr>
          <w:rFonts w:hint="eastAsia" w:eastAsia="仿宋_GB2312"/>
          <w:sz w:val="32"/>
          <w:szCs w:val="32"/>
        </w:rPr>
        <w:t>划分为</w:t>
      </w:r>
      <w:r>
        <w:rPr>
          <w:rFonts w:eastAsia="仿宋_GB2312"/>
          <w:sz w:val="32"/>
          <w:szCs w:val="32"/>
        </w:rPr>
        <w:t>不同型号和规格。</w:t>
      </w:r>
    </w:p>
    <w:p w14:paraId="1C010F1E">
      <w:pPr>
        <w:snapToGrid w:val="0"/>
        <w:spacing w:line="520" w:lineRule="exact"/>
        <w:ind w:firstLine="640" w:firstLineChars="200"/>
        <w:rPr>
          <w:rFonts w:eastAsia="仿宋_GB2312"/>
          <w:kern w:val="0"/>
          <w:sz w:val="32"/>
          <w:szCs w:val="32"/>
        </w:rPr>
      </w:pPr>
      <w:r>
        <w:rPr>
          <w:rFonts w:hint="eastAsia" w:eastAsia="仿宋_GB2312"/>
          <w:kern w:val="0"/>
          <w:sz w:val="32"/>
          <w:szCs w:val="32"/>
        </w:rPr>
        <w:t>2.5包装</w:t>
      </w:r>
    </w:p>
    <w:p w14:paraId="69FBC991">
      <w:pPr>
        <w:snapToGrid w:val="0"/>
        <w:spacing w:line="520" w:lineRule="exact"/>
        <w:ind w:firstLine="640" w:firstLineChars="200"/>
        <w:rPr>
          <w:rFonts w:eastAsia="仿宋_GB2312"/>
          <w:sz w:val="32"/>
          <w:szCs w:val="32"/>
        </w:rPr>
      </w:pPr>
      <w:r>
        <w:rPr>
          <w:rFonts w:hint="eastAsia" w:eastAsia="仿宋_GB2312"/>
          <w:sz w:val="32"/>
          <w:szCs w:val="32"/>
        </w:rPr>
        <w:t>申请人</w:t>
      </w:r>
      <w:r>
        <w:rPr>
          <w:rFonts w:eastAsia="仿宋_GB2312"/>
          <w:color w:val="000000"/>
          <w:sz w:val="32"/>
          <w:szCs w:val="32"/>
        </w:rPr>
        <w:t>需要描述注册单元内所有产品组成的包装情况，说明包装</w:t>
      </w:r>
      <w:r>
        <w:rPr>
          <w:rFonts w:hint="eastAsia" w:eastAsia="仿宋_GB2312"/>
          <w:color w:val="000000"/>
          <w:sz w:val="32"/>
          <w:szCs w:val="32"/>
          <w:lang w:eastAsia="zh-CN"/>
        </w:rPr>
        <w:t>材料</w:t>
      </w:r>
      <w:r>
        <w:rPr>
          <w:rFonts w:eastAsia="仿宋_GB2312"/>
          <w:color w:val="000000"/>
          <w:sz w:val="32"/>
          <w:szCs w:val="32"/>
        </w:rPr>
        <w:t>和包装方式，提供包装图示。</w:t>
      </w:r>
    </w:p>
    <w:p w14:paraId="5C5C4054">
      <w:pPr>
        <w:snapToGrid w:val="0"/>
        <w:spacing w:line="520" w:lineRule="exact"/>
        <w:ind w:firstLine="640" w:firstLineChars="200"/>
        <w:rPr>
          <w:rFonts w:eastAsia="仿宋_GB2312"/>
          <w:sz w:val="32"/>
          <w:szCs w:val="32"/>
        </w:rPr>
      </w:pPr>
      <w:r>
        <w:rPr>
          <w:rFonts w:hint="eastAsia" w:eastAsia="仿宋_GB2312"/>
          <w:sz w:val="32"/>
          <w:szCs w:val="32"/>
        </w:rPr>
        <w:t>2.6研发历程</w:t>
      </w:r>
    </w:p>
    <w:p w14:paraId="69C95183">
      <w:pPr>
        <w:snapToGrid w:val="0"/>
        <w:spacing w:line="520" w:lineRule="exact"/>
        <w:ind w:firstLine="640" w:firstLineChars="200"/>
        <w:rPr>
          <w:rFonts w:eastAsia="仿宋_GB2312"/>
          <w:sz w:val="32"/>
          <w:szCs w:val="32"/>
        </w:rPr>
      </w:pPr>
      <w:r>
        <w:rPr>
          <w:rFonts w:hint="eastAsia" w:eastAsia="仿宋_GB2312"/>
          <w:sz w:val="32"/>
          <w:szCs w:val="32"/>
        </w:rPr>
        <w:t>申请人需</w:t>
      </w:r>
      <w:r>
        <w:rPr>
          <w:rFonts w:eastAsia="仿宋_GB2312"/>
          <w:sz w:val="32"/>
          <w:szCs w:val="32"/>
        </w:rPr>
        <w:t>阐述申请注册产品的研发背景和目的。如有参考的同类产品或前代产品，</w:t>
      </w:r>
      <w:r>
        <w:rPr>
          <w:rFonts w:hint="eastAsia" w:eastAsia="仿宋_GB2312"/>
          <w:sz w:val="32"/>
          <w:szCs w:val="32"/>
        </w:rPr>
        <w:t>需</w:t>
      </w:r>
      <w:r>
        <w:rPr>
          <w:rFonts w:eastAsia="仿宋_GB2312"/>
          <w:sz w:val="32"/>
          <w:szCs w:val="32"/>
        </w:rPr>
        <w:t>提供同类产品或前代产品的信息，并说明选择其作为研发参考的原因。</w:t>
      </w:r>
    </w:p>
    <w:p w14:paraId="74E338C1">
      <w:pPr>
        <w:snapToGrid w:val="0"/>
        <w:spacing w:line="520" w:lineRule="exact"/>
        <w:ind w:firstLine="640" w:firstLineChars="200"/>
        <w:rPr>
          <w:rFonts w:eastAsia="仿宋_GB2312"/>
          <w:kern w:val="0"/>
          <w:sz w:val="32"/>
          <w:szCs w:val="32"/>
        </w:rPr>
      </w:pPr>
      <w:r>
        <w:rPr>
          <w:rFonts w:hint="eastAsia" w:eastAsia="仿宋_GB2312"/>
          <w:bCs/>
          <w:sz w:val="32"/>
          <w:szCs w:val="32"/>
        </w:rPr>
        <w:t>2.7</w:t>
      </w:r>
      <w:r>
        <w:rPr>
          <w:rFonts w:eastAsia="仿宋_GB2312"/>
          <w:bCs/>
          <w:sz w:val="32"/>
          <w:szCs w:val="32"/>
        </w:rPr>
        <w:t>与同类和/或前代产品的参考和比较</w:t>
      </w:r>
    </w:p>
    <w:p w14:paraId="5CF16464">
      <w:pPr>
        <w:snapToGrid w:val="0"/>
        <w:spacing w:line="520" w:lineRule="exact"/>
        <w:ind w:firstLine="640" w:firstLineChars="200"/>
        <w:rPr>
          <w:rFonts w:hint="eastAsia" w:eastAsia="仿宋_GB2312"/>
          <w:sz w:val="32"/>
          <w:szCs w:val="32"/>
        </w:rPr>
      </w:pPr>
      <w:r>
        <w:rPr>
          <w:rFonts w:hint="eastAsia" w:eastAsia="仿宋_GB2312"/>
          <w:sz w:val="32"/>
          <w:szCs w:val="32"/>
        </w:rPr>
        <w:t>申请人</w:t>
      </w:r>
      <w:r>
        <w:rPr>
          <w:rFonts w:eastAsia="仿宋_GB2312"/>
          <w:color w:val="000000"/>
          <w:sz w:val="32"/>
          <w:szCs w:val="32"/>
        </w:rPr>
        <w:t>需要</w:t>
      </w:r>
      <w:r>
        <w:rPr>
          <w:rFonts w:hint="eastAsia" w:eastAsia="仿宋_GB2312"/>
          <w:sz w:val="32"/>
          <w:szCs w:val="32"/>
        </w:rPr>
        <w:t>列表比较说明申报产品与同类产品和/或前代产品在工作原理、结构组成、制造材料、性能指标以及适用范围等方面的异同。</w:t>
      </w:r>
    </w:p>
    <w:p w14:paraId="0DF858C5">
      <w:pPr>
        <w:snapToGrid w:val="0"/>
        <w:spacing w:line="520" w:lineRule="exact"/>
        <w:ind w:firstLine="640" w:firstLineChars="200"/>
        <w:rPr>
          <w:rFonts w:eastAsia="仿宋_GB2312" w:cs="仿宋_GB2312"/>
          <w:bCs/>
          <w:sz w:val="32"/>
          <w:szCs w:val="32"/>
        </w:rPr>
      </w:pPr>
      <w:r>
        <w:rPr>
          <w:rFonts w:hint="eastAsia" w:eastAsia="仿宋_GB2312"/>
          <w:sz w:val="32"/>
          <w:szCs w:val="32"/>
        </w:rPr>
        <w:t>3.</w:t>
      </w:r>
      <w:r>
        <w:rPr>
          <w:rFonts w:hint="eastAsia" w:eastAsia="仿宋_GB2312" w:cs="仿宋_GB2312"/>
          <w:bCs/>
          <w:sz w:val="32"/>
          <w:szCs w:val="32"/>
        </w:rPr>
        <w:t>适用范围和禁忌证</w:t>
      </w:r>
    </w:p>
    <w:p w14:paraId="0B617BAA">
      <w:pPr>
        <w:snapToGrid w:val="0"/>
        <w:spacing w:line="520" w:lineRule="exact"/>
        <w:ind w:firstLine="640" w:firstLineChars="200"/>
        <w:rPr>
          <w:rFonts w:hint="eastAsia" w:eastAsia="仿宋_GB2312"/>
          <w:sz w:val="32"/>
          <w:szCs w:val="32"/>
        </w:rPr>
      </w:pPr>
      <w:r>
        <w:rPr>
          <w:rFonts w:hint="eastAsia" w:eastAsia="仿宋_GB2312"/>
          <w:sz w:val="32"/>
          <w:szCs w:val="32"/>
        </w:rPr>
        <w:t>3.1适用范围</w:t>
      </w:r>
    </w:p>
    <w:p w14:paraId="076988D6">
      <w:pPr>
        <w:snapToGrid w:val="0"/>
        <w:spacing w:line="520" w:lineRule="exact"/>
        <w:ind w:firstLine="640" w:firstLineChars="200"/>
        <w:rPr>
          <w:rFonts w:hint="default"/>
          <w:lang w:val="en-US"/>
        </w:rPr>
      </w:pPr>
      <w:r>
        <w:rPr>
          <w:rFonts w:hint="eastAsia" w:eastAsia="仿宋_GB2312"/>
          <w:sz w:val="32"/>
          <w:szCs w:val="32"/>
          <w:lang w:eastAsia="zh-CN"/>
        </w:rPr>
        <w:t>按照预期用途，灭菌器通常可分为</w:t>
      </w:r>
      <w:r>
        <w:rPr>
          <w:rFonts w:hint="eastAsia" w:eastAsia="仿宋_GB2312"/>
          <w:sz w:val="32"/>
          <w:szCs w:val="32"/>
          <w:lang w:val="en-US" w:eastAsia="zh-CN"/>
        </w:rPr>
        <w:t>A类和B类灭菌器，A类灭菌器为用户可编程灭菌器，主要用于在医疗器械工业生产灭菌；B类灭菌器为具有一种或多种预置灭菌周期的灭菌器，主要用于临床医疗器械灭菌。</w:t>
      </w:r>
      <w:r>
        <w:rPr>
          <w:rFonts w:hint="eastAsia" w:eastAsia="仿宋_GB2312"/>
          <w:sz w:val="32"/>
          <w:szCs w:val="32"/>
        </w:rPr>
        <w:t>预期用途可描述为：用于</w:t>
      </w:r>
      <w:r>
        <w:rPr>
          <w:rFonts w:hint="eastAsia" w:eastAsia="仿宋_GB2312"/>
          <w:sz w:val="32"/>
          <w:szCs w:val="32"/>
          <w:lang w:eastAsia="zh-CN"/>
        </w:rPr>
        <w:t>可耐受环氧乙烷的</w:t>
      </w:r>
      <w:r>
        <w:rPr>
          <w:rFonts w:hint="eastAsia" w:eastAsia="仿宋_GB2312"/>
          <w:sz w:val="32"/>
          <w:szCs w:val="32"/>
        </w:rPr>
        <w:t>医疗器械的灭菌。</w:t>
      </w:r>
    </w:p>
    <w:p w14:paraId="24626E79">
      <w:pPr>
        <w:snapToGrid w:val="0"/>
        <w:spacing w:line="520" w:lineRule="exact"/>
        <w:ind w:firstLine="640" w:firstLineChars="200"/>
        <w:rPr>
          <w:rFonts w:eastAsia="仿宋_GB2312"/>
          <w:bCs/>
          <w:sz w:val="32"/>
          <w:szCs w:val="32"/>
        </w:rPr>
      </w:pPr>
      <w:r>
        <w:rPr>
          <w:rFonts w:hint="eastAsia" w:eastAsia="仿宋_GB2312"/>
          <w:bCs/>
          <w:sz w:val="32"/>
          <w:szCs w:val="32"/>
        </w:rPr>
        <w:t>需</w:t>
      </w:r>
      <w:r>
        <w:rPr>
          <w:rFonts w:eastAsia="仿宋_GB2312"/>
          <w:bCs/>
          <w:sz w:val="32"/>
          <w:szCs w:val="32"/>
        </w:rPr>
        <w:t>明确目标用户以及操作或使用该产品应当具备的技能/知识/培训。</w:t>
      </w:r>
    </w:p>
    <w:p w14:paraId="58EC6C9F">
      <w:pPr>
        <w:snapToGrid w:val="0"/>
        <w:spacing w:line="520" w:lineRule="exact"/>
        <w:ind w:firstLine="640" w:firstLineChars="200"/>
        <w:rPr>
          <w:rFonts w:eastAsia="仿宋_GB2312"/>
          <w:sz w:val="32"/>
          <w:szCs w:val="32"/>
        </w:rPr>
      </w:pPr>
      <w:r>
        <w:rPr>
          <w:rFonts w:hint="eastAsia" w:eastAsia="仿宋_GB2312"/>
          <w:sz w:val="32"/>
          <w:szCs w:val="32"/>
        </w:rPr>
        <w:t>3.2</w:t>
      </w:r>
      <w:r>
        <w:rPr>
          <w:rFonts w:eastAsia="仿宋_GB2312"/>
          <w:sz w:val="32"/>
          <w:szCs w:val="32"/>
        </w:rPr>
        <w:t>预期使用环境</w:t>
      </w:r>
    </w:p>
    <w:p w14:paraId="1AC244B7">
      <w:pPr>
        <w:snapToGrid w:val="0"/>
        <w:spacing w:line="520" w:lineRule="exact"/>
        <w:ind w:firstLine="640" w:firstLineChars="200"/>
        <w:rPr>
          <w:rFonts w:eastAsia="仿宋_GB2312"/>
          <w:sz w:val="32"/>
          <w:szCs w:val="32"/>
        </w:rPr>
      </w:pPr>
      <w:r>
        <w:rPr>
          <w:rFonts w:eastAsia="仿宋_GB2312"/>
          <w:sz w:val="32"/>
          <w:szCs w:val="32"/>
        </w:rPr>
        <w:t>申请人需要详述产品</w:t>
      </w:r>
      <w:r>
        <w:rPr>
          <w:rFonts w:eastAsia="仿宋_GB2312"/>
          <w:bCs/>
          <w:sz w:val="32"/>
          <w:szCs w:val="32"/>
        </w:rPr>
        <w:t>预期使用的地点</w:t>
      </w:r>
      <w:r>
        <w:rPr>
          <w:rFonts w:hint="eastAsia" w:eastAsia="仿宋_GB2312"/>
          <w:bCs/>
          <w:sz w:val="32"/>
          <w:szCs w:val="32"/>
        </w:rPr>
        <w:t>和</w:t>
      </w:r>
      <w:r>
        <w:rPr>
          <w:rFonts w:eastAsia="仿宋_GB2312"/>
          <w:bCs/>
          <w:sz w:val="32"/>
          <w:szCs w:val="32"/>
        </w:rPr>
        <w:t>可能影响其安全性和有效性的环境条件</w:t>
      </w:r>
      <w:r>
        <w:rPr>
          <w:rFonts w:eastAsia="仿宋_GB2312"/>
          <w:sz w:val="32"/>
          <w:szCs w:val="32"/>
        </w:rPr>
        <w:t>。</w:t>
      </w:r>
    </w:p>
    <w:p w14:paraId="5CF329B7">
      <w:pPr>
        <w:spacing w:line="520" w:lineRule="exact"/>
        <w:ind w:right="-67" w:rightChars="-32" w:firstLine="640" w:firstLineChars="200"/>
        <w:rPr>
          <w:rFonts w:eastAsia="仿宋_GB2312"/>
          <w:color w:val="000000"/>
          <w:sz w:val="32"/>
          <w:szCs w:val="32"/>
        </w:rPr>
      </w:pPr>
      <w:r>
        <w:rPr>
          <w:rFonts w:hint="eastAsia" w:eastAsia="仿宋_GB2312"/>
          <w:color w:val="000000"/>
          <w:sz w:val="32"/>
          <w:szCs w:val="32"/>
        </w:rPr>
        <w:t>明确设备使用场所为</w:t>
      </w:r>
      <w:r>
        <w:rPr>
          <w:rFonts w:eastAsia="仿宋_GB2312"/>
          <w:color w:val="000000"/>
          <w:sz w:val="32"/>
          <w:szCs w:val="32"/>
        </w:rPr>
        <w:t>医疗器械使用单位</w:t>
      </w:r>
      <w:r>
        <w:rPr>
          <w:rFonts w:hint="eastAsia" w:eastAsia="仿宋_GB2312"/>
          <w:color w:val="000000"/>
          <w:sz w:val="32"/>
          <w:szCs w:val="32"/>
        </w:rPr>
        <w:t>，如</w:t>
      </w:r>
      <w:r>
        <w:rPr>
          <w:rFonts w:eastAsia="仿宋_GB2312"/>
          <w:color w:val="000000"/>
          <w:sz w:val="32"/>
          <w:szCs w:val="32"/>
        </w:rPr>
        <w:t>医疗机构、</w:t>
      </w:r>
      <w:r>
        <w:rPr>
          <w:rFonts w:hint="eastAsia" w:eastAsia="仿宋_GB2312"/>
          <w:color w:val="000000"/>
          <w:sz w:val="32"/>
          <w:szCs w:val="32"/>
          <w:lang w:eastAsia="zh-CN"/>
        </w:rPr>
        <w:t>医疗器械工业生产企业</w:t>
      </w:r>
      <w:r>
        <w:rPr>
          <w:rFonts w:eastAsia="仿宋_GB2312"/>
          <w:color w:val="000000"/>
          <w:sz w:val="32"/>
          <w:szCs w:val="32"/>
        </w:rPr>
        <w:t>等。</w:t>
      </w:r>
    </w:p>
    <w:p w14:paraId="6F2641C1">
      <w:pPr>
        <w:snapToGrid w:val="0"/>
        <w:spacing w:line="520" w:lineRule="exact"/>
        <w:ind w:firstLine="640" w:firstLineChars="200"/>
        <w:rPr>
          <w:rFonts w:hint="eastAsia" w:eastAsia="仿宋_GB2312"/>
          <w:color w:val="000000"/>
          <w:sz w:val="32"/>
          <w:szCs w:val="32"/>
        </w:rPr>
      </w:pPr>
      <w:r>
        <w:rPr>
          <w:rFonts w:hint="eastAsia" w:eastAsia="仿宋_GB2312"/>
          <w:color w:val="000000"/>
          <w:sz w:val="32"/>
          <w:szCs w:val="32"/>
        </w:rPr>
        <w:t>使用环境要求至少包括：环境温度、</w:t>
      </w:r>
      <w:r>
        <w:rPr>
          <w:rFonts w:hint="eastAsia" w:eastAsia="仿宋_GB2312"/>
          <w:color w:val="000000"/>
          <w:sz w:val="32"/>
          <w:szCs w:val="32"/>
          <w:lang w:eastAsia="zh-CN"/>
        </w:rPr>
        <w:t>相对</w:t>
      </w:r>
      <w:r>
        <w:rPr>
          <w:rFonts w:hint="eastAsia" w:eastAsia="仿宋_GB2312"/>
          <w:color w:val="000000"/>
          <w:sz w:val="32"/>
          <w:szCs w:val="32"/>
        </w:rPr>
        <w:t>湿度、大气压等。</w:t>
      </w:r>
    </w:p>
    <w:p w14:paraId="66465652">
      <w:pPr>
        <w:snapToGrid w:val="0"/>
        <w:spacing w:line="520" w:lineRule="exact"/>
        <w:ind w:firstLine="640" w:firstLineChars="200"/>
        <w:rPr>
          <w:rFonts w:eastAsia="仿宋_GB2312"/>
          <w:sz w:val="32"/>
          <w:szCs w:val="32"/>
        </w:rPr>
      </w:pPr>
      <w:r>
        <w:rPr>
          <w:rFonts w:hint="eastAsia" w:eastAsia="仿宋_GB2312"/>
          <w:sz w:val="32"/>
          <w:szCs w:val="32"/>
        </w:rPr>
        <w:t>3.3禁忌证</w:t>
      </w:r>
    </w:p>
    <w:p w14:paraId="6B579567">
      <w:pPr>
        <w:snapToGrid w:val="0"/>
        <w:spacing w:line="520" w:lineRule="exact"/>
        <w:ind w:firstLine="640" w:firstLineChars="200"/>
        <w:rPr>
          <w:rFonts w:hint="eastAsia" w:eastAsia="仿宋_GB2312"/>
          <w:spacing w:val="-12"/>
          <w:sz w:val="32"/>
          <w:szCs w:val="32"/>
          <w:lang w:eastAsia="zh-CN"/>
        </w:rPr>
      </w:pPr>
      <w:r>
        <w:rPr>
          <w:rFonts w:hint="eastAsia" w:eastAsia="仿宋_GB2312"/>
          <w:sz w:val="32"/>
          <w:szCs w:val="32"/>
        </w:rPr>
        <w:t>产</w:t>
      </w:r>
      <w:r>
        <w:rPr>
          <w:rFonts w:hint="eastAsia" w:eastAsia="仿宋_GB2312"/>
          <w:spacing w:val="-12"/>
          <w:sz w:val="32"/>
          <w:szCs w:val="32"/>
        </w:rPr>
        <w:t>品无绝对禁忌证，但不能对不适合</w:t>
      </w:r>
      <w:r>
        <w:rPr>
          <w:rFonts w:hint="eastAsia" w:eastAsia="仿宋_GB2312"/>
          <w:spacing w:val="-12"/>
          <w:sz w:val="32"/>
          <w:szCs w:val="32"/>
          <w:lang w:eastAsia="zh-CN"/>
        </w:rPr>
        <w:t>环氧乙烷</w:t>
      </w:r>
      <w:r>
        <w:rPr>
          <w:rFonts w:hint="eastAsia" w:eastAsia="仿宋_GB2312"/>
          <w:spacing w:val="-12"/>
          <w:sz w:val="32"/>
          <w:szCs w:val="32"/>
        </w:rPr>
        <w:t>灭菌的物品进</w:t>
      </w:r>
      <w:r>
        <w:rPr>
          <w:rFonts w:hint="eastAsia" w:ascii="Times New Roman" w:hAnsi="Times New Roman" w:eastAsia="仿宋_GB2312" w:cs="Times New Roman"/>
          <w:spacing w:val="-12"/>
          <w:sz w:val="32"/>
          <w:szCs w:val="32"/>
        </w:rPr>
        <w:t>行灭菌。</w:t>
      </w:r>
      <w:r>
        <w:rPr>
          <w:rFonts w:hint="eastAsia" w:ascii="Times New Roman" w:hAnsi="Times New Roman" w:eastAsia="仿宋_GB2312" w:cs="Times New Roman"/>
          <w:spacing w:val="-12"/>
          <w:sz w:val="32"/>
          <w:szCs w:val="32"/>
          <w:lang w:eastAsia="zh-CN"/>
        </w:rPr>
        <w:t>如液体、粉末等。</w:t>
      </w:r>
    </w:p>
    <w:p w14:paraId="47CEB0A5">
      <w:pPr>
        <w:snapToGrid w:val="0"/>
        <w:spacing w:line="520" w:lineRule="exact"/>
        <w:ind w:firstLine="640" w:firstLineChars="200"/>
        <w:rPr>
          <w:rFonts w:eastAsia="仿宋_GB2312"/>
          <w:bCs/>
          <w:sz w:val="32"/>
          <w:szCs w:val="32"/>
          <w:lang w:val="en-CA"/>
        </w:rPr>
      </w:pPr>
      <w:r>
        <w:rPr>
          <w:rFonts w:hint="eastAsia" w:eastAsia="仿宋_GB2312"/>
          <w:sz w:val="32"/>
          <w:szCs w:val="32"/>
        </w:rPr>
        <w:t>4.</w:t>
      </w:r>
      <w:r>
        <w:rPr>
          <w:rFonts w:hint="eastAsia" w:eastAsia="仿宋_GB2312" w:cs="仿宋_GB2312"/>
          <w:bCs/>
          <w:sz w:val="32"/>
          <w:szCs w:val="32"/>
        </w:rPr>
        <w:t>申报产品上市历史</w:t>
      </w:r>
    </w:p>
    <w:p w14:paraId="04E6982F">
      <w:pPr>
        <w:spacing w:line="520" w:lineRule="exact"/>
        <w:ind w:firstLine="640" w:firstLineChars="200"/>
        <w:rPr>
          <w:rFonts w:eastAsia="仿宋_GB2312"/>
          <w:sz w:val="32"/>
          <w:szCs w:val="32"/>
        </w:rPr>
      </w:pPr>
      <w:r>
        <w:rPr>
          <w:rFonts w:eastAsia="仿宋_GB2312"/>
          <w:bCs/>
          <w:sz w:val="32"/>
          <w:szCs w:val="32"/>
          <w:lang w:val="en-CA"/>
        </w:rPr>
        <w:t>如适用，</w:t>
      </w:r>
      <w:r>
        <w:rPr>
          <w:rFonts w:eastAsia="仿宋_GB2312"/>
          <w:sz w:val="32"/>
          <w:szCs w:val="32"/>
        </w:rPr>
        <w:t>申请人</w:t>
      </w:r>
      <w:r>
        <w:rPr>
          <w:rFonts w:hint="eastAsia" w:eastAsia="仿宋_GB2312"/>
          <w:bCs/>
          <w:sz w:val="32"/>
          <w:szCs w:val="32"/>
          <w:lang w:val="en-CA"/>
        </w:rPr>
        <w:t>需</w:t>
      </w:r>
      <w:r>
        <w:rPr>
          <w:rFonts w:eastAsia="仿宋_GB2312"/>
          <w:sz w:val="32"/>
          <w:szCs w:val="32"/>
        </w:rPr>
        <w:t>提供以下相关资料：</w:t>
      </w:r>
    </w:p>
    <w:p w14:paraId="240462D8">
      <w:pPr>
        <w:spacing w:line="520" w:lineRule="exact"/>
        <w:ind w:right="-67" w:rightChars="-32" w:firstLine="640" w:firstLineChars="200"/>
        <w:rPr>
          <w:rFonts w:eastAsia="仿宋_GB2312"/>
          <w:sz w:val="32"/>
          <w:szCs w:val="32"/>
        </w:rPr>
      </w:pPr>
      <w:r>
        <w:rPr>
          <w:rFonts w:hint="eastAsia" w:eastAsia="仿宋_GB2312"/>
          <w:sz w:val="32"/>
          <w:szCs w:val="32"/>
        </w:rPr>
        <w:t>4</w:t>
      </w:r>
      <w:r>
        <w:rPr>
          <w:rFonts w:eastAsia="仿宋_GB2312"/>
          <w:sz w:val="32"/>
          <w:szCs w:val="32"/>
        </w:rPr>
        <w:t>.</w:t>
      </w:r>
      <w:r>
        <w:rPr>
          <w:rFonts w:hint="eastAsia" w:eastAsia="仿宋_GB2312"/>
          <w:sz w:val="32"/>
          <w:szCs w:val="32"/>
        </w:rPr>
        <w:t>1</w:t>
      </w:r>
      <w:r>
        <w:rPr>
          <w:rFonts w:eastAsia="仿宋_GB2312"/>
          <w:sz w:val="32"/>
          <w:szCs w:val="32"/>
        </w:rPr>
        <w:t>上市情况。申报产品在各国家或地区的上市批准时间、销售情况。</w:t>
      </w:r>
    </w:p>
    <w:p w14:paraId="7AECB73E">
      <w:pPr>
        <w:spacing w:line="520" w:lineRule="exact"/>
        <w:ind w:right="-67" w:rightChars="-32" w:firstLine="640" w:firstLineChars="200"/>
        <w:rPr>
          <w:rFonts w:eastAsia="仿宋_GB2312"/>
          <w:sz w:val="32"/>
          <w:szCs w:val="32"/>
        </w:rPr>
      </w:pPr>
      <w:r>
        <w:rPr>
          <w:rFonts w:hint="eastAsia" w:eastAsia="仿宋_GB2312"/>
          <w:sz w:val="32"/>
          <w:szCs w:val="32"/>
        </w:rPr>
        <w:t>4</w:t>
      </w:r>
      <w:r>
        <w:rPr>
          <w:rFonts w:eastAsia="仿宋_GB2312"/>
          <w:sz w:val="32"/>
          <w:szCs w:val="32"/>
        </w:rPr>
        <w:t>.2不良事件和召回。</w:t>
      </w:r>
    </w:p>
    <w:p w14:paraId="31E2360C">
      <w:pPr>
        <w:spacing w:line="520" w:lineRule="exact"/>
        <w:ind w:firstLine="640" w:firstLineChars="200"/>
        <w:rPr>
          <w:rFonts w:eastAsia="仿宋_GB2312"/>
          <w:sz w:val="32"/>
          <w:szCs w:val="32"/>
        </w:rPr>
      </w:pPr>
      <w:r>
        <w:rPr>
          <w:rFonts w:hint="eastAsia" w:eastAsia="仿宋_GB2312"/>
          <w:sz w:val="32"/>
          <w:szCs w:val="32"/>
        </w:rPr>
        <w:t>4</w:t>
      </w:r>
      <w:r>
        <w:rPr>
          <w:rFonts w:eastAsia="仿宋_GB2312"/>
          <w:sz w:val="32"/>
          <w:szCs w:val="32"/>
        </w:rPr>
        <w:t>.3销售、不良事件及召回率。</w:t>
      </w:r>
    </w:p>
    <w:p w14:paraId="30802B65">
      <w:pPr>
        <w:spacing w:line="520" w:lineRule="exact"/>
        <w:ind w:firstLine="640" w:firstLineChars="200"/>
        <w:rPr>
          <w:rFonts w:eastAsia="仿宋_GB2312"/>
          <w:bCs/>
          <w:sz w:val="32"/>
          <w:szCs w:val="32"/>
        </w:rPr>
      </w:pPr>
      <w:r>
        <w:rPr>
          <w:rFonts w:hint="eastAsia" w:eastAsia="仿宋_GB2312"/>
          <w:bCs/>
          <w:sz w:val="32"/>
          <w:szCs w:val="32"/>
        </w:rPr>
        <w:t>5.其他需说明的内容</w:t>
      </w:r>
    </w:p>
    <w:p w14:paraId="6CA08375">
      <w:pPr>
        <w:spacing w:line="520" w:lineRule="exact"/>
        <w:ind w:firstLine="640" w:firstLineChars="200"/>
        <w:rPr>
          <w:rFonts w:eastAsia="仿宋_GB2312"/>
          <w:bCs/>
          <w:sz w:val="32"/>
          <w:szCs w:val="32"/>
        </w:rPr>
      </w:pPr>
      <w:r>
        <w:rPr>
          <w:rFonts w:eastAsia="仿宋_GB2312"/>
          <w:bCs/>
          <w:sz w:val="32"/>
          <w:szCs w:val="32"/>
        </w:rPr>
        <w:t>如适用，</w:t>
      </w:r>
      <w:r>
        <w:rPr>
          <w:rFonts w:hint="eastAsia" w:eastAsia="仿宋_GB2312"/>
          <w:bCs/>
          <w:sz w:val="32"/>
          <w:szCs w:val="32"/>
        </w:rPr>
        <w:t>申请人需</w:t>
      </w:r>
      <w:r>
        <w:rPr>
          <w:rFonts w:eastAsia="仿宋_GB2312"/>
          <w:bCs/>
          <w:sz w:val="32"/>
          <w:szCs w:val="32"/>
        </w:rPr>
        <w:t>明确与申报产品联合使用实现预期用途的其他产品的详细信息。</w:t>
      </w:r>
    </w:p>
    <w:p w14:paraId="7258D492">
      <w:pPr>
        <w:spacing w:line="520" w:lineRule="exact"/>
        <w:ind w:firstLine="640" w:firstLineChars="200"/>
        <w:rPr>
          <w:rFonts w:eastAsia="仿宋_GB2312"/>
          <w:bCs/>
          <w:sz w:val="32"/>
          <w:szCs w:val="32"/>
          <w:lang w:val="en-CA"/>
        </w:rPr>
      </w:pPr>
      <w:r>
        <w:rPr>
          <w:rFonts w:eastAsia="仿宋_GB2312"/>
          <w:bCs/>
          <w:sz w:val="32"/>
          <w:szCs w:val="32"/>
          <w:lang w:val="en-CA"/>
        </w:rPr>
        <w:t>对于已获得批准的部件或配合使用的附件，</w:t>
      </w:r>
      <w:r>
        <w:rPr>
          <w:rFonts w:hint="eastAsia" w:eastAsia="仿宋_GB2312"/>
          <w:bCs/>
          <w:color w:val="000000"/>
          <w:sz w:val="32"/>
          <w:szCs w:val="32"/>
        </w:rPr>
        <w:t>申请人</w:t>
      </w:r>
      <w:r>
        <w:rPr>
          <w:rFonts w:hint="eastAsia" w:eastAsia="仿宋_GB2312"/>
          <w:bCs/>
          <w:sz w:val="32"/>
          <w:szCs w:val="32"/>
          <w:lang w:val="en-CA"/>
        </w:rPr>
        <w:t>需</w:t>
      </w:r>
      <w:r>
        <w:rPr>
          <w:rFonts w:eastAsia="仿宋_GB2312"/>
          <w:bCs/>
          <w:sz w:val="32"/>
          <w:szCs w:val="32"/>
          <w:lang w:val="en-CA"/>
        </w:rPr>
        <w:t>提供注册证编号和国家药监局官方网站公布的注册证信息。</w:t>
      </w:r>
    </w:p>
    <w:p w14:paraId="7D5CBEA1">
      <w:pPr>
        <w:snapToGrid w:val="0"/>
        <w:spacing w:line="520" w:lineRule="exact"/>
        <w:ind w:firstLine="640" w:firstLineChars="200"/>
        <w:rPr>
          <w:rFonts w:eastAsia="仿宋_GB2312"/>
          <w:bCs/>
          <w:sz w:val="32"/>
          <w:szCs w:val="32"/>
          <w:lang w:val="en-CA"/>
        </w:rPr>
      </w:pPr>
      <w:r>
        <w:rPr>
          <w:rFonts w:hint="eastAsia" w:eastAsia="楷体_GB2312"/>
          <w:bCs/>
          <w:sz w:val="32"/>
          <w:szCs w:val="32"/>
        </w:rPr>
        <w:t>（三）非临床资料</w:t>
      </w:r>
    </w:p>
    <w:p w14:paraId="3D7FD313">
      <w:pPr>
        <w:snapToGrid w:val="0"/>
        <w:spacing w:line="520" w:lineRule="exact"/>
        <w:ind w:firstLine="640" w:firstLineChars="200"/>
        <w:rPr>
          <w:rFonts w:eastAsia="仿宋_GB2312"/>
          <w:sz w:val="32"/>
          <w:szCs w:val="32"/>
        </w:rPr>
      </w:pPr>
      <w:r>
        <w:rPr>
          <w:rFonts w:hint="eastAsia" w:eastAsia="仿宋_GB2312" w:cs="仿宋_GB2312"/>
          <w:sz w:val="32"/>
          <w:szCs w:val="32"/>
        </w:rPr>
        <w:t>1.</w:t>
      </w:r>
      <w:r>
        <w:rPr>
          <w:rFonts w:hint="eastAsia" w:eastAsia="仿宋_GB2312"/>
          <w:sz w:val="32"/>
          <w:szCs w:val="32"/>
        </w:rPr>
        <w:t>产品风险管理资料</w:t>
      </w:r>
    </w:p>
    <w:p w14:paraId="4C42DEBC">
      <w:pPr>
        <w:spacing w:line="520" w:lineRule="exact"/>
        <w:ind w:firstLine="640" w:firstLineChars="200"/>
        <w:rPr>
          <w:rFonts w:eastAsia="仿宋_GB2312"/>
          <w:sz w:val="32"/>
          <w:szCs w:val="32"/>
        </w:rPr>
      </w:pPr>
      <w:r>
        <w:rPr>
          <w:rFonts w:hint="eastAsia" w:eastAsia="仿宋_GB2312"/>
          <w:sz w:val="32"/>
          <w:szCs w:val="32"/>
        </w:rPr>
        <w:t>申请人宜参照GB/T 42062的规定，并结合产品特点对产品风险进行全生命周期的管理</w:t>
      </w:r>
      <w:r>
        <w:rPr>
          <w:rFonts w:hint="eastAsia" w:eastAsia="仿宋_GB2312"/>
          <w:kern w:val="0"/>
          <w:sz w:val="32"/>
          <w:szCs w:val="32"/>
        </w:rPr>
        <w:t>。</w:t>
      </w:r>
      <w:r>
        <w:rPr>
          <w:rFonts w:eastAsia="仿宋_GB2312"/>
          <w:spacing w:val="-2"/>
          <w:sz w:val="32"/>
          <w:szCs w:val="32"/>
        </w:rPr>
        <w:t>风险管理活动要贯穿产品设计、</w:t>
      </w:r>
      <w:r>
        <w:rPr>
          <w:rFonts w:hint="eastAsia" w:eastAsia="仿宋_GB2312"/>
          <w:spacing w:val="-2"/>
          <w:sz w:val="32"/>
          <w:szCs w:val="32"/>
        </w:rPr>
        <w:t>生产</w:t>
      </w:r>
      <w:r>
        <w:rPr>
          <w:rFonts w:eastAsia="仿宋_GB2312"/>
          <w:spacing w:val="-2"/>
          <w:sz w:val="32"/>
          <w:szCs w:val="32"/>
        </w:rPr>
        <w:t>、上市后使用及产品处理的整个生命周期。</w:t>
      </w:r>
      <w:r>
        <w:rPr>
          <w:rFonts w:eastAsia="仿宋_GB2312"/>
          <w:kern w:val="0"/>
          <w:sz w:val="32"/>
          <w:szCs w:val="32"/>
        </w:rPr>
        <w:t>风险管理报告</w:t>
      </w:r>
      <w:r>
        <w:rPr>
          <w:rFonts w:hint="eastAsia" w:eastAsia="仿宋_GB2312"/>
          <w:kern w:val="0"/>
          <w:sz w:val="32"/>
          <w:szCs w:val="32"/>
        </w:rPr>
        <w:t>可</w:t>
      </w:r>
      <w:r>
        <w:rPr>
          <w:rFonts w:eastAsia="仿宋_GB2312"/>
          <w:sz w:val="32"/>
          <w:szCs w:val="32"/>
        </w:rPr>
        <w:t>包含风险分析、风险评价、风险控制</w:t>
      </w:r>
      <w:r>
        <w:rPr>
          <w:rFonts w:hint="eastAsia" w:eastAsia="仿宋_GB2312"/>
          <w:sz w:val="32"/>
          <w:szCs w:val="32"/>
        </w:rPr>
        <w:t>、风险监测，需</w:t>
      </w:r>
      <w:r>
        <w:rPr>
          <w:rFonts w:eastAsia="仿宋_GB2312"/>
          <w:kern w:val="0"/>
          <w:sz w:val="32"/>
          <w:szCs w:val="32"/>
        </w:rPr>
        <w:t>符合有关要求。</w:t>
      </w:r>
    </w:p>
    <w:p w14:paraId="09E413E1">
      <w:pPr>
        <w:snapToGrid w:val="0"/>
        <w:spacing w:line="520" w:lineRule="exact"/>
        <w:ind w:firstLine="640" w:firstLineChars="200"/>
        <w:rPr>
          <w:rFonts w:eastAsia="仿宋_GB2312"/>
          <w:sz w:val="32"/>
          <w:szCs w:val="32"/>
        </w:rPr>
      </w:pPr>
      <w:r>
        <w:rPr>
          <w:rFonts w:hint="eastAsia" w:eastAsia="仿宋_GB2312"/>
          <w:kern w:val="0"/>
          <w:sz w:val="32"/>
          <w:szCs w:val="32"/>
        </w:rPr>
        <w:t>附</w:t>
      </w:r>
      <w:r>
        <w:rPr>
          <w:rFonts w:hint="eastAsia" w:eastAsia="仿宋_GB2312"/>
          <w:kern w:val="0"/>
          <w:sz w:val="32"/>
          <w:szCs w:val="32"/>
          <w:lang w:eastAsia="zh-CN"/>
        </w:rPr>
        <w:t>录</w:t>
      </w:r>
      <w:r>
        <w:rPr>
          <w:rFonts w:hint="eastAsia" w:eastAsia="仿宋_GB2312"/>
          <w:kern w:val="0"/>
          <w:sz w:val="32"/>
          <w:szCs w:val="32"/>
          <w:lang w:val="en-US" w:eastAsia="zh-CN"/>
        </w:rPr>
        <w:t>1</w:t>
      </w:r>
      <w:r>
        <w:rPr>
          <w:rFonts w:eastAsia="仿宋_GB2312"/>
          <w:kern w:val="0"/>
          <w:sz w:val="32"/>
          <w:szCs w:val="32"/>
        </w:rPr>
        <w:t>给出了产品常见的风险要素及示例。由于不同</w:t>
      </w:r>
      <w:r>
        <w:rPr>
          <w:rFonts w:eastAsia="仿宋_GB2312"/>
          <w:color w:val="000000"/>
          <w:sz w:val="32"/>
          <w:szCs w:val="32"/>
        </w:rPr>
        <w:t>产品</w:t>
      </w:r>
      <w:r>
        <w:rPr>
          <w:rFonts w:eastAsia="仿宋_GB2312"/>
          <w:kern w:val="0"/>
          <w:sz w:val="32"/>
          <w:szCs w:val="32"/>
        </w:rPr>
        <w:t>的工作原理、结构组成、性能指标存在差异，所以这些风险要素并不是全部，申请人还需根据产品特点确定其他风险并进行有效控制。</w:t>
      </w:r>
    </w:p>
    <w:p w14:paraId="6FD09F33">
      <w:pPr>
        <w:snapToGrid w:val="0"/>
        <w:spacing w:line="520" w:lineRule="exact"/>
        <w:ind w:firstLine="640" w:firstLineChars="200"/>
        <w:rPr>
          <w:rFonts w:eastAsia="仿宋_GB2312"/>
          <w:bCs/>
          <w:sz w:val="32"/>
          <w:szCs w:val="32"/>
        </w:rPr>
      </w:pPr>
      <w:r>
        <w:rPr>
          <w:rFonts w:hint="eastAsia" w:eastAsia="仿宋_GB2312" w:cs="仿宋_GB2312"/>
          <w:bCs/>
          <w:sz w:val="32"/>
          <w:szCs w:val="32"/>
        </w:rPr>
        <w:t>2.</w:t>
      </w:r>
      <w:r>
        <w:rPr>
          <w:rFonts w:eastAsia="仿宋_GB2312"/>
          <w:bCs/>
          <w:sz w:val="32"/>
          <w:szCs w:val="32"/>
        </w:rPr>
        <w:t>医疗器械安全和性能基本原则清单</w:t>
      </w:r>
    </w:p>
    <w:p w14:paraId="1CD2077F">
      <w:pPr>
        <w:snapToGrid w:val="0"/>
        <w:spacing w:line="520" w:lineRule="exact"/>
        <w:ind w:firstLine="640" w:firstLineChars="200"/>
        <w:rPr>
          <w:rFonts w:eastAsia="仿宋_GB2312"/>
          <w:bCs/>
          <w:sz w:val="32"/>
          <w:szCs w:val="32"/>
        </w:rPr>
      </w:pPr>
      <w:r>
        <w:rPr>
          <w:rFonts w:eastAsia="仿宋_GB2312"/>
          <w:sz w:val="32"/>
          <w:szCs w:val="32"/>
        </w:rPr>
        <w:t>说明产品符合《医疗器械安全和性能基本原则清单》各项适用要求所采用的方法，以及证明其符合性的文件。对于不适用的各项要求，</w:t>
      </w:r>
      <w:r>
        <w:rPr>
          <w:rFonts w:hint="eastAsia" w:eastAsia="仿宋_GB2312"/>
          <w:sz w:val="32"/>
          <w:szCs w:val="32"/>
        </w:rPr>
        <w:t>需</w:t>
      </w:r>
      <w:r>
        <w:rPr>
          <w:rFonts w:eastAsia="仿宋_GB2312"/>
          <w:sz w:val="32"/>
          <w:szCs w:val="32"/>
        </w:rPr>
        <w:t>说明理由。</w:t>
      </w:r>
    </w:p>
    <w:p w14:paraId="4916E8FF">
      <w:pPr>
        <w:snapToGrid w:val="0"/>
        <w:spacing w:line="520" w:lineRule="exact"/>
        <w:ind w:firstLine="640" w:firstLineChars="200"/>
        <w:rPr>
          <w:rFonts w:eastAsia="仿宋_GB2312"/>
          <w:sz w:val="32"/>
          <w:szCs w:val="32"/>
        </w:rPr>
      </w:pPr>
      <w:r>
        <w:rPr>
          <w:rFonts w:hint="eastAsia" w:eastAsia="仿宋_GB2312"/>
          <w:sz w:val="32"/>
          <w:szCs w:val="32"/>
        </w:rPr>
        <w:t>3.</w:t>
      </w:r>
      <w:r>
        <w:rPr>
          <w:rFonts w:eastAsia="仿宋_GB2312"/>
          <w:sz w:val="32"/>
          <w:szCs w:val="32"/>
        </w:rPr>
        <w:t>产品技术要求及检验报告</w:t>
      </w:r>
    </w:p>
    <w:p w14:paraId="2658548C">
      <w:pPr>
        <w:snapToGrid w:val="0"/>
        <w:spacing w:line="520" w:lineRule="exact"/>
        <w:ind w:firstLine="640" w:firstLineChars="200"/>
        <w:rPr>
          <w:rFonts w:eastAsia="仿宋_GB2312"/>
          <w:sz w:val="32"/>
          <w:szCs w:val="32"/>
        </w:rPr>
      </w:pPr>
      <w:r>
        <w:rPr>
          <w:rFonts w:hint="eastAsia" w:eastAsia="仿宋_GB2312"/>
          <w:sz w:val="32"/>
          <w:szCs w:val="32"/>
        </w:rPr>
        <w:t>3.1产品技术要求</w:t>
      </w:r>
    </w:p>
    <w:p w14:paraId="3717A486">
      <w:pPr>
        <w:snapToGrid w:val="0"/>
        <w:spacing w:line="520" w:lineRule="exact"/>
        <w:ind w:firstLine="640" w:firstLineChars="200"/>
        <w:rPr>
          <w:rFonts w:eastAsia="仿宋_GB2312"/>
          <w:sz w:val="32"/>
          <w:szCs w:val="32"/>
        </w:rPr>
      </w:pPr>
      <w:r>
        <w:rPr>
          <w:rFonts w:eastAsia="仿宋_GB2312"/>
          <w:sz w:val="32"/>
          <w:szCs w:val="32"/>
        </w:rPr>
        <w:t>申请人</w:t>
      </w:r>
      <w:r>
        <w:rPr>
          <w:rFonts w:hint="eastAsia" w:eastAsia="仿宋_GB2312"/>
          <w:sz w:val="32"/>
          <w:szCs w:val="32"/>
        </w:rPr>
        <w:t>需</w:t>
      </w:r>
      <w:r>
        <w:rPr>
          <w:rFonts w:eastAsia="仿宋_GB2312"/>
          <w:sz w:val="32"/>
          <w:szCs w:val="32"/>
        </w:rPr>
        <w:t>按照《医疗器械产品技术要求编写指导原则》中的规定，结合产品的技术特征和临床使用情况来确定</w:t>
      </w:r>
      <w:r>
        <w:rPr>
          <w:rFonts w:hint="eastAsia" w:eastAsia="仿宋_GB2312"/>
          <w:sz w:val="32"/>
          <w:szCs w:val="32"/>
        </w:rPr>
        <w:t>产</w:t>
      </w:r>
      <w:r>
        <w:rPr>
          <w:rFonts w:eastAsia="仿宋_GB2312"/>
          <w:sz w:val="32"/>
          <w:szCs w:val="32"/>
        </w:rPr>
        <w:t>品</w:t>
      </w:r>
      <w:r>
        <w:rPr>
          <w:rFonts w:hint="eastAsia" w:eastAsia="仿宋_GB2312"/>
          <w:sz w:val="32"/>
          <w:szCs w:val="32"/>
        </w:rPr>
        <w:t>的</w:t>
      </w:r>
      <w:r>
        <w:rPr>
          <w:rFonts w:eastAsia="仿宋_GB2312"/>
          <w:sz w:val="32"/>
          <w:szCs w:val="32"/>
        </w:rPr>
        <w:t>功能性、安全性指标</w:t>
      </w:r>
      <w:r>
        <w:rPr>
          <w:rFonts w:hint="eastAsia" w:eastAsia="仿宋_GB2312"/>
          <w:sz w:val="32"/>
          <w:szCs w:val="32"/>
        </w:rPr>
        <w:t>，指标不得低于相关强制性标准、行业标准的要求。申请人如不采用的条款（包括国家标准、行业标准要求），需说明理由。</w:t>
      </w:r>
    </w:p>
    <w:p w14:paraId="16E1D569">
      <w:pPr>
        <w:spacing w:line="520" w:lineRule="exact"/>
        <w:ind w:firstLine="640" w:firstLineChars="200"/>
        <w:rPr>
          <w:rFonts w:eastAsia="仿宋_GB2312"/>
          <w:color w:val="000000"/>
          <w:sz w:val="32"/>
        </w:rPr>
      </w:pPr>
      <w:r>
        <w:rPr>
          <w:rFonts w:eastAsia="仿宋_GB2312"/>
          <w:color w:val="000000"/>
          <w:sz w:val="32"/>
        </w:rPr>
        <w:t>如有新版强制性国家标准、行业标准发布实施，产品性能指标等要求需执行最新版本的国家标准、行业标准。</w:t>
      </w:r>
    </w:p>
    <w:p w14:paraId="1F8A1909">
      <w:pPr>
        <w:snapToGrid w:val="0"/>
        <w:spacing w:line="520" w:lineRule="exact"/>
        <w:ind w:firstLine="640" w:firstLineChars="200"/>
        <w:rPr>
          <w:rFonts w:eastAsia="仿宋_GB2312"/>
          <w:sz w:val="32"/>
          <w:szCs w:val="32"/>
        </w:rPr>
      </w:pPr>
      <w:r>
        <w:rPr>
          <w:rFonts w:eastAsia="仿宋_GB2312"/>
          <w:color w:val="000000"/>
          <w:sz w:val="32"/>
          <w:szCs w:val="32"/>
        </w:rPr>
        <w:t>产品的工作条件</w:t>
      </w:r>
      <w:r>
        <w:rPr>
          <w:rFonts w:hint="eastAsia" w:eastAsia="仿宋_GB2312"/>
          <w:color w:val="000000"/>
          <w:sz w:val="32"/>
          <w:szCs w:val="32"/>
        </w:rPr>
        <w:t>无需</w:t>
      </w:r>
      <w:r>
        <w:rPr>
          <w:rFonts w:eastAsia="仿宋_GB2312"/>
          <w:color w:val="000000"/>
          <w:sz w:val="32"/>
          <w:szCs w:val="32"/>
        </w:rPr>
        <w:t>列入性能指标中，</w:t>
      </w:r>
      <w:r>
        <w:rPr>
          <w:rFonts w:hint="eastAsia" w:eastAsia="仿宋_GB2312"/>
          <w:color w:val="000000"/>
          <w:sz w:val="32"/>
          <w:szCs w:val="32"/>
        </w:rPr>
        <w:t>需</w:t>
      </w:r>
      <w:r>
        <w:rPr>
          <w:rFonts w:eastAsia="仿宋_GB2312"/>
          <w:color w:val="000000"/>
          <w:sz w:val="32"/>
          <w:szCs w:val="32"/>
        </w:rPr>
        <w:t>在试验方法中明确试验条件。</w:t>
      </w:r>
      <w:r>
        <w:rPr>
          <w:rFonts w:hint="eastAsia" w:eastAsia="仿宋_GB2312"/>
          <w:color w:val="000000"/>
          <w:sz w:val="32"/>
          <w:szCs w:val="32"/>
        </w:rPr>
        <w:t>包括但不限于</w:t>
      </w:r>
      <w:r>
        <w:rPr>
          <w:rFonts w:eastAsia="仿宋_GB2312"/>
          <w:spacing w:val="8"/>
          <w:sz w:val="32"/>
        </w:rPr>
        <w:t>温度、相对湿度、大气压力、电源电压、频率、功率、蒸汽、水质等方面的要求</w:t>
      </w:r>
      <w:r>
        <w:rPr>
          <w:rFonts w:hint="eastAsia" w:eastAsia="仿宋_GB2312"/>
          <w:spacing w:val="8"/>
          <w:sz w:val="32"/>
        </w:rPr>
        <w:t>。</w:t>
      </w:r>
    </w:p>
    <w:p w14:paraId="0C5A6CEE">
      <w:pPr>
        <w:spacing w:line="520" w:lineRule="exact"/>
        <w:ind w:firstLine="640" w:firstLineChars="200"/>
        <w:rPr>
          <w:rFonts w:eastAsia="仿宋_GB2312"/>
          <w:sz w:val="32"/>
          <w:szCs w:val="32"/>
        </w:rPr>
      </w:pPr>
      <w:r>
        <w:rPr>
          <w:rFonts w:eastAsia="仿宋_GB2312"/>
          <w:sz w:val="32"/>
          <w:szCs w:val="32"/>
        </w:rPr>
        <w:t>产品技术要求中</w:t>
      </w:r>
      <w:r>
        <w:rPr>
          <w:rFonts w:hint="eastAsia" w:eastAsia="仿宋_GB2312"/>
          <w:sz w:val="32"/>
          <w:szCs w:val="32"/>
        </w:rPr>
        <w:t>需</w:t>
      </w:r>
      <w:r>
        <w:rPr>
          <w:rFonts w:eastAsia="仿宋_GB2312"/>
          <w:sz w:val="32"/>
          <w:szCs w:val="32"/>
        </w:rPr>
        <w:t>明确型号规格及其划分的说明、产品性能指标及</w:t>
      </w:r>
      <w:r>
        <w:rPr>
          <w:rFonts w:hint="eastAsia" w:eastAsia="仿宋_GB2312"/>
          <w:sz w:val="32"/>
          <w:szCs w:val="32"/>
        </w:rPr>
        <w:t>检验</w:t>
      </w:r>
      <w:r>
        <w:rPr>
          <w:rFonts w:eastAsia="仿宋_GB2312"/>
          <w:sz w:val="32"/>
          <w:szCs w:val="32"/>
        </w:rPr>
        <w:t>方法等。</w:t>
      </w:r>
    </w:p>
    <w:p w14:paraId="1E87AABE">
      <w:pPr>
        <w:snapToGrid w:val="0"/>
        <w:spacing w:line="520" w:lineRule="exact"/>
        <w:ind w:firstLine="640" w:firstLineChars="200"/>
        <w:rPr>
          <w:rFonts w:eastAsia="仿宋_GB2312"/>
          <w:sz w:val="32"/>
          <w:szCs w:val="32"/>
        </w:rPr>
      </w:pPr>
      <w:r>
        <w:rPr>
          <w:rFonts w:eastAsia="仿宋_GB2312"/>
          <w:sz w:val="32"/>
          <w:szCs w:val="32"/>
        </w:rPr>
        <w:t>产品技术要求</w:t>
      </w:r>
      <w:r>
        <w:rPr>
          <w:rFonts w:hint="eastAsia" w:eastAsia="仿宋_GB2312"/>
          <w:sz w:val="32"/>
          <w:szCs w:val="32"/>
        </w:rPr>
        <w:t>需</w:t>
      </w:r>
      <w:r>
        <w:rPr>
          <w:rFonts w:eastAsia="仿宋_GB2312"/>
          <w:sz w:val="32"/>
          <w:szCs w:val="32"/>
        </w:rPr>
        <w:t>包括但不局限于以下内容：</w:t>
      </w:r>
    </w:p>
    <w:p w14:paraId="1A5FF348">
      <w:pPr>
        <w:snapToGrid w:val="0"/>
        <w:spacing w:line="520" w:lineRule="exact"/>
        <w:ind w:firstLine="640" w:firstLineChars="200"/>
        <w:rPr>
          <w:rFonts w:eastAsia="仿宋_GB2312"/>
          <w:sz w:val="32"/>
          <w:szCs w:val="32"/>
        </w:rPr>
      </w:pPr>
      <w:r>
        <w:rPr>
          <w:rFonts w:hint="eastAsia" w:eastAsia="仿宋_GB2312"/>
          <w:sz w:val="32"/>
          <w:szCs w:val="32"/>
        </w:rPr>
        <w:t>3.1.1</w:t>
      </w:r>
      <w:r>
        <w:rPr>
          <w:rFonts w:eastAsia="仿宋_GB2312"/>
          <w:color w:val="000000"/>
          <w:sz w:val="32"/>
          <w:szCs w:val="32"/>
        </w:rPr>
        <w:t>产品型号规格及其划分说明</w:t>
      </w:r>
    </w:p>
    <w:p w14:paraId="57389057">
      <w:pPr>
        <w:snapToGrid w:val="0"/>
        <w:spacing w:line="520" w:lineRule="exact"/>
        <w:ind w:firstLine="640" w:firstLineChars="200"/>
        <w:rPr>
          <w:rFonts w:eastAsia="仿宋_GB2312"/>
          <w:sz w:val="32"/>
          <w:szCs w:val="32"/>
        </w:rPr>
      </w:pPr>
      <w:r>
        <w:rPr>
          <w:rFonts w:hint="eastAsia" w:eastAsia="仿宋_GB2312"/>
          <w:sz w:val="32"/>
          <w:szCs w:val="32"/>
        </w:rPr>
        <w:t>对同一</w:t>
      </w:r>
      <w:r>
        <w:rPr>
          <w:rFonts w:eastAsia="仿宋_GB2312"/>
          <w:sz w:val="32"/>
          <w:szCs w:val="32"/>
        </w:rPr>
        <w:t>注册单元中存在多种型号、规格的</w:t>
      </w:r>
      <w:r>
        <w:rPr>
          <w:rFonts w:hint="eastAsia" w:eastAsia="仿宋_GB2312"/>
          <w:sz w:val="32"/>
          <w:szCs w:val="32"/>
        </w:rPr>
        <w:t>产品，</w:t>
      </w:r>
      <w:r>
        <w:rPr>
          <w:rFonts w:eastAsia="仿宋_GB2312"/>
          <w:sz w:val="32"/>
          <w:szCs w:val="32"/>
        </w:rPr>
        <w:t>需明确不同型号、规格的划分说明</w:t>
      </w:r>
      <w:r>
        <w:rPr>
          <w:rFonts w:hint="eastAsia" w:eastAsia="仿宋_GB2312"/>
          <w:sz w:val="32"/>
          <w:szCs w:val="32"/>
        </w:rPr>
        <w:t>，提供型号间主要差异对比表</w:t>
      </w:r>
      <w:r>
        <w:rPr>
          <w:rFonts w:eastAsia="仿宋_GB2312"/>
          <w:sz w:val="32"/>
          <w:szCs w:val="32"/>
        </w:rPr>
        <w:t>。推荐</w:t>
      </w:r>
      <w:r>
        <w:rPr>
          <w:rFonts w:hint="eastAsia" w:eastAsia="仿宋_GB2312"/>
          <w:sz w:val="32"/>
          <w:szCs w:val="32"/>
        </w:rPr>
        <w:t>采用</w:t>
      </w:r>
      <w:r>
        <w:rPr>
          <w:rFonts w:eastAsia="仿宋_GB2312"/>
          <w:sz w:val="32"/>
          <w:szCs w:val="32"/>
        </w:rPr>
        <w:t>图示</w:t>
      </w:r>
      <w:r>
        <w:rPr>
          <w:rFonts w:hint="eastAsia" w:eastAsia="仿宋_GB2312"/>
          <w:sz w:val="32"/>
          <w:szCs w:val="32"/>
        </w:rPr>
        <w:t>和/或</w:t>
      </w:r>
      <w:r>
        <w:rPr>
          <w:rFonts w:eastAsia="仿宋_GB2312"/>
          <w:sz w:val="32"/>
          <w:szCs w:val="32"/>
        </w:rPr>
        <w:t>表格的方式，表述文本较多的内容</w:t>
      </w:r>
      <w:r>
        <w:rPr>
          <w:rFonts w:hint="eastAsia" w:eastAsia="仿宋_GB2312"/>
          <w:sz w:val="32"/>
          <w:szCs w:val="32"/>
        </w:rPr>
        <w:t>可以在</w:t>
      </w:r>
      <w:r>
        <w:rPr>
          <w:rFonts w:eastAsia="仿宋_GB2312"/>
          <w:sz w:val="32"/>
          <w:szCs w:val="32"/>
        </w:rPr>
        <w:t>附录中列明。</w:t>
      </w:r>
    </w:p>
    <w:p w14:paraId="29613CF6">
      <w:pPr>
        <w:snapToGrid w:val="0"/>
        <w:spacing w:line="520" w:lineRule="exact"/>
        <w:ind w:firstLine="640" w:firstLineChars="200"/>
        <w:rPr>
          <w:rFonts w:eastAsia="仿宋_GB2312"/>
          <w:sz w:val="32"/>
          <w:szCs w:val="32"/>
        </w:rPr>
      </w:pPr>
      <w:r>
        <w:rPr>
          <w:rFonts w:hint="eastAsia" w:eastAsia="仿宋_GB2312"/>
          <w:sz w:val="32"/>
          <w:szCs w:val="32"/>
        </w:rPr>
        <w:t>若含有软件，按照《医疗器械软件注册审查指导原则（2022修订版）》的要求，明确软件名称、型号规格、发布版本、软件完整版本命名规则，</w:t>
      </w:r>
      <w:r>
        <w:rPr>
          <w:rFonts w:eastAsia="仿宋_GB2312"/>
          <w:sz w:val="32"/>
          <w:szCs w:val="32"/>
        </w:rPr>
        <w:t>明确字段的位数、范围</w:t>
      </w:r>
      <w:r>
        <w:rPr>
          <w:rFonts w:hint="eastAsia" w:eastAsia="仿宋_GB2312"/>
          <w:sz w:val="32"/>
          <w:szCs w:val="32"/>
        </w:rPr>
        <w:t>、</w:t>
      </w:r>
      <w:r>
        <w:rPr>
          <w:rFonts w:eastAsia="仿宋_GB2312"/>
          <w:sz w:val="32"/>
          <w:szCs w:val="32"/>
        </w:rPr>
        <w:t>含义</w:t>
      </w:r>
      <w:r>
        <w:rPr>
          <w:rFonts w:hint="eastAsia" w:eastAsia="仿宋_GB2312"/>
          <w:sz w:val="32"/>
          <w:szCs w:val="32"/>
        </w:rPr>
        <w:t>，</w:t>
      </w:r>
      <w:r>
        <w:rPr>
          <w:rFonts w:eastAsia="仿宋_GB2312"/>
          <w:sz w:val="32"/>
          <w:szCs w:val="32"/>
        </w:rPr>
        <w:t>涵盖</w:t>
      </w:r>
      <w:r>
        <w:rPr>
          <w:rFonts w:hint="eastAsia" w:eastAsia="仿宋_GB2312"/>
          <w:sz w:val="32"/>
          <w:szCs w:val="32"/>
        </w:rPr>
        <w:t>软件</w:t>
      </w:r>
      <w:r>
        <w:rPr>
          <w:rFonts w:eastAsia="仿宋_GB2312"/>
          <w:sz w:val="32"/>
          <w:szCs w:val="32"/>
        </w:rPr>
        <w:t>更新全部类型。</w:t>
      </w:r>
      <w:r>
        <w:rPr>
          <w:rFonts w:hint="eastAsia" w:eastAsia="仿宋_GB2312"/>
          <w:sz w:val="32"/>
          <w:szCs w:val="32"/>
        </w:rPr>
        <w:t>软件版本命名需能区分重大软件更新和轻微软件更新。含有</w:t>
      </w:r>
      <w:r>
        <w:rPr>
          <w:rFonts w:eastAsia="仿宋_GB2312"/>
          <w:sz w:val="32"/>
          <w:szCs w:val="32"/>
        </w:rPr>
        <w:t>上位机软件和下位机软件的，或</w:t>
      </w:r>
      <w:r>
        <w:rPr>
          <w:rFonts w:hint="eastAsia" w:eastAsia="仿宋_GB2312"/>
          <w:sz w:val="32"/>
          <w:szCs w:val="32"/>
        </w:rPr>
        <w:t>各型号规格</w:t>
      </w:r>
      <w:r>
        <w:rPr>
          <w:rFonts w:eastAsia="仿宋_GB2312"/>
          <w:sz w:val="32"/>
          <w:szCs w:val="32"/>
        </w:rPr>
        <w:t>软件版本不同的需分别进行描述。</w:t>
      </w:r>
    </w:p>
    <w:p w14:paraId="09B47C9D">
      <w:pPr>
        <w:snapToGrid w:val="0"/>
        <w:spacing w:line="520" w:lineRule="exact"/>
        <w:ind w:firstLine="640" w:firstLineChars="200"/>
        <w:rPr>
          <w:rFonts w:eastAsia="仿宋_GB2312"/>
          <w:sz w:val="32"/>
          <w:szCs w:val="32"/>
        </w:rPr>
      </w:pPr>
      <w:r>
        <w:rPr>
          <w:rFonts w:hint="eastAsia" w:eastAsia="仿宋_GB2312"/>
          <w:sz w:val="32"/>
          <w:szCs w:val="32"/>
        </w:rPr>
        <w:t>3.1.2一般性能</w:t>
      </w:r>
    </w:p>
    <w:p w14:paraId="3C3C38B8">
      <w:pPr>
        <w:snapToGrid w:val="0"/>
        <w:spacing w:line="520" w:lineRule="exact"/>
        <w:ind w:firstLine="640" w:firstLineChars="200"/>
        <w:rPr>
          <w:rFonts w:eastAsia="仿宋_GB2312"/>
          <w:color w:val="000000"/>
          <w:sz w:val="32"/>
        </w:rPr>
      </w:pPr>
      <w:r>
        <w:rPr>
          <w:rFonts w:hint="eastAsia" w:eastAsia="仿宋_GB2312"/>
          <w:sz w:val="32"/>
          <w:szCs w:val="32"/>
        </w:rPr>
        <w:t>申请人需根据申报产品特征确定需要符合的标准。</w:t>
      </w:r>
      <w:r>
        <w:rPr>
          <w:rFonts w:hint="eastAsia" w:eastAsia="仿宋_GB2312"/>
          <w:sz w:val="32"/>
          <w:szCs w:val="32"/>
          <w:lang w:eastAsia="zh-CN"/>
        </w:rPr>
        <w:t>环氧乙烷</w:t>
      </w:r>
      <w:r>
        <w:rPr>
          <w:rFonts w:hint="eastAsia" w:eastAsia="仿宋_GB2312"/>
          <w:sz w:val="32"/>
          <w:szCs w:val="32"/>
        </w:rPr>
        <w:t>灭菌器适用</w:t>
      </w:r>
      <w:r>
        <w:rPr>
          <w:rFonts w:eastAsia="仿宋_GB2312"/>
          <w:sz w:val="32"/>
          <w:szCs w:val="32"/>
        </w:rPr>
        <w:t>YY</w:t>
      </w:r>
      <w:r>
        <w:rPr>
          <w:rFonts w:hint="eastAsia" w:eastAsia="仿宋_GB2312"/>
          <w:sz w:val="32"/>
          <w:szCs w:val="32"/>
          <w:lang w:val="en-US" w:eastAsia="zh-CN"/>
        </w:rPr>
        <w:t>0503</w:t>
      </w:r>
      <w:r>
        <w:rPr>
          <w:rFonts w:hint="eastAsia" w:eastAsia="仿宋_GB2312"/>
          <w:sz w:val="32"/>
          <w:szCs w:val="32"/>
        </w:rPr>
        <w:t>标准，性能指标、检验方法可参考</w:t>
      </w:r>
      <w:r>
        <w:rPr>
          <w:rFonts w:eastAsia="仿宋_GB2312"/>
          <w:sz w:val="32"/>
          <w:szCs w:val="32"/>
        </w:rPr>
        <w:t>YY</w:t>
      </w:r>
      <w:r>
        <w:rPr>
          <w:rFonts w:hint="eastAsia" w:eastAsia="仿宋_GB2312"/>
          <w:sz w:val="32"/>
          <w:szCs w:val="32"/>
          <w:lang w:val="en-US" w:eastAsia="zh-CN"/>
        </w:rPr>
        <w:t>0503</w:t>
      </w:r>
      <w:r>
        <w:rPr>
          <w:rFonts w:hint="eastAsia" w:eastAsia="仿宋_GB2312"/>
          <w:sz w:val="32"/>
          <w:szCs w:val="32"/>
        </w:rPr>
        <w:t>标准相关适用条款制定。</w:t>
      </w:r>
    </w:p>
    <w:p w14:paraId="7A587A95">
      <w:pPr>
        <w:snapToGrid w:val="0"/>
        <w:spacing w:line="520" w:lineRule="exact"/>
        <w:ind w:firstLine="640" w:firstLineChars="200"/>
        <w:rPr>
          <w:rFonts w:eastAsia="仿宋_GB2312"/>
        </w:rPr>
      </w:pPr>
      <w:r>
        <w:rPr>
          <w:rFonts w:hint="eastAsia" w:eastAsia="仿宋_GB2312"/>
          <w:sz w:val="32"/>
          <w:szCs w:val="32"/>
        </w:rPr>
        <w:t>3.1.3</w:t>
      </w:r>
      <w:r>
        <w:rPr>
          <w:rFonts w:hint="eastAsia" w:eastAsia="仿宋_GB2312"/>
          <w:sz w:val="32"/>
        </w:rPr>
        <w:t>软件功能</w:t>
      </w:r>
    </w:p>
    <w:p w14:paraId="189FA256">
      <w:pPr>
        <w:snapToGrid w:val="0"/>
        <w:spacing w:line="520" w:lineRule="exact"/>
        <w:ind w:firstLine="640" w:firstLineChars="200"/>
        <w:rPr>
          <w:rFonts w:eastAsia="仿宋_GB2312"/>
          <w:sz w:val="32"/>
        </w:rPr>
      </w:pPr>
      <w:r>
        <w:rPr>
          <w:rFonts w:hint="eastAsia" w:eastAsia="仿宋_GB2312"/>
          <w:sz w:val="32"/>
          <w:szCs w:val="32"/>
        </w:rPr>
        <w:t>需符合《医疗器械软件注册审查指导原则（2022修订版）》的要求，如软件的功能、使用限制、接口</w:t>
      </w:r>
      <w:r>
        <w:rPr>
          <w:rFonts w:hint="eastAsia" w:eastAsia="仿宋_GB2312"/>
          <w:sz w:val="32"/>
          <w:szCs w:val="28"/>
        </w:rPr>
        <w:t>（若适用）</w:t>
      </w:r>
      <w:r>
        <w:rPr>
          <w:rFonts w:hint="eastAsia" w:eastAsia="仿宋_GB2312"/>
          <w:sz w:val="32"/>
          <w:szCs w:val="32"/>
        </w:rPr>
        <w:t>、访问控制</w:t>
      </w:r>
      <w:r>
        <w:rPr>
          <w:rFonts w:hint="eastAsia" w:eastAsia="仿宋_GB2312"/>
          <w:sz w:val="32"/>
          <w:szCs w:val="28"/>
        </w:rPr>
        <w:t>（若适用）、</w:t>
      </w:r>
      <w:r>
        <w:rPr>
          <w:rFonts w:hint="eastAsia" w:eastAsia="仿宋_GB2312"/>
          <w:sz w:val="32"/>
          <w:szCs w:val="32"/>
        </w:rPr>
        <w:t>性能效率（若适用）等要求，且需与说明书中的软件功能描述一致</w:t>
      </w:r>
      <w:r>
        <w:rPr>
          <w:rFonts w:hint="eastAsia" w:eastAsia="仿宋_GB2312"/>
          <w:sz w:val="32"/>
        </w:rPr>
        <w:t>。</w:t>
      </w:r>
    </w:p>
    <w:p w14:paraId="6D8105C2">
      <w:pPr>
        <w:snapToGrid w:val="0"/>
        <w:spacing w:line="520" w:lineRule="exact"/>
        <w:ind w:firstLine="640" w:firstLineChars="200"/>
        <w:rPr>
          <w:rFonts w:eastAsia="仿宋_GB2312"/>
          <w:sz w:val="32"/>
          <w:szCs w:val="32"/>
        </w:rPr>
      </w:pPr>
      <w:r>
        <w:rPr>
          <w:rFonts w:hint="eastAsia" w:eastAsia="仿宋_GB2312"/>
          <w:sz w:val="32"/>
          <w:szCs w:val="32"/>
        </w:rPr>
        <w:t>3.1.4安全性能</w:t>
      </w:r>
    </w:p>
    <w:p w14:paraId="56CF60B9">
      <w:pPr>
        <w:snapToGrid w:val="0"/>
        <w:spacing w:line="520" w:lineRule="exact"/>
        <w:ind w:firstLine="640" w:firstLineChars="200"/>
        <w:rPr>
          <w:rFonts w:eastAsia="仿宋_GB2312"/>
          <w:sz w:val="32"/>
          <w:szCs w:val="32"/>
        </w:rPr>
      </w:pPr>
      <w:r>
        <w:rPr>
          <w:rFonts w:eastAsia="仿宋_GB2312"/>
          <w:sz w:val="32"/>
        </w:rPr>
        <w:t>应符合GB 4793.1、GB 4793.4</w:t>
      </w:r>
      <w:r>
        <w:rPr>
          <w:rFonts w:hint="eastAsia" w:eastAsia="仿宋_GB2312"/>
          <w:sz w:val="32"/>
          <w:lang w:eastAsia="zh-CN"/>
        </w:rPr>
        <w:t>或</w:t>
      </w:r>
      <w:r>
        <w:rPr>
          <w:rFonts w:hint="eastAsia" w:eastAsia="仿宋_GB2312"/>
          <w:sz w:val="32"/>
          <w:lang w:val="en-US" w:eastAsia="zh-CN"/>
        </w:rPr>
        <w:t>GB 4793、</w:t>
      </w:r>
      <w:r>
        <w:rPr>
          <w:rFonts w:hint="eastAsia" w:ascii="Times New Roman" w:hAnsi="Times New Roman" w:eastAsia="仿宋_GB2312" w:cs="Times New Roman"/>
          <w:sz w:val="32"/>
        </w:rPr>
        <w:t>GB/T 42125.1-2024、GB 42125.11-2025</w:t>
      </w:r>
      <w:r>
        <w:rPr>
          <w:rFonts w:eastAsia="仿宋_GB2312"/>
          <w:sz w:val="32"/>
        </w:rPr>
        <w:t>的要求</w:t>
      </w:r>
      <w:r>
        <w:rPr>
          <w:rFonts w:hint="eastAsia" w:eastAsia="仿宋_GB2312"/>
          <w:sz w:val="32"/>
          <w:lang w:eastAsia="zh-CN"/>
        </w:rPr>
        <w:t>，建议执行配套的标准版本</w:t>
      </w:r>
      <w:r>
        <w:rPr>
          <w:rFonts w:eastAsia="仿宋_GB2312"/>
          <w:sz w:val="32"/>
        </w:rPr>
        <w:t>。</w:t>
      </w:r>
    </w:p>
    <w:p w14:paraId="4DA09CBD">
      <w:pPr>
        <w:snapToGrid w:val="0"/>
        <w:spacing w:line="520" w:lineRule="exact"/>
        <w:ind w:firstLine="640" w:firstLineChars="200"/>
        <w:rPr>
          <w:rFonts w:eastAsia="仿宋_GB2312"/>
          <w:sz w:val="32"/>
          <w:szCs w:val="32"/>
        </w:rPr>
      </w:pPr>
      <w:r>
        <w:rPr>
          <w:rFonts w:hint="eastAsia" w:eastAsia="仿宋_GB2312"/>
          <w:sz w:val="32"/>
          <w:szCs w:val="32"/>
        </w:rPr>
        <w:t>3.1.5电磁兼容</w:t>
      </w:r>
    </w:p>
    <w:p w14:paraId="62AEA0A4">
      <w:pPr>
        <w:snapToGrid w:val="0"/>
        <w:spacing w:line="520" w:lineRule="exact"/>
        <w:ind w:firstLine="640" w:firstLineChars="200"/>
        <w:rPr>
          <w:rFonts w:eastAsia="仿宋_GB2312"/>
          <w:sz w:val="32"/>
          <w:szCs w:val="32"/>
        </w:rPr>
      </w:pPr>
      <w:r>
        <w:rPr>
          <w:rFonts w:hint="eastAsia" w:eastAsia="仿宋_GB2312"/>
          <w:sz w:val="32"/>
          <w:szCs w:val="32"/>
        </w:rPr>
        <w:t>需符合GB/T 18268.1的要求。</w:t>
      </w:r>
    </w:p>
    <w:p w14:paraId="15815DAF">
      <w:pPr>
        <w:snapToGrid w:val="0"/>
        <w:spacing w:line="520" w:lineRule="exact"/>
        <w:ind w:firstLine="640" w:firstLineChars="200"/>
        <w:rPr>
          <w:rFonts w:eastAsia="仿宋_GB2312"/>
          <w:sz w:val="32"/>
          <w:szCs w:val="32"/>
        </w:rPr>
      </w:pPr>
      <w:r>
        <w:rPr>
          <w:rFonts w:hint="eastAsia" w:eastAsia="仿宋_GB2312"/>
          <w:sz w:val="32"/>
          <w:szCs w:val="32"/>
        </w:rPr>
        <w:t>3.2检验报告</w:t>
      </w:r>
    </w:p>
    <w:p w14:paraId="661E316E">
      <w:pPr>
        <w:autoSpaceDE w:val="0"/>
        <w:autoSpaceDN w:val="0"/>
        <w:spacing w:line="520" w:lineRule="exact"/>
        <w:ind w:firstLine="640" w:firstLineChars="200"/>
        <w:rPr>
          <w:rFonts w:eastAsia="仿宋_GB2312"/>
          <w:color w:val="000000"/>
          <w:sz w:val="32"/>
          <w:szCs w:val="32"/>
        </w:rPr>
      </w:pPr>
      <w:r>
        <w:rPr>
          <w:rFonts w:hint="eastAsia" w:eastAsia="仿宋_GB2312"/>
          <w:kern w:val="0"/>
          <w:sz w:val="32"/>
          <w:szCs w:val="32"/>
        </w:rPr>
        <w:t>申请人可提交注册产品的自检报告或委托有资质的医疗器械检验机构出具的检验报告。若提交自检报告，还需按照《医疗器械自检管理规定》的要求提供相关资料。</w:t>
      </w:r>
    </w:p>
    <w:p w14:paraId="54EE11E6">
      <w:pPr>
        <w:spacing w:line="560" w:lineRule="exact"/>
        <w:ind w:firstLine="640" w:firstLineChars="200"/>
        <w:rPr>
          <w:rFonts w:eastAsia="仿宋_GB2312"/>
          <w:color w:val="000000"/>
          <w:sz w:val="32"/>
          <w:szCs w:val="32"/>
        </w:rPr>
      </w:pPr>
      <w:r>
        <w:rPr>
          <w:rFonts w:eastAsia="仿宋_GB2312"/>
          <w:color w:val="000000"/>
          <w:sz w:val="32"/>
          <w:szCs w:val="32"/>
        </w:rPr>
        <w:t>检验用</w:t>
      </w:r>
      <w:r>
        <w:rPr>
          <w:rFonts w:hint="eastAsia" w:eastAsia="仿宋_GB2312"/>
          <w:color w:val="000000"/>
          <w:sz w:val="32"/>
          <w:szCs w:val="32"/>
        </w:rPr>
        <w:t>典型</w:t>
      </w:r>
      <w:r>
        <w:rPr>
          <w:rFonts w:eastAsia="仿宋_GB2312"/>
          <w:color w:val="000000"/>
          <w:sz w:val="32"/>
          <w:szCs w:val="32"/>
        </w:rPr>
        <w:t>产品</w:t>
      </w:r>
      <w:r>
        <w:rPr>
          <w:rFonts w:hint="eastAsia" w:eastAsia="仿宋_GB2312"/>
          <w:color w:val="000000"/>
          <w:sz w:val="32"/>
          <w:szCs w:val="32"/>
        </w:rPr>
        <w:t>需</w:t>
      </w:r>
      <w:r>
        <w:rPr>
          <w:rFonts w:eastAsia="仿宋_GB2312"/>
          <w:color w:val="000000"/>
          <w:sz w:val="32"/>
          <w:szCs w:val="32"/>
        </w:rPr>
        <w:t>能够代表申请注册</w:t>
      </w:r>
      <w:r>
        <w:rPr>
          <w:rFonts w:hint="eastAsia" w:eastAsia="仿宋_GB2312"/>
          <w:color w:val="000000"/>
          <w:sz w:val="32"/>
          <w:szCs w:val="32"/>
        </w:rPr>
        <w:t>产品</w:t>
      </w:r>
      <w:r>
        <w:rPr>
          <w:rFonts w:eastAsia="仿宋_GB2312"/>
          <w:color w:val="000000"/>
          <w:sz w:val="32"/>
          <w:szCs w:val="32"/>
        </w:rPr>
        <w:t>的安全性和有效性</w:t>
      </w:r>
      <w:r>
        <w:rPr>
          <w:rFonts w:hint="eastAsia" w:eastAsia="仿宋_GB2312"/>
          <w:color w:val="000000"/>
          <w:sz w:val="32"/>
          <w:szCs w:val="32"/>
        </w:rPr>
        <w:t>。</w:t>
      </w:r>
      <w:r>
        <w:rPr>
          <w:rFonts w:eastAsia="仿宋_GB2312"/>
          <w:sz w:val="32"/>
        </w:rPr>
        <w:t>需充分考虑产品工作原理、结构组成、技术指标</w:t>
      </w:r>
      <w:r>
        <w:rPr>
          <w:rFonts w:hint="eastAsia" w:eastAsia="仿宋_GB2312"/>
          <w:sz w:val="32"/>
        </w:rPr>
        <w:t>及</w:t>
      </w:r>
      <w:r>
        <w:rPr>
          <w:rFonts w:eastAsia="仿宋_GB2312"/>
          <w:sz w:val="32"/>
        </w:rPr>
        <w:t>性能、控制方式、主要部件及产品其他风险等方面。</w:t>
      </w:r>
      <w:r>
        <w:rPr>
          <w:rFonts w:hint="eastAsia" w:eastAsia="仿宋_GB2312"/>
          <w:sz w:val="32"/>
          <w:szCs w:val="32"/>
        </w:rPr>
        <w:t>需考虑功能最齐全、灭菌模式最全、结构最复杂以及主要元器件（如真空泵、传感器、加热部件等）的变化等</w:t>
      </w:r>
      <w:r>
        <w:rPr>
          <w:rFonts w:eastAsia="仿宋_GB2312"/>
          <w:color w:val="000000"/>
          <w:sz w:val="32"/>
          <w:szCs w:val="32"/>
        </w:rPr>
        <w:t>。</w:t>
      </w:r>
    </w:p>
    <w:p w14:paraId="1360207B">
      <w:pPr>
        <w:spacing w:line="560" w:lineRule="exact"/>
        <w:ind w:firstLine="640" w:firstLineChars="200"/>
        <w:rPr>
          <w:rFonts w:eastAsia="仿宋_GB2312"/>
          <w:sz w:val="32"/>
        </w:rPr>
      </w:pPr>
      <w:r>
        <w:rPr>
          <w:rFonts w:eastAsia="仿宋_GB2312"/>
          <w:color w:val="000000"/>
          <w:sz w:val="32"/>
          <w:szCs w:val="32"/>
        </w:rPr>
        <w:t>注册单元内各型号的主要安全指标、性能指标</w:t>
      </w:r>
      <w:r>
        <w:rPr>
          <w:rFonts w:hint="eastAsia" w:eastAsia="仿宋_GB2312"/>
          <w:color w:val="000000"/>
          <w:sz w:val="32"/>
          <w:szCs w:val="32"/>
        </w:rPr>
        <w:t>、</w:t>
      </w:r>
      <w:r>
        <w:rPr>
          <w:rFonts w:hint="eastAsia" w:eastAsia="仿宋_GB2312"/>
          <w:sz w:val="32"/>
          <w:szCs w:val="32"/>
        </w:rPr>
        <w:t>灭菌模式</w:t>
      </w:r>
      <w:r>
        <w:rPr>
          <w:rFonts w:eastAsia="仿宋_GB2312"/>
          <w:color w:val="000000"/>
          <w:sz w:val="32"/>
          <w:szCs w:val="32"/>
        </w:rPr>
        <w:t>不能被</w:t>
      </w:r>
      <w:r>
        <w:rPr>
          <w:rFonts w:hint="eastAsia" w:eastAsia="仿宋_GB2312"/>
          <w:color w:val="000000"/>
          <w:sz w:val="32"/>
          <w:szCs w:val="32"/>
        </w:rPr>
        <w:t>典型</w:t>
      </w:r>
      <w:r>
        <w:rPr>
          <w:rFonts w:eastAsia="仿宋_GB2312"/>
          <w:color w:val="000000"/>
          <w:sz w:val="32"/>
          <w:szCs w:val="32"/>
        </w:rPr>
        <w:t>型号全部涵盖时，则需选择涵盖安全指标、性能指标最多</w:t>
      </w:r>
      <w:r>
        <w:rPr>
          <w:rFonts w:eastAsia="仿宋_GB2312"/>
          <w:sz w:val="32"/>
        </w:rPr>
        <w:t>且灭菌效果最具有挑战性的型号</w:t>
      </w:r>
      <w:r>
        <w:rPr>
          <w:rFonts w:eastAsia="仿宋_GB2312"/>
          <w:color w:val="000000"/>
          <w:sz w:val="32"/>
          <w:szCs w:val="32"/>
        </w:rPr>
        <w:t>作为</w:t>
      </w:r>
      <w:r>
        <w:rPr>
          <w:rFonts w:hint="eastAsia" w:eastAsia="仿宋_GB2312"/>
          <w:color w:val="000000"/>
          <w:sz w:val="32"/>
          <w:szCs w:val="32"/>
        </w:rPr>
        <w:t>典型</w:t>
      </w:r>
      <w:r>
        <w:rPr>
          <w:rFonts w:eastAsia="仿宋_GB2312"/>
          <w:color w:val="000000"/>
          <w:sz w:val="32"/>
          <w:szCs w:val="32"/>
        </w:rPr>
        <w:t>产品，同时还需考虑其他型号中未被</w:t>
      </w:r>
      <w:r>
        <w:rPr>
          <w:rFonts w:hint="eastAsia" w:eastAsia="仿宋_GB2312"/>
          <w:color w:val="000000"/>
          <w:sz w:val="32"/>
          <w:szCs w:val="32"/>
        </w:rPr>
        <w:t>典型</w:t>
      </w:r>
      <w:r>
        <w:rPr>
          <w:rFonts w:eastAsia="仿宋_GB2312"/>
          <w:color w:val="000000"/>
          <w:sz w:val="32"/>
          <w:szCs w:val="32"/>
        </w:rPr>
        <w:t>型号所涵盖的安全指标</w:t>
      </w:r>
      <w:r>
        <w:rPr>
          <w:rFonts w:hint="eastAsia" w:eastAsia="仿宋_GB2312"/>
          <w:color w:val="000000"/>
          <w:sz w:val="32"/>
          <w:szCs w:val="32"/>
        </w:rPr>
        <w:t>、</w:t>
      </w:r>
      <w:r>
        <w:rPr>
          <w:rFonts w:eastAsia="仿宋_GB2312"/>
          <w:color w:val="000000"/>
          <w:sz w:val="32"/>
          <w:szCs w:val="32"/>
        </w:rPr>
        <w:t>性能指标</w:t>
      </w:r>
      <w:r>
        <w:rPr>
          <w:rFonts w:hint="eastAsia" w:eastAsia="仿宋_GB2312"/>
          <w:sz w:val="32"/>
          <w:szCs w:val="32"/>
        </w:rPr>
        <w:t>灭菌模式</w:t>
      </w:r>
      <w:r>
        <w:rPr>
          <w:rFonts w:hint="eastAsia" w:eastAsia="仿宋_GB2312"/>
          <w:color w:val="000000"/>
          <w:sz w:val="32"/>
          <w:szCs w:val="32"/>
        </w:rPr>
        <w:t>，</w:t>
      </w:r>
      <w:r>
        <w:rPr>
          <w:rFonts w:eastAsia="仿宋_GB2312"/>
          <w:sz w:val="32"/>
        </w:rPr>
        <w:t>就不同规格型号差异性对产品安全</w:t>
      </w:r>
      <w:r>
        <w:rPr>
          <w:rFonts w:hint="eastAsia" w:eastAsia="仿宋_GB2312"/>
          <w:sz w:val="32"/>
        </w:rPr>
        <w:t>有效</w:t>
      </w:r>
      <w:r>
        <w:rPr>
          <w:rFonts w:eastAsia="仿宋_GB2312"/>
          <w:sz w:val="32"/>
        </w:rPr>
        <w:t>性的影响做出说明。</w:t>
      </w:r>
    </w:p>
    <w:p w14:paraId="065AB8D6">
      <w:pPr>
        <w:snapToGrid w:val="0"/>
        <w:spacing w:line="520" w:lineRule="exact"/>
        <w:ind w:firstLine="640" w:firstLineChars="200"/>
        <w:rPr>
          <w:rFonts w:eastAsia="仿宋_GB2312"/>
          <w:color w:val="000000"/>
          <w:sz w:val="32"/>
          <w:szCs w:val="32"/>
        </w:rPr>
      </w:pPr>
      <w:r>
        <w:rPr>
          <w:rFonts w:hint="eastAsia" w:eastAsia="仿宋_GB2312"/>
          <w:sz w:val="32"/>
          <w:szCs w:val="32"/>
        </w:rPr>
        <w:t>4.研究资料</w:t>
      </w:r>
    </w:p>
    <w:p w14:paraId="4E0BE9BE">
      <w:pPr>
        <w:snapToGrid w:val="0"/>
        <w:spacing w:line="520" w:lineRule="exact"/>
        <w:ind w:firstLine="640" w:firstLineChars="200"/>
        <w:rPr>
          <w:rFonts w:eastAsia="仿宋_GB2312"/>
          <w:color w:val="000000"/>
          <w:sz w:val="32"/>
          <w:szCs w:val="32"/>
        </w:rPr>
      </w:pPr>
      <w:r>
        <w:rPr>
          <w:rFonts w:hint="eastAsia" w:eastAsia="仿宋_GB2312"/>
          <w:color w:val="000000"/>
          <w:sz w:val="32"/>
          <w:szCs w:val="32"/>
        </w:rPr>
        <w:t>申请人需</w:t>
      </w:r>
      <w:r>
        <w:rPr>
          <w:rFonts w:eastAsia="仿宋_GB2312"/>
          <w:color w:val="000000"/>
          <w:sz w:val="32"/>
          <w:szCs w:val="32"/>
        </w:rPr>
        <w:t>根据申报产品适用范围和技术特征，提供非临床研究综述，逐项描述所开展的研究，概述研究方法和研究结论。根据非临床研究综述，提供相应的研究资料，各项研究可通过文献研究、实验室研究、模型研究等方式开展，一般</w:t>
      </w:r>
      <w:r>
        <w:rPr>
          <w:rFonts w:hint="eastAsia" w:eastAsia="仿宋_GB2312"/>
          <w:color w:val="000000"/>
          <w:sz w:val="32"/>
          <w:szCs w:val="32"/>
        </w:rPr>
        <w:t>需</w:t>
      </w:r>
      <w:r>
        <w:rPr>
          <w:rFonts w:eastAsia="仿宋_GB2312"/>
          <w:color w:val="000000"/>
          <w:sz w:val="32"/>
          <w:szCs w:val="32"/>
        </w:rPr>
        <w:t>包含研究方案、研究报告。</w:t>
      </w:r>
    </w:p>
    <w:p w14:paraId="410C67E0">
      <w:pPr>
        <w:snapToGrid w:val="0"/>
        <w:spacing w:line="520" w:lineRule="exact"/>
        <w:ind w:firstLine="640" w:firstLineChars="200"/>
        <w:rPr>
          <w:rFonts w:eastAsia="仿宋_GB2312"/>
          <w:sz w:val="32"/>
          <w:szCs w:val="32"/>
        </w:rPr>
      </w:pPr>
      <w:r>
        <w:rPr>
          <w:rFonts w:hint="eastAsia" w:eastAsia="仿宋_GB2312"/>
          <w:sz w:val="32"/>
          <w:szCs w:val="32"/>
        </w:rPr>
        <w:t>4.1化学和物理性能研究</w:t>
      </w:r>
    </w:p>
    <w:p w14:paraId="7ABB972A">
      <w:pPr>
        <w:spacing w:line="520" w:lineRule="exact"/>
        <w:ind w:firstLine="640" w:firstLineChars="200"/>
        <w:rPr>
          <w:rFonts w:eastAsia="仿宋_GB2312"/>
          <w:sz w:val="32"/>
          <w:szCs w:val="32"/>
        </w:rPr>
      </w:pPr>
      <w:r>
        <w:rPr>
          <w:rFonts w:eastAsia="仿宋_GB2312"/>
          <w:color w:val="000000"/>
          <w:sz w:val="32"/>
          <w:szCs w:val="32"/>
        </w:rPr>
        <w:t>申请人需要</w:t>
      </w:r>
      <w:r>
        <w:rPr>
          <w:rFonts w:eastAsia="仿宋_GB2312"/>
          <w:sz w:val="32"/>
          <w:szCs w:val="32"/>
        </w:rPr>
        <w:t>提供产品性能研究资料以及产品技术要求的研究和编制说明，包括有效性、安全性指标以及与质量控制相关的其他指标的确定依据、所采用的标准或方法、采用的原因及理论基础等。性能研究项目不局限于</w:t>
      </w:r>
      <w:r>
        <w:rPr>
          <w:rFonts w:hint="eastAsia" w:eastAsia="仿宋_GB2312"/>
          <w:sz w:val="32"/>
          <w:szCs w:val="32"/>
        </w:rPr>
        <w:t>国家标准、</w:t>
      </w:r>
      <w:r>
        <w:rPr>
          <w:rFonts w:eastAsia="仿宋_GB2312"/>
          <w:sz w:val="32"/>
          <w:szCs w:val="32"/>
        </w:rPr>
        <w:t>行业标准中的项目。</w:t>
      </w:r>
    </w:p>
    <w:p w14:paraId="3C8F280D">
      <w:pPr>
        <w:spacing w:line="520" w:lineRule="exact"/>
        <w:ind w:firstLine="640" w:firstLineChars="200"/>
        <w:rPr>
          <w:rFonts w:eastAsia="仿宋_GB2312"/>
          <w:sz w:val="32"/>
          <w:szCs w:val="32"/>
        </w:rPr>
      </w:pPr>
      <w:r>
        <w:rPr>
          <w:rFonts w:hint="eastAsia" w:eastAsia="仿宋_GB2312"/>
          <w:sz w:val="32"/>
          <w:szCs w:val="32"/>
        </w:rPr>
        <w:t>灭菌效果</w:t>
      </w:r>
      <w:r>
        <w:rPr>
          <w:rFonts w:eastAsia="仿宋_GB2312"/>
          <w:sz w:val="32"/>
          <w:szCs w:val="32"/>
        </w:rPr>
        <w:t>：</w:t>
      </w:r>
    </w:p>
    <w:p w14:paraId="64C20C6A">
      <w:pPr>
        <w:spacing w:line="520" w:lineRule="exact"/>
        <w:ind w:firstLine="640" w:firstLineChars="200"/>
        <w:rPr>
          <w:rFonts w:eastAsia="仿宋_GB2312"/>
          <w:sz w:val="32"/>
          <w:szCs w:val="32"/>
          <w:highlight w:val="red"/>
        </w:rPr>
      </w:pPr>
      <w:r>
        <w:rPr>
          <w:rFonts w:eastAsia="仿宋_GB2312"/>
          <w:sz w:val="32"/>
          <w:szCs w:val="32"/>
          <w:highlight w:val="none"/>
        </w:rPr>
        <w:t>有多种灭菌程序的，</w:t>
      </w:r>
      <w:r>
        <w:rPr>
          <w:rFonts w:hint="eastAsia" w:eastAsia="仿宋_GB2312"/>
          <w:sz w:val="32"/>
          <w:szCs w:val="32"/>
          <w:highlight w:val="none"/>
        </w:rPr>
        <w:t>需对</w:t>
      </w:r>
      <w:r>
        <w:rPr>
          <w:rFonts w:eastAsia="仿宋_GB2312"/>
          <w:sz w:val="32"/>
          <w:szCs w:val="32"/>
          <w:highlight w:val="none"/>
        </w:rPr>
        <w:t>具有代表性和典型性的</w:t>
      </w:r>
      <w:r>
        <w:rPr>
          <w:rFonts w:hint="eastAsia" w:eastAsia="仿宋_GB2312"/>
          <w:sz w:val="32"/>
          <w:szCs w:val="32"/>
          <w:highlight w:val="none"/>
        </w:rPr>
        <w:t>灭菌程序</w:t>
      </w:r>
      <w:r>
        <w:rPr>
          <w:rFonts w:eastAsia="仿宋_GB2312"/>
          <w:sz w:val="32"/>
          <w:szCs w:val="32"/>
          <w:highlight w:val="none"/>
        </w:rPr>
        <w:t>进行灭菌效果验证</w:t>
      </w:r>
      <w:r>
        <w:rPr>
          <w:rFonts w:hint="eastAsia" w:eastAsia="仿宋_GB2312"/>
          <w:sz w:val="32"/>
          <w:szCs w:val="32"/>
          <w:highlight w:val="none"/>
        </w:rPr>
        <w:t>。</w:t>
      </w:r>
      <w:r>
        <w:rPr>
          <w:rFonts w:hint="eastAsia" w:eastAsia="仿宋_GB2312"/>
          <w:sz w:val="32"/>
          <w:szCs w:val="32"/>
          <w:highlight w:val="none"/>
          <w:lang w:eastAsia="zh-CN"/>
        </w:rPr>
        <w:t>由使用方设定灭菌参数的，应对使用</w:t>
      </w:r>
      <w:r>
        <w:rPr>
          <w:rFonts w:eastAsia="仿宋_GB2312"/>
          <w:sz w:val="32"/>
        </w:rPr>
        <w:t>说明书中声称</w:t>
      </w:r>
      <w:r>
        <w:rPr>
          <w:rFonts w:hint="eastAsia" w:eastAsia="仿宋_GB2312"/>
          <w:sz w:val="32"/>
        </w:rPr>
        <w:t>适</w:t>
      </w:r>
      <w:r>
        <w:rPr>
          <w:rFonts w:hint="eastAsia" w:eastAsia="仿宋_GB2312"/>
          <w:color w:val="000000"/>
          <w:sz w:val="32"/>
        </w:rPr>
        <w:t>用的灭菌物品的典型产品进行</w:t>
      </w:r>
      <w:r>
        <w:rPr>
          <w:rFonts w:eastAsia="仿宋_GB2312"/>
          <w:color w:val="000000"/>
          <w:sz w:val="32"/>
        </w:rPr>
        <w:t>灭菌</w:t>
      </w:r>
      <w:r>
        <w:rPr>
          <w:rFonts w:hint="eastAsia" w:eastAsia="仿宋_GB2312"/>
          <w:color w:val="000000"/>
          <w:sz w:val="32"/>
        </w:rPr>
        <w:t>效果</w:t>
      </w:r>
      <w:r>
        <w:rPr>
          <w:rFonts w:eastAsia="仿宋_GB2312"/>
          <w:color w:val="000000"/>
          <w:sz w:val="32"/>
        </w:rPr>
        <w:t>验证</w:t>
      </w:r>
      <w:r>
        <w:rPr>
          <w:rFonts w:hint="eastAsia" w:eastAsia="仿宋_GB2312"/>
          <w:color w:val="000000"/>
          <w:sz w:val="32"/>
        </w:rPr>
        <w:t>，若采</w:t>
      </w:r>
      <w:r>
        <w:rPr>
          <w:rFonts w:hint="eastAsia" w:eastAsia="仿宋_GB2312"/>
          <w:sz w:val="32"/>
        </w:rPr>
        <w:t>用微生物或PCD进</w:t>
      </w:r>
      <w:r>
        <w:rPr>
          <w:rFonts w:hint="eastAsia" w:ascii="___WRD_EMBED_SUB_47" w:hAnsi="___WRD_EMBED_SUB_47" w:eastAsia="___WRD_EMBED_SUB_47" w:cs="___WRD_EMBED_SUB_47"/>
          <w:color w:val="000000"/>
          <w:sz w:val="32"/>
        </w:rPr>
        <w:t>行验证时，应说明其方法</w:t>
      </w:r>
      <w:r>
        <w:rPr>
          <w:rFonts w:hint="eastAsia" w:eastAsia="仿宋_GB2312"/>
          <w:color w:val="000000"/>
          <w:sz w:val="32"/>
        </w:rPr>
        <w:t>。</w:t>
      </w:r>
    </w:p>
    <w:p w14:paraId="21A708C3">
      <w:pPr>
        <w:spacing w:line="520" w:lineRule="exact"/>
        <w:ind w:firstLine="640" w:firstLineChars="200"/>
        <w:rPr>
          <w:rFonts w:eastAsia="仿宋_GB2312"/>
          <w:sz w:val="32"/>
          <w:szCs w:val="32"/>
        </w:rPr>
      </w:pPr>
      <w:r>
        <w:rPr>
          <w:rFonts w:hint="eastAsia" w:eastAsia="仿宋_GB2312"/>
          <w:sz w:val="32"/>
          <w:szCs w:val="32"/>
        </w:rPr>
        <w:t>4.2</w:t>
      </w:r>
      <w:r>
        <w:rPr>
          <w:rFonts w:hint="eastAsia" w:eastAsia="仿宋_GB2312"/>
          <w:sz w:val="32"/>
        </w:rPr>
        <w:t>电气系统安全性研究</w:t>
      </w:r>
    </w:p>
    <w:p w14:paraId="417564D3">
      <w:pPr>
        <w:spacing w:line="520" w:lineRule="exact"/>
        <w:ind w:firstLine="640" w:firstLineChars="200"/>
        <w:rPr>
          <w:rFonts w:eastAsia="仿宋_GB2312"/>
          <w:sz w:val="32"/>
          <w:szCs w:val="32"/>
        </w:rPr>
      </w:pPr>
      <w:r>
        <w:rPr>
          <w:rFonts w:hint="eastAsia" w:eastAsia="仿宋_GB2312"/>
          <w:sz w:val="32"/>
          <w:szCs w:val="32"/>
        </w:rPr>
        <w:t>申请人需要提供电气安全性、机械和环境保护以及电磁兼容性的研究资料，说明适用的标准以及开展的研究。</w:t>
      </w:r>
    </w:p>
    <w:p w14:paraId="53FF2F9D">
      <w:pPr>
        <w:snapToGrid w:val="0"/>
        <w:spacing w:line="520" w:lineRule="exact"/>
        <w:ind w:firstLine="640" w:firstLineChars="200"/>
        <w:rPr>
          <w:rFonts w:eastAsia="仿宋_GB2312"/>
          <w:sz w:val="32"/>
          <w:szCs w:val="32"/>
        </w:rPr>
      </w:pPr>
      <w:r>
        <w:rPr>
          <w:rFonts w:hint="eastAsia" w:eastAsia="仿宋_GB2312"/>
          <w:sz w:val="32"/>
          <w:szCs w:val="32"/>
        </w:rPr>
        <w:t>4.3软件研究</w:t>
      </w:r>
    </w:p>
    <w:p w14:paraId="0F1EEE1D">
      <w:pPr>
        <w:snapToGrid w:val="0"/>
        <w:spacing w:line="520" w:lineRule="exact"/>
        <w:ind w:firstLine="640" w:firstLineChars="200"/>
        <w:rPr>
          <w:rFonts w:eastAsia="仿宋_GB2312"/>
          <w:sz w:val="32"/>
          <w:szCs w:val="32"/>
        </w:rPr>
      </w:pPr>
      <w:r>
        <w:rPr>
          <w:rFonts w:hint="eastAsia" w:eastAsia="仿宋_GB2312"/>
          <w:sz w:val="32"/>
          <w:szCs w:val="32"/>
        </w:rPr>
        <w:t>注册申请人需依据《医疗器械软件注册审查指导原则（2022年修订版）》提交软件研究资料（含现成软件研究资料、互操作性研究资料、GB/T 25000.51报告等），软件研究资料需按照至少“中等”安全性级别提供。含有</w:t>
      </w:r>
      <w:r>
        <w:rPr>
          <w:rFonts w:eastAsia="仿宋_GB2312"/>
          <w:sz w:val="32"/>
          <w:szCs w:val="32"/>
        </w:rPr>
        <w:t>上位机和下位机软件的，需分别进行软件研究。</w:t>
      </w:r>
      <w:r>
        <w:rPr>
          <w:rFonts w:hint="eastAsia" w:eastAsia="仿宋_GB2312"/>
          <w:sz w:val="32"/>
          <w:szCs w:val="32"/>
        </w:rPr>
        <w:t>同一</w:t>
      </w:r>
      <w:r>
        <w:rPr>
          <w:rFonts w:eastAsia="仿宋_GB2312"/>
          <w:sz w:val="32"/>
          <w:szCs w:val="32"/>
        </w:rPr>
        <w:t>注册</w:t>
      </w:r>
      <w:r>
        <w:rPr>
          <w:rFonts w:hint="eastAsia" w:eastAsia="仿宋_GB2312"/>
          <w:sz w:val="32"/>
          <w:szCs w:val="32"/>
        </w:rPr>
        <w:t>单元</w:t>
      </w:r>
      <w:r>
        <w:rPr>
          <w:rFonts w:eastAsia="仿宋_GB2312"/>
          <w:sz w:val="32"/>
          <w:szCs w:val="32"/>
        </w:rPr>
        <w:t>不同型号规格</w:t>
      </w:r>
      <w:r>
        <w:rPr>
          <w:rFonts w:hint="eastAsia" w:eastAsia="仿宋_GB2312"/>
          <w:sz w:val="32"/>
          <w:szCs w:val="32"/>
        </w:rPr>
        <w:t>的</w:t>
      </w:r>
      <w:r>
        <w:rPr>
          <w:rFonts w:eastAsia="仿宋_GB2312"/>
          <w:sz w:val="32"/>
          <w:szCs w:val="32"/>
        </w:rPr>
        <w:t>产品</w:t>
      </w:r>
      <w:r>
        <w:rPr>
          <w:rFonts w:hint="eastAsia" w:eastAsia="仿宋_GB2312"/>
          <w:sz w:val="32"/>
          <w:szCs w:val="32"/>
        </w:rPr>
        <w:t>采用</w:t>
      </w:r>
      <w:r>
        <w:rPr>
          <w:rFonts w:eastAsia="仿宋_GB2312"/>
          <w:sz w:val="32"/>
          <w:szCs w:val="32"/>
        </w:rPr>
        <w:t>不同软件</w:t>
      </w:r>
      <w:r>
        <w:rPr>
          <w:rFonts w:hint="eastAsia" w:eastAsia="仿宋_GB2312"/>
          <w:sz w:val="32"/>
          <w:szCs w:val="32"/>
        </w:rPr>
        <w:t>时，</w:t>
      </w:r>
      <w:r>
        <w:rPr>
          <w:rFonts w:eastAsia="仿宋_GB2312"/>
          <w:sz w:val="32"/>
          <w:szCs w:val="32"/>
        </w:rPr>
        <w:t>需分别进行软件研究。</w:t>
      </w:r>
    </w:p>
    <w:p w14:paraId="705E24DC">
      <w:pPr>
        <w:snapToGrid w:val="0"/>
        <w:spacing w:line="520" w:lineRule="exact"/>
        <w:ind w:firstLine="640" w:firstLineChars="200"/>
        <w:rPr>
          <w:rFonts w:eastAsia="仿宋_GB2312"/>
          <w:sz w:val="32"/>
          <w:szCs w:val="32"/>
        </w:rPr>
      </w:pPr>
      <w:r>
        <w:rPr>
          <w:rFonts w:hint="eastAsia" w:eastAsia="仿宋_GB2312"/>
          <w:sz w:val="32"/>
          <w:szCs w:val="32"/>
        </w:rPr>
        <w:t>若适用，如</w:t>
      </w:r>
      <w:r>
        <w:rPr>
          <w:rFonts w:eastAsia="仿宋_GB2312"/>
          <w:sz w:val="32"/>
          <w:szCs w:val="32"/>
        </w:rPr>
        <w:t>产品具有电子数据交换、远程访问与控制</w:t>
      </w:r>
      <w:r>
        <w:rPr>
          <w:rFonts w:hint="eastAsia" w:eastAsia="仿宋_GB2312"/>
          <w:sz w:val="32"/>
          <w:szCs w:val="32"/>
        </w:rPr>
        <w:t>等</w:t>
      </w:r>
      <w:r>
        <w:rPr>
          <w:rFonts w:eastAsia="仿宋_GB2312"/>
          <w:sz w:val="32"/>
          <w:szCs w:val="32"/>
        </w:rPr>
        <w:t>功能，</w:t>
      </w:r>
      <w:r>
        <w:rPr>
          <w:rFonts w:hint="eastAsia" w:eastAsia="仿宋_GB2312"/>
          <w:sz w:val="32"/>
          <w:szCs w:val="32"/>
        </w:rPr>
        <w:t>参考《医疗器械网络安全注册审查指导原则（2022年修订版）》，申请人需提供网络安全研究资料。</w:t>
      </w:r>
    </w:p>
    <w:p w14:paraId="5C0D3815">
      <w:pPr>
        <w:snapToGrid w:val="0"/>
        <w:spacing w:line="520" w:lineRule="exact"/>
        <w:ind w:firstLine="640" w:firstLineChars="200"/>
        <w:rPr>
          <w:rFonts w:eastAsia="仿宋_GB2312"/>
          <w:sz w:val="32"/>
          <w:szCs w:val="32"/>
        </w:rPr>
      </w:pPr>
      <w:r>
        <w:rPr>
          <w:rFonts w:hint="eastAsia" w:eastAsia="仿宋_GB2312"/>
          <w:sz w:val="32"/>
          <w:szCs w:val="32"/>
        </w:rPr>
        <w:t>4.4清洁、消毒、灭菌研究</w:t>
      </w:r>
    </w:p>
    <w:p w14:paraId="6192281F">
      <w:pPr>
        <w:snapToGrid w:val="0"/>
        <w:spacing w:line="520" w:lineRule="exact"/>
        <w:ind w:firstLine="640" w:firstLineChars="200"/>
        <w:rPr>
          <w:rFonts w:eastAsia="仿宋_GB2312"/>
          <w:sz w:val="32"/>
          <w:szCs w:val="32"/>
        </w:rPr>
      </w:pPr>
      <w:r>
        <w:rPr>
          <w:rFonts w:eastAsia="仿宋_GB2312"/>
          <w:color w:val="000000"/>
          <w:sz w:val="32"/>
          <w:szCs w:val="32"/>
        </w:rPr>
        <w:t>申请人宜</w:t>
      </w:r>
      <w:r>
        <w:rPr>
          <w:rFonts w:hint="eastAsia" w:eastAsia="仿宋_GB2312"/>
          <w:sz w:val="32"/>
          <w:szCs w:val="32"/>
        </w:rPr>
        <w:t>明确推荐的清洁剂和清洗方法。该类产品本身通常不需要消毒和灭菌处理。</w:t>
      </w:r>
    </w:p>
    <w:p w14:paraId="5AAF9084">
      <w:pPr>
        <w:snapToGrid w:val="0"/>
        <w:spacing w:line="520" w:lineRule="exact"/>
        <w:ind w:firstLine="640" w:firstLineChars="200"/>
        <w:rPr>
          <w:rFonts w:eastAsia="仿宋_GB2312"/>
          <w:sz w:val="32"/>
          <w:szCs w:val="32"/>
        </w:rPr>
      </w:pPr>
      <w:r>
        <w:rPr>
          <w:rFonts w:hint="eastAsia" w:eastAsia="仿宋_GB2312"/>
          <w:sz w:val="32"/>
          <w:szCs w:val="32"/>
        </w:rPr>
        <w:t>4.5可用性研究</w:t>
      </w:r>
    </w:p>
    <w:p w14:paraId="4A7612A9">
      <w:pPr>
        <w:snapToGrid w:val="0"/>
        <w:spacing w:line="520" w:lineRule="exact"/>
        <w:ind w:firstLine="640" w:firstLineChars="200"/>
        <w:rPr>
          <w:rFonts w:eastAsia="仿宋_GB2312"/>
          <w:sz w:val="32"/>
          <w:szCs w:val="32"/>
        </w:rPr>
      </w:pPr>
      <w:r>
        <w:rPr>
          <w:rFonts w:hint="eastAsia" w:eastAsia="仿宋_GB2312"/>
          <w:sz w:val="32"/>
          <w:szCs w:val="32"/>
        </w:rPr>
        <w:t>注册申请人需依据《医疗器械可用性工程注册审查指导原则》，按照中使用风险医疗器械要求提交使用错误评估报告。</w:t>
      </w:r>
    </w:p>
    <w:p w14:paraId="2DA291AC">
      <w:pPr>
        <w:snapToGrid w:val="0"/>
        <w:spacing w:line="520" w:lineRule="exact"/>
        <w:ind w:firstLine="640" w:firstLineChars="200"/>
        <w:rPr>
          <w:rFonts w:eastAsia="楷体_GB2312"/>
          <w:sz w:val="32"/>
          <w:szCs w:val="32"/>
        </w:rPr>
      </w:pPr>
      <w:r>
        <w:rPr>
          <w:rFonts w:eastAsia="仿宋_GB2312"/>
          <w:sz w:val="32"/>
          <w:szCs w:val="32"/>
        </w:rPr>
        <w:t>5.</w:t>
      </w:r>
      <w:r>
        <w:rPr>
          <w:rFonts w:hint="eastAsia" w:eastAsia="楷体_GB2312"/>
          <w:sz w:val="32"/>
          <w:szCs w:val="32"/>
        </w:rPr>
        <w:t>稳定性研究</w:t>
      </w:r>
    </w:p>
    <w:p w14:paraId="371492B4">
      <w:pPr>
        <w:snapToGrid w:val="0"/>
        <w:spacing w:line="520" w:lineRule="exact"/>
        <w:ind w:firstLine="640" w:firstLineChars="200"/>
        <w:rPr>
          <w:rFonts w:eastAsia="仿宋_GB2312"/>
          <w:sz w:val="32"/>
          <w:szCs w:val="32"/>
        </w:rPr>
      </w:pPr>
      <w:r>
        <w:rPr>
          <w:rFonts w:hint="eastAsia" w:eastAsia="楷体_GB2312"/>
          <w:sz w:val="32"/>
          <w:szCs w:val="32"/>
        </w:rPr>
        <w:t>5.1</w:t>
      </w:r>
      <w:r>
        <w:rPr>
          <w:rFonts w:eastAsia="仿宋_GB2312"/>
          <w:sz w:val="32"/>
        </w:rPr>
        <w:t>因各生产企业采用的原材料不同，同时考虑到使用频次的不同及一些不可预期的因素，产品的实际有效期会不同。</w:t>
      </w:r>
      <w:r>
        <w:rPr>
          <w:rFonts w:hint="eastAsia" w:eastAsia="仿宋_GB2312"/>
          <w:sz w:val="32"/>
          <w:szCs w:val="32"/>
        </w:rPr>
        <w:t>申请人需明确立</w:t>
      </w:r>
      <w:r>
        <w:rPr>
          <w:rFonts w:hint="eastAsia" w:eastAsia="仿宋_GB2312"/>
          <w:sz w:val="32"/>
          <w:szCs w:val="32"/>
          <w:lang w:eastAsia="zh-CN"/>
        </w:rPr>
        <w:t>环氧乙烷</w:t>
      </w:r>
      <w:r>
        <w:rPr>
          <w:rFonts w:hint="eastAsia" w:eastAsia="仿宋_GB2312"/>
          <w:sz w:val="32"/>
          <w:szCs w:val="32"/>
        </w:rPr>
        <w:t>灭菌器产品的</w:t>
      </w:r>
      <w:r>
        <w:rPr>
          <w:rFonts w:eastAsia="仿宋_GB2312"/>
          <w:color w:val="000000"/>
          <w:sz w:val="32"/>
          <w:szCs w:val="32"/>
        </w:rPr>
        <w:t>预期使用寿命</w:t>
      </w:r>
      <w:r>
        <w:rPr>
          <w:rFonts w:hint="eastAsia" w:eastAsia="仿宋_GB2312"/>
          <w:sz w:val="32"/>
          <w:szCs w:val="32"/>
        </w:rPr>
        <w:t>，参考《有源医疗器械使用期限注册技术审查指导原则》，提供预期使用寿命的分析验证报告，补充验证关键指标。</w:t>
      </w:r>
    </w:p>
    <w:p w14:paraId="78EB3D6A">
      <w:pPr>
        <w:snapToGrid w:val="0"/>
        <w:spacing w:line="520" w:lineRule="exact"/>
        <w:ind w:firstLine="640" w:firstLineChars="200"/>
        <w:rPr>
          <w:rFonts w:eastAsia="仿宋_GB2312"/>
          <w:sz w:val="32"/>
          <w:szCs w:val="32"/>
        </w:rPr>
      </w:pPr>
      <w:r>
        <w:rPr>
          <w:rFonts w:hint="eastAsia" w:eastAsia="仿宋_GB2312"/>
          <w:sz w:val="32"/>
          <w:szCs w:val="32"/>
        </w:rPr>
        <w:t>5.2产品经环境试验和模拟运输试验验证，包装需符合运输和贮存的要求。在宣称的有效期内以及运输储存条件下，申请人需提供保持包装完整性的依据，可参考GB/T 4857系列标准。环境试验可参考GB/T 14710标准。</w:t>
      </w:r>
    </w:p>
    <w:p w14:paraId="51F7D86B">
      <w:pPr>
        <w:snapToGrid w:val="0"/>
        <w:spacing w:line="520" w:lineRule="exact"/>
        <w:ind w:firstLine="640" w:firstLineChars="200"/>
        <w:rPr>
          <w:rFonts w:eastAsia="仿宋_GB2312"/>
          <w:sz w:val="32"/>
          <w:szCs w:val="32"/>
        </w:rPr>
      </w:pPr>
      <w:r>
        <w:rPr>
          <w:rFonts w:hint="eastAsia" w:eastAsia="仿宋_GB2312"/>
          <w:sz w:val="32"/>
          <w:szCs w:val="32"/>
        </w:rPr>
        <w:t>6.</w:t>
      </w:r>
      <w:r>
        <w:rPr>
          <w:rFonts w:eastAsia="仿宋_GB2312"/>
          <w:sz w:val="32"/>
          <w:szCs w:val="32"/>
        </w:rPr>
        <w:t>其他资料</w:t>
      </w:r>
    </w:p>
    <w:p w14:paraId="25E5B5EA">
      <w:pPr>
        <w:snapToGrid w:val="0"/>
        <w:spacing w:line="520" w:lineRule="exact"/>
        <w:ind w:firstLine="640" w:firstLineChars="200"/>
        <w:rPr>
          <w:rFonts w:eastAsia="仿宋_GB2312"/>
          <w:sz w:val="32"/>
          <w:szCs w:val="32"/>
        </w:rPr>
      </w:pPr>
      <w:r>
        <w:rPr>
          <w:rFonts w:hint="eastAsia" w:eastAsia="仿宋_GB2312"/>
          <w:sz w:val="32"/>
          <w:szCs w:val="32"/>
          <w:lang w:eastAsia="zh-CN"/>
        </w:rPr>
        <w:t>环氧乙烷</w:t>
      </w:r>
      <w:r>
        <w:rPr>
          <w:rFonts w:hint="eastAsia" w:eastAsia="仿宋_GB2312"/>
          <w:sz w:val="32"/>
          <w:szCs w:val="32"/>
        </w:rPr>
        <w:t>灭菌器产品已列入《</w:t>
      </w:r>
      <w:r>
        <w:rPr>
          <w:rFonts w:eastAsia="仿宋_GB2312"/>
          <w:sz w:val="32"/>
          <w:szCs w:val="32"/>
        </w:rPr>
        <w:t>免于临床评价医疗器械目录</w:t>
      </w:r>
      <w:r>
        <w:rPr>
          <w:rFonts w:hint="eastAsia" w:eastAsia="仿宋_GB2312"/>
          <w:sz w:val="32"/>
          <w:szCs w:val="32"/>
        </w:rPr>
        <w:t>》，注册申请时提交免</w:t>
      </w:r>
      <w:r>
        <w:rPr>
          <w:rFonts w:hint="eastAsia" w:eastAsia="仿宋_GB2312"/>
          <w:sz w:val="32"/>
          <w:szCs w:val="32"/>
          <w:lang w:eastAsia="zh-CN"/>
        </w:rPr>
        <w:t>于</w:t>
      </w:r>
      <w:r>
        <w:rPr>
          <w:rFonts w:hint="eastAsia" w:eastAsia="仿宋_GB2312"/>
          <w:sz w:val="32"/>
          <w:szCs w:val="32"/>
        </w:rPr>
        <w:t>临床评价资料的要求：</w:t>
      </w:r>
    </w:p>
    <w:p w14:paraId="0BC6FB13">
      <w:pPr>
        <w:snapToGrid w:val="0"/>
        <w:spacing w:line="520" w:lineRule="exact"/>
        <w:ind w:firstLine="640" w:firstLineChars="200"/>
        <w:rPr>
          <w:rFonts w:eastAsia="仿宋_GB2312"/>
          <w:sz w:val="32"/>
          <w:szCs w:val="32"/>
        </w:rPr>
      </w:pPr>
      <w:r>
        <w:rPr>
          <w:rFonts w:hint="eastAsia" w:eastAsia="仿宋_GB2312"/>
          <w:sz w:val="32"/>
          <w:szCs w:val="32"/>
        </w:rPr>
        <w:t>6.1提交申报产品相关信息与《免于临床评价医疗器械目录》所述内容的比对资料，证明两者具有等同性。</w:t>
      </w:r>
    </w:p>
    <w:p w14:paraId="0271593A">
      <w:pPr>
        <w:widowControl/>
        <w:snapToGrid w:val="0"/>
        <w:spacing w:line="520" w:lineRule="exact"/>
        <w:ind w:firstLine="640" w:firstLineChars="200"/>
        <w:jc w:val="left"/>
        <w:rPr>
          <w:rFonts w:eastAsia="仿宋_GB2312"/>
          <w:sz w:val="32"/>
        </w:rPr>
      </w:pPr>
      <w:r>
        <w:rPr>
          <w:rFonts w:hint="eastAsia" w:eastAsia="仿宋_GB2312"/>
          <w:sz w:val="32"/>
          <w:szCs w:val="32"/>
        </w:rPr>
        <w:t>6.2提交申报产品与《目录》中已获准境内注册医疗器械的比对说明，比对内容包括基本原理、</w:t>
      </w:r>
      <w:r>
        <w:rPr>
          <w:rFonts w:eastAsia="仿宋_GB2312"/>
          <w:sz w:val="32"/>
        </w:rPr>
        <w:t>所用材料、</w:t>
      </w:r>
      <w:r>
        <w:rPr>
          <w:rFonts w:hint="eastAsia" w:eastAsia="仿宋_GB2312"/>
          <w:sz w:val="32"/>
          <w:szCs w:val="32"/>
        </w:rPr>
        <w:t>结构组成、性能要求、适用范围、使用方法等，并提供必要的支持性资料。</w:t>
      </w:r>
      <w:r>
        <w:rPr>
          <w:rFonts w:eastAsia="仿宋_GB2312"/>
          <w:sz w:val="32"/>
        </w:rPr>
        <w:t>需重点关注申报产品与已上市产品的异同，对于差异性需提交必要的验证资料。</w:t>
      </w:r>
    </w:p>
    <w:p w14:paraId="5DF2230C">
      <w:pPr>
        <w:widowControl/>
        <w:snapToGrid w:val="0"/>
        <w:spacing w:line="520" w:lineRule="exact"/>
        <w:ind w:firstLine="640" w:firstLineChars="200"/>
        <w:jc w:val="left"/>
      </w:pPr>
      <w:r>
        <w:rPr>
          <w:rFonts w:hint="eastAsia" w:eastAsia="仿宋_GB2312"/>
          <w:sz w:val="32"/>
          <w:lang w:val="en-US" w:eastAsia="zh-CN"/>
        </w:rPr>
        <w:t>6.3</w:t>
      </w:r>
      <w:r>
        <w:rPr>
          <w:rFonts w:hint="eastAsia" w:eastAsia="仿宋_GB2312"/>
          <w:sz w:val="32"/>
          <w:szCs w:val="32"/>
        </w:rPr>
        <w:t>充分考虑豁免情况不包括新材料、新工作原理、新功能的产品。不能证明与已获准境内注册的产品具有基本等同性，需按相关指导原则进行临床评价</w:t>
      </w:r>
    </w:p>
    <w:p w14:paraId="47168ECF">
      <w:pPr>
        <w:snapToGrid w:val="0"/>
        <w:spacing w:line="520" w:lineRule="exact"/>
        <w:ind w:firstLine="640" w:firstLineChars="200"/>
        <w:rPr>
          <w:rFonts w:hint="eastAsia" w:eastAsia="仿宋_GB2312"/>
          <w:sz w:val="32"/>
          <w:szCs w:val="32"/>
        </w:rPr>
      </w:pPr>
      <w:r>
        <w:rPr>
          <w:rFonts w:hint="eastAsia" w:eastAsia="仿宋_GB2312"/>
          <w:sz w:val="32"/>
          <w:szCs w:val="32"/>
        </w:rPr>
        <w:t>7.</w:t>
      </w:r>
      <w:r>
        <w:rPr>
          <w:rFonts w:eastAsia="仿宋_GB2312"/>
          <w:sz w:val="32"/>
        </w:rPr>
        <w:t>证明产品安全性、有效性的其他研究资料。</w:t>
      </w:r>
    </w:p>
    <w:p w14:paraId="3EDA7A1F">
      <w:pPr>
        <w:widowControl/>
        <w:snapToGrid w:val="0"/>
        <w:spacing w:line="520" w:lineRule="exact"/>
        <w:ind w:firstLine="420" w:firstLineChars="200"/>
        <w:jc w:val="left"/>
      </w:pPr>
    </w:p>
    <w:p w14:paraId="7DB5036B">
      <w:pPr>
        <w:widowControl/>
        <w:numPr>
          <w:ilvl w:val="0"/>
          <w:numId w:val="0"/>
        </w:numPr>
        <w:snapToGrid w:val="0"/>
        <w:spacing w:line="520" w:lineRule="exact"/>
        <w:ind w:leftChars="0" w:firstLine="640" w:firstLineChars="200"/>
        <w:jc w:val="left"/>
        <w:rPr>
          <w:rFonts w:hint="eastAsia" w:eastAsia="楷体_GB2312" w:cs="楷体_GB2312"/>
          <w:sz w:val="32"/>
          <w:szCs w:val="32"/>
          <w:highlight w:val="none"/>
          <w:lang w:eastAsia="zh-CN"/>
        </w:rPr>
      </w:pPr>
      <w:r>
        <w:rPr>
          <w:rFonts w:hint="eastAsia" w:eastAsia="楷体_GB2312" w:cs="楷体_GB2312"/>
          <w:sz w:val="32"/>
          <w:szCs w:val="32"/>
          <w:highlight w:val="none"/>
          <w:lang w:eastAsia="zh-CN"/>
        </w:rPr>
        <w:t>（四）临床评价资料</w:t>
      </w:r>
    </w:p>
    <w:p w14:paraId="71FCBE89">
      <w:pPr>
        <w:widowControl/>
        <w:snapToGrid w:val="0"/>
        <w:spacing w:line="520" w:lineRule="exact"/>
        <w:ind w:firstLine="640" w:firstLineChars="200"/>
        <w:jc w:val="left"/>
        <w:rPr>
          <w:rFonts w:hint="eastAsia" w:eastAsia="仿宋_GB2312"/>
          <w:color w:val="auto"/>
          <w:sz w:val="32"/>
          <w:szCs w:val="32"/>
        </w:rPr>
      </w:pPr>
      <w:r>
        <w:rPr>
          <w:rFonts w:eastAsia="仿宋_GB2312"/>
          <w:color w:val="auto"/>
          <w:sz w:val="32"/>
          <w:szCs w:val="32"/>
        </w:rPr>
        <w:t>若无法证明申报产品与《免于临床评价医疗器械目录》所述的产品具有等同性，</w:t>
      </w:r>
      <w:r>
        <w:rPr>
          <w:rFonts w:hint="eastAsia" w:eastAsia="仿宋_GB2312"/>
          <w:color w:val="auto"/>
          <w:sz w:val="32"/>
          <w:szCs w:val="32"/>
        </w:rPr>
        <w:t>则应按照《医疗器械临床评价技术指导原则》提交临床评价资料。</w:t>
      </w:r>
    </w:p>
    <w:p w14:paraId="20754429">
      <w:pPr>
        <w:widowControl/>
        <w:snapToGrid w:val="0"/>
        <w:spacing w:line="520" w:lineRule="exact"/>
        <w:ind w:firstLine="640" w:firstLineChars="200"/>
        <w:jc w:val="left"/>
        <w:rPr>
          <w:rFonts w:hint="eastAsia" w:eastAsia="仿宋_GB2312"/>
          <w:color w:val="auto"/>
          <w:sz w:val="32"/>
          <w:szCs w:val="32"/>
        </w:rPr>
      </w:pPr>
    </w:p>
    <w:p w14:paraId="31948784">
      <w:pPr>
        <w:numPr>
          <w:ilvl w:val="0"/>
          <w:numId w:val="0"/>
        </w:numPr>
        <w:snapToGrid w:val="0"/>
        <w:spacing w:line="520" w:lineRule="exact"/>
        <w:ind w:firstLine="640" w:firstLineChars="200"/>
        <w:rPr>
          <w:rFonts w:eastAsia="楷体_GB2312" w:cs="楷体_GB2312"/>
          <w:sz w:val="32"/>
          <w:szCs w:val="32"/>
          <w:highlight w:val="none"/>
        </w:rPr>
      </w:pPr>
      <w:r>
        <w:rPr>
          <w:rFonts w:hint="eastAsia" w:eastAsia="楷体_GB2312" w:cs="楷体_GB2312"/>
          <w:sz w:val="32"/>
          <w:szCs w:val="32"/>
          <w:highlight w:val="none"/>
          <w:lang w:eastAsia="zh-CN"/>
        </w:rPr>
        <w:t>（五）</w:t>
      </w:r>
      <w:r>
        <w:rPr>
          <w:rFonts w:eastAsia="楷体_GB2312" w:cs="楷体_GB2312"/>
          <w:sz w:val="32"/>
          <w:szCs w:val="32"/>
          <w:highlight w:val="none"/>
        </w:rPr>
        <w:t>产品说明书和标签</w:t>
      </w:r>
      <w:r>
        <w:rPr>
          <w:rFonts w:hint="eastAsia" w:eastAsia="楷体_GB2312" w:cs="楷体_GB2312"/>
          <w:sz w:val="32"/>
          <w:szCs w:val="32"/>
          <w:highlight w:val="none"/>
        </w:rPr>
        <w:t>样稿</w:t>
      </w:r>
    </w:p>
    <w:p w14:paraId="77BCA83B">
      <w:pPr>
        <w:snapToGrid w:val="0"/>
        <w:spacing w:line="520" w:lineRule="exact"/>
        <w:ind w:firstLine="640" w:firstLineChars="200"/>
        <w:rPr>
          <w:rFonts w:eastAsia="仿宋_GB2312"/>
          <w:sz w:val="32"/>
          <w:szCs w:val="32"/>
        </w:rPr>
      </w:pPr>
      <w:r>
        <w:rPr>
          <w:rFonts w:eastAsia="仿宋_GB2312"/>
          <w:sz w:val="32"/>
          <w:szCs w:val="32"/>
        </w:rPr>
        <w:t>产品说明书和标签</w:t>
      </w:r>
      <w:r>
        <w:rPr>
          <w:rFonts w:hint="eastAsia" w:eastAsia="仿宋_GB2312"/>
          <w:sz w:val="32"/>
          <w:szCs w:val="32"/>
        </w:rPr>
        <w:t>需</w:t>
      </w:r>
      <w:r>
        <w:rPr>
          <w:rFonts w:eastAsia="仿宋_GB2312"/>
          <w:sz w:val="32"/>
          <w:szCs w:val="32"/>
        </w:rPr>
        <w:t>符合《医疗器械说明书和标签管理规定》</w:t>
      </w:r>
      <w:r>
        <w:rPr>
          <w:rFonts w:hint="eastAsia" w:eastAsia="仿宋_GB2312"/>
          <w:sz w:val="32"/>
          <w:szCs w:val="32"/>
        </w:rPr>
        <w:t>的要求，并参照GB 4793、</w:t>
      </w:r>
      <w:r>
        <w:rPr>
          <w:rFonts w:eastAsia="仿宋_GB2312"/>
          <w:sz w:val="32"/>
          <w:szCs w:val="32"/>
        </w:rPr>
        <w:t>YY</w:t>
      </w:r>
      <w:r>
        <w:rPr>
          <w:rFonts w:hint="eastAsia" w:eastAsia="仿宋_GB2312"/>
          <w:sz w:val="32"/>
          <w:szCs w:val="32"/>
          <w:lang w:val="en-US" w:eastAsia="zh-CN"/>
        </w:rPr>
        <w:t>0503</w:t>
      </w:r>
      <w:r>
        <w:rPr>
          <w:rFonts w:hint="eastAsia" w:eastAsia="仿宋_GB2312"/>
          <w:sz w:val="32"/>
          <w:szCs w:val="32"/>
        </w:rPr>
        <w:t>等相关标准的要求进行编写。同时还需关注以下内容：</w:t>
      </w:r>
    </w:p>
    <w:p w14:paraId="4715E7BF">
      <w:pPr>
        <w:snapToGrid w:val="0"/>
        <w:spacing w:line="520" w:lineRule="exact"/>
        <w:ind w:firstLine="640" w:firstLineChars="200"/>
        <w:rPr>
          <w:rFonts w:eastAsia="仿宋_GB2312"/>
          <w:sz w:val="32"/>
          <w:szCs w:val="32"/>
        </w:rPr>
      </w:pPr>
      <w:r>
        <w:rPr>
          <w:rFonts w:eastAsia="仿宋_GB2312"/>
          <w:sz w:val="32"/>
          <w:szCs w:val="32"/>
        </w:rPr>
        <w:t>1.产品性能、主要技术参数。</w:t>
      </w:r>
    </w:p>
    <w:p w14:paraId="12BF0146">
      <w:pPr>
        <w:snapToGrid w:val="0"/>
        <w:spacing w:line="520" w:lineRule="exact"/>
        <w:ind w:firstLine="640" w:firstLineChars="200"/>
        <w:rPr>
          <w:rFonts w:eastAsia="仿宋_GB2312"/>
          <w:sz w:val="32"/>
          <w:szCs w:val="32"/>
        </w:rPr>
      </w:pPr>
      <w:r>
        <w:rPr>
          <w:rFonts w:eastAsia="仿宋_GB2312"/>
          <w:sz w:val="32"/>
          <w:szCs w:val="32"/>
        </w:rPr>
        <w:t>2.关于灭菌原理的说明。</w:t>
      </w:r>
    </w:p>
    <w:p w14:paraId="4AE9435B">
      <w:pPr>
        <w:snapToGrid w:val="0"/>
        <w:spacing w:line="520" w:lineRule="exact"/>
        <w:ind w:firstLine="640" w:firstLineChars="200"/>
        <w:rPr>
          <w:rFonts w:eastAsia="仿宋_GB2312"/>
          <w:sz w:val="32"/>
          <w:szCs w:val="32"/>
        </w:rPr>
      </w:pPr>
      <w:r>
        <w:rPr>
          <w:rFonts w:eastAsia="仿宋_GB2312"/>
          <w:sz w:val="32"/>
          <w:szCs w:val="32"/>
        </w:rPr>
        <w:t>3.关于提醒使用者对灭菌效果进行验证的警示说明。</w:t>
      </w:r>
    </w:p>
    <w:p w14:paraId="7FEC9184">
      <w:pPr>
        <w:snapToGrid w:val="0"/>
        <w:spacing w:line="520" w:lineRule="exact"/>
        <w:ind w:firstLine="640" w:firstLineChars="200"/>
        <w:rPr>
          <w:rFonts w:eastAsia="仿宋_GB2312"/>
          <w:sz w:val="32"/>
          <w:szCs w:val="32"/>
        </w:rPr>
      </w:pPr>
      <w:r>
        <w:rPr>
          <w:rFonts w:hint="eastAsia" w:eastAsia="仿宋_GB2312"/>
          <w:sz w:val="32"/>
          <w:szCs w:val="32"/>
          <w:lang w:val="en-US" w:eastAsia="zh-CN"/>
        </w:rPr>
        <w:t>4.</w:t>
      </w:r>
      <w:r>
        <w:rPr>
          <w:rFonts w:hint="eastAsia" w:eastAsia="仿宋_GB2312"/>
          <w:sz w:val="32"/>
          <w:szCs w:val="32"/>
        </w:rPr>
        <w:t>使用的环氧乙烷液化气体建议符合YY/T 0822要求</w:t>
      </w:r>
      <w:r>
        <w:rPr>
          <w:rFonts w:hint="eastAsia" w:eastAsia="仿宋_GB2312"/>
          <w:sz w:val="32"/>
          <w:szCs w:val="32"/>
          <w:lang w:eastAsia="zh-CN"/>
        </w:rPr>
        <w:t>。</w:t>
      </w:r>
    </w:p>
    <w:p w14:paraId="6D4078A1">
      <w:pPr>
        <w:pStyle w:val="7"/>
        <w:numPr>
          <w:ilvl w:val="0"/>
          <w:numId w:val="0"/>
        </w:numPr>
        <w:snapToGrid w:val="0"/>
        <w:spacing w:line="520" w:lineRule="exact"/>
        <w:ind w:left="640" w:leftChars="0"/>
        <w:rPr>
          <w:rFonts w:hint="eastAsia" w:eastAsia="仿宋_GB2312"/>
          <w:sz w:val="32"/>
          <w:szCs w:val="32"/>
          <w:lang w:eastAsia="zh-CN"/>
        </w:rPr>
      </w:pPr>
      <w:r>
        <w:rPr>
          <w:rFonts w:hint="eastAsia" w:eastAsia="仿宋_GB2312"/>
          <w:sz w:val="32"/>
          <w:szCs w:val="32"/>
          <w:lang w:val="en-US" w:eastAsia="zh-CN"/>
        </w:rPr>
        <w:t>5</w:t>
      </w:r>
      <w:r>
        <w:rPr>
          <w:rFonts w:eastAsia="仿宋_GB2312"/>
          <w:sz w:val="32"/>
          <w:szCs w:val="32"/>
        </w:rPr>
        <w:t>.明确产品的能源需求</w:t>
      </w:r>
      <w:r>
        <w:rPr>
          <w:rFonts w:hint="eastAsia" w:eastAsia="仿宋_GB2312"/>
          <w:sz w:val="32"/>
          <w:szCs w:val="32"/>
          <w:lang w:eastAsia="zh-CN"/>
        </w:rPr>
        <w:t>，包括但不限于：</w:t>
      </w:r>
    </w:p>
    <w:p w14:paraId="4179CFE5">
      <w:pPr>
        <w:snapToGrid w:val="0"/>
        <w:spacing w:line="520" w:lineRule="exact"/>
        <w:ind w:firstLine="640" w:firstLineChars="200"/>
        <w:rPr>
          <w:rFonts w:hint="default" w:eastAsia="仿宋_GB2312"/>
          <w:sz w:val="32"/>
          <w:szCs w:val="32"/>
          <w:lang w:eastAsia="zh-CN"/>
        </w:rPr>
      </w:pPr>
      <w:r>
        <w:rPr>
          <w:rFonts w:hint="eastAsia" w:eastAsia="仿宋_GB2312"/>
          <w:sz w:val="32"/>
          <w:szCs w:val="32"/>
          <w:lang w:eastAsia="zh-CN"/>
        </w:rPr>
        <w:t>●水需求：</w:t>
      </w:r>
      <w:r>
        <w:rPr>
          <w:rFonts w:hint="eastAsia" w:eastAsia="仿宋_GB2312"/>
          <w:sz w:val="32"/>
          <w:szCs w:val="32"/>
        </w:rPr>
        <w:t>蒸汽生成所用水源需为纯化水，水质应符合《中华人民共和国药典》和WS310.1中对纯化水的要求。</w:t>
      </w:r>
    </w:p>
    <w:p w14:paraId="7A5938CA">
      <w:pPr>
        <w:snapToGrid w:val="0"/>
        <w:spacing w:line="520" w:lineRule="exact"/>
        <w:ind w:firstLine="640" w:firstLineChars="200"/>
      </w:pPr>
      <w:r>
        <w:rPr>
          <w:rFonts w:hint="eastAsia" w:eastAsia="仿宋_GB2312"/>
          <w:sz w:val="32"/>
          <w:szCs w:val="32"/>
          <w:lang w:eastAsia="zh-CN"/>
        </w:rPr>
        <w:t>●电需求：</w:t>
      </w:r>
      <w:r>
        <w:rPr>
          <w:rFonts w:hint="eastAsia" w:eastAsia="仿宋_GB2312"/>
          <w:sz w:val="32"/>
          <w:szCs w:val="32"/>
        </w:rPr>
        <w:t>电源规格为380V±10%时采用三相五线制，220V±10%时采用三相线制；接地电阻≤4Ω；配备独立的配电箱，配电箱安装位置应避开进水水源和蒸汽汽源安装位置。</w:t>
      </w:r>
    </w:p>
    <w:p w14:paraId="12E37473">
      <w:pPr>
        <w:snapToGrid w:val="0"/>
        <w:spacing w:line="520" w:lineRule="exact"/>
        <w:ind w:firstLine="640" w:firstLineChars="200"/>
        <w:rPr>
          <w:rFonts w:hint="eastAsia" w:eastAsia="仿宋_GB2312"/>
          <w:sz w:val="32"/>
          <w:szCs w:val="32"/>
          <w:lang w:eastAsia="zh-CN"/>
        </w:rPr>
      </w:pPr>
      <w:r>
        <w:rPr>
          <w:rFonts w:hint="eastAsia" w:eastAsia="仿宋_GB2312"/>
          <w:sz w:val="32"/>
          <w:szCs w:val="32"/>
          <w:lang w:val="en-US" w:eastAsia="zh-CN"/>
        </w:rPr>
        <w:t>6</w:t>
      </w:r>
      <w:r>
        <w:rPr>
          <w:rFonts w:hint="eastAsia" w:eastAsia="仿宋_GB2312"/>
          <w:sz w:val="32"/>
          <w:szCs w:val="32"/>
        </w:rPr>
        <w:t>.</w:t>
      </w:r>
      <w:r>
        <w:rPr>
          <w:rFonts w:hint="eastAsia" w:eastAsia="仿宋_GB2312"/>
          <w:sz w:val="32"/>
          <w:szCs w:val="32"/>
          <w:lang w:eastAsia="zh-CN"/>
        </w:rPr>
        <w:t>明确产品使用环境要求，包括但不限于：</w:t>
      </w:r>
    </w:p>
    <w:p w14:paraId="1F1789D4">
      <w:pPr>
        <w:snapToGrid w:val="0"/>
        <w:spacing w:line="520" w:lineRule="exact"/>
        <w:ind w:firstLine="640" w:firstLineChars="200"/>
        <w:rPr>
          <w:rFonts w:hint="default" w:eastAsia="仿宋_GB2312"/>
          <w:color w:val="000000"/>
          <w:sz w:val="32"/>
          <w:szCs w:val="32"/>
        </w:rPr>
      </w:pPr>
      <w:r>
        <w:rPr>
          <w:rFonts w:hint="eastAsia" w:ascii="微软雅黑" w:hAnsi="微软雅黑" w:eastAsia="微软雅黑" w:cs="微软雅黑"/>
          <w:color w:val="000000"/>
          <w:sz w:val="32"/>
          <w:szCs w:val="32"/>
        </w:rPr>
        <w:t>●</w:t>
      </w:r>
      <w:r>
        <w:rPr>
          <w:rFonts w:hint="eastAsia" w:eastAsia="仿宋_GB2312"/>
          <w:color w:val="000000"/>
          <w:sz w:val="32"/>
          <w:szCs w:val="32"/>
        </w:rPr>
        <w:t>应安放在通风良好的独立空间内，切勿将它置于接近火源的</w:t>
      </w:r>
      <w:r>
        <w:rPr>
          <w:rFonts w:hint="default" w:eastAsia="仿宋_GB2312"/>
          <w:color w:val="000000"/>
          <w:sz w:val="32"/>
          <w:szCs w:val="32"/>
        </w:rPr>
        <w:t>地方。</w:t>
      </w:r>
    </w:p>
    <w:p w14:paraId="7F7AB915">
      <w:pPr>
        <w:snapToGrid w:val="0"/>
        <w:spacing w:line="520" w:lineRule="exact"/>
        <w:ind w:firstLine="640" w:firstLineChars="200"/>
        <w:rPr>
          <w:rFonts w:hint="default" w:eastAsia="仿宋_GB2312"/>
          <w:color w:val="000000"/>
          <w:sz w:val="32"/>
          <w:szCs w:val="32"/>
        </w:rPr>
      </w:pPr>
      <w:r>
        <w:rPr>
          <w:rFonts w:hint="eastAsia" w:ascii="微软雅黑" w:hAnsi="微软雅黑" w:eastAsia="微软雅黑" w:cs="微软雅黑"/>
          <w:color w:val="000000"/>
          <w:sz w:val="32"/>
          <w:szCs w:val="32"/>
        </w:rPr>
        <w:t>●</w:t>
      </w:r>
      <w:r>
        <w:rPr>
          <w:rFonts w:hint="default" w:eastAsia="仿宋_GB2312"/>
          <w:color w:val="000000"/>
          <w:sz w:val="32"/>
          <w:szCs w:val="32"/>
        </w:rPr>
        <w:t>应水平放置，安装位置应保证周围有一定的空间位置，以便安装和维修</w:t>
      </w:r>
    </w:p>
    <w:p w14:paraId="4A0F8FA5">
      <w:pPr>
        <w:snapToGrid w:val="0"/>
        <w:spacing w:line="520" w:lineRule="exact"/>
        <w:ind w:firstLine="640" w:firstLineChars="200"/>
        <w:rPr>
          <w:rFonts w:hint="eastAsia" w:eastAsia="仿宋_GB2312"/>
          <w:sz w:val="32"/>
          <w:szCs w:val="32"/>
          <w:lang w:eastAsia="zh-CN"/>
        </w:rPr>
      </w:pPr>
      <w:r>
        <w:rPr>
          <w:rFonts w:hint="eastAsia" w:ascii="微软雅黑" w:hAnsi="微软雅黑" w:eastAsia="微软雅黑" w:cs="微软雅黑"/>
          <w:color w:val="000000"/>
          <w:sz w:val="32"/>
          <w:szCs w:val="32"/>
        </w:rPr>
        <w:t>●</w:t>
      </w:r>
      <w:r>
        <w:rPr>
          <w:rFonts w:hint="default" w:eastAsia="仿宋_GB2312"/>
          <w:color w:val="000000"/>
          <w:sz w:val="32"/>
          <w:szCs w:val="32"/>
        </w:rPr>
        <w:t>灭菌器门前应留有足够的空间，以保证灭菌物品进出方便</w:t>
      </w:r>
    </w:p>
    <w:p w14:paraId="12CF6CB3">
      <w:pPr>
        <w:snapToGrid w:val="0"/>
        <w:spacing w:line="520" w:lineRule="exact"/>
        <w:ind w:firstLine="640" w:firstLineChars="200"/>
        <w:rPr>
          <w:rFonts w:eastAsia="仿宋_GB2312"/>
          <w:sz w:val="32"/>
          <w:szCs w:val="32"/>
        </w:rPr>
      </w:pPr>
      <w:r>
        <w:rPr>
          <w:rFonts w:hint="eastAsia" w:eastAsia="仿宋_GB2312"/>
          <w:sz w:val="32"/>
          <w:szCs w:val="32"/>
          <w:lang w:val="en-US" w:eastAsia="zh-CN"/>
        </w:rPr>
        <w:t>7.</w:t>
      </w:r>
      <w:r>
        <w:rPr>
          <w:rFonts w:hint="eastAsia" w:eastAsia="仿宋_GB2312"/>
          <w:sz w:val="32"/>
          <w:szCs w:val="32"/>
        </w:rPr>
        <w:t>明确产品安装调试的规范：</w:t>
      </w:r>
    </w:p>
    <w:p w14:paraId="00E9466B">
      <w:pPr>
        <w:snapToGrid w:val="0"/>
        <w:spacing w:line="520" w:lineRule="exact"/>
        <w:ind w:firstLine="640" w:firstLineChars="200"/>
        <w:rPr>
          <w:rFonts w:eastAsia="仿宋_GB2312"/>
          <w:sz w:val="32"/>
          <w:szCs w:val="32"/>
        </w:rPr>
      </w:pPr>
      <w:r>
        <w:rPr>
          <w:rFonts w:hint="eastAsia" w:eastAsia="仿宋_GB2312"/>
          <w:sz w:val="32"/>
          <w:szCs w:val="32"/>
          <w:lang w:val="en-US" w:eastAsia="zh-CN"/>
        </w:rPr>
        <w:t>8</w:t>
      </w:r>
      <w:r>
        <w:rPr>
          <w:rFonts w:eastAsia="仿宋_GB2312"/>
          <w:sz w:val="32"/>
          <w:szCs w:val="32"/>
        </w:rPr>
        <w:t>.对产品使用方法、</w:t>
      </w:r>
      <w:r>
        <w:rPr>
          <w:rFonts w:hint="eastAsia" w:eastAsia="仿宋_GB2312"/>
          <w:sz w:val="32"/>
          <w:szCs w:val="32"/>
        </w:rPr>
        <w:t>产品</w:t>
      </w:r>
      <w:r>
        <w:rPr>
          <w:rFonts w:eastAsia="仿宋_GB2312"/>
          <w:sz w:val="32"/>
          <w:szCs w:val="32"/>
        </w:rPr>
        <w:t>寿命、维护保养等情况做出说明。</w:t>
      </w:r>
    </w:p>
    <w:p w14:paraId="3FE5A9E7">
      <w:pPr>
        <w:snapToGrid w:val="0"/>
        <w:spacing w:line="520" w:lineRule="exact"/>
        <w:ind w:firstLine="640" w:firstLineChars="200"/>
        <w:rPr>
          <w:rFonts w:eastAsia="仿宋_GB2312"/>
          <w:sz w:val="32"/>
          <w:szCs w:val="32"/>
        </w:rPr>
      </w:pPr>
      <w:r>
        <w:rPr>
          <w:rFonts w:hint="eastAsia" w:eastAsia="仿宋_GB2312"/>
          <w:sz w:val="32"/>
          <w:szCs w:val="32"/>
          <w:lang w:val="en-US" w:eastAsia="zh-CN"/>
        </w:rPr>
        <w:t>9</w:t>
      </w:r>
      <w:r>
        <w:rPr>
          <w:rFonts w:eastAsia="仿宋_GB2312"/>
          <w:sz w:val="32"/>
          <w:szCs w:val="32"/>
        </w:rPr>
        <w:t>.对于容器的技术指标表述。</w:t>
      </w:r>
    </w:p>
    <w:p w14:paraId="30061E13">
      <w:pPr>
        <w:snapToGrid w:val="0"/>
        <w:spacing w:line="520" w:lineRule="exact"/>
        <w:ind w:firstLine="640" w:firstLineChars="200"/>
        <w:rPr>
          <w:rFonts w:eastAsia="仿宋_GB2312"/>
          <w:sz w:val="32"/>
          <w:szCs w:val="32"/>
        </w:rPr>
      </w:pPr>
      <w:r>
        <w:rPr>
          <w:rFonts w:hint="eastAsia" w:eastAsia="仿宋_GB2312"/>
          <w:sz w:val="32"/>
          <w:szCs w:val="32"/>
          <w:lang w:val="en-US" w:eastAsia="zh-CN"/>
        </w:rPr>
        <w:t>10</w:t>
      </w:r>
      <w:r>
        <w:rPr>
          <w:rFonts w:eastAsia="仿宋_GB2312"/>
          <w:sz w:val="32"/>
          <w:szCs w:val="32"/>
        </w:rPr>
        <w:t>.对于电磁兼容所声称的有关内容（预期场所、类别等）。</w:t>
      </w:r>
    </w:p>
    <w:p w14:paraId="7A373343">
      <w:pPr>
        <w:spacing w:line="540" w:lineRule="exact"/>
        <w:ind w:firstLine="640" w:firstLineChars="200"/>
        <w:rPr>
          <w:rFonts w:eastAsia="仿宋_GB2312"/>
          <w:sz w:val="32"/>
        </w:rPr>
      </w:pPr>
      <w:r>
        <w:rPr>
          <w:rFonts w:hint="eastAsia" w:eastAsia="仿宋_GB2312"/>
          <w:sz w:val="32"/>
          <w:szCs w:val="32"/>
          <w:lang w:val="en-US" w:eastAsia="zh-CN"/>
        </w:rPr>
        <w:t>11</w:t>
      </w:r>
      <w:r>
        <w:rPr>
          <w:rFonts w:eastAsia="仿宋_GB2312"/>
          <w:sz w:val="32"/>
          <w:szCs w:val="32"/>
        </w:rPr>
        <w:t>.提示不要超出产品适用范围使用。</w:t>
      </w:r>
      <w:r>
        <w:rPr>
          <w:rFonts w:eastAsia="仿宋_GB2312"/>
          <w:sz w:val="32"/>
        </w:rPr>
        <w:t>说明不适用灭菌的物品种类及提示</w:t>
      </w:r>
      <w:r>
        <w:rPr>
          <w:rFonts w:hint="eastAsia" w:eastAsia="仿宋_GB2312"/>
          <w:sz w:val="32"/>
        </w:rPr>
        <w:t>，如电子</w:t>
      </w:r>
      <w:r>
        <w:rPr>
          <w:rFonts w:eastAsia="仿宋_GB2312"/>
          <w:sz w:val="32"/>
        </w:rPr>
        <w:t>仪器、电池、电缆、光纤</w:t>
      </w:r>
      <w:r>
        <w:rPr>
          <w:rFonts w:hint="eastAsia" w:eastAsia="仿宋_GB2312"/>
          <w:sz w:val="32"/>
        </w:rPr>
        <w:t>仪器</w:t>
      </w:r>
      <w:r>
        <w:rPr>
          <w:rFonts w:eastAsia="仿宋_GB2312"/>
          <w:sz w:val="32"/>
        </w:rPr>
        <w:t>、软式内镜</w:t>
      </w:r>
      <w:r>
        <w:rPr>
          <w:rFonts w:hint="eastAsia" w:eastAsia="仿宋_GB2312"/>
          <w:sz w:val="32"/>
        </w:rPr>
        <w:t>、</w:t>
      </w:r>
      <w:r>
        <w:rPr>
          <w:rFonts w:eastAsia="仿宋_GB2312"/>
          <w:sz w:val="32"/>
        </w:rPr>
        <w:t>油脂类、密封性玻璃瓶、粉剂</w:t>
      </w:r>
      <w:r>
        <w:rPr>
          <w:rFonts w:hint="eastAsia" w:eastAsia="仿宋_GB2312"/>
          <w:sz w:val="32"/>
        </w:rPr>
        <w:t>等</w:t>
      </w:r>
      <w:r>
        <w:rPr>
          <w:rFonts w:eastAsia="仿宋_GB2312"/>
          <w:sz w:val="32"/>
        </w:rPr>
        <w:t>。</w:t>
      </w:r>
    </w:p>
    <w:p w14:paraId="5002D45E">
      <w:pPr>
        <w:spacing w:line="540" w:lineRule="exact"/>
        <w:ind w:firstLine="640" w:firstLineChars="200"/>
        <w:rPr>
          <w:rFonts w:eastAsia="仿宋_GB2312"/>
          <w:sz w:val="32"/>
        </w:rPr>
      </w:pPr>
      <w:r>
        <w:rPr>
          <w:rFonts w:eastAsia="仿宋_GB2312"/>
          <w:sz w:val="32"/>
          <w:szCs w:val="32"/>
        </w:rPr>
        <w:t>1</w:t>
      </w:r>
      <w:r>
        <w:rPr>
          <w:rFonts w:hint="eastAsia" w:eastAsia="仿宋_GB2312"/>
          <w:sz w:val="32"/>
          <w:szCs w:val="32"/>
          <w:lang w:val="en-US" w:eastAsia="zh-CN"/>
        </w:rPr>
        <w:t>2</w:t>
      </w:r>
      <w:r>
        <w:rPr>
          <w:rFonts w:eastAsia="仿宋_GB2312"/>
          <w:sz w:val="32"/>
          <w:szCs w:val="32"/>
        </w:rPr>
        <w:t>.提示对灭菌效果进行监测。</w:t>
      </w:r>
    </w:p>
    <w:p w14:paraId="41FA78C5">
      <w:pPr>
        <w:snapToGrid w:val="0"/>
        <w:spacing w:line="520" w:lineRule="exact"/>
        <w:ind w:firstLine="640" w:firstLineChars="200"/>
        <w:rPr>
          <w:rFonts w:eastAsia="仿宋_GB2312"/>
          <w:sz w:val="32"/>
          <w:szCs w:val="32"/>
        </w:rPr>
      </w:pPr>
      <w:r>
        <w:rPr>
          <w:rFonts w:eastAsia="仿宋_GB2312"/>
          <w:sz w:val="32"/>
          <w:szCs w:val="32"/>
        </w:rPr>
        <w:t>1</w:t>
      </w:r>
      <w:r>
        <w:rPr>
          <w:rFonts w:hint="eastAsia" w:eastAsia="仿宋_GB2312"/>
          <w:sz w:val="32"/>
          <w:szCs w:val="32"/>
          <w:lang w:val="en-US" w:eastAsia="zh-CN"/>
        </w:rPr>
        <w:t>3</w:t>
      </w:r>
      <w:r>
        <w:rPr>
          <w:rFonts w:eastAsia="仿宋_GB2312"/>
          <w:sz w:val="32"/>
          <w:szCs w:val="32"/>
        </w:rPr>
        <w:t>.对于安全性方面的提醒。</w:t>
      </w:r>
    </w:p>
    <w:p w14:paraId="19C68F24">
      <w:pPr>
        <w:snapToGrid w:val="0"/>
        <w:spacing w:line="520" w:lineRule="exact"/>
        <w:ind w:firstLine="640" w:firstLineChars="200"/>
        <w:rPr>
          <w:rFonts w:eastAsia="仿宋_GB2312"/>
          <w:sz w:val="32"/>
          <w:szCs w:val="32"/>
        </w:rPr>
      </w:pPr>
      <w:r>
        <w:rPr>
          <w:rFonts w:eastAsia="仿宋_GB2312"/>
          <w:sz w:val="32"/>
          <w:szCs w:val="32"/>
        </w:rPr>
        <w:t>1</w:t>
      </w:r>
      <w:r>
        <w:rPr>
          <w:rFonts w:hint="eastAsia" w:eastAsia="仿宋_GB2312"/>
          <w:sz w:val="32"/>
          <w:szCs w:val="32"/>
          <w:lang w:val="en-US" w:eastAsia="zh-CN"/>
        </w:rPr>
        <w:t>4</w:t>
      </w:r>
      <w:r>
        <w:rPr>
          <w:rFonts w:eastAsia="仿宋_GB2312"/>
          <w:sz w:val="32"/>
          <w:szCs w:val="32"/>
        </w:rPr>
        <w:t>.常见故障及排除方法。</w:t>
      </w:r>
    </w:p>
    <w:p w14:paraId="3216D146">
      <w:pPr>
        <w:snapToGrid w:val="0"/>
        <w:spacing w:line="520" w:lineRule="exact"/>
        <w:ind w:firstLine="640" w:firstLineChars="200"/>
        <w:rPr>
          <w:rFonts w:hint="eastAsia" w:eastAsia="仿宋_GB2312"/>
          <w:sz w:val="32"/>
          <w:szCs w:val="32"/>
        </w:rPr>
      </w:pPr>
      <w:r>
        <w:rPr>
          <w:rFonts w:hint="eastAsia" w:eastAsia="仿宋_GB2312"/>
          <w:sz w:val="32"/>
          <w:szCs w:val="32"/>
        </w:rPr>
        <w:t>1</w:t>
      </w:r>
      <w:r>
        <w:rPr>
          <w:rFonts w:hint="eastAsia" w:eastAsia="仿宋_GB2312"/>
          <w:sz w:val="32"/>
          <w:szCs w:val="32"/>
          <w:lang w:val="en-US" w:eastAsia="zh-CN"/>
        </w:rPr>
        <w:t>5</w:t>
      </w:r>
      <w:r>
        <w:rPr>
          <w:rFonts w:hint="eastAsia" w:eastAsia="仿宋_GB2312"/>
          <w:sz w:val="32"/>
          <w:szCs w:val="32"/>
        </w:rPr>
        <w:t>.</w:t>
      </w:r>
      <w:r>
        <w:rPr>
          <w:rFonts w:hint="eastAsia" w:eastAsia="仿宋_GB2312"/>
          <w:sz w:val="32"/>
          <w:szCs w:val="32"/>
          <w:highlight w:val="none"/>
        </w:rPr>
        <w:t>若产品宣称用于消毒供应中心，还需执行</w:t>
      </w:r>
      <w:r>
        <w:rPr>
          <w:rFonts w:eastAsia="仿宋_GB2312"/>
          <w:sz w:val="32"/>
          <w:szCs w:val="32"/>
          <w:highlight w:val="none"/>
        </w:rPr>
        <w:t>WS 310</w:t>
      </w:r>
      <w:r>
        <w:rPr>
          <w:rFonts w:hint="eastAsia" w:eastAsia="仿宋_GB2312"/>
          <w:sz w:val="32"/>
          <w:szCs w:val="32"/>
          <w:highlight w:val="none"/>
        </w:rPr>
        <w:t>系列等标准</w:t>
      </w:r>
      <w:r>
        <w:rPr>
          <w:rFonts w:hint="eastAsia" w:eastAsia="仿宋_GB2312"/>
          <w:sz w:val="32"/>
          <w:szCs w:val="32"/>
        </w:rPr>
        <w:t>。</w:t>
      </w:r>
    </w:p>
    <w:p w14:paraId="443283A9">
      <w:pPr>
        <w:numPr>
          <w:ilvl w:val="0"/>
          <w:numId w:val="0"/>
        </w:numPr>
        <w:snapToGrid w:val="0"/>
        <w:spacing w:line="520" w:lineRule="exact"/>
        <w:ind w:firstLine="640" w:firstLineChars="200"/>
        <w:rPr>
          <w:rFonts w:eastAsia="楷体_GB2312" w:cs="楷体_GB2312"/>
          <w:sz w:val="32"/>
          <w:szCs w:val="32"/>
        </w:rPr>
      </w:pPr>
      <w:r>
        <w:rPr>
          <w:rFonts w:hint="eastAsia" w:eastAsia="楷体_GB2312" w:cs="楷体_GB2312"/>
          <w:sz w:val="32"/>
          <w:szCs w:val="32"/>
          <w:lang w:eastAsia="zh-CN"/>
        </w:rPr>
        <w:t>（六）</w:t>
      </w:r>
      <w:r>
        <w:rPr>
          <w:rFonts w:eastAsia="楷体_GB2312" w:cs="楷体_GB2312"/>
          <w:sz w:val="32"/>
          <w:szCs w:val="32"/>
        </w:rPr>
        <w:t>质量管理体系文件</w:t>
      </w:r>
    </w:p>
    <w:p w14:paraId="237BF0D1">
      <w:pPr>
        <w:snapToGrid w:val="0"/>
        <w:spacing w:line="520" w:lineRule="exact"/>
        <w:ind w:firstLine="640" w:firstLineChars="200"/>
        <w:rPr>
          <w:rFonts w:eastAsia="仿宋_GB2312"/>
          <w:sz w:val="32"/>
          <w:szCs w:val="32"/>
        </w:rPr>
      </w:pPr>
      <w:r>
        <w:rPr>
          <w:rFonts w:eastAsia="仿宋_GB2312"/>
          <w:sz w:val="32"/>
          <w:szCs w:val="32"/>
        </w:rPr>
        <w:t>产品的质量管理体系文件</w:t>
      </w:r>
      <w:r>
        <w:rPr>
          <w:rFonts w:hint="eastAsia" w:eastAsia="仿宋_GB2312"/>
          <w:sz w:val="32"/>
          <w:szCs w:val="32"/>
        </w:rPr>
        <w:t>需</w:t>
      </w:r>
      <w:r>
        <w:rPr>
          <w:rFonts w:eastAsia="仿宋_GB2312"/>
          <w:sz w:val="32"/>
          <w:szCs w:val="32"/>
        </w:rPr>
        <w:t>符合《医疗器械生产质量管理规范》的要求，并按《医疗器械注册申报资料要求及说明》提交资料。</w:t>
      </w:r>
    </w:p>
    <w:p w14:paraId="497F0EA7">
      <w:pPr>
        <w:snapToGrid w:val="0"/>
        <w:spacing w:line="520" w:lineRule="exact"/>
        <w:ind w:firstLine="563" w:firstLineChars="176"/>
        <w:outlineLvl w:val="0"/>
        <w:rPr>
          <w:rFonts w:eastAsia="仿宋_GB2312"/>
          <w:sz w:val="32"/>
          <w:szCs w:val="32"/>
        </w:rPr>
      </w:pPr>
      <w:r>
        <w:rPr>
          <w:rFonts w:hint="eastAsia" w:eastAsia="仿宋_GB2312"/>
          <w:sz w:val="32"/>
          <w:szCs w:val="32"/>
        </w:rPr>
        <w:t>需明确产品生产工艺过程，可采用流程图的形式，并说明其过程控制点。</w:t>
      </w:r>
    </w:p>
    <w:p w14:paraId="38414C3F">
      <w:pPr>
        <w:snapToGrid w:val="0"/>
        <w:spacing w:line="520" w:lineRule="exact"/>
        <w:ind w:firstLine="563" w:firstLineChars="176"/>
        <w:outlineLvl w:val="0"/>
        <w:rPr>
          <w:rFonts w:eastAsia="仿宋_GB2312"/>
          <w:sz w:val="32"/>
          <w:szCs w:val="32"/>
        </w:rPr>
      </w:pPr>
      <w:r>
        <w:rPr>
          <w:rFonts w:hint="eastAsia" w:eastAsia="仿宋_GB2312"/>
          <w:sz w:val="32"/>
          <w:szCs w:val="32"/>
        </w:rPr>
        <w:t>生产工艺需已通过验证，能够生产出质量稳定、安全有效的产品，在注册质量管理体系核查中，对此项内容进行核查。关键工序、特殊过程宜编制并执行工艺规程或作业指导书。</w:t>
      </w:r>
    </w:p>
    <w:p w14:paraId="257A5CA0">
      <w:pPr>
        <w:snapToGrid w:val="0"/>
        <w:spacing w:line="520" w:lineRule="exact"/>
        <w:ind w:firstLine="640" w:firstLineChars="200"/>
        <w:rPr>
          <w:rFonts w:eastAsia="仿宋_GB2312"/>
          <w:sz w:val="32"/>
          <w:szCs w:val="32"/>
        </w:rPr>
      </w:pPr>
      <w:r>
        <w:rPr>
          <w:rFonts w:hint="eastAsia" w:eastAsia="仿宋_GB2312"/>
          <w:sz w:val="32"/>
          <w:szCs w:val="32"/>
        </w:rPr>
        <w:t>本类产品的关键过程一般包括焊接、</w:t>
      </w:r>
      <w:r>
        <w:rPr>
          <w:rFonts w:hint="eastAsia" w:eastAsia="仿宋_GB2312"/>
          <w:sz w:val="32"/>
          <w:szCs w:val="32"/>
          <w:lang w:eastAsia="zh-CN"/>
        </w:rPr>
        <w:t>门制作</w:t>
      </w:r>
      <w:r>
        <w:rPr>
          <w:rFonts w:hint="eastAsia" w:eastAsia="仿宋_GB2312"/>
          <w:sz w:val="32"/>
          <w:szCs w:val="32"/>
        </w:rPr>
        <w:t>、检验。但当上述过程中的一个或多个通过外包的方式来实现时，生产企业需对外包过程实施有效控制。</w:t>
      </w:r>
    </w:p>
    <w:p w14:paraId="170B3DAB">
      <w:pPr>
        <w:snapToGrid w:val="0"/>
        <w:spacing w:line="520" w:lineRule="exact"/>
        <w:ind w:firstLine="640" w:firstLineChars="200"/>
        <w:rPr>
          <w:rFonts w:eastAsia="仿宋_GB2312"/>
          <w:sz w:val="32"/>
          <w:szCs w:val="32"/>
        </w:rPr>
      </w:pPr>
      <w:r>
        <w:rPr>
          <w:rFonts w:eastAsia="仿宋_GB2312"/>
          <w:sz w:val="32"/>
          <w:szCs w:val="32"/>
        </w:rPr>
        <w:t>有多个研制、生产场地的，需概述每个研制、生产场地的实际情况。</w:t>
      </w:r>
    </w:p>
    <w:p w14:paraId="42B1F13A">
      <w:pPr>
        <w:spacing w:line="520" w:lineRule="exact"/>
        <w:ind w:firstLine="640" w:firstLineChars="200"/>
        <w:rPr>
          <w:rFonts w:eastAsia="仿宋_GB2312"/>
          <w:bCs/>
          <w:sz w:val="32"/>
          <w:szCs w:val="32"/>
        </w:rPr>
      </w:pPr>
      <w:r>
        <w:rPr>
          <w:rFonts w:eastAsia="黑体"/>
          <w:sz w:val="32"/>
          <w:szCs w:val="32"/>
        </w:rPr>
        <w:t>三、参考文献</w:t>
      </w:r>
      <w:r>
        <w:rPr>
          <w:rFonts w:eastAsia="黑体"/>
          <w:b/>
          <w:sz w:val="32"/>
        </w:rPr>
        <w:t xml:space="preserve"> </w:t>
      </w:r>
    </w:p>
    <w:p w14:paraId="18CC240E">
      <w:pPr>
        <w:pStyle w:val="8"/>
        <w:numPr>
          <w:ilvl w:val="0"/>
          <w:numId w:val="2"/>
        </w:numPr>
        <w:tabs>
          <w:tab w:val="left" w:pos="360"/>
          <w:tab w:val="left" w:pos="952"/>
          <w:tab w:val="left" w:pos="1078"/>
          <w:tab w:val="left" w:pos="1140"/>
        </w:tabs>
        <w:autoSpaceDE w:val="0"/>
        <w:autoSpaceDN w:val="0"/>
        <w:adjustRightInd w:val="0"/>
        <w:spacing w:line="520" w:lineRule="exact"/>
        <w:ind w:left="0" w:firstLine="640" w:firstLineChars="0"/>
        <w:rPr>
          <w:rFonts w:eastAsia="仿宋_GB2312"/>
          <w:kern w:val="0"/>
          <w:sz w:val="32"/>
          <w:szCs w:val="32"/>
        </w:rPr>
      </w:pPr>
      <w:r>
        <w:rPr>
          <w:rFonts w:hint="eastAsia" w:eastAsia="仿宋_GB2312"/>
          <w:kern w:val="0"/>
          <w:sz w:val="32"/>
          <w:szCs w:val="32"/>
        </w:rPr>
        <w:t>中华人民共和国国务院.医疗器械监督管理条例:中华人民共和国国务院令第739号[Z].</w:t>
      </w:r>
    </w:p>
    <w:p w14:paraId="4765E831">
      <w:pPr>
        <w:pStyle w:val="8"/>
        <w:numPr>
          <w:ilvl w:val="0"/>
          <w:numId w:val="2"/>
        </w:numPr>
        <w:tabs>
          <w:tab w:val="left" w:pos="360"/>
          <w:tab w:val="left" w:pos="952"/>
          <w:tab w:val="left" w:pos="1078"/>
          <w:tab w:val="left" w:pos="1140"/>
        </w:tabs>
        <w:autoSpaceDE w:val="0"/>
        <w:autoSpaceDN w:val="0"/>
        <w:adjustRightInd w:val="0"/>
        <w:spacing w:line="520" w:lineRule="exact"/>
        <w:ind w:left="0" w:firstLine="640" w:firstLineChars="0"/>
        <w:rPr>
          <w:rFonts w:eastAsia="仿宋_GB2312"/>
          <w:kern w:val="0"/>
          <w:sz w:val="32"/>
          <w:szCs w:val="32"/>
        </w:rPr>
      </w:pPr>
      <w:r>
        <w:rPr>
          <w:rFonts w:hint="eastAsia" w:eastAsia="仿宋_GB2312"/>
          <w:kern w:val="0"/>
          <w:sz w:val="32"/>
          <w:szCs w:val="32"/>
        </w:rPr>
        <w:t>国家市场监督管理总局.医疗器械注册与备案管理办法:国家市场监督管理总局令第47号[Z].</w:t>
      </w:r>
    </w:p>
    <w:p w14:paraId="7E1D4809">
      <w:pPr>
        <w:pStyle w:val="8"/>
        <w:numPr>
          <w:ilvl w:val="0"/>
          <w:numId w:val="2"/>
        </w:numPr>
        <w:tabs>
          <w:tab w:val="left" w:pos="360"/>
          <w:tab w:val="left" w:pos="952"/>
          <w:tab w:val="left" w:pos="1078"/>
          <w:tab w:val="left" w:pos="1140"/>
        </w:tabs>
        <w:autoSpaceDE w:val="0"/>
        <w:autoSpaceDN w:val="0"/>
        <w:adjustRightInd w:val="0"/>
        <w:spacing w:line="520" w:lineRule="exact"/>
        <w:ind w:left="0" w:firstLine="640" w:firstLineChars="0"/>
        <w:rPr>
          <w:rFonts w:eastAsia="仿宋_GB2312"/>
          <w:kern w:val="0"/>
          <w:sz w:val="32"/>
          <w:szCs w:val="32"/>
        </w:rPr>
      </w:pPr>
      <w:r>
        <w:rPr>
          <w:rFonts w:hint="eastAsia" w:eastAsia="仿宋_GB2312"/>
          <w:kern w:val="0"/>
          <w:sz w:val="32"/>
          <w:szCs w:val="32"/>
        </w:rPr>
        <w:t>国家食品药品监督管理局.医疗器械说明书和标签管理规定:国家食品药品监督管理总局令第6号[Z].</w:t>
      </w:r>
    </w:p>
    <w:p w14:paraId="4F0C4373">
      <w:pPr>
        <w:pStyle w:val="8"/>
        <w:numPr>
          <w:ilvl w:val="0"/>
          <w:numId w:val="2"/>
        </w:numPr>
        <w:tabs>
          <w:tab w:val="left" w:pos="360"/>
          <w:tab w:val="left" w:pos="952"/>
          <w:tab w:val="left" w:pos="1078"/>
          <w:tab w:val="left" w:pos="1140"/>
        </w:tabs>
        <w:autoSpaceDE w:val="0"/>
        <w:autoSpaceDN w:val="0"/>
        <w:adjustRightInd w:val="0"/>
        <w:spacing w:line="520" w:lineRule="exact"/>
        <w:ind w:left="0" w:firstLine="640" w:firstLineChars="0"/>
        <w:rPr>
          <w:rFonts w:eastAsia="仿宋_GB2312"/>
          <w:kern w:val="0"/>
          <w:sz w:val="32"/>
          <w:szCs w:val="32"/>
        </w:rPr>
      </w:pPr>
      <w:r>
        <w:rPr>
          <w:rFonts w:eastAsia="仿宋_GB2312"/>
          <w:kern w:val="0"/>
          <w:sz w:val="32"/>
          <w:szCs w:val="32"/>
        </w:rPr>
        <w:t>国家食品药品监督管理局</w:t>
      </w:r>
      <w:r>
        <w:rPr>
          <w:rFonts w:hint="eastAsia" w:eastAsia="仿宋_GB2312"/>
          <w:kern w:val="0"/>
          <w:sz w:val="32"/>
          <w:szCs w:val="32"/>
        </w:rPr>
        <w:t>.</w:t>
      </w:r>
      <w:r>
        <w:rPr>
          <w:rFonts w:eastAsia="仿宋_GB2312"/>
          <w:kern w:val="0"/>
          <w:sz w:val="32"/>
          <w:szCs w:val="32"/>
        </w:rPr>
        <w:t>医疗器械通用名称命名规则</w:t>
      </w:r>
      <w:r>
        <w:rPr>
          <w:rFonts w:hint="eastAsia" w:eastAsia="仿宋_GB2312"/>
          <w:kern w:val="0"/>
          <w:sz w:val="32"/>
          <w:szCs w:val="32"/>
        </w:rPr>
        <w:t>：</w:t>
      </w:r>
      <w:r>
        <w:rPr>
          <w:rFonts w:eastAsia="仿宋_GB2312"/>
          <w:kern w:val="0"/>
          <w:sz w:val="32"/>
          <w:szCs w:val="32"/>
        </w:rPr>
        <w:t>国家食品药品监督管理总局令第19号[Z].</w:t>
      </w:r>
    </w:p>
    <w:p w14:paraId="02CD8E53">
      <w:pPr>
        <w:pStyle w:val="8"/>
        <w:numPr>
          <w:ilvl w:val="0"/>
          <w:numId w:val="2"/>
        </w:numPr>
        <w:tabs>
          <w:tab w:val="left" w:pos="360"/>
          <w:tab w:val="left" w:pos="952"/>
          <w:tab w:val="left" w:pos="1078"/>
          <w:tab w:val="left" w:pos="1140"/>
        </w:tabs>
        <w:autoSpaceDE w:val="0"/>
        <w:autoSpaceDN w:val="0"/>
        <w:adjustRightInd w:val="0"/>
        <w:spacing w:line="520" w:lineRule="exact"/>
        <w:ind w:left="0" w:firstLine="640" w:firstLineChars="0"/>
        <w:rPr>
          <w:rFonts w:eastAsia="仿宋_GB2312"/>
          <w:kern w:val="0"/>
          <w:sz w:val="32"/>
          <w:szCs w:val="32"/>
        </w:rPr>
      </w:pPr>
      <w:r>
        <w:rPr>
          <w:rFonts w:hint="eastAsia" w:eastAsia="仿宋_GB2312"/>
          <w:kern w:val="0"/>
          <w:sz w:val="32"/>
          <w:szCs w:val="32"/>
        </w:rPr>
        <w:t>国家药品监督管理局.</w:t>
      </w:r>
      <w:r>
        <w:rPr>
          <w:rFonts w:eastAsia="仿宋_GB2312"/>
          <w:kern w:val="0"/>
          <w:sz w:val="32"/>
          <w:szCs w:val="32"/>
        </w:rPr>
        <w:t>医疗器械注册申报资料要求及说明</w:t>
      </w:r>
      <w:r>
        <w:rPr>
          <w:rFonts w:hint="eastAsia" w:eastAsia="仿宋_GB2312"/>
          <w:kern w:val="0"/>
          <w:sz w:val="32"/>
          <w:szCs w:val="32"/>
        </w:rPr>
        <w:t>:关于公布</w:t>
      </w:r>
      <w:r>
        <w:rPr>
          <w:rFonts w:eastAsia="仿宋_GB2312"/>
          <w:kern w:val="0"/>
          <w:sz w:val="32"/>
          <w:szCs w:val="32"/>
        </w:rPr>
        <w:t>医疗器械注册申报资料要求</w:t>
      </w:r>
      <w:r>
        <w:rPr>
          <w:rFonts w:hint="eastAsia" w:eastAsia="仿宋_GB2312"/>
          <w:kern w:val="0"/>
          <w:sz w:val="32"/>
          <w:szCs w:val="32"/>
        </w:rPr>
        <w:t>和批准证明文件格式的公告2021年第121号</w:t>
      </w:r>
      <w:r>
        <w:rPr>
          <w:rFonts w:eastAsia="仿宋_GB2312"/>
          <w:kern w:val="0"/>
          <w:sz w:val="32"/>
          <w:szCs w:val="32"/>
        </w:rPr>
        <w:t>[Z].</w:t>
      </w:r>
    </w:p>
    <w:p w14:paraId="2B468975">
      <w:pPr>
        <w:pStyle w:val="8"/>
        <w:numPr>
          <w:ilvl w:val="0"/>
          <w:numId w:val="2"/>
        </w:numPr>
        <w:tabs>
          <w:tab w:val="left" w:pos="360"/>
          <w:tab w:val="left" w:pos="952"/>
          <w:tab w:val="left" w:pos="1078"/>
          <w:tab w:val="left" w:pos="1140"/>
        </w:tabs>
        <w:autoSpaceDE w:val="0"/>
        <w:autoSpaceDN w:val="0"/>
        <w:adjustRightInd w:val="0"/>
        <w:spacing w:line="520" w:lineRule="exact"/>
        <w:ind w:left="0" w:firstLine="640" w:firstLineChars="0"/>
        <w:rPr>
          <w:rFonts w:eastAsia="仿宋_GB2312"/>
          <w:kern w:val="0"/>
          <w:sz w:val="32"/>
          <w:szCs w:val="32"/>
        </w:rPr>
      </w:pPr>
      <w:r>
        <w:rPr>
          <w:rFonts w:eastAsia="仿宋_GB2312"/>
          <w:kern w:val="0"/>
          <w:sz w:val="32"/>
          <w:szCs w:val="32"/>
        </w:rPr>
        <w:t>国家食品药品监督管理局.医疗器械分类目录</w:t>
      </w:r>
      <w:r>
        <w:rPr>
          <w:rFonts w:hint="eastAsia" w:eastAsia="仿宋_GB2312"/>
          <w:kern w:val="0"/>
          <w:sz w:val="32"/>
          <w:szCs w:val="32"/>
        </w:rPr>
        <w:t>:</w:t>
      </w:r>
      <w:r>
        <w:rPr>
          <w:rFonts w:eastAsia="仿宋_GB2312"/>
          <w:kern w:val="0"/>
          <w:sz w:val="32"/>
          <w:szCs w:val="32"/>
        </w:rPr>
        <w:t>国家食品药品监督管理总局</w:t>
      </w:r>
      <w:r>
        <w:rPr>
          <w:rFonts w:hint="eastAsia" w:eastAsia="仿宋_GB2312"/>
          <w:kern w:val="0"/>
          <w:sz w:val="32"/>
          <w:szCs w:val="32"/>
        </w:rPr>
        <w:t>关于发布医疗器械分类目录的公告</w:t>
      </w:r>
      <w:r>
        <w:rPr>
          <w:rFonts w:eastAsia="仿宋_GB2312"/>
          <w:kern w:val="0"/>
          <w:sz w:val="32"/>
          <w:szCs w:val="32"/>
        </w:rPr>
        <w:t>2017年第104号[Z].</w:t>
      </w:r>
    </w:p>
    <w:p w14:paraId="08CB0AEB">
      <w:pPr>
        <w:pStyle w:val="8"/>
        <w:numPr>
          <w:ilvl w:val="0"/>
          <w:numId w:val="2"/>
        </w:numPr>
        <w:tabs>
          <w:tab w:val="left" w:pos="360"/>
          <w:tab w:val="left" w:pos="952"/>
          <w:tab w:val="left" w:pos="1078"/>
          <w:tab w:val="left" w:pos="1140"/>
        </w:tabs>
        <w:autoSpaceDE w:val="0"/>
        <w:autoSpaceDN w:val="0"/>
        <w:adjustRightInd w:val="0"/>
        <w:spacing w:line="520" w:lineRule="exact"/>
        <w:ind w:left="0" w:firstLine="640" w:firstLineChars="0"/>
        <w:rPr>
          <w:rFonts w:eastAsia="仿宋_GB2312"/>
          <w:kern w:val="0"/>
          <w:sz w:val="32"/>
          <w:szCs w:val="32"/>
        </w:rPr>
      </w:pPr>
      <w:r>
        <w:rPr>
          <w:rFonts w:eastAsia="仿宋_GB2312"/>
          <w:kern w:val="0"/>
          <w:sz w:val="32"/>
          <w:szCs w:val="32"/>
        </w:rPr>
        <w:t>国家食品药品监督管理局.医疗器械注册单元划分指导原则</w:t>
      </w:r>
      <w:r>
        <w:rPr>
          <w:rFonts w:hint="eastAsia" w:eastAsia="仿宋_GB2312"/>
          <w:kern w:val="0"/>
          <w:sz w:val="32"/>
          <w:szCs w:val="32"/>
        </w:rPr>
        <w:t>:总局关于发布</w:t>
      </w:r>
      <w:r>
        <w:rPr>
          <w:rFonts w:eastAsia="仿宋_GB2312"/>
          <w:kern w:val="0"/>
          <w:sz w:val="32"/>
          <w:szCs w:val="32"/>
        </w:rPr>
        <w:t>医疗器械注册单元划分指导原则</w:t>
      </w:r>
      <w:r>
        <w:rPr>
          <w:rFonts w:hint="eastAsia" w:eastAsia="仿宋_GB2312"/>
          <w:kern w:val="0"/>
          <w:sz w:val="32"/>
          <w:szCs w:val="32"/>
        </w:rPr>
        <w:t>的通</w:t>
      </w:r>
      <w:r>
        <w:rPr>
          <w:rFonts w:eastAsia="仿宋_GB2312"/>
          <w:kern w:val="0"/>
          <w:sz w:val="32"/>
          <w:szCs w:val="32"/>
        </w:rPr>
        <w:t>告2017年第187号[Z].</w:t>
      </w:r>
    </w:p>
    <w:p w14:paraId="62AF6C57">
      <w:pPr>
        <w:pStyle w:val="8"/>
        <w:numPr>
          <w:ilvl w:val="0"/>
          <w:numId w:val="2"/>
        </w:numPr>
        <w:tabs>
          <w:tab w:val="left" w:pos="360"/>
          <w:tab w:val="left" w:pos="952"/>
          <w:tab w:val="left" w:pos="1078"/>
          <w:tab w:val="left" w:pos="1140"/>
        </w:tabs>
        <w:autoSpaceDE w:val="0"/>
        <w:autoSpaceDN w:val="0"/>
        <w:adjustRightInd w:val="0"/>
        <w:spacing w:line="520" w:lineRule="exact"/>
        <w:ind w:left="0" w:firstLine="640" w:firstLineChars="0"/>
        <w:rPr>
          <w:rFonts w:eastAsia="仿宋_GB2312"/>
          <w:sz w:val="32"/>
          <w:szCs w:val="32"/>
        </w:rPr>
      </w:pPr>
      <w:r>
        <w:rPr>
          <w:rFonts w:hint="eastAsia" w:eastAsia="仿宋_GB2312"/>
          <w:kern w:val="0"/>
          <w:sz w:val="32"/>
          <w:szCs w:val="32"/>
        </w:rPr>
        <w:t>国家药品监督管理局.</w:t>
      </w:r>
      <w:r>
        <w:rPr>
          <w:rFonts w:eastAsia="仿宋_GB2312"/>
          <w:kern w:val="0"/>
          <w:sz w:val="32"/>
          <w:szCs w:val="32"/>
        </w:rPr>
        <w:t>医疗器械通用名称命名指导原则</w:t>
      </w:r>
      <w:r>
        <w:rPr>
          <w:rFonts w:hint="eastAsia" w:eastAsia="仿宋_GB2312"/>
          <w:kern w:val="0"/>
          <w:sz w:val="32"/>
          <w:szCs w:val="32"/>
        </w:rPr>
        <w:t>:国家药监局关于发布</w:t>
      </w:r>
      <w:r>
        <w:rPr>
          <w:rFonts w:eastAsia="仿宋_GB2312"/>
          <w:kern w:val="0"/>
          <w:sz w:val="32"/>
          <w:szCs w:val="32"/>
        </w:rPr>
        <w:t>医疗器械通用名称命名指导原则</w:t>
      </w:r>
      <w:r>
        <w:rPr>
          <w:rFonts w:hint="eastAsia" w:eastAsia="仿宋_GB2312"/>
          <w:kern w:val="0"/>
          <w:sz w:val="32"/>
          <w:szCs w:val="32"/>
        </w:rPr>
        <w:t>的通告2019第99号</w:t>
      </w:r>
      <w:r>
        <w:rPr>
          <w:rFonts w:eastAsia="仿宋_GB2312"/>
          <w:kern w:val="0"/>
          <w:sz w:val="32"/>
          <w:szCs w:val="32"/>
        </w:rPr>
        <w:t>[Z].</w:t>
      </w:r>
    </w:p>
    <w:p w14:paraId="2116FBB6">
      <w:pPr>
        <w:pStyle w:val="8"/>
        <w:numPr>
          <w:ilvl w:val="0"/>
          <w:numId w:val="2"/>
        </w:numPr>
        <w:tabs>
          <w:tab w:val="left" w:pos="360"/>
          <w:tab w:val="left" w:pos="952"/>
          <w:tab w:val="left" w:pos="1078"/>
          <w:tab w:val="left" w:pos="1140"/>
        </w:tabs>
        <w:autoSpaceDE w:val="0"/>
        <w:autoSpaceDN w:val="0"/>
        <w:adjustRightInd w:val="0"/>
        <w:spacing w:line="520" w:lineRule="exact"/>
        <w:ind w:left="0" w:firstLine="640" w:firstLineChars="0"/>
        <w:rPr>
          <w:rFonts w:eastAsia="仿宋_GB2312"/>
          <w:sz w:val="32"/>
          <w:szCs w:val="32"/>
        </w:rPr>
      </w:pPr>
      <w:r>
        <w:rPr>
          <w:rFonts w:hint="eastAsia" w:eastAsia="仿宋_GB2312"/>
          <w:kern w:val="0"/>
          <w:sz w:val="32"/>
          <w:szCs w:val="32"/>
        </w:rPr>
        <w:t>国家药品监督管理局.</w:t>
      </w:r>
      <w:r>
        <w:rPr>
          <w:rFonts w:eastAsia="仿宋_GB2312"/>
          <w:sz w:val="32"/>
          <w:szCs w:val="32"/>
        </w:rPr>
        <w:t>医疗器械消毒灭菌器械通用名称命名指导原则</w:t>
      </w:r>
      <w:r>
        <w:rPr>
          <w:rFonts w:hint="eastAsia" w:eastAsia="仿宋_GB2312"/>
          <w:sz w:val="32"/>
          <w:szCs w:val="32"/>
        </w:rPr>
        <w:t>:国家药监局关于发布骨科手术器械通用名称命名指导原则等5项指导原则的通告2020年第79号</w:t>
      </w:r>
      <w:r>
        <w:rPr>
          <w:rFonts w:eastAsia="仿宋_GB2312"/>
          <w:kern w:val="0"/>
          <w:sz w:val="32"/>
          <w:szCs w:val="32"/>
        </w:rPr>
        <w:t>[Z].</w:t>
      </w:r>
    </w:p>
    <w:p w14:paraId="068E3A97">
      <w:pPr>
        <w:pStyle w:val="8"/>
        <w:numPr>
          <w:ilvl w:val="0"/>
          <w:numId w:val="2"/>
        </w:numPr>
        <w:tabs>
          <w:tab w:val="left" w:pos="360"/>
          <w:tab w:val="left" w:pos="952"/>
          <w:tab w:val="left" w:pos="1078"/>
          <w:tab w:val="left" w:pos="1140"/>
        </w:tabs>
        <w:autoSpaceDE w:val="0"/>
        <w:autoSpaceDN w:val="0"/>
        <w:adjustRightInd w:val="0"/>
        <w:spacing w:line="520" w:lineRule="exact"/>
        <w:ind w:left="0" w:firstLine="640" w:firstLineChars="0"/>
        <w:rPr>
          <w:rFonts w:eastAsia="仿宋_GB2312"/>
          <w:sz w:val="32"/>
          <w:szCs w:val="32"/>
        </w:rPr>
      </w:pPr>
      <w:r>
        <w:rPr>
          <w:rFonts w:hint="eastAsia" w:eastAsia="仿宋_GB2312"/>
          <w:sz w:val="32"/>
          <w:szCs w:val="32"/>
        </w:rPr>
        <w:t>国家药品监督管理局.</w:t>
      </w:r>
      <w:r>
        <w:rPr>
          <w:rFonts w:eastAsia="仿宋_GB2312"/>
          <w:sz w:val="32"/>
          <w:szCs w:val="32"/>
        </w:rPr>
        <w:t>免于临床评价医疗器械目录</w:t>
      </w:r>
      <w:r>
        <w:rPr>
          <w:rFonts w:hint="eastAsia" w:eastAsia="仿宋_GB2312"/>
          <w:sz w:val="32"/>
          <w:szCs w:val="32"/>
        </w:rPr>
        <w:t>：</w:t>
      </w:r>
      <w:r>
        <w:rPr>
          <w:rFonts w:eastAsia="仿宋_GB2312"/>
          <w:sz w:val="32"/>
          <w:szCs w:val="32"/>
          <w:lang w:val="en"/>
        </w:rPr>
        <w:t>国家</w:t>
      </w:r>
      <w:r>
        <w:rPr>
          <w:rFonts w:hint="eastAsia" w:eastAsia="仿宋_GB2312"/>
          <w:sz w:val="32"/>
          <w:szCs w:val="32"/>
          <w:lang w:val="en"/>
        </w:rPr>
        <w:t>药监</w:t>
      </w:r>
      <w:r>
        <w:rPr>
          <w:rFonts w:eastAsia="仿宋_GB2312"/>
          <w:sz w:val="32"/>
          <w:szCs w:val="32"/>
          <w:lang w:val="en"/>
        </w:rPr>
        <w:t>局</w:t>
      </w:r>
      <w:r>
        <w:rPr>
          <w:rFonts w:hint="eastAsia" w:eastAsia="仿宋_GB2312"/>
          <w:sz w:val="32"/>
          <w:szCs w:val="32"/>
          <w:lang w:val="en"/>
        </w:rPr>
        <w:t>关于发布</w:t>
      </w:r>
      <w:r>
        <w:rPr>
          <w:rFonts w:eastAsia="仿宋_GB2312"/>
          <w:sz w:val="32"/>
          <w:szCs w:val="32"/>
        </w:rPr>
        <w:t>免于临床评价医疗器械目录</w:t>
      </w:r>
      <w:r>
        <w:rPr>
          <w:rFonts w:hint="eastAsia" w:eastAsia="仿宋_GB2312"/>
          <w:sz w:val="32"/>
          <w:szCs w:val="32"/>
        </w:rPr>
        <w:t>的</w:t>
      </w:r>
      <w:r>
        <w:rPr>
          <w:rFonts w:hint="eastAsia" w:eastAsia="仿宋_GB2312"/>
          <w:sz w:val="32"/>
          <w:szCs w:val="32"/>
          <w:lang w:val="en"/>
        </w:rPr>
        <w:t>通告</w:t>
      </w:r>
      <w:r>
        <w:rPr>
          <w:rFonts w:hint="eastAsia" w:eastAsia="仿宋_GB2312"/>
          <w:sz w:val="32"/>
          <w:szCs w:val="32"/>
        </w:rPr>
        <w:t>2025年第19号</w:t>
      </w:r>
      <w:r>
        <w:rPr>
          <w:rFonts w:eastAsia="仿宋_GB2312"/>
          <w:sz w:val="32"/>
          <w:szCs w:val="32"/>
        </w:rPr>
        <w:t>[Z].</w:t>
      </w:r>
    </w:p>
    <w:p w14:paraId="4A0E5FA1">
      <w:pPr>
        <w:pStyle w:val="8"/>
        <w:numPr>
          <w:ilvl w:val="0"/>
          <w:numId w:val="2"/>
        </w:numPr>
        <w:tabs>
          <w:tab w:val="left" w:pos="360"/>
          <w:tab w:val="left" w:pos="952"/>
          <w:tab w:val="left" w:pos="1078"/>
          <w:tab w:val="left" w:pos="1140"/>
        </w:tabs>
        <w:autoSpaceDE w:val="0"/>
        <w:autoSpaceDN w:val="0"/>
        <w:adjustRightInd w:val="0"/>
        <w:spacing w:line="520" w:lineRule="exact"/>
        <w:ind w:left="0" w:firstLine="640" w:firstLineChars="0"/>
        <w:rPr>
          <w:rFonts w:eastAsia="仿宋_GB2312"/>
          <w:sz w:val="32"/>
          <w:szCs w:val="32"/>
        </w:rPr>
      </w:pPr>
      <w:r>
        <w:rPr>
          <w:rFonts w:hint="eastAsia" w:eastAsia="仿宋_GB2312"/>
          <w:sz w:val="32"/>
          <w:szCs w:val="32"/>
        </w:rPr>
        <w:t>国家药品监督管理局.</w:t>
      </w:r>
      <w:r>
        <w:rPr>
          <w:rFonts w:eastAsia="仿宋_GB2312"/>
          <w:sz w:val="32"/>
          <w:szCs w:val="32"/>
        </w:rPr>
        <w:t>列入免于临床评价医疗器械目录产品对比说明技术指导原则</w:t>
      </w:r>
      <w:r>
        <w:rPr>
          <w:rFonts w:hint="eastAsia" w:eastAsia="仿宋_GB2312"/>
          <w:sz w:val="32"/>
          <w:szCs w:val="32"/>
        </w:rPr>
        <w:t>:</w:t>
      </w:r>
      <w:r>
        <w:rPr>
          <w:rFonts w:eastAsia="仿宋_GB2312"/>
          <w:sz w:val="32"/>
          <w:szCs w:val="32"/>
          <w:lang w:val="en"/>
        </w:rPr>
        <w:t>国家</w:t>
      </w:r>
      <w:r>
        <w:rPr>
          <w:rFonts w:hint="eastAsia" w:eastAsia="仿宋_GB2312"/>
          <w:sz w:val="32"/>
          <w:szCs w:val="32"/>
          <w:lang w:val="en"/>
        </w:rPr>
        <w:t>药监局关于发布医疗器械临床评价技术指导原则等5项技术指导原则的通告</w:t>
      </w:r>
      <w:r>
        <w:rPr>
          <w:rFonts w:eastAsia="仿宋_GB2312"/>
          <w:sz w:val="32"/>
          <w:szCs w:val="32"/>
          <w:lang w:val="en"/>
        </w:rPr>
        <w:t>20</w:t>
      </w:r>
      <w:r>
        <w:rPr>
          <w:rFonts w:hint="eastAsia" w:eastAsia="仿宋_GB2312"/>
          <w:sz w:val="32"/>
          <w:szCs w:val="32"/>
          <w:lang w:val="en"/>
        </w:rPr>
        <w:t>21</w:t>
      </w:r>
      <w:r>
        <w:rPr>
          <w:rFonts w:eastAsia="仿宋_GB2312"/>
          <w:sz w:val="32"/>
          <w:szCs w:val="32"/>
          <w:lang w:val="en"/>
        </w:rPr>
        <w:t>年第</w:t>
      </w:r>
      <w:r>
        <w:rPr>
          <w:rFonts w:hint="eastAsia" w:eastAsia="仿宋_GB2312"/>
          <w:sz w:val="32"/>
          <w:szCs w:val="32"/>
          <w:lang w:val="en"/>
        </w:rPr>
        <w:t>73</w:t>
      </w:r>
      <w:r>
        <w:rPr>
          <w:rFonts w:eastAsia="仿宋_GB2312"/>
          <w:sz w:val="32"/>
          <w:szCs w:val="32"/>
          <w:lang w:val="en"/>
        </w:rPr>
        <w:t>号</w:t>
      </w:r>
      <w:r>
        <w:rPr>
          <w:rFonts w:eastAsia="仿宋_GB2312"/>
          <w:sz w:val="32"/>
          <w:szCs w:val="32"/>
        </w:rPr>
        <w:t>[Z].</w:t>
      </w:r>
    </w:p>
    <w:p w14:paraId="458B40FC">
      <w:pPr>
        <w:pStyle w:val="8"/>
        <w:numPr>
          <w:ilvl w:val="0"/>
          <w:numId w:val="2"/>
        </w:numPr>
        <w:tabs>
          <w:tab w:val="left" w:pos="360"/>
          <w:tab w:val="left" w:pos="952"/>
          <w:tab w:val="left" w:pos="1078"/>
          <w:tab w:val="left" w:pos="1140"/>
        </w:tabs>
        <w:autoSpaceDE w:val="0"/>
        <w:autoSpaceDN w:val="0"/>
        <w:adjustRightInd w:val="0"/>
        <w:spacing w:line="520" w:lineRule="exact"/>
        <w:ind w:left="0" w:firstLine="640" w:firstLineChars="0"/>
        <w:rPr>
          <w:rFonts w:eastAsia="仿宋_GB2312"/>
          <w:sz w:val="32"/>
          <w:szCs w:val="32"/>
        </w:rPr>
      </w:pPr>
      <w:r>
        <w:rPr>
          <w:rFonts w:hint="eastAsia" w:eastAsia="仿宋_GB2312"/>
          <w:sz w:val="32"/>
          <w:szCs w:val="32"/>
        </w:rPr>
        <w:t>国家药品监督管理局.</w:t>
      </w:r>
      <w:r>
        <w:rPr>
          <w:rFonts w:eastAsia="仿宋_GB2312"/>
          <w:sz w:val="32"/>
          <w:szCs w:val="32"/>
        </w:rPr>
        <w:t>医疗器械产品技术要求编写指导原则</w:t>
      </w:r>
      <w:r>
        <w:rPr>
          <w:rFonts w:hint="eastAsia" w:eastAsia="仿宋_GB2312"/>
          <w:sz w:val="32"/>
          <w:szCs w:val="32"/>
        </w:rPr>
        <w:t>:国家药监局关于发布</w:t>
      </w:r>
      <w:r>
        <w:rPr>
          <w:rFonts w:eastAsia="仿宋_GB2312"/>
          <w:sz w:val="32"/>
          <w:szCs w:val="32"/>
        </w:rPr>
        <w:t>医疗器械产品技术要求编写指导原则</w:t>
      </w:r>
      <w:r>
        <w:rPr>
          <w:rFonts w:hint="eastAsia" w:eastAsia="仿宋_GB2312"/>
          <w:sz w:val="32"/>
          <w:szCs w:val="32"/>
        </w:rPr>
        <w:t>的</w:t>
      </w:r>
      <w:r>
        <w:rPr>
          <w:rFonts w:hint="eastAsia" w:eastAsia="仿宋_GB2312"/>
          <w:sz w:val="32"/>
          <w:szCs w:val="32"/>
          <w:lang w:val="en"/>
        </w:rPr>
        <w:t>通告</w:t>
      </w:r>
      <w:r>
        <w:rPr>
          <w:rFonts w:eastAsia="仿宋_GB2312"/>
          <w:sz w:val="32"/>
          <w:szCs w:val="32"/>
          <w:lang w:val="en"/>
        </w:rPr>
        <w:t>20</w:t>
      </w:r>
      <w:r>
        <w:rPr>
          <w:rFonts w:hint="eastAsia" w:eastAsia="仿宋_GB2312"/>
          <w:sz w:val="32"/>
          <w:szCs w:val="32"/>
          <w:lang w:val="en"/>
        </w:rPr>
        <w:t>22</w:t>
      </w:r>
      <w:r>
        <w:rPr>
          <w:rFonts w:eastAsia="仿宋_GB2312"/>
          <w:sz w:val="32"/>
          <w:szCs w:val="32"/>
          <w:lang w:val="en"/>
        </w:rPr>
        <w:t>年第8号</w:t>
      </w:r>
      <w:r>
        <w:rPr>
          <w:rFonts w:eastAsia="仿宋_GB2312"/>
          <w:sz w:val="32"/>
          <w:szCs w:val="32"/>
        </w:rPr>
        <w:t>[Z].</w:t>
      </w:r>
    </w:p>
    <w:p w14:paraId="33A4BD41">
      <w:pPr>
        <w:pStyle w:val="8"/>
        <w:numPr>
          <w:ilvl w:val="0"/>
          <w:numId w:val="2"/>
        </w:numPr>
        <w:tabs>
          <w:tab w:val="left" w:pos="360"/>
          <w:tab w:val="left" w:pos="952"/>
          <w:tab w:val="left" w:pos="1078"/>
          <w:tab w:val="left" w:pos="1140"/>
        </w:tabs>
        <w:autoSpaceDE w:val="0"/>
        <w:autoSpaceDN w:val="0"/>
        <w:adjustRightInd w:val="0"/>
        <w:spacing w:line="520" w:lineRule="exact"/>
        <w:ind w:left="0" w:firstLine="640" w:firstLineChars="0"/>
        <w:rPr>
          <w:rFonts w:eastAsia="仿宋_GB2312"/>
          <w:sz w:val="32"/>
          <w:szCs w:val="32"/>
        </w:rPr>
      </w:pPr>
      <w:r>
        <w:rPr>
          <w:rFonts w:hint="eastAsia" w:eastAsia="仿宋_GB2312"/>
          <w:kern w:val="0"/>
          <w:sz w:val="32"/>
          <w:szCs w:val="32"/>
        </w:rPr>
        <w:t>国家药品监督管理局医疗器械审评中心.</w:t>
      </w:r>
      <w:r>
        <w:rPr>
          <w:rFonts w:eastAsia="仿宋_GB2312"/>
          <w:kern w:val="0"/>
          <w:sz w:val="32"/>
          <w:szCs w:val="32"/>
        </w:rPr>
        <w:t>医疗器械软件注册审查指导原则</w:t>
      </w:r>
      <w:r>
        <w:rPr>
          <w:rFonts w:hint="eastAsia" w:eastAsia="仿宋_GB2312"/>
          <w:kern w:val="0"/>
          <w:sz w:val="32"/>
          <w:szCs w:val="32"/>
        </w:rPr>
        <w:t>（2022年修订版）:国家药监局器审中心关于发布医疗器械软件注册审查指导原则（2022年修订版）的通告2022年第9号</w:t>
      </w:r>
      <w:r>
        <w:rPr>
          <w:rFonts w:eastAsia="仿宋_GB2312"/>
          <w:sz w:val="32"/>
          <w:szCs w:val="32"/>
        </w:rPr>
        <w:t>[Z].</w:t>
      </w:r>
    </w:p>
    <w:p w14:paraId="6711F819">
      <w:pPr>
        <w:pStyle w:val="8"/>
        <w:numPr>
          <w:ilvl w:val="0"/>
          <w:numId w:val="2"/>
        </w:numPr>
        <w:tabs>
          <w:tab w:val="left" w:pos="360"/>
          <w:tab w:val="left" w:pos="952"/>
          <w:tab w:val="left" w:pos="1078"/>
          <w:tab w:val="left" w:pos="1140"/>
        </w:tabs>
        <w:autoSpaceDE w:val="0"/>
        <w:autoSpaceDN w:val="0"/>
        <w:adjustRightInd w:val="0"/>
        <w:spacing w:line="520" w:lineRule="exact"/>
        <w:ind w:left="0" w:firstLine="640" w:firstLineChars="0"/>
        <w:rPr>
          <w:rFonts w:eastAsia="仿宋_GB2312"/>
          <w:sz w:val="32"/>
          <w:szCs w:val="32"/>
        </w:rPr>
      </w:pPr>
      <w:r>
        <w:rPr>
          <w:rFonts w:hint="eastAsia" w:eastAsia="仿宋_GB2312"/>
          <w:kern w:val="0"/>
          <w:sz w:val="32"/>
          <w:szCs w:val="32"/>
        </w:rPr>
        <w:t>国家药品监督管理局医疗器械审评中心</w:t>
      </w:r>
      <w:r>
        <w:rPr>
          <w:rFonts w:eastAsia="仿宋_GB2312"/>
          <w:sz w:val="32"/>
          <w:szCs w:val="32"/>
        </w:rPr>
        <w:t>.医疗器械网络安全注册审查指导原则（2022年修订版）</w:t>
      </w:r>
      <w:r>
        <w:rPr>
          <w:rFonts w:hint="eastAsia" w:eastAsia="仿宋_GB2312"/>
          <w:sz w:val="32"/>
          <w:szCs w:val="32"/>
        </w:rPr>
        <w:t>:</w:t>
      </w:r>
      <w:r>
        <w:rPr>
          <w:rFonts w:hint="eastAsia" w:eastAsia="仿宋_GB2312"/>
          <w:kern w:val="0"/>
          <w:sz w:val="32"/>
          <w:szCs w:val="32"/>
        </w:rPr>
        <w:t>国家药监局器审中心关于发布医疗器械网络安全注册审查指导原则（2022年修订版）的通告2022年第7号</w:t>
      </w:r>
      <w:r>
        <w:rPr>
          <w:rFonts w:eastAsia="仿宋_GB2312"/>
          <w:sz w:val="32"/>
          <w:szCs w:val="32"/>
        </w:rPr>
        <w:t>[Z].</w:t>
      </w:r>
    </w:p>
    <w:p w14:paraId="0B3BEB89">
      <w:pPr>
        <w:pStyle w:val="8"/>
        <w:numPr>
          <w:ilvl w:val="0"/>
          <w:numId w:val="2"/>
        </w:numPr>
        <w:tabs>
          <w:tab w:val="left" w:pos="360"/>
          <w:tab w:val="left" w:pos="952"/>
          <w:tab w:val="left" w:pos="1078"/>
          <w:tab w:val="left" w:pos="1140"/>
        </w:tabs>
        <w:autoSpaceDE w:val="0"/>
        <w:autoSpaceDN w:val="0"/>
        <w:adjustRightInd w:val="0"/>
        <w:spacing w:line="520" w:lineRule="exact"/>
        <w:ind w:left="0" w:firstLine="640" w:firstLineChars="0"/>
        <w:rPr>
          <w:rFonts w:eastAsia="仿宋_GB2312"/>
          <w:sz w:val="32"/>
          <w:szCs w:val="32"/>
        </w:rPr>
      </w:pPr>
      <w:r>
        <w:rPr>
          <w:rFonts w:hint="eastAsia" w:eastAsia="仿宋_GB2312"/>
          <w:kern w:val="0"/>
          <w:sz w:val="32"/>
          <w:szCs w:val="32"/>
        </w:rPr>
        <w:t>国家药品监督管理局医疗器械审评中心</w:t>
      </w:r>
      <w:r>
        <w:rPr>
          <w:rFonts w:eastAsia="仿宋_GB2312"/>
          <w:sz w:val="32"/>
          <w:szCs w:val="32"/>
        </w:rPr>
        <w:t>.</w:t>
      </w:r>
      <w:r>
        <w:rPr>
          <w:rFonts w:hint="eastAsia"/>
        </w:rPr>
        <w:t xml:space="preserve"> </w:t>
      </w:r>
      <w:r>
        <w:rPr>
          <w:rFonts w:hint="eastAsia" w:eastAsia="仿宋_GB2312"/>
          <w:sz w:val="32"/>
          <w:szCs w:val="32"/>
        </w:rPr>
        <w:t>医疗器械可用性工程注册审查指导原则（2024年第13号）</w:t>
      </w:r>
      <w:r>
        <w:rPr>
          <w:rFonts w:eastAsia="仿宋_GB2312"/>
          <w:sz w:val="32"/>
          <w:szCs w:val="32"/>
        </w:rPr>
        <w:t>[Z].</w:t>
      </w:r>
    </w:p>
    <w:p w14:paraId="311A17DA">
      <w:pPr>
        <w:pStyle w:val="8"/>
        <w:numPr>
          <w:ilvl w:val="0"/>
          <w:numId w:val="2"/>
        </w:numPr>
        <w:tabs>
          <w:tab w:val="left" w:pos="360"/>
          <w:tab w:val="left" w:pos="952"/>
          <w:tab w:val="left" w:pos="1078"/>
          <w:tab w:val="left" w:pos="1140"/>
        </w:tabs>
        <w:autoSpaceDE w:val="0"/>
        <w:autoSpaceDN w:val="0"/>
        <w:adjustRightInd w:val="0"/>
        <w:spacing w:line="520" w:lineRule="exact"/>
        <w:ind w:left="0" w:firstLine="640" w:firstLineChars="0"/>
        <w:rPr>
          <w:rFonts w:eastAsia="仿宋_GB2312"/>
          <w:sz w:val="32"/>
          <w:szCs w:val="32"/>
        </w:rPr>
      </w:pPr>
      <w:r>
        <w:rPr>
          <w:rFonts w:eastAsia="仿宋_GB2312"/>
          <w:sz w:val="32"/>
          <w:szCs w:val="28"/>
        </w:rPr>
        <w:t>GB 4793</w:t>
      </w:r>
      <w:r>
        <w:rPr>
          <w:rFonts w:hint="eastAsia" w:eastAsia="仿宋_GB2312"/>
          <w:sz w:val="32"/>
          <w:szCs w:val="28"/>
          <w:lang w:val="en-US" w:eastAsia="zh-CN"/>
        </w:rPr>
        <w:t>-2024</w:t>
      </w:r>
      <w:r>
        <w:rPr>
          <w:rFonts w:eastAsia="仿宋_GB2312"/>
          <w:sz w:val="32"/>
          <w:szCs w:val="28"/>
        </w:rPr>
        <w:t>,</w:t>
      </w:r>
      <w:r>
        <w:rPr>
          <w:rFonts w:hint="eastAsia" w:eastAsia="仿宋_GB2312"/>
          <w:sz w:val="32"/>
          <w:szCs w:val="28"/>
        </w:rPr>
        <w:t>测量、控制和实验室用电气设备安全技术规范</w:t>
      </w:r>
      <w:r>
        <w:rPr>
          <w:rFonts w:eastAsia="仿宋_GB2312"/>
          <w:sz w:val="32"/>
          <w:szCs w:val="28"/>
        </w:rPr>
        <w:t>[S].</w:t>
      </w:r>
    </w:p>
    <w:p w14:paraId="7AE52169">
      <w:pPr>
        <w:pStyle w:val="8"/>
        <w:numPr>
          <w:ilvl w:val="0"/>
          <w:numId w:val="2"/>
        </w:numPr>
        <w:tabs>
          <w:tab w:val="left" w:pos="360"/>
          <w:tab w:val="left" w:pos="952"/>
          <w:tab w:val="left" w:pos="1078"/>
          <w:tab w:val="left" w:pos="1140"/>
        </w:tabs>
        <w:autoSpaceDE w:val="0"/>
        <w:autoSpaceDN w:val="0"/>
        <w:adjustRightInd w:val="0"/>
        <w:spacing w:line="520" w:lineRule="exact"/>
        <w:ind w:left="0" w:firstLine="640" w:firstLineChars="0"/>
        <w:rPr>
          <w:rFonts w:eastAsia="仿宋_GB2312"/>
          <w:kern w:val="0"/>
          <w:sz w:val="32"/>
          <w:szCs w:val="32"/>
        </w:rPr>
      </w:pPr>
      <w:r>
        <w:rPr>
          <w:rFonts w:eastAsia="仿宋_GB2312"/>
          <w:sz w:val="32"/>
          <w:szCs w:val="28"/>
        </w:rPr>
        <w:t>GB 4793.</w:t>
      </w:r>
      <w:r>
        <w:rPr>
          <w:rFonts w:hint="eastAsia" w:eastAsia="仿宋_GB2312"/>
          <w:sz w:val="32"/>
          <w:szCs w:val="28"/>
        </w:rPr>
        <w:t>4-2019</w:t>
      </w:r>
      <w:r>
        <w:rPr>
          <w:rFonts w:eastAsia="仿宋_GB2312"/>
          <w:sz w:val="32"/>
          <w:szCs w:val="28"/>
        </w:rPr>
        <w:t>,</w:t>
      </w:r>
      <w:r>
        <w:rPr>
          <w:rFonts w:hint="eastAsia" w:eastAsia="仿宋_GB2312"/>
          <w:sz w:val="32"/>
          <w:szCs w:val="28"/>
        </w:rPr>
        <w:t>测量、控制及实验室用电气设备的安全实验室用处理医用材料的蒸压器的特殊要求</w:t>
      </w:r>
      <w:r>
        <w:rPr>
          <w:rFonts w:eastAsia="仿宋_GB2312"/>
          <w:sz w:val="32"/>
          <w:szCs w:val="28"/>
        </w:rPr>
        <w:t>[S].</w:t>
      </w:r>
    </w:p>
    <w:p w14:paraId="1140AC23">
      <w:pPr>
        <w:pStyle w:val="8"/>
        <w:numPr>
          <w:ilvl w:val="0"/>
          <w:numId w:val="2"/>
        </w:numPr>
        <w:tabs>
          <w:tab w:val="left" w:pos="360"/>
          <w:tab w:val="left" w:pos="952"/>
          <w:tab w:val="left" w:pos="1078"/>
          <w:tab w:val="left" w:pos="1140"/>
        </w:tabs>
        <w:autoSpaceDE w:val="0"/>
        <w:autoSpaceDN w:val="0"/>
        <w:adjustRightInd w:val="0"/>
        <w:spacing w:line="520" w:lineRule="exact"/>
        <w:ind w:left="0" w:firstLine="640" w:firstLineChars="0"/>
        <w:rPr>
          <w:rFonts w:eastAsia="仿宋_GB2312"/>
          <w:kern w:val="0"/>
          <w:sz w:val="32"/>
          <w:szCs w:val="32"/>
        </w:rPr>
      </w:pPr>
      <w:r>
        <w:rPr>
          <w:rFonts w:eastAsia="仿宋_GB2312"/>
          <w:kern w:val="0"/>
          <w:sz w:val="32"/>
          <w:szCs w:val="32"/>
        </w:rPr>
        <w:t>GB/T 14710</w:t>
      </w:r>
      <w:r>
        <w:rPr>
          <w:rFonts w:hint="eastAsia" w:eastAsia="仿宋_GB2312"/>
          <w:kern w:val="0"/>
          <w:sz w:val="32"/>
          <w:szCs w:val="32"/>
        </w:rPr>
        <w:t>-2009</w:t>
      </w:r>
      <w:r>
        <w:rPr>
          <w:rFonts w:eastAsia="仿宋_GB2312"/>
          <w:sz w:val="32"/>
          <w:szCs w:val="32"/>
        </w:rPr>
        <w:t>,</w:t>
      </w:r>
      <w:r>
        <w:rPr>
          <w:rFonts w:eastAsia="仿宋_GB2312"/>
          <w:kern w:val="0"/>
          <w:sz w:val="32"/>
          <w:szCs w:val="32"/>
        </w:rPr>
        <w:t>医用电器环境要求及试验方法[S].</w:t>
      </w:r>
    </w:p>
    <w:p w14:paraId="5AACC30F">
      <w:pPr>
        <w:pStyle w:val="8"/>
        <w:numPr>
          <w:ilvl w:val="0"/>
          <w:numId w:val="2"/>
        </w:numPr>
        <w:tabs>
          <w:tab w:val="left" w:pos="360"/>
          <w:tab w:val="left" w:pos="952"/>
          <w:tab w:val="left" w:pos="1078"/>
          <w:tab w:val="left" w:pos="1140"/>
        </w:tabs>
        <w:autoSpaceDE w:val="0"/>
        <w:autoSpaceDN w:val="0"/>
        <w:adjustRightInd w:val="0"/>
        <w:spacing w:line="520" w:lineRule="exact"/>
        <w:ind w:left="0" w:firstLine="640" w:firstLineChars="0"/>
        <w:rPr>
          <w:rFonts w:eastAsia="仿宋_GB2312"/>
          <w:kern w:val="0"/>
          <w:sz w:val="32"/>
          <w:szCs w:val="32"/>
        </w:rPr>
      </w:pPr>
      <w:r>
        <w:rPr>
          <w:rFonts w:eastAsia="仿宋_GB2312"/>
          <w:sz w:val="32"/>
          <w:szCs w:val="28"/>
        </w:rPr>
        <w:t>GB/T 18268.1</w:t>
      </w:r>
      <w:r>
        <w:rPr>
          <w:rFonts w:hint="eastAsia" w:eastAsia="仿宋_GB2312"/>
          <w:sz w:val="32"/>
          <w:szCs w:val="28"/>
        </w:rPr>
        <w:t>-20</w:t>
      </w:r>
      <w:r>
        <w:rPr>
          <w:rFonts w:hint="eastAsia" w:eastAsia="仿宋_GB2312"/>
          <w:sz w:val="32"/>
          <w:szCs w:val="28"/>
          <w:lang w:val="en-US" w:eastAsia="zh-CN"/>
        </w:rPr>
        <w:t>25</w:t>
      </w:r>
      <w:r>
        <w:rPr>
          <w:rFonts w:eastAsia="仿宋_GB2312"/>
          <w:sz w:val="32"/>
          <w:szCs w:val="28"/>
        </w:rPr>
        <w:t>,</w:t>
      </w:r>
      <w:r>
        <w:rPr>
          <w:rFonts w:hint="eastAsia" w:eastAsia="仿宋_GB2312"/>
          <w:sz w:val="32"/>
          <w:szCs w:val="28"/>
        </w:rPr>
        <w:t>测量、控制和实验室用的电设备 电磁兼容性要求 第1部分通用要求</w:t>
      </w:r>
      <w:r>
        <w:rPr>
          <w:rFonts w:eastAsia="仿宋_GB2312"/>
          <w:sz w:val="32"/>
          <w:szCs w:val="28"/>
        </w:rPr>
        <w:t>[S].</w:t>
      </w:r>
    </w:p>
    <w:p w14:paraId="2C97AE27">
      <w:pPr>
        <w:pStyle w:val="8"/>
        <w:numPr>
          <w:ilvl w:val="0"/>
          <w:numId w:val="2"/>
        </w:numPr>
        <w:tabs>
          <w:tab w:val="left" w:pos="360"/>
          <w:tab w:val="left" w:pos="952"/>
          <w:tab w:val="left" w:pos="1078"/>
          <w:tab w:val="left" w:pos="1140"/>
        </w:tabs>
        <w:autoSpaceDE w:val="0"/>
        <w:autoSpaceDN w:val="0"/>
        <w:adjustRightInd w:val="0"/>
        <w:spacing w:line="520" w:lineRule="exact"/>
        <w:ind w:left="0" w:firstLine="640" w:firstLineChars="0"/>
        <w:rPr>
          <w:rFonts w:eastAsia="仿宋_GB2312"/>
          <w:sz w:val="32"/>
          <w:szCs w:val="32"/>
        </w:rPr>
      </w:pPr>
      <w:r>
        <w:rPr>
          <w:rFonts w:eastAsia="仿宋_GB2312"/>
          <w:sz w:val="32"/>
          <w:szCs w:val="32"/>
        </w:rPr>
        <w:t>WS</w:t>
      </w:r>
      <w:r>
        <w:rPr>
          <w:rFonts w:hint="eastAsia" w:eastAsia="仿宋_GB2312"/>
          <w:sz w:val="32"/>
          <w:szCs w:val="32"/>
        </w:rPr>
        <w:t xml:space="preserve"> </w:t>
      </w:r>
      <w:r>
        <w:rPr>
          <w:rFonts w:eastAsia="仿宋_GB2312"/>
          <w:sz w:val="32"/>
          <w:szCs w:val="32"/>
        </w:rPr>
        <w:t>310.1</w:t>
      </w:r>
      <w:r>
        <w:rPr>
          <w:rFonts w:hint="eastAsia" w:eastAsia="仿宋_GB2312"/>
          <w:sz w:val="32"/>
          <w:szCs w:val="32"/>
        </w:rPr>
        <w:t>-201</w:t>
      </w:r>
      <w:r>
        <w:rPr>
          <w:rFonts w:eastAsia="仿宋_GB2312"/>
          <w:sz w:val="32"/>
          <w:szCs w:val="32"/>
        </w:rPr>
        <w:t>6,</w:t>
      </w:r>
      <w:r>
        <w:rPr>
          <w:rFonts w:hint="eastAsia"/>
        </w:rPr>
        <w:t xml:space="preserve"> </w:t>
      </w:r>
      <w:r>
        <w:rPr>
          <w:rFonts w:hint="eastAsia" w:eastAsia="仿宋_GB2312"/>
          <w:sz w:val="32"/>
          <w:szCs w:val="32"/>
        </w:rPr>
        <w:t>医院消毒供应中心 第1部分：管理规范</w:t>
      </w:r>
      <w:r>
        <w:rPr>
          <w:rFonts w:eastAsia="仿宋_GB2312"/>
          <w:sz w:val="32"/>
          <w:szCs w:val="32"/>
        </w:rPr>
        <w:t>[S].</w:t>
      </w:r>
    </w:p>
    <w:p w14:paraId="1C8D9A28">
      <w:pPr>
        <w:pStyle w:val="8"/>
        <w:numPr>
          <w:ilvl w:val="0"/>
          <w:numId w:val="2"/>
        </w:numPr>
        <w:tabs>
          <w:tab w:val="left" w:pos="360"/>
          <w:tab w:val="left" w:pos="952"/>
          <w:tab w:val="left" w:pos="1078"/>
          <w:tab w:val="left" w:pos="1140"/>
        </w:tabs>
        <w:autoSpaceDE w:val="0"/>
        <w:autoSpaceDN w:val="0"/>
        <w:adjustRightInd w:val="0"/>
        <w:spacing w:line="520" w:lineRule="exact"/>
        <w:ind w:left="0" w:firstLine="640" w:firstLineChars="0"/>
        <w:rPr>
          <w:rFonts w:eastAsia="仿宋_GB2312"/>
          <w:sz w:val="32"/>
          <w:szCs w:val="32"/>
        </w:rPr>
      </w:pPr>
      <w:r>
        <w:rPr>
          <w:rFonts w:eastAsia="仿宋_GB2312"/>
          <w:sz w:val="32"/>
          <w:szCs w:val="32"/>
        </w:rPr>
        <w:t>WS</w:t>
      </w:r>
      <w:r>
        <w:rPr>
          <w:rFonts w:hint="eastAsia" w:eastAsia="仿宋_GB2312"/>
          <w:sz w:val="32"/>
          <w:szCs w:val="32"/>
        </w:rPr>
        <w:t xml:space="preserve"> </w:t>
      </w:r>
      <w:r>
        <w:rPr>
          <w:rFonts w:eastAsia="仿宋_GB2312"/>
          <w:sz w:val="32"/>
          <w:szCs w:val="32"/>
        </w:rPr>
        <w:t>310.2</w:t>
      </w:r>
      <w:r>
        <w:rPr>
          <w:rFonts w:hint="eastAsia" w:eastAsia="仿宋_GB2312"/>
          <w:sz w:val="32"/>
          <w:szCs w:val="32"/>
        </w:rPr>
        <w:t>-201</w:t>
      </w:r>
      <w:r>
        <w:rPr>
          <w:rFonts w:eastAsia="仿宋_GB2312"/>
          <w:sz w:val="32"/>
          <w:szCs w:val="32"/>
        </w:rPr>
        <w:t>6,</w:t>
      </w:r>
      <w:r>
        <w:rPr>
          <w:rFonts w:hint="eastAsia"/>
        </w:rPr>
        <w:t xml:space="preserve"> </w:t>
      </w:r>
      <w:r>
        <w:rPr>
          <w:rFonts w:hint="eastAsia" w:eastAsia="仿宋_GB2312"/>
          <w:sz w:val="32"/>
          <w:szCs w:val="32"/>
        </w:rPr>
        <w:t>医院消毒供应中心 第</w:t>
      </w:r>
      <w:r>
        <w:rPr>
          <w:rFonts w:eastAsia="仿宋_GB2312"/>
          <w:sz w:val="32"/>
          <w:szCs w:val="32"/>
        </w:rPr>
        <w:t>2</w:t>
      </w:r>
      <w:r>
        <w:rPr>
          <w:rFonts w:hint="eastAsia" w:eastAsia="仿宋_GB2312"/>
          <w:sz w:val="32"/>
          <w:szCs w:val="32"/>
        </w:rPr>
        <w:t>部分：清洗消毒</w:t>
      </w:r>
      <w:r>
        <w:rPr>
          <w:rFonts w:eastAsia="仿宋_GB2312"/>
          <w:sz w:val="32"/>
          <w:szCs w:val="32"/>
        </w:rPr>
        <w:t>及灭菌技术操作</w:t>
      </w:r>
      <w:r>
        <w:rPr>
          <w:rFonts w:hint="eastAsia" w:eastAsia="仿宋_GB2312"/>
          <w:sz w:val="32"/>
          <w:szCs w:val="32"/>
        </w:rPr>
        <w:t>规范</w:t>
      </w:r>
      <w:r>
        <w:rPr>
          <w:rFonts w:eastAsia="仿宋_GB2312"/>
          <w:sz w:val="32"/>
          <w:szCs w:val="32"/>
        </w:rPr>
        <w:t>[S].</w:t>
      </w:r>
    </w:p>
    <w:p w14:paraId="390269C6">
      <w:pPr>
        <w:pStyle w:val="8"/>
        <w:numPr>
          <w:ilvl w:val="0"/>
          <w:numId w:val="2"/>
        </w:numPr>
        <w:tabs>
          <w:tab w:val="left" w:pos="360"/>
          <w:tab w:val="left" w:pos="952"/>
          <w:tab w:val="left" w:pos="1078"/>
          <w:tab w:val="left" w:pos="1140"/>
        </w:tabs>
        <w:autoSpaceDE w:val="0"/>
        <w:autoSpaceDN w:val="0"/>
        <w:adjustRightInd w:val="0"/>
        <w:spacing w:line="520" w:lineRule="exact"/>
        <w:ind w:left="0" w:firstLine="640" w:firstLineChars="0"/>
        <w:rPr>
          <w:rFonts w:eastAsia="仿宋_GB2312"/>
          <w:sz w:val="32"/>
          <w:szCs w:val="32"/>
        </w:rPr>
      </w:pPr>
      <w:r>
        <w:rPr>
          <w:rFonts w:eastAsia="仿宋_GB2312"/>
          <w:sz w:val="32"/>
          <w:szCs w:val="32"/>
        </w:rPr>
        <w:t>WS</w:t>
      </w:r>
      <w:r>
        <w:rPr>
          <w:rFonts w:hint="eastAsia" w:eastAsia="仿宋_GB2312"/>
          <w:sz w:val="32"/>
          <w:szCs w:val="32"/>
        </w:rPr>
        <w:t xml:space="preserve"> </w:t>
      </w:r>
      <w:r>
        <w:rPr>
          <w:rFonts w:eastAsia="仿宋_GB2312"/>
          <w:sz w:val="32"/>
          <w:szCs w:val="32"/>
        </w:rPr>
        <w:t>310.3</w:t>
      </w:r>
      <w:r>
        <w:rPr>
          <w:rFonts w:hint="eastAsia" w:eastAsia="仿宋_GB2312"/>
          <w:sz w:val="32"/>
          <w:szCs w:val="32"/>
        </w:rPr>
        <w:t>-201</w:t>
      </w:r>
      <w:r>
        <w:rPr>
          <w:rFonts w:eastAsia="仿宋_GB2312"/>
          <w:sz w:val="32"/>
          <w:szCs w:val="32"/>
        </w:rPr>
        <w:t>6,</w:t>
      </w:r>
      <w:r>
        <w:rPr>
          <w:rFonts w:hint="eastAsia"/>
        </w:rPr>
        <w:t xml:space="preserve"> </w:t>
      </w:r>
      <w:r>
        <w:t xml:space="preserve"> </w:t>
      </w:r>
      <w:r>
        <w:rPr>
          <w:rFonts w:hint="eastAsia" w:eastAsia="仿宋_GB2312"/>
          <w:sz w:val="32"/>
          <w:szCs w:val="32"/>
        </w:rPr>
        <w:t>医院消毒供应中心 第</w:t>
      </w:r>
      <w:r>
        <w:rPr>
          <w:rFonts w:eastAsia="仿宋_GB2312"/>
          <w:sz w:val="32"/>
          <w:szCs w:val="32"/>
        </w:rPr>
        <w:t>3</w:t>
      </w:r>
      <w:r>
        <w:rPr>
          <w:rFonts w:hint="eastAsia" w:eastAsia="仿宋_GB2312"/>
          <w:sz w:val="32"/>
          <w:szCs w:val="32"/>
        </w:rPr>
        <w:t>部分：清洗消毒及</w:t>
      </w:r>
      <w:r>
        <w:rPr>
          <w:rFonts w:eastAsia="仿宋_GB2312"/>
          <w:sz w:val="32"/>
          <w:szCs w:val="32"/>
        </w:rPr>
        <w:t>灭菌效果监测标准[S].</w:t>
      </w:r>
    </w:p>
    <w:p w14:paraId="4DCD2544">
      <w:pPr>
        <w:pStyle w:val="8"/>
        <w:numPr>
          <w:ilvl w:val="0"/>
          <w:numId w:val="2"/>
        </w:numPr>
        <w:tabs>
          <w:tab w:val="left" w:pos="360"/>
          <w:tab w:val="left" w:pos="952"/>
          <w:tab w:val="left" w:pos="1078"/>
          <w:tab w:val="left" w:pos="1140"/>
        </w:tabs>
        <w:autoSpaceDE w:val="0"/>
        <w:autoSpaceDN w:val="0"/>
        <w:adjustRightInd w:val="0"/>
        <w:spacing w:line="520" w:lineRule="exact"/>
        <w:ind w:left="0" w:firstLine="640" w:firstLineChars="0"/>
        <w:rPr>
          <w:rFonts w:eastAsia="仿宋_GB2312"/>
          <w:sz w:val="32"/>
          <w:szCs w:val="32"/>
        </w:rPr>
      </w:pPr>
      <w:r>
        <w:rPr>
          <w:rFonts w:eastAsia="仿宋_GB2312"/>
          <w:sz w:val="32"/>
          <w:szCs w:val="32"/>
        </w:rPr>
        <w:t>WS/T</w:t>
      </w:r>
      <w:r>
        <w:rPr>
          <w:rFonts w:hint="eastAsia" w:eastAsia="仿宋_GB2312"/>
          <w:sz w:val="32"/>
          <w:szCs w:val="32"/>
        </w:rPr>
        <w:t xml:space="preserve"> </w:t>
      </w:r>
      <w:r>
        <w:rPr>
          <w:rFonts w:eastAsia="仿宋_GB2312"/>
          <w:sz w:val="32"/>
          <w:szCs w:val="32"/>
        </w:rPr>
        <w:t>367</w:t>
      </w:r>
      <w:r>
        <w:rPr>
          <w:rFonts w:hint="eastAsia" w:eastAsia="仿宋_GB2312"/>
          <w:sz w:val="32"/>
          <w:szCs w:val="32"/>
        </w:rPr>
        <w:t>-2012</w:t>
      </w:r>
      <w:r>
        <w:rPr>
          <w:rFonts w:eastAsia="仿宋_GB2312"/>
          <w:sz w:val="32"/>
          <w:szCs w:val="32"/>
        </w:rPr>
        <w:t>,医疗机构消毒技术规范[S].</w:t>
      </w:r>
    </w:p>
    <w:p w14:paraId="7D1AFCC9">
      <w:pPr>
        <w:pStyle w:val="8"/>
        <w:numPr>
          <w:ilvl w:val="0"/>
          <w:numId w:val="2"/>
        </w:numPr>
        <w:tabs>
          <w:tab w:val="left" w:pos="360"/>
          <w:tab w:val="left" w:pos="952"/>
          <w:tab w:val="left" w:pos="1078"/>
          <w:tab w:val="left" w:pos="1140"/>
        </w:tabs>
        <w:autoSpaceDE w:val="0"/>
        <w:autoSpaceDN w:val="0"/>
        <w:adjustRightInd w:val="0"/>
        <w:spacing w:line="520" w:lineRule="exact"/>
        <w:ind w:left="0" w:firstLine="640" w:firstLineChars="0"/>
        <w:rPr>
          <w:rFonts w:eastAsia="仿宋_GB2312"/>
          <w:kern w:val="0"/>
          <w:sz w:val="32"/>
          <w:szCs w:val="32"/>
        </w:rPr>
      </w:pPr>
      <w:r>
        <w:rPr>
          <w:rFonts w:hint="eastAsia" w:eastAsia="仿宋_GB2312"/>
          <w:kern w:val="0"/>
          <w:sz w:val="32"/>
          <w:szCs w:val="32"/>
        </w:rPr>
        <w:t>GB</w:t>
      </w:r>
      <w:r>
        <w:rPr>
          <w:rFonts w:eastAsia="仿宋_GB2312"/>
          <w:kern w:val="0"/>
          <w:sz w:val="32"/>
          <w:szCs w:val="32"/>
        </w:rPr>
        <w:t xml:space="preserve">/T </w:t>
      </w:r>
      <w:r>
        <w:rPr>
          <w:rFonts w:hint="eastAsia" w:eastAsia="仿宋_GB2312"/>
          <w:kern w:val="0"/>
          <w:sz w:val="32"/>
          <w:szCs w:val="32"/>
        </w:rPr>
        <w:t>42062-2022</w:t>
      </w:r>
      <w:r>
        <w:rPr>
          <w:rFonts w:eastAsia="仿宋_GB2312"/>
          <w:sz w:val="32"/>
          <w:szCs w:val="32"/>
        </w:rPr>
        <w:t>,</w:t>
      </w:r>
      <w:r>
        <w:rPr>
          <w:rFonts w:eastAsia="仿宋_GB2312"/>
          <w:kern w:val="0"/>
          <w:sz w:val="32"/>
          <w:szCs w:val="32"/>
        </w:rPr>
        <w:t>医疗器械风险管理对医疗器械的应用[S].</w:t>
      </w:r>
    </w:p>
    <w:p w14:paraId="593D6942">
      <w:pPr>
        <w:pStyle w:val="8"/>
        <w:numPr>
          <w:ilvl w:val="0"/>
          <w:numId w:val="2"/>
        </w:numPr>
        <w:tabs>
          <w:tab w:val="left" w:pos="360"/>
          <w:tab w:val="left" w:pos="952"/>
          <w:tab w:val="left" w:pos="1078"/>
          <w:tab w:val="left" w:pos="1140"/>
        </w:tabs>
        <w:autoSpaceDE w:val="0"/>
        <w:autoSpaceDN w:val="0"/>
        <w:adjustRightInd w:val="0"/>
        <w:spacing w:line="520" w:lineRule="exact"/>
        <w:ind w:left="0" w:firstLine="640" w:firstLineChars="0"/>
        <w:rPr>
          <w:rFonts w:eastAsia="仿宋_GB2312"/>
          <w:sz w:val="32"/>
          <w:szCs w:val="32"/>
        </w:rPr>
      </w:pPr>
      <w:r>
        <w:rPr>
          <w:rFonts w:eastAsia="仿宋_GB2312"/>
          <w:sz w:val="32"/>
          <w:szCs w:val="28"/>
        </w:rPr>
        <w:t>YY/T 0466.1</w:t>
      </w:r>
      <w:r>
        <w:rPr>
          <w:rFonts w:hint="eastAsia" w:eastAsia="仿宋_GB2312"/>
          <w:sz w:val="32"/>
          <w:szCs w:val="28"/>
        </w:rPr>
        <w:t>-2016</w:t>
      </w:r>
      <w:r>
        <w:rPr>
          <w:rFonts w:eastAsia="仿宋_GB2312"/>
          <w:sz w:val="32"/>
          <w:szCs w:val="28"/>
        </w:rPr>
        <w:t>,医疗器械 用于医疗器械标签、标记和提供信息的符号 第1部分：通用要求[S].</w:t>
      </w:r>
    </w:p>
    <w:p w14:paraId="65D7CFE9">
      <w:pPr>
        <w:pStyle w:val="8"/>
        <w:numPr>
          <w:ilvl w:val="0"/>
          <w:numId w:val="2"/>
        </w:numPr>
        <w:tabs>
          <w:tab w:val="left" w:pos="360"/>
          <w:tab w:val="left" w:pos="952"/>
          <w:tab w:val="left" w:pos="1078"/>
          <w:tab w:val="left" w:pos="1140"/>
        </w:tabs>
        <w:autoSpaceDE w:val="0"/>
        <w:autoSpaceDN w:val="0"/>
        <w:adjustRightInd w:val="0"/>
        <w:spacing w:line="520" w:lineRule="exact"/>
        <w:ind w:left="0" w:firstLine="640" w:firstLineChars="0"/>
        <w:rPr>
          <w:rFonts w:eastAsia="仿宋_GB2312"/>
          <w:sz w:val="32"/>
          <w:szCs w:val="32"/>
        </w:rPr>
      </w:pPr>
      <w:r>
        <w:rPr>
          <w:rFonts w:eastAsia="仿宋_GB2312"/>
          <w:sz w:val="32"/>
          <w:szCs w:val="28"/>
        </w:rPr>
        <w:t>GB/T 14710-2009,</w:t>
      </w:r>
      <w:r>
        <w:rPr>
          <w:rFonts w:hint="eastAsia"/>
        </w:rPr>
        <w:t xml:space="preserve"> </w:t>
      </w:r>
      <w:r>
        <w:rPr>
          <w:rFonts w:hint="eastAsia" w:eastAsia="仿宋_GB2312"/>
          <w:sz w:val="32"/>
          <w:szCs w:val="28"/>
        </w:rPr>
        <w:t>医用电器环境要求及试验方法</w:t>
      </w:r>
      <w:r>
        <w:rPr>
          <w:rFonts w:eastAsia="仿宋_GB2312"/>
          <w:sz w:val="32"/>
          <w:szCs w:val="28"/>
        </w:rPr>
        <w:t>[S].</w:t>
      </w:r>
    </w:p>
    <w:p w14:paraId="53689C43">
      <w:pPr>
        <w:pStyle w:val="8"/>
        <w:numPr>
          <w:ilvl w:val="0"/>
          <w:numId w:val="2"/>
        </w:numPr>
        <w:tabs>
          <w:tab w:val="left" w:pos="360"/>
          <w:tab w:val="left" w:pos="952"/>
          <w:tab w:val="left" w:pos="1078"/>
          <w:tab w:val="left" w:pos="1140"/>
        </w:tabs>
        <w:autoSpaceDE w:val="0"/>
        <w:autoSpaceDN w:val="0"/>
        <w:adjustRightInd w:val="0"/>
        <w:spacing w:line="520" w:lineRule="exact"/>
        <w:ind w:left="0" w:firstLine="640" w:firstLineChars="0"/>
        <w:rPr>
          <w:rFonts w:eastAsia="仿宋_GB2312"/>
          <w:sz w:val="32"/>
          <w:szCs w:val="32"/>
        </w:rPr>
      </w:pPr>
      <w:r>
        <w:rPr>
          <w:rFonts w:hint="eastAsia" w:eastAsia="仿宋_GB2312"/>
          <w:sz w:val="32"/>
          <w:szCs w:val="32"/>
        </w:rPr>
        <w:t>YY 0503-2023</w:t>
      </w:r>
      <w:r>
        <w:rPr>
          <w:rFonts w:hint="eastAsia" w:eastAsia="仿宋_GB2312"/>
          <w:sz w:val="32"/>
          <w:szCs w:val="32"/>
          <w:lang w:eastAsia="zh-CN"/>
        </w:rPr>
        <w:t>，</w:t>
      </w:r>
      <w:r>
        <w:rPr>
          <w:rFonts w:hint="eastAsia" w:eastAsia="仿宋_GB2312"/>
          <w:sz w:val="32"/>
          <w:szCs w:val="32"/>
        </w:rPr>
        <w:t>环氧乙烷灭菌器</w:t>
      </w:r>
      <w:r>
        <w:rPr>
          <w:rFonts w:hint="eastAsia" w:eastAsia="仿宋_GB2312"/>
          <w:sz w:val="32"/>
          <w:szCs w:val="32"/>
          <w:lang w:val="en-US" w:eastAsia="zh-CN"/>
        </w:rPr>
        <w:t>[S].</w:t>
      </w:r>
    </w:p>
    <w:p w14:paraId="3DAAB73B">
      <w:pPr>
        <w:pStyle w:val="8"/>
        <w:numPr>
          <w:ilvl w:val="0"/>
          <w:numId w:val="0"/>
        </w:numPr>
        <w:tabs>
          <w:tab w:val="left" w:pos="360"/>
          <w:tab w:val="left" w:pos="952"/>
          <w:tab w:val="left" w:pos="1078"/>
          <w:tab w:val="left" w:pos="1140"/>
        </w:tabs>
        <w:autoSpaceDE w:val="0"/>
        <w:autoSpaceDN w:val="0"/>
        <w:adjustRightInd w:val="0"/>
        <w:spacing w:line="520" w:lineRule="exact"/>
        <w:rPr>
          <w:rFonts w:eastAsia="仿宋_GB2312"/>
          <w:sz w:val="32"/>
          <w:szCs w:val="32"/>
        </w:rPr>
      </w:pPr>
    </w:p>
    <w:p w14:paraId="6518097A">
      <w:pPr>
        <w:pStyle w:val="8"/>
        <w:numPr>
          <w:ilvl w:val="0"/>
          <w:numId w:val="0"/>
        </w:numPr>
        <w:tabs>
          <w:tab w:val="left" w:pos="360"/>
          <w:tab w:val="left" w:pos="952"/>
          <w:tab w:val="left" w:pos="1078"/>
          <w:tab w:val="left" w:pos="1140"/>
        </w:tabs>
        <w:autoSpaceDE w:val="0"/>
        <w:autoSpaceDN w:val="0"/>
        <w:adjustRightInd w:val="0"/>
        <w:spacing w:line="520" w:lineRule="exact"/>
        <w:rPr>
          <w:rFonts w:eastAsia="仿宋_GB2312"/>
          <w:sz w:val="32"/>
          <w:szCs w:val="32"/>
        </w:rPr>
      </w:pPr>
    </w:p>
    <w:p w14:paraId="14BD784B">
      <w:pPr>
        <w:pStyle w:val="8"/>
        <w:numPr>
          <w:ilvl w:val="0"/>
          <w:numId w:val="0"/>
        </w:numPr>
        <w:tabs>
          <w:tab w:val="left" w:pos="360"/>
          <w:tab w:val="left" w:pos="952"/>
          <w:tab w:val="left" w:pos="1078"/>
          <w:tab w:val="left" w:pos="1140"/>
        </w:tabs>
        <w:autoSpaceDE w:val="0"/>
        <w:autoSpaceDN w:val="0"/>
        <w:adjustRightInd w:val="0"/>
        <w:spacing w:line="520" w:lineRule="exact"/>
        <w:rPr>
          <w:rFonts w:eastAsia="仿宋_GB2312"/>
          <w:sz w:val="32"/>
          <w:szCs w:val="32"/>
        </w:rPr>
      </w:pPr>
    </w:p>
    <w:p w14:paraId="551F2961">
      <w:pPr>
        <w:pStyle w:val="8"/>
        <w:numPr>
          <w:ilvl w:val="0"/>
          <w:numId w:val="0"/>
        </w:numPr>
        <w:tabs>
          <w:tab w:val="left" w:pos="360"/>
          <w:tab w:val="left" w:pos="952"/>
          <w:tab w:val="left" w:pos="1078"/>
          <w:tab w:val="left" w:pos="1140"/>
        </w:tabs>
        <w:autoSpaceDE w:val="0"/>
        <w:autoSpaceDN w:val="0"/>
        <w:adjustRightInd w:val="0"/>
        <w:spacing w:line="520" w:lineRule="exact"/>
        <w:rPr>
          <w:rFonts w:eastAsia="仿宋_GB2312"/>
          <w:sz w:val="32"/>
          <w:szCs w:val="32"/>
        </w:rPr>
      </w:pPr>
    </w:p>
    <w:p w14:paraId="56D26364">
      <w:pPr>
        <w:pStyle w:val="8"/>
        <w:numPr>
          <w:ilvl w:val="0"/>
          <w:numId w:val="0"/>
        </w:numPr>
        <w:tabs>
          <w:tab w:val="left" w:pos="360"/>
          <w:tab w:val="left" w:pos="952"/>
          <w:tab w:val="left" w:pos="1078"/>
          <w:tab w:val="left" w:pos="1140"/>
        </w:tabs>
        <w:autoSpaceDE w:val="0"/>
        <w:autoSpaceDN w:val="0"/>
        <w:adjustRightInd w:val="0"/>
        <w:spacing w:line="520" w:lineRule="exact"/>
        <w:rPr>
          <w:rFonts w:eastAsia="仿宋_GB2312"/>
          <w:sz w:val="32"/>
          <w:szCs w:val="32"/>
        </w:rPr>
      </w:pPr>
    </w:p>
    <w:p w14:paraId="532CB11F">
      <w:pPr>
        <w:pStyle w:val="8"/>
        <w:numPr>
          <w:ilvl w:val="0"/>
          <w:numId w:val="0"/>
        </w:numPr>
        <w:tabs>
          <w:tab w:val="left" w:pos="360"/>
          <w:tab w:val="left" w:pos="952"/>
          <w:tab w:val="left" w:pos="1078"/>
          <w:tab w:val="left" w:pos="1140"/>
        </w:tabs>
        <w:autoSpaceDE w:val="0"/>
        <w:autoSpaceDN w:val="0"/>
        <w:adjustRightInd w:val="0"/>
        <w:spacing w:line="520" w:lineRule="exact"/>
        <w:rPr>
          <w:rFonts w:eastAsia="仿宋_GB2312"/>
          <w:sz w:val="32"/>
          <w:szCs w:val="32"/>
        </w:rPr>
      </w:pPr>
    </w:p>
    <w:p w14:paraId="280497BD">
      <w:pPr>
        <w:pStyle w:val="8"/>
        <w:numPr>
          <w:ilvl w:val="0"/>
          <w:numId w:val="0"/>
        </w:numPr>
        <w:tabs>
          <w:tab w:val="left" w:pos="360"/>
          <w:tab w:val="left" w:pos="952"/>
          <w:tab w:val="left" w:pos="1078"/>
          <w:tab w:val="left" w:pos="1140"/>
        </w:tabs>
        <w:autoSpaceDE w:val="0"/>
        <w:autoSpaceDN w:val="0"/>
        <w:adjustRightInd w:val="0"/>
        <w:spacing w:line="520" w:lineRule="exact"/>
        <w:rPr>
          <w:rFonts w:eastAsia="仿宋_GB2312"/>
          <w:sz w:val="32"/>
          <w:szCs w:val="32"/>
        </w:rPr>
      </w:pPr>
    </w:p>
    <w:p w14:paraId="3DE04F4A">
      <w:pPr>
        <w:pStyle w:val="8"/>
        <w:numPr>
          <w:ilvl w:val="0"/>
          <w:numId w:val="0"/>
        </w:numPr>
        <w:tabs>
          <w:tab w:val="left" w:pos="360"/>
          <w:tab w:val="left" w:pos="952"/>
          <w:tab w:val="left" w:pos="1078"/>
          <w:tab w:val="left" w:pos="1140"/>
        </w:tabs>
        <w:autoSpaceDE w:val="0"/>
        <w:autoSpaceDN w:val="0"/>
        <w:adjustRightInd w:val="0"/>
        <w:spacing w:line="520" w:lineRule="exact"/>
        <w:rPr>
          <w:rFonts w:eastAsia="仿宋_GB2312"/>
          <w:sz w:val="32"/>
          <w:szCs w:val="32"/>
        </w:rPr>
      </w:pPr>
    </w:p>
    <w:p w14:paraId="7C876F17">
      <w:pPr>
        <w:pStyle w:val="8"/>
        <w:numPr>
          <w:ilvl w:val="0"/>
          <w:numId w:val="0"/>
        </w:numPr>
        <w:tabs>
          <w:tab w:val="left" w:pos="360"/>
          <w:tab w:val="left" w:pos="952"/>
          <w:tab w:val="left" w:pos="1078"/>
          <w:tab w:val="left" w:pos="1140"/>
        </w:tabs>
        <w:autoSpaceDE w:val="0"/>
        <w:autoSpaceDN w:val="0"/>
        <w:adjustRightInd w:val="0"/>
        <w:spacing w:line="520" w:lineRule="exact"/>
        <w:rPr>
          <w:rFonts w:eastAsia="仿宋_GB2312"/>
          <w:sz w:val="32"/>
          <w:szCs w:val="32"/>
        </w:rPr>
      </w:pPr>
    </w:p>
    <w:p w14:paraId="7935AC9B">
      <w:pPr>
        <w:pStyle w:val="8"/>
        <w:numPr>
          <w:ilvl w:val="0"/>
          <w:numId w:val="0"/>
        </w:numPr>
        <w:tabs>
          <w:tab w:val="left" w:pos="360"/>
          <w:tab w:val="left" w:pos="952"/>
          <w:tab w:val="left" w:pos="1078"/>
          <w:tab w:val="left" w:pos="1140"/>
        </w:tabs>
        <w:autoSpaceDE w:val="0"/>
        <w:autoSpaceDN w:val="0"/>
        <w:adjustRightInd w:val="0"/>
        <w:spacing w:line="520" w:lineRule="exact"/>
        <w:rPr>
          <w:rFonts w:eastAsia="仿宋_GB2312"/>
          <w:sz w:val="32"/>
          <w:szCs w:val="32"/>
        </w:rPr>
      </w:pPr>
    </w:p>
    <w:p w14:paraId="382F954F">
      <w:pPr>
        <w:pStyle w:val="8"/>
        <w:numPr>
          <w:ilvl w:val="0"/>
          <w:numId w:val="0"/>
        </w:numPr>
        <w:tabs>
          <w:tab w:val="left" w:pos="360"/>
          <w:tab w:val="left" w:pos="952"/>
          <w:tab w:val="left" w:pos="1078"/>
          <w:tab w:val="left" w:pos="1140"/>
        </w:tabs>
        <w:autoSpaceDE w:val="0"/>
        <w:autoSpaceDN w:val="0"/>
        <w:adjustRightInd w:val="0"/>
        <w:spacing w:line="520" w:lineRule="exact"/>
        <w:rPr>
          <w:rFonts w:eastAsia="仿宋_GB2312"/>
          <w:sz w:val="32"/>
          <w:szCs w:val="32"/>
        </w:rPr>
      </w:pPr>
    </w:p>
    <w:p w14:paraId="19358F8B">
      <w:pPr>
        <w:pStyle w:val="8"/>
        <w:numPr>
          <w:ilvl w:val="0"/>
          <w:numId w:val="0"/>
        </w:numPr>
        <w:tabs>
          <w:tab w:val="left" w:pos="360"/>
          <w:tab w:val="left" w:pos="952"/>
          <w:tab w:val="left" w:pos="1078"/>
          <w:tab w:val="left" w:pos="1140"/>
        </w:tabs>
        <w:autoSpaceDE w:val="0"/>
        <w:autoSpaceDN w:val="0"/>
        <w:adjustRightInd w:val="0"/>
        <w:spacing w:line="520" w:lineRule="exact"/>
        <w:rPr>
          <w:rFonts w:eastAsia="仿宋_GB2312"/>
          <w:sz w:val="32"/>
          <w:szCs w:val="32"/>
        </w:rPr>
      </w:pPr>
    </w:p>
    <w:p w14:paraId="2F6C2327">
      <w:pPr>
        <w:pStyle w:val="8"/>
        <w:numPr>
          <w:ilvl w:val="0"/>
          <w:numId w:val="0"/>
        </w:numPr>
        <w:tabs>
          <w:tab w:val="left" w:pos="360"/>
          <w:tab w:val="left" w:pos="952"/>
          <w:tab w:val="left" w:pos="1078"/>
          <w:tab w:val="left" w:pos="1140"/>
        </w:tabs>
        <w:autoSpaceDE w:val="0"/>
        <w:autoSpaceDN w:val="0"/>
        <w:adjustRightInd w:val="0"/>
        <w:spacing w:line="520" w:lineRule="exact"/>
        <w:rPr>
          <w:rFonts w:eastAsia="仿宋_GB2312"/>
          <w:sz w:val="32"/>
          <w:szCs w:val="32"/>
        </w:rPr>
      </w:pPr>
    </w:p>
    <w:p w14:paraId="73D355E8">
      <w:pPr>
        <w:pStyle w:val="8"/>
        <w:numPr>
          <w:ilvl w:val="0"/>
          <w:numId w:val="0"/>
        </w:numPr>
        <w:tabs>
          <w:tab w:val="left" w:pos="360"/>
          <w:tab w:val="left" w:pos="952"/>
          <w:tab w:val="left" w:pos="1078"/>
          <w:tab w:val="left" w:pos="1140"/>
        </w:tabs>
        <w:autoSpaceDE w:val="0"/>
        <w:autoSpaceDN w:val="0"/>
        <w:adjustRightInd w:val="0"/>
        <w:spacing w:line="520" w:lineRule="exact"/>
        <w:rPr>
          <w:rFonts w:eastAsia="仿宋_GB2312"/>
          <w:sz w:val="32"/>
          <w:szCs w:val="32"/>
        </w:rPr>
      </w:pPr>
      <w:bookmarkStart w:id="0" w:name="_GoBack"/>
      <w:bookmarkEnd w:id="0"/>
    </w:p>
    <w:p w14:paraId="1937424E">
      <w:pPr>
        <w:spacing w:line="400" w:lineRule="exact"/>
        <w:jc w:val="left"/>
        <w:rPr>
          <w:rFonts w:hint="eastAsia" w:eastAsia="黑体"/>
          <w:sz w:val="28"/>
          <w:szCs w:val="28"/>
          <w:lang w:val="en-US" w:eastAsia="zh-CN"/>
        </w:rPr>
      </w:pPr>
      <w:r>
        <w:rPr>
          <w:rFonts w:hint="eastAsia" w:eastAsia="黑体"/>
          <w:sz w:val="28"/>
          <w:szCs w:val="28"/>
          <w:lang w:eastAsia="zh-CN"/>
        </w:rPr>
        <w:t>附录</w:t>
      </w:r>
      <w:r>
        <w:rPr>
          <w:rFonts w:hint="eastAsia" w:eastAsia="黑体"/>
          <w:sz w:val="28"/>
          <w:szCs w:val="28"/>
          <w:lang w:val="en-US" w:eastAsia="zh-CN"/>
        </w:rPr>
        <w:t>1</w:t>
      </w:r>
    </w:p>
    <w:tbl>
      <w:tblPr>
        <w:tblStyle w:val="4"/>
        <w:tblW w:w="915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520"/>
        <w:gridCol w:w="2557"/>
        <w:gridCol w:w="2638"/>
        <w:gridCol w:w="2435"/>
      </w:tblGrid>
      <w:tr w14:paraId="4486DD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80" w:hRule="atLeast"/>
          <w:tblHeader/>
          <w:jc w:val="center"/>
        </w:trPr>
        <w:tc>
          <w:tcPr>
            <w:tcW w:w="1520" w:type="dxa"/>
            <w:tcBorders>
              <w:top w:val="single" w:color="auto" w:sz="4" w:space="0"/>
              <w:left w:val="single" w:color="auto" w:sz="4" w:space="0"/>
              <w:bottom w:val="single" w:color="auto" w:sz="4" w:space="0"/>
              <w:right w:val="single" w:color="auto" w:sz="4" w:space="0"/>
            </w:tcBorders>
            <w:noWrap w:val="0"/>
            <w:vAlign w:val="center"/>
          </w:tcPr>
          <w:p w14:paraId="2C3326F1">
            <w:pPr>
              <w:spacing w:line="400" w:lineRule="exact"/>
              <w:jc w:val="center"/>
              <w:rPr>
                <w:rFonts w:ascii="黑体" w:hAnsi="黑体" w:eastAsia="黑体"/>
                <w:i/>
                <w:sz w:val="24"/>
                <w:szCs w:val="24"/>
              </w:rPr>
            </w:pPr>
            <w:r>
              <w:rPr>
                <w:rFonts w:eastAsia="黑体"/>
                <w:sz w:val="24"/>
                <w:szCs w:val="24"/>
              </w:rPr>
              <w:t>危险</w:t>
            </w:r>
          </w:p>
        </w:tc>
        <w:tc>
          <w:tcPr>
            <w:tcW w:w="2557" w:type="dxa"/>
            <w:tcBorders>
              <w:top w:val="single" w:color="auto" w:sz="4" w:space="0"/>
              <w:left w:val="single" w:color="auto" w:sz="4" w:space="0"/>
              <w:bottom w:val="single" w:color="auto" w:sz="4" w:space="0"/>
              <w:right w:val="single" w:color="auto" w:sz="4" w:space="0"/>
            </w:tcBorders>
            <w:noWrap w:val="0"/>
            <w:vAlign w:val="center"/>
          </w:tcPr>
          <w:p w14:paraId="3449C1F4">
            <w:pPr>
              <w:spacing w:line="400" w:lineRule="exact"/>
              <w:jc w:val="center"/>
              <w:rPr>
                <w:rFonts w:eastAsia="黑体"/>
                <w:sz w:val="24"/>
                <w:szCs w:val="24"/>
              </w:rPr>
            </w:pPr>
            <w:r>
              <w:rPr>
                <w:rFonts w:eastAsia="黑体"/>
                <w:sz w:val="24"/>
                <w:szCs w:val="24"/>
              </w:rPr>
              <w:t>可预见的事件序列</w:t>
            </w:r>
          </w:p>
        </w:tc>
        <w:tc>
          <w:tcPr>
            <w:tcW w:w="2638" w:type="dxa"/>
            <w:tcBorders>
              <w:top w:val="single" w:color="auto" w:sz="4" w:space="0"/>
              <w:left w:val="single" w:color="auto" w:sz="4" w:space="0"/>
              <w:bottom w:val="single" w:color="auto" w:sz="4" w:space="0"/>
              <w:right w:val="single" w:color="auto" w:sz="4" w:space="0"/>
            </w:tcBorders>
            <w:noWrap w:val="0"/>
            <w:vAlign w:val="center"/>
          </w:tcPr>
          <w:p w14:paraId="384C4353">
            <w:pPr>
              <w:spacing w:line="400" w:lineRule="exact"/>
              <w:jc w:val="center"/>
              <w:rPr>
                <w:rFonts w:ascii="黑体" w:hAnsi="黑体" w:eastAsia="黑体"/>
                <w:sz w:val="24"/>
                <w:szCs w:val="24"/>
              </w:rPr>
            </w:pPr>
            <w:r>
              <w:rPr>
                <w:rFonts w:eastAsia="黑体"/>
                <w:sz w:val="24"/>
                <w:szCs w:val="24"/>
              </w:rPr>
              <w:t>危险情况</w:t>
            </w:r>
          </w:p>
        </w:tc>
        <w:tc>
          <w:tcPr>
            <w:tcW w:w="2435" w:type="dxa"/>
            <w:tcBorders>
              <w:top w:val="single" w:color="auto" w:sz="4" w:space="0"/>
              <w:left w:val="single" w:color="auto" w:sz="4" w:space="0"/>
              <w:bottom w:val="single" w:color="auto" w:sz="4" w:space="0"/>
              <w:right w:val="single" w:color="auto" w:sz="4" w:space="0"/>
            </w:tcBorders>
            <w:noWrap w:val="0"/>
            <w:vAlign w:val="center"/>
          </w:tcPr>
          <w:p w14:paraId="7F2C6B75">
            <w:pPr>
              <w:spacing w:line="400" w:lineRule="exact"/>
              <w:jc w:val="center"/>
              <w:rPr>
                <w:rFonts w:ascii="黑体" w:hAnsi="黑体" w:eastAsia="黑体"/>
                <w:sz w:val="24"/>
                <w:szCs w:val="24"/>
              </w:rPr>
            </w:pPr>
            <w:r>
              <w:rPr>
                <w:rFonts w:eastAsia="黑体"/>
                <w:sz w:val="24"/>
                <w:szCs w:val="24"/>
              </w:rPr>
              <w:t>伤害</w:t>
            </w:r>
          </w:p>
        </w:tc>
      </w:tr>
      <w:tr w14:paraId="46F619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583" w:hRule="atLeast"/>
          <w:jc w:val="center"/>
        </w:trPr>
        <w:tc>
          <w:tcPr>
            <w:tcW w:w="1520" w:type="dxa"/>
            <w:vMerge w:val="restart"/>
            <w:tcBorders>
              <w:top w:val="single" w:color="auto" w:sz="4" w:space="0"/>
              <w:left w:val="single" w:color="auto" w:sz="4" w:space="0"/>
              <w:right w:val="single" w:color="auto" w:sz="4" w:space="0"/>
            </w:tcBorders>
            <w:noWrap w:val="0"/>
            <w:vAlign w:val="center"/>
          </w:tcPr>
          <w:p w14:paraId="26FDECBB">
            <w:pPr>
              <w:spacing w:line="400" w:lineRule="exact"/>
              <w:jc w:val="center"/>
              <w:rPr>
                <w:rFonts w:hint="eastAsia" w:eastAsia="仿宋_GB2312"/>
                <w:sz w:val="24"/>
                <w:szCs w:val="24"/>
              </w:rPr>
            </w:pPr>
            <w:r>
              <w:rPr>
                <w:rFonts w:eastAsia="仿宋_GB2312"/>
                <w:sz w:val="24"/>
                <w:szCs w:val="24"/>
              </w:rPr>
              <w:t>电</w:t>
            </w:r>
            <w:r>
              <w:rPr>
                <w:rFonts w:hint="eastAsia" w:eastAsia="仿宋_GB2312"/>
                <w:sz w:val="24"/>
                <w:szCs w:val="24"/>
              </w:rPr>
              <w:t>磁</w:t>
            </w:r>
            <w:r>
              <w:rPr>
                <w:rFonts w:eastAsia="仿宋_GB2312"/>
                <w:sz w:val="24"/>
                <w:szCs w:val="24"/>
              </w:rPr>
              <w:t>能</w:t>
            </w:r>
          </w:p>
        </w:tc>
        <w:tc>
          <w:tcPr>
            <w:tcW w:w="2557" w:type="dxa"/>
            <w:tcBorders>
              <w:top w:val="single" w:color="auto" w:sz="4" w:space="0"/>
              <w:left w:val="single" w:color="auto" w:sz="4" w:space="0"/>
              <w:bottom w:val="single" w:color="auto" w:sz="4" w:space="0"/>
              <w:right w:val="single" w:color="auto" w:sz="4" w:space="0"/>
            </w:tcBorders>
            <w:noWrap w:val="0"/>
            <w:vAlign w:val="center"/>
          </w:tcPr>
          <w:p w14:paraId="109066CB">
            <w:pPr>
              <w:spacing w:line="400" w:lineRule="exact"/>
              <w:rPr>
                <w:rFonts w:hint="eastAsia" w:eastAsia="仿宋_GB2312"/>
                <w:sz w:val="24"/>
                <w:szCs w:val="24"/>
                <w:lang w:eastAsia="zh-CN"/>
              </w:rPr>
            </w:pPr>
            <w:r>
              <w:rPr>
                <w:rFonts w:eastAsia="仿宋_GB2312"/>
                <w:sz w:val="24"/>
                <w:szCs w:val="24"/>
              </w:rPr>
              <w:t>保护接地阻抗、可触及部件允许限值</w:t>
            </w:r>
            <w:r>
              <w:rPr>
                <w:rFonts w:hint="eastAsia" w:eastAsia="仿宋_GB2312"/>
                <w:sz w:val="24"/>
                <w:szCs w:val="24"/>
                <w:lang w:eastAsia="zh-CN"/>
              </w:rPr>
              <w:t>不符合要求</w:t>
            </w:r>
          </w:p>
        </w:tc>
        <w:tc>
          <w:tcPr>
            <w:tcW w:w="2638" w:type="dxa"/>
            <w:tcBorders>
              <w:top w:val="single" w:color="auto" w:sz="4" w:space="0"/>
              <w:left w:val="single" w:color="auto" w:sz="4" w:space="0"/>
              <w:bottom w:val="single" w:color="auto" w:sz="4" w:space="0"/>
              <w:right w:val="single" w:color="auto" w:sz="4" w:space="0"/>
            </w:tcBorders>
            <w:noWrap w:val="0"/>
            <w:vAlign w:val="center"/>
          </w:tcPr>
          <w:p w14:paraId="7175B886">
            <w:pPr>
              <w:spacing w:line="400" w:lineRule="exact"/>
              <w:rPr>
                <w:rFonts w:hint="eastAsia" w:eastAsia="仿宋_GB2312"/>
                <w:sz w:val="24"/>
                <w:szCs w:val="24"/>
              </w:rPr>
            </w:pPr>
            <w:r>
              <w:rPr>
                <w:rFonts w:hint="eastAsia" w:eastAsia="仿宋_GB2312"/>
                <w:sz w:val="24"/>
                <w:szCs w:val="24"/>
              </w:rPr>
              <w:t>电源故障时设备上会有电压差，人员接触会形成电流回路</w:t>
            </w:r>
          </w:p>
        </w:tc>
        <w:tc>
          <w:tcPr>
            <w:tcW w:w="2435" w:type="dxa"/>
            <w:tcBorders>
              <w:top w:val="single" w:color="auto" w:sz="4" w:space="0"/>
              <w:left w:val="single" w:color="auto" w:sz="4" w:space="0"/>
              <w:bottom w:val="single" w:color="auto" w:sz="4" w:space="0"/>
              <w:right w:val="single" w:color="auto" w:sz="4" w:space="0"/>
            </w:tcBorders>
            <w:noWrap w:val="0"/>
            <w:vAlign w:val="center"/>
          </w:tcPr>
          <w:p w14:paraId="44C03F30">
            <w:pPr>
              <w:spacing w:line="400" w:lineRule="exact"/>
              <w:rPr>
                <w:rFonts w:eastAsia="仿宋_GB2312"/>
                <w:color w:val="000000"/>
                <w:kern w:val="0"/>
                <w:sz w:val="24"/>
                <w:szCs w:val="24"/>
              </w:rPr>
            </w:pPr>
            <w:r>
              <w:rPr>
                <w:rFonts w:eastAsia="仿宋_GB2312"/>
                <w:color w:val="000000"/>
                <w:kern w:val="0"/>
                <w:sz w:val="24"/>
                <w:szCs w:val="24"/>
              </w:rPr>
              <w:t>电损伤，严重时死亡</w:t>
            </w:r>
          </w:p>
        </w:tc>
      </w:tr>
      <w:tr w14:paraId="58C157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94" w:hRule="atLeast"/>
          <w:jc w:val="center"/>
        </w:trPr>
        <w:tc>
          <w:tcPr>
            <w:tcW w:w="1520" w:type="dxa"/>
            <w:vMerge w:val="continue"/>
            <w:tcBorders>
              <w:left w:val="single" w:color="auto" w:sz="4" w:space="0"/>
              <w:right w:val="single" w:color="auto" w:sz="4" w:space="0"/>
            </w:tcBorders>
            <w:noWrap w:val="0"/>
            <w:vAlign w:val="center"/>
          </w:tcPr>
          <w:p w14:paraId="4DBEA88C">
            <w:pPr>
              <w:spacing w:line="400" w:lineRule="exact"/>
              <w:jc w:val="center"/>
              <w:rPr>
                <w:rFonts w:eastAsia="仿宋_GB2312"/>
                <w:sz w:val="24"/>
                <w:szCs w:val="24"/>
              </w:rPr>
            </w:pPr>
          </w:p>
        </w:tc>
        <w:tc>
          <w:tcPr>
            <w:tcW w:w="2557" w:type="dxa"/>
            <w:tcBorders>
              <w:top w:val="single" w:color="auto" w:sz="4" w:space="0"/>
              <w:left w:val="single" w:color="auto" w:sz="4" w:space="0"/>
              <w:bottom w:val="single" w:color="auto" w:sz="4" w:space="0"/>
              <w:right w:val="single" w:color="auto" w:sz="4" w:space="0"/>
            </w:tcBorders>
            <w:noWrap w:val="0"/>
            <w:vAlign w:val="center"/>
          </w:tcPr>
          <w:p w14:paraId="4D0D8D66">
            <w:pPr>
              <w:spacing w:line="400" w:lineRule="exact"/>
              <w:rPr>
                <w:rFonts w:eastAsia="仿宋_GB2312"/>
                <w:sz w:val="24"/>
                <w:szCs w:val="24"/>
              </w:rPr>
            </w:pPr>
            <w:r>
              <w:rPr>
                <w:rFonts w:hint="eastAsia" w:eastAsia="仿宋_GB2312"/>
                <w:sz w:val="24"/>
                <w:szCs w:val="24"/>
              </w:rPr>
              <w:t>设备漏电使设备外表面带电</w:t>
            </w:r>
          </w:p>
        </w:tc>
        <w:tc>
          <w:tcPr>
            <w:tcW w:w="2638" w:type="dxa"/>
            <w:tcBorders>
              <w:top w:val="single" w:color="auto" w:sz="4" w:space="0"/>
              <w:left w:val="single" w:color="auto" w:sz="4" w:space="0"/>
              <w:bottom w:val="single" w:color="auto" w:sz="4" w:space="0"/>
              <w:right w:val="single" w:color="auto" w:sz="4" w:space="0"/>
            </w:tcBorders>
            <w:noWrap w:val="0"/>
            <w:vAlign w:val="center"/>
          </w:tcPr>
          <w:p w14:paraId="0688484C">
            <w:pPr>
              <w:spacing w:line="400" w:lineRule="exact"/>
              <w:rPr>
                <w:rFonts w:hint="eastAsia" w:eastAsia="仿宋_GB2312"/>
                <w:sz w:val="24"/>
                <w:szCs w:val="24"/>
              </w:rPr>
            </w:pPr>
            <w:r>
              <w:rPr>
                <w:rFonts w:hint="eastAsia" w:eastAsia="仿宋_GB2312"/>
                <w:sz w:val="24"/>
                <w:szCs w:val="24"/>
              </w:rPr>
              <w:t>操作人员接触到带电部分</w:t>
            </w:r>
          </w:p>
        </w:tc>
        <w:tc>
          <w:tcPr>
            <w:tcW w:w="2435" w:type="dxa"/>
            <w:tcBorders>
              <w:top w:val="single" w:color="auto" w:sz="4" w:space="0"/>
              <w:left w:val="single" w:color="auto" w:sz="4" w:space="0"/>
              <w:bottom w:val="single" w:color="auto" w:sz="4" w:space="0"/>
              <w:right w:val="single" w:color="auto" w:sz="4" w:space="0"/>
            </w:tcBorders>
            <w:noWrap w:val="0"/>
            <w:vAlign w:val="center"/>
          </w:tcPr>
          <w:p w14:paraId="08ACB064">
            <w:pPr>
              <w:spacing w:line="400" w:lineRule="exact"/>
              <w:rPr>
                <w:rFonts w:eastAsia="仿宋_GB2312"/>
                <w:color w:val="000000"/>
                <w:kern w:val="0"/>
                <w:sz w:val="24"/>
                <w:szCs w:val="24"/>
              </w:rPr>
            </w:pPr>
            <w:r>
              <w:rPr>
                <w:rFonts w:eastAsia="仿宋_GB2312"/>
                <w:color w:val="000000"/>
                <w:kern w:val="0"/>
                <w:sz w:val="24"/>
                <w:szCs w:val="24"/>
              </w:rPr>
              <w:t>电损伤，严重时死亡</w:t>
            </w:r>
          </w:p>
        </w:tc>
      </w:tr>
      <w:tr w14:paraId="6D3222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0" w:hRule="atLeast"/>
          <w:jc w:val="center"/>
        </w:trPr>
        <w:tc>
          <w:tcPr>
            <w:tcW w:w="1520" w:type="dxa"/>
            <w:vMerge w:val="continue"/>
            <w:tcBorders>
              <w:left w:val="single" w:color="auto" w:sz="4" w:space="0"/>
              <w:right w:val="single" w:color="auto" w:sz="4" w:space="0"/>
            </w:tcBorders>
            <w:noWrap w:val="0"/>
            <w:vAlign w:val="center"/>
          </w:tcPr>
          <w:p w14:paraId="1A6A459C">
            <w:pPr>
              <w:spacing w:line="400" w:lineRule="exact"/>
              <w:jc w:val="center"/>
              <w:rPr>
                <w:rFonts w:eastAsia="仿宋_GB2312"/>
                <w:sz w:val="24"/>
                <w:szCs w:val="24"/>
              </w:rPr>
            </w:pPr>
          </w:p>
        </w:tc>
        <w:tc>
          <w:tcPr>
            <w:tcW w:w="2557" w:type="dxa"/>
            <w:tcBorders>
              <w:top w:val="single" w:color="auto" w:sz="4" w:space="0"/>
              <w:left w:val="single" w:color="auto" w:sz="4" w:space="0"/>
              <w:bottom w:val="single" w:color="auto" w:sz="4" w:space="0"/>
              <w:right w:val="single" w:color="auto" w:sz="4" w:space="0"/>
            </w:tcBorders>
            <w:noWrap w:val="0"/>
            <w:vAlign w:val="center"/>
          </w:tcPr>
          <w:p w14:paraId="67A1F3C4">
            <w:pPr>
              <w:spacing w:line="400" w:lineRule="exact"/>
              <w:jc w:val="left"/>
              <w:rPr>
                <w:rFonts w:eastAsia="仿宋_GB2312"/>
                <w:sz w:val="24"/>
                <w:szCs w:val="24"/>
              </w:rPr>
            </w:pPr>
            <w:r>
              <w:rPr>
                <w:rFonts w:eastAsia="仿宋_GB2312"/>
                <w:sz w:val="24"/>
                <w:szCs w:val="24"/>
              </w:rPr>
              <w:t>机器外壳的防护罩封闭不良</w:t>
            </w:r>
          </w:p>
        </w:tc>
        <w:tc>
          <w:tcPr>
            <w:tcW w:w="2638" w:type="dxa"/>
            <w:tcBorders>
              <w:top w:val="single" w:color="auto" w:sz="4" w:space="0"/>
              <w:left w:val="single" w:color="auto" w:sz="4" w:space="0"/>
              <w:bottom w:val="single" w:color="auto" w:sz="4" w:space="0"/>
              <w:right w:val="single" w:color="auto" w:sz="4" w:space="0"/>
            </w:tcBorders>
            <w:noWrap w:val="0"/>
            <w:vAlign w:val="center"/>
          </w:tcPr>
          <w:p w14:paraId="03AABA8A">
            <w:pPr>
              <w:spacing w:line="400" w:lineRule="exact"/>
              <w:rPr>
                <w:rFonts w:hint="eastAsia" w:eastAsia="仿宋_GB2312"/>
                <w:sz w:val="24"/>
                <w:szCs w:val="24"/>
              </w:rPr>
            </w:pPr>
            <w:r>
              <w:rPr>
                <w:rFonts w:hint="eastAsia" w:eastAsia="仿宋_GB2312"/>
                <w:sz w:val="24"/>
                <w:szCs w:val="24"/>
              </w:rPr>
              <w:t>可接触到带电部分</w:t>
            </w:r>
          </w:p>
        </w:tc>
        <w:tc>
          <w:tcPr>
            <w:tcW w:w="2435" w:type="dxa"/>
            <w:tcBorders>
              <w:top w:val="single" w:color="auto" w:sz="4" w:space="0"/>
              <w:left w:val="single" w:color="auto" w:sz="4" w:space="0"/>
              <w:bottom w:val="single" w:color="auto" w:sz="4" w:space="0"/>
              <w:right w:val="single" w:color="auto" w:sz="4" w:space="0"/>
            </w:tcBorders>
            <w:noWrap w:val="0"/>
            <w:vAlign w:val="center"/>
          </w:tcPr>
          <w:p w14:paraId="73A9E8D4">
            <w:pPr>
              <w:spacing w:line="400" w:lineRule="exact"/>
              <w:rPr>
                <w:rFonts w:eastAsia="仿宋_GB2312"/>
                <w:color w:val="000000"/>
                <w:kern w:val="0"/>
                <w:sz w:val="24"/>
                <w:szCs w:val="24"/>
              </w:rPr>
            </w:pPr>
            <w:r>
              <w:rPr>
                <w:rFonts w:eastAsia="仿宋_GB2312"/>
                <w:color w:val="000000"/>
                <w:kern w:val="0"/>
                <w:sz w:val="24"/>
                <w:szCs w:val="24"/>
              </w:rPr>
              <w:t>电损伤，严重时死亡</w:t>
            </w:r>
          </w:p>
        </w:tc>
      </w:tr>
      <w:tr w14:paraId="7A7396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519" w:hRule="atLeast"/>
          <w:jc w:val="center"/>
        </w:trPr>
        <w:tc>
          <w:tcPr>
            <w:tcW w:w="1520" w:type="dxa"/>
            <w:vMerge w:val="continue"/>
            <w:tcBorders>
              <w:left w:val="single" w:color="auto" w:sz="4" w:space="0"/>
              <w:right w:val="single" w:color="auto" w:sz="4" w:space="0"/>
            </w:tcBorders>
            <w:noWrap w:val="0"/>
            <w:vAlign w:val="center"/>
          </w:tcPr>
          <w:p w14:paraId="3079A5CF">
            <w:pPr>
              <w:spacing w:line="400" w:lineRule="exact"/>
              <w:jc w:val="center"/>
              <w:rPr>
                <w:rFonts w:eastAsia="仿宋_GB2312"/>
                <w:sz w:val="24"/>
                <w:szCs w:val="24"/>
              </w:rPr>
            </w:pPr>
          </w:p>
        </w:tc>
        <w:tc>
          <w:tcPr>
            <w:tcW w:w="2557" w:type="dxa"/>
            <w:tcBorders>
              <w:top w:val="single" w:color="auto" w:sz="4" w:space="0"/>
              <w:left w:val="single" w:color="auto" w:sz="4" w:space="0"/>
              <w:bottom w:val="single" w:color="auto" w:sz="4" w:space="0"/>
              <w:right w:val="single" w:color="auto" w:sz="4" w:space="0"/>
            </w:tcBorders>
            <w:noWrap w:val="0"/>
            <w:vAlign w:val="center"/>
          </w:tcPr>
          <w:p w14:paraId="0E422FE9">
            <w:pPr>
              <w:spacing w:line="400" w:lineRule="exact"/>
              <w:jc w:val="left"/>
              <w:rPr>
                <w:rFonts w:hint="eastAsia" w:eastAsia="仿宋_GB2312"/>
                <w:sz w:val="24"/>
                <w:szCs w:val="24"/>
              </w:rPr>
            </w:pPr>
            <w:r>
              <w:rPr>
                <w:rFonts w:hint="eastAsia" w:eastAsia="仿宋_GB2312"/>
                <w:sz w:val="24"/>
                <w:szCs w:val="24"/>
              </w:rPr>
              <w:t>环境设施电源干扰、电池容量不足、带静电的操作者触摸操作按键、屏幕等，造成显示电子器件损坏、错误显示或程序异常</w:t>
            </w:r>
          </w:p>
        </w:tc>
        <w:tc>
          <w:tcPr>
            <w:tcW w:w="2638" w:type="dxa"/>
            <w:tcBorders>
              <w:top w:val="single" w:color="auto" w:sz="4" w:space="0"/>
              <w:left w:val="single" w:color="auto" w:sz="4" w:space="0"/>
              <w:bottom w:val="single" w:color="auto" w:sz="4" w:space="0"/>
              <w:right w:val="single" w:color="auto" w:sz="4" w:space="0"/>
            </w:tcBorders>
            <w:noWrap w:val="0"/>
            <w:vAlign w:val="center"/>
          </w:tcPr>
          <w:p w14:paraId="13626D6D">
            <w:pPr>
              <w:spacing w:line="400" w:lineRule="exact"/>
              <w:jc w:val="left"/>
              <w:rPr>
                <w:rFonts w:hint="eastAsia" w:eastAsia="仿宋_GB2312"/>
                <w:sz w:val="24"/>
                <w:szCs w:val="24"/>
              </w:rPr>
            </w:pPr>
            <w:r>
              <w:rPr>
                <w:rFonts w:hint="eastAsia" w:eastAsia="仿宋_GB2312"/>
                <w:sz w:val="24"/>
                <w:szCs w:val="24"/>
              </w:rPr>
              <w:t>设备运行异常或不能工作</w:t>
            </w:r>
          </w:p>
        </w:tc>
        <w:tc>
          <w:tcPr>
            <w:tcW w:w="2435" w:type="dxa"/>
            <w:tcBorders>
              <w:top w:val="single" w:color="auto" w:sz="4" w:space="0"/>
              <w:left w:val="single" w:color="auto" w:sz="4" w:space="0"/>
              <w:bottom w:val="single" w:color="auto" w:sz="4" w:space="0"/>
              <w:right w:val="single" w:color="auto" w:sz="4" w:space="0"/>
            </w:tcBorders>
            <w:noWrap w:val="0"/>
            <w:vAlign w:val="center"/>
          </w:tcPr>
          <w:p w14:paraId="29587A66">
            <w:pPr>
              <w:spacing w:line="400" w:lineRule="exact"/>
              <w:jc w:val="left"/>
              <w:rPr>
                <w:rFonts w:hint="eastAsia" w:eastAsia="仿宋_GB2312"/>
                <w:sz w:val="24"/>
                <w:szCs w:val="24"/>
              </w:rPr>
            </w:pPr>
            <w:r>
              <w:rPr>
                <w:rFonts w:hint="eastAsia" w:eastAsia="仿宋_GB2312"/>
                <w:sz w:val="24"/>
                <w:szCs w:val="24"/>
              </w:rPr>
              <w:t>灭菌失败</w:t>
            </w:r>
          </w:p>
        </w:tc>
      </w:tr>
      <w:tr w14:paraId="69A61B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73" w:hRule="atLeast"/>
          <w:jc w:val="center"/>
        </w:trPr>
        <w:tc>
          <w:tcPr>
            <w:tcW w:w="1520" w:type="dxa"/>
            <w:vMerge w:val="continue"/>
            <w:tcBorders>
              <w:left w:val="single" w:color="auto" w:sz="4" w:space="0"/>
              <w:bottom w:val="single" w:color="auto" w:sz="4" w:space="0"/>
              <w:right w:val="single" w:color="auto" w:sz="4" w:space="0"/>
            </w:tcBorders>
            <w:noWrap w:val="0"/>
            <w:vAlign w:val="center"/>
          </w:tcPr>
          <w:p w14:paraId="14A13AF2">
            <w:pPr>
              <w:spacing w:line="400" w:lineRule="exact"/>
              <w:jc w:val="center"/>
              <w:rPr>
                <w:rFonts w:eastAsia="仿宋_GB2312"/>
                <w:sz w:val="24"/>
                <w:szCs w:val="24"/>
              </w:rPr>
            </w:pPr>
          </w:p>
        </w:tc>
        <w:tc>
          <w:tcPr>
            <w:tcW w:w="2557" w:type="dxa"/>
            <w:tcBorders>
              <w:top w:val="single" w:color="auto" w:sz="4" w:space="0"/>
              <w:left w:val="single" w:color="auto" w:sz="4" w:space="0"/>
              <w:bottom w:val="single" w:color="auto" w:sz="4" w:space="0"/>
              <w:right w:val="single" w:color="auto" w:sz="4" w:space="0"/>
            </w:tcBorders>
            <w:noWrap w:val="0"/>
            <w:vAlign w:val="center"/>
          </w:tcPr>
          <w:p w14:paraId="5D585777">
            <w:pPr>
              <w:spacing w:line="400" w:lineRule="exact"/>
              <w:jc w:val="left"/>
              <w:rPr>
                <w:rFonts w:hint="eastAsia" w:eastAsia="仿宋_GB2312"/>
                <w:sz w:val="24"/>
                <w:szCs w:val="24"/>
              </w:rPr>
            </w:pPr>
            <w:r>
              <w:rPr>
                <w:rFonts w:eastAsia="仿宋_GB2312"/>
                <w:sz w:val="24"/>
                <w:szCs w:val="24"/>
                <w:lang w:val="en-US" w:eastAsia="zh-CN"/>
              </w:rPr>
              <w:t>电磁兼容不符合要求，设备受外界干扰或干扰其他设备</w:t>
            </w:r>
          </w:p>
        </w:tc>
        <w:tc>
          <w:tcPr>
            <w:tcW w:w="2638" w:type="dxa"/>
            <w:tcBorders>
              <w:top w:val="single" w:color="auto" w:sz="4" w:space="0"/>
              <w:left w:val="single" w:color="auto" w:sz="4" w:space="0"/>
              <w:bottom w:val="single" w:color="auto" w:sz="4" w:space="0"/>
              <w:right w:val="single" w:color="auto" w:sz="4" w:space="0"/>
            </w:tcBorders>
            <w:noWrap w:val="0"/>
            <w:vAlign w:val="center"/>
          </w:tcPr>
          <w:p w14:paraId="153EBC8A">
            <w:pPr>
              <w:spacing w:line="400" w:lineRule="exact"/>
              <w:jc w:val="left"/>
              <w:rPr>
                <w:rFonts w:eastAsia="仿宋_GB2312"/>
                <w:sz w:val="24"/>
                <w:szCs w:val="24"/>
              </w:rPr>
            </w:pPr>
            <w:r>
              <w:rPr>
                <w:rFonts w:eastAsia="仿宋_GB2312"/>
                <w:sz w:val="24"/>
                <w:szCs w:val="24"/>
                <w:lang w:val="en-US" w:eastAsia="zh-CN"/>
              </w:rPr>
              <w:t>设备运行异常，参数漂移</w:t>
            </w:r>
          </w:p>
          <w:p w14:paraId="3A97545E">
            <w:pPr>
              <w:spacing w:line="400" w:lineRule="exact"/>
              <w:jc w:val="left"/>
              <w:rPr>
                <w:rFonts w:hint="eastAsia" w:eastAsia="仿宋_GB2312"/>
                <w:sz w:val="24"/>
                <w:szCs w:val="24"/>
              </w:rPr>
            </w:pPr>
          </w:p>
        </w:tc>
        <w:tc>
          <w:tcPr>
            <w:tcW w:w="2435" w:type="dxa"/>
            <w:tcBorders>
              <w:top w:val="single" w:color="auto" w:sz="4" w:space="0"/>
              <w:left w:val="single" w:color="auto" w:sz="4" w:space="0"/>
              <w:bottom w:val="single" w:color="auto" w:sz="4" w:space="0"/>
              <w:right w:val="single" w:color="auto" w:sz="4" w:space="0"/>
            </w:tcBorders>
            <w:noWrap w:val="0"/>
            <w:vAlign w:val="center"/>
          </w:tcPr>
          <w:p w14:paraId="2DEF95A3">
            <w:pPr>
              <w:spacing w:line="400" w:lineRule="exact"/>
              <w:jc w:val="left"/>
              <w:rPr>
                <w:rFonts w:eastAsia="仿宋_GB2312"/>
                <w:sz w:val="24"/>
                <w:szCs w:val="24"/>
              </w:rPr>
            </w:pPr>
            <w:r>
              <w:rPr>
                <w:rFonts w:eastAsia="仿宋_GB2312"/>
                <w:sz w:val="24"/>
                <w:szCs w:val="24"/>
                <w:lang w:val="en-US" w:eastAsia="zh-CN"/>
              </w:rPr>
              <w:t>灭菌失败，设备损坏</w:t>
            </w:r>
          </w:p>
          <w:p w14:paraId="066EF565">
            <w:pPr>
              <w:spacing w:line="400" w:lineRule="exact"/>
              <w:jc w:val="left"/>
              <w:rPr>
                <w:rFonts w:hint="eastAsia" w:eastAsia="仿宋_GB2312"/>
                <w:sz w:val="24"/>
                <w:szCs w:val="24"/>
              </w:rPr>
            </w:pPr>
          </w:p>
        </w:tc>
      </w:tr>
      <w:tr w14:paraId="4A6378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88" w:hRule="atLeast"/>
          <w:jc w:val="center"/>
        </w:trPr>
        <w:tc>
          <w:tcPr>
            <w:tcW w:w="1520" w:type="dxa"/>
            <w:vMerge w:val="restart"/>
            <w:tcBorders>
              <w:top w:val="single" w:color="auto" w:sz="4" w:space="0"/>
              <w:left w:val="single" w:color="auto" w:sz="4" w:space="0"/>
              <w:right w:val="single" w:color="auto" w:sz="4" w:space="0"/>
            </w:tcBorders>
            <w:noWrap w:val="0"/>
            <w:vAlign w:val="center"/>
          </w:tcPr>
          <w:p w14:paraId="22BF5522">
            <w:pPr>
              <w:spacing w:line="400" w:lineRule="exact"/>
              <w:jc w:val="center"/>
              <w:rPr>
                <w:rFonts w:eastAsia="仿宋_GB2312"/>
                <w:sz w:val="24"/>
                <w:szCs w:val="24"/>
              </w:rPr>
            </w:pPr>
            <w:r>
              <w:rPr>
                <w:rFonts w:eastAsia="仿宋_GB2312"/>
                <w:sz w:val="24"/>
                <w:szCs w:val="24"/>
              </w:rPr>
              <w:t>热能</w:t>
            </w:r>
          </w:p>
        </w:tc>
        <w:tc>
          <w:tcPr>
            <w:tcW w:w="2557" w:type="dxa"/>
            <w:tcBorders>
              <w:top w:val="single" w:color="auto" w:sz="4" w:space="0"/>
              <w:left w:val="single" w:color="auto" w:sz="4" w:space="0"/>
              <w:bottom w:val="single" w:color="auto" w:sz="4" w:space="0"/>
              <w:right w:val="single" w:color="auto" w:sz="4" w:space="0"/>
            </w:tcBorders>
            <w:noWrap w:val="0"/>
            <w:vAlign w:val="center"/>
          </w:tcPr>
          <w:p w14:paraId="5838F338">
            <w:pPr>
              <w:spacing w:line="400" w:lineRule="exact"/>
              <w:jc w:val="left"/>
              <w:rPr>
                <w:rFonts w:eastAsia="仿宋_GB2312"/>
                <w:sz w:val="24"/>
                <w:szCs w:val="24"/>
              </w:rPr>
            </w:pPr>
            <w:r>
              <w:rPr>
                <w:rFonts w:eastAsia="仿宋_GB2312"/>
                <w:sz w:val="24"/>
                <w:szCs w:val="24"/>
              </w:rPr>
              <w:t>测温</w:t>
            </w:r>
            <w:r>
              <w:rPr>
                <w:rFonts w:hint="eastAsia" w:eastAsia="仿宋_GB2312"/>
                <w:sz w:val="24"/>
                <w:szCs w:val="24"/>
              </w:rPr>
              <w:t>、控时部件</w:t>
            </w:r>
            <w:r>
              <w:rPr>
                <w:rFonts w:eastAsia="仿宋_GB2312"/>
                <w:sz w:val="24"/>
                <w:szCs w:val="24"/>
              </w:rPr>
              <w:t>损坏，控制失灵</w:t>
            </w:r>
          </w:p>
        </w:tc>
        <w:tc>
          <w:tcPr>
            <w:tcW w:w="2638" w:type="dxa"/>
            <w:tcBorders>
              <w:top w:val="single" w:color="auto" w:sz="4" w:space="0"/>
              <w:left w:val="single" w:color="auto" w:sz="4" w:space="0"/>
              <w:bottom w:val="single" w:color="auto" w:sz="4" w:space="0"/>
              <w:right w:val="single" w:color="auto" w:sz="4" w:space="0"/>
            </w:tcBorders>
            <w:noWrap w:val="0"/>
            <w:vAlign w:val="center"/>
          </w:tcPr>
          <w:p w14:paraId="7D4A7509">
            <w:pPr>
              <w:spacing w:line="400" w:lineRule="exact"/>
              <w:jc w:val="left"/>
              <w:rPr>
                <w:rFonts w:hint="eastAsia" w:eastAsia="仿宋_GB2312"/>
                <w:sz w:val="24"/>
                <w:szCs w:val="24"/>
              </w:rPr>
            </w:pPr>
            <w:r>
              <w:rPr>
                <w:rFonts w:eastAsia="仿宋_GB2312"/>
                <w:sz w:val="24"/>
                <w:szCs w:val="24"/>
              </w:rPr>
              <w:t>设备温度超出限定值</w:t>
            </w:r>
            <w:r>
              <w:rPr>
                <w:rFonts w:hint="eastAsia" w:eastAsia="仿宋_GB2312"/>
                <w:sz w:val="24"/>
                <w:szCs w:val="24"/>
              </w:rPr>
              <w:t>、时间不到设定值</w:t>
            </w:r>
          </w:p>
        </w:tc>
        <w:tc>
          <w:tcPr>
            <w:tcW w:w="2435" w:type="dxa"/>
            <w:tcBorders>
              <w:top w:val="single" w:color="auto" w:sz="4" w:space="0"/>
              <w:left w:val="single" w:color="auto" w:sz="4" w:space="0"/>
              <w:bottom w:val="single" w:color="auto" w:sz="4" w:space="0"/>
              <w:right w:val="single" w:color="auto" w:sz="4" w:space="0"/>
            </w:tcBorders>
            <w:noWrap w:val="0"/>
            <w:vAlign w:val="center"/>
          </w:tcPr>
          <w:p w14:paraId="2104C0DE">
            <w:pPr>
              <w:spacing w:line="400" w:lineRule="exact"/>
              <w:jc w:val="left"/>
              <w:rPr>
                <w:rFonts w:hint="eastAsia" w:eastAsia="仿宋_GB2312"/>
                <w:sz w:val="24"/>
                <w:szCs w:val="24"/>
              </w:rPr>
            </w:pPr>
            <w:r>
              <w:rPr>
                <w:rFonts w:hint="eastAsia" w:eastAsia="仿宋_GB2312"/>
                <w:sz w:val="24"/>
                <w:szCs w:val="24"/>
              </w:rPr>
              <w:t>物品损坏，人员受伤</w:t>
            </w:r>
          </w:p>
        </w:tc>
      </w:tr>
      <w:tr w14:paraId="605950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88" w:hRule="atLeast"/>
          <w:jc w:val="center"/>
        </w:trPr>
        <w:tc>
          <w:tcPr>
            <w:tcW w:w="1520" w:type="dxa"/>
            <w:vMerge w:val="continue"/>
            <w:tcBorders>
              <w:left w:val="single" w:color="auto" w:sz="4" w:space="0"/>
              <w:right w:val="single" w:color="auto" w:sz="4" w:space="0"/>
            </w:tcBorders>
            <w:noWrap w:val="0"/>
            <w:vAlign w:val="center"/>
          </w:tcPr>
          <w:p w14:paraId="2FA99E00">
            <w:pPr>
              <w:spacing w:line="400" w:lineRule="exact"/>
              <w:jc w:val="center"/>
              <w:rPr>
                <w:rFonts w:eastAsia="仿宋_GB2312"/>
                <w:sz w:val="24"/>
                <w:szCs w:val="24"/>
              </w:rPr>
            </w:pPr>
          </w:p>
        </w:tc>
        <w:tc>
          <w:tcPr>
            <w:tcW w:w="2557" w:type="dxa"/>
            <w:tcBorders>
              <w:top w:val="single" w:color="auto" w:sz="4" w:space="0"/>
              <w:left w:val="single" w:color="auto" w:sz="4" w:space="0"/>
              <w:bottom w:val="single" w:color="auto" w:sz="4" w:space="0"/>
              <w:right w:val="single" w:color="auto" w:sz="4" w:space="0"/>
            </w:tcBorders>
            <w:noWrap w:val="0"/>
            <w:vAlign w:val="center"/>
          </w:tcPr>
          <w:p w14:paraId="3F591FA0">
            <w:pPr>
              <w:spacing w:line="400" w:lineRule="exact"/>
              <w:jc w:val="left"/>
              <w:rPr>
                <w:rFonts w:eastAsia="仿宋_GB2312"/>
                <w:sz w:val="24"/>
                <w:szCs w:val="24"/>
              </w:rPr>
            </w:pPr>
            <w:r>
              <w:rPr>
                <w:rFonts w:eastAsia="仿宋_GB2312"/>
                <w:sz w:val="24"/>
                <w:szCs w:val="24"/>
                <w:lang w:val="en-US" w:eastAsia="zh-CN"/>
              </w:rPr>
              <w:t>加热系统失控导致温度过高</w:t>
            </w:r>
          </w:p>
        </w:tc>
        <w:tc>
          <w:tcPr>
            <w:tcW w:w="2638" w:type="dxa"/>
            <w:tcBorders>
              <w:top w:val="single" w:color="auto" w:sz="4" w:space="0"/>
              <w:left w:val="single" w:color="auto" w:sz="4" w:space="0"/>
              <w:bottom w:val="single" w:color="auto" w:sz="4" w:space="0"/>
              <w:right w:val="single" w:color="auto" w:sz="4" w:space="0"/>
            </w:tcBorders>
            <w:noWrap w:val="0"/>
            <w:vAlign w:val="center"/>
          </w:tcPr>
          <w:p w14:paraId="3348927E">
            <w:pPr>
              <w:spacing w:line="400" w:lineRule="exact"/>
              <w:jc w:val="left"/>
              <w:rPr>
                <w:rFonts w:eastAsia="仿宋_GB2312"/>
                <w:sz w:val="24"/>
                <w:szCs w:val="24"/>
              </w:rPr>
            </w:pPr>
            <w:r>
              <w:rPr>
                <w:rFonts w:eastAsia="仿宋_GB2312"/>
                <w:sz w:val="24"/>
                <w:szCs w:val="24"/>
                <w:lang w:val="en-US" w:eastAsia="zh-CN"/>
              </w:rPr>
              <w:t>环氧乙烷分解产生有毒副产物，或加速环氧乙烷聚合</w:t>
            </w:r>
          </w:p>
        </w:tc>
        <w:tc>
          <w:tcPr>
            <w:tcW w:w="2435" w:type="dxa"/>
            <w:tcBorders>
              <w:top w:val="single" w:color="auto" w:sz="4" w:space="0"/>
              <w:left w:val="single" w:color="auto" w:sz="4" w:space="0"/>
              <w:bottom w:val="single" w:color="auto" w:sz="4" w:space="0"/>
              <w:right w:val="single" w:color="auto" w:sz="4" w:space="0"/>
            </w:tcBorders>
            <w:noWrap w:val="0"/>
            <w:vAlign w:val="center"/>
          </w:tcPr>
          <w:p w14:paraId="7F7EF92C">
            <w:pPr>
              <w:spacing w:line="400" w:lineRule="exact"/>
              <w:jc w:val="left"/>
              <w:rPr>
                <w:rFonts w:hint="eastAsia" w:eastAsia="仿宋_GB2312"/>
                <w:sz w:val="24"/>
                <w:szCs w:val="24"/>
              </w:rPr>
            </w:pPr>
            <w:r>
              <w:rPr>
                <w:rFonts w:eastAsia="仿宋_GB2312"/>
                <w:sz w:val="24"/>
                <w:szCs w:val="24"/>
                <w:lang w:val="en-US" w:eastAsia="zh-CN"/>
              </w:rPr>
              <w:t>人员中毒，物品损坏，灭菌失败</w:t>
            </w:r>
          </w:p>
        </w:tc>
      </w:tr>
      <w:tr w14:paraId="5FE7D7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6" w:hRule="atLeast"/>
          <w:jc w:val="center"/>
        </w:trPr>
        <w:tc>
          <w:tcPr>
            <w:tcW w:w="1520" w:type="dxa"/>
            <w:vMerge w:val="continue"/>
            <w:tcBorders>
              <w:left w:val="single" w:color="auto" w:sz="4" w:space="0"/>
              <w:right w:val="single" w:color="auto" w:sz="4" w:space="0"/>
            </w:tcBorders>
            <w:noWrap w:val="0"/>
            <w:vAlign w:val="center"/>
          </w:tcPr>
          <w:p w14:paraId="7B99848A">
            <w:pPr>
              <w:spacing w:line="400" w:lineRule="exact"/>
              <w:jc w:val="center"/>
              <w:rPr>
                <w:rFonts w:eastAsia="仿宋_GB2312"/>
                <w:sz w:val="24"/>
                <w:szCs w:val="24"/>
              </w:rPr>
            </w:pPr>
          </w:p>
        </w:tc>
        <w:tc>
          <w:tcPr>
            <w:tcW w:w="2557" w:type="dxa"/>
            <w:tcBorders>
              <w:top w:val="single" w:color="auto" w:sz="4" w:space="0"/>
              <w:left w:val="single" w:color="auto" w:sz="4" w:space="0"/>
              <w:bottom w:val="single" w:color="auto" w:sz="4" w:space="0"/>
              <w:right w:val="single" w:color="auto" w:sz="4" w:space="0"/>
            </w:tcBorders>
            <w:noWrap w:val="0"/>
            <w:vAlign w:val="center"/>
          </w:tcPr>
          <w:p w14:paraId="4AE3D661">
            <w:pPr>
              <w:spacing w:line="400" w:lineRule="exact"/>
              <w:jc w:val="left"/>
              <w:rPr>
                <w:rFonts w:eastAsia="仿宋_GB2312"/>
                <w:sz w:val="24"/>
                <w:szCs w:val="24"/>
              </w:rPr>
            </w:pPr>
            <w:r>
              <w:rPr>
                <w:rFonts w:hint="eastAsia" w:eastAsia="仿宋_GB2312"/>
                <w:sz w:val="24"/>
                <w:szCs w:val="24"/>
              </w:rPr>
              <w:t>操作者接触设备温度部件</w:t>
            </w:r>
            <w:r>
              <w:rPr>
                <w:rFonts w:eastAsia="仿宋_GB2312"/>
                <w:sz w:val="24"/>
                <w:szCs w:val="24"/>
                <w:lang w:val="en-US" w:eastAsia="zh-CN"/>
              </w:rPr>
              <w:t>（如灭菌舱外壁、加热管）</w:t>
            </w:r>
          </w:p>
        </w:tc>
        <w:tc>
          <w:tcPr>
            <w:tcW w:w="2638" w:type="dxa"/>
            <w:tcBorders>
              <w:top w:val="single" w:color="auto" w:sz="4" w:space="0"/>
              <w:left w:val="single" w:color="auto" w:sz="4" w:space="0"/>
              <w:bottom w:val="single" w:color="auto" w:sz="4" w:space="0"/>
              <w:right w:val="single" w:color="auto" w:sz="4" w:space="0"/>
            </w:tcBorders>
            <w:noWrap w:val="0"/>
            <w:vAlign w:val="center"/>
          </w:tcPr>
          <w:p w14:paraId="0151214A">
            <w:pPr>
              <w:spacing w:line="400" w:lineRule="exact"/>
              <w:jc w:val="left"/>
              <w:rPr>
                <w:rFonts w:hint="eastAsia" w:eastAsia="仿宋_GB2312"/>
                <w:sz w:val="24"/>
                <w:szCs w:val="24"/>
              </w:rPr>
            </w:pPr>
            <w:r>
              <w:rPr>
                <w:rFonts w:hint="eastAsia" w:eastAsia="仿宋_GB2312"/>
                <w:sz w:val="24"/>
                <w:szCs w:val="24"/>
              </w:rPr>
              <w:t>接触高温器件表面</w:t>
            </w:r>
          </w:p>
        </w:tc>
        <w:tc>
          <w:tcPr>
            <w:tcW w:w="2435" w:type="dxa"/>
            <w:tcBorders>
              <w:top w:val="single" w:color="auto" w:sz="4" w:space="0"/>
              <w:left w:val="single" w:color="auto" w:sz="4" w:space="0"/>
              <w:bottom w:val="single" w:color="auto" w:sz="4" w:space="0"/>
              <w:right w:val="single" w:color="auto" w:sz="4" w:space="0"/>
            </w:tcBorders>
            <w:noWrap w:val="0"/>
            <w:vAlign w:val="center"/>
          </w:tcPr>
          <w:p w14:paraId="05A524CD">
            <w:pPr>
              <w:spacing w:line="400" w:lineRule="exact"/>
              <w:jc w:val="left"/>
              <w:rPr>
                <w:rFonts w:hint="eastAsia" w:eastAsia="仿宋_GB2312"/>
                <w:sz w:val="24"/>
                <w:szCs w:val="24"/>
              </w:rPr>
            </w:pPr>
            <w:r>
              <w:rPr>
                <w:rFonts w:hint="eastAsia" w:eastAsia="仿宋_GB2312"/>
                <w:sz w:val="24"/>
                <w:szCs w:val="24"/>
              </w:rPr>
              <w:t>人员受伤</w:t>
            </w:r>
          </w:p>
        </w:tc>
      </w:tr>
      <w:tr w14:paraId="51CD03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6" w:hRule="atLeast"/>
          <w:jc w:val="center"/>
        </w:trPr>
        <w:tc>
          <w:tcPr>
            <w:tcW w:w="1520" w:type="dxa"/>
            <w:vMerge w:val="continue"/>
            <w:tcBorders>
              <w:left w:val="single" w:color="auto" w:sz="4" w:space="0"/>
              <w:right w:val="single" w:color="auto" w:sz="4" w:space="0"/>
            </w:tcBorders>
            <w:noWrap w:val="0"/>
            <w:vAlign w:val="center"/>
          </w:tcPr>
          <w:p w14:paraId="521FE23D">
            <w:pPr>
              <w:spacing w:line="400" w:lineRule="exact"/>
              <w:jc w:val="center"/>
              <w:rPr>
                <w:rFonts w:eastAsia="仿宋_GB2312"/>
                <w:sz w:val="24"/>
                <w:szCs w:val="24"/>
              </w:rPr>
            </w:pPr>
          </w:p>
        </w:tc>
        <w:tc>
          <w:tcPr>
            <w:tcW w:w="2557" w:type="dxa"/>
            <w:tcBorders>
              <w:top w:val="single" w:color="auto" w:sz="4" w:space="0"/>
              <w:left w:val="single" w:color="auto" w:sz="4" w:space="0"/>
              <w:bottom w:val="single" w:color="auto" w:sz="4" w:space="0"/>
              <w:right w:val="single" w:color="auto" w:sz="4" w:space="0"/>
            </w:tcBorders>
            <w:noWrap w:val="0"/>
            <w:vAlign w:val="center"/>
          </w:tcPr>
          <w:p w14:paraId="6AFFE688">
            <w:pPr>
              <w:spacing w:line="400" w:lineRule="exact"/>
              <w:jc w:val="left"/>
              <w:rPr>
                <w:rFonts w:hint="eastAsia" w:eastAsia="仿宋_GB2312"/>
                <w:sz w:val="24"/>
                <w:szCs w:val="24"/>
              </w:rPr>
            </w:pPr>
            <w:r>
              <w:rPr>
                <w:rFonts w:eastAsia="仿宋_GB2312"/>
                <w:sz w:val="24"/>
                <w:szCs w:val="24"/>
                <w:lang w:val="en-US" w:eastAsia="zh-CN"/>
              </w:rPr>
              <w:t>汽化室加热温度不足</w:t>
            </w:r>
          </w:p>
        </w:tc>
        <w:tc>
          <w:tcPr>
            <w:tcW w:w="2638" w:type="dxa"/>
            <w:tcBorders>
              <w:top w:val="single" w:color="auto" w:sz="4" w:space="0"/>
              <w:left w:val="single" w:color="auto" w:sz="4" w:space="0"/>
              <w:bottom w:val="single" w:color="auto" w:sz="4" w:space="0"/>
              <w:right w:val="single" w:color="auto" w:sz="4" w:space="0"/>
            </w:tcBorders>
            <w:noWrap w:val="0"/>
            <w:vAlign w:val="center"/>
          </w:tcPr>
          <w:p w14:paraId="4A6AEF5C">
            <w:pPr>
              <w:spacing w:line="400" w:lineRule="exact"/>
              <w:jc w:val="left"/>
              <w:rPr>
                <w:rFonts w:hint="eastAsia" w:eastAsia="仿宋_GB2312"/>
                <w:sz w:val="24"/>
                <w:szCs w:val="24"/>
              </w:rPr>
            </w:pPr>
            <w:r>
              <w:rPr>
                <w:rFonts w:eastAsia="仿宋_GB2312"/>
                <w:sz w:val="24"/>
                <w:szCs w:val="24"/>
                <w:lang w:val="en-US" w:eastAsia="zh-CN"/>
              </w:rPr>
              <w:t>环氧乙烷未能充分汽化，液体积聚</w:t>
            </w:r>
          </w:p>
        </w:tc>
        <w:tc>
          <w:tcPr>
            <w:tcW w:w="2435" w:type="dxa"/>
            <w:tcBorders>
              <w:top w:val="single" w:color="auto" w:sz="4" w:space="0"/>
              <w:left w:val="single" w:color="auto" w:sz="4" w:space="0"/>
              <w:bottom w:val="single" w:color="auto" w:sz="4" w:space="0"/>
              <w:right w:val="single" w:color="auto" w:sz="4" w:space="0"/>
            </w:tcBorders>
            <w:noWrap w:val="0"/>
            <w:vAlign w:val="center"/>
          </w:tcPr>
          <w:p w14:paraId="774B85D1">
            <w:pPr>
              <w:spacing w:line="400" w:lineRule="exact"/>
              <w:jc w:val="left"/>
              <w:rPr>
                <w:rFonts w:hint="eastAsia" w:eastAsia="仿宋_GB2312"/>
                <w:sz w:val="24"/>
                <w:szCs w:val="24"/>
              </w:rPr>
            </w:pPr>
            <w:r>
              <w:rPr>
                <w:rFonts w:eastAsia="仿宋_GB2312"/>
                <w:sz w:val="24"/>
                <w:szCs w:val="24"/>
                <w:lang w:val="en-US" w:eastAsia="zh-CN"/>
              </w:rPr>
              <w:t>灭菌失败，残留超标</w:t>
            </w:r>
          </w:p>
        </w:tc>
      </w:tr>
      <w:tr w14:paraId="1EBFB2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49" w:hRule="atLeast"/>
          <w:jc w:val="center"/>
        </w:trPr>
        <w:tc>
          <w:tcPr>
            <w:tcW w:w="1520" w:type="dxa"/>
            <w:vMerge w:val="restart"/>
            <w:tcBorders>
              <w:top w:val="single" w:color="auto" w:sz="4" w:space="0"/>
              <w:left w:val="single" w:color="auto" w:sz="4" w:space="0"/>
              <w:right w:val="single" w:color="auto" w:sz="4" w:space="0"/>
            </w:tcBorders>
            <w:noWrap w:val="0"/>
            <w:vAlign w:val="center"/>
          </w:tcPr>
          <w:p w14:paraId="55C6FC1A">
            <w:pPr>
              <w:spacing w:line="400" w:lineRule="exact"/>
              <w:jc w:val="center"/>
              <w:rPr>
                <w:rFonts w:eastAsia="仿宋_GB2312"/>
                <w:sz w:val="24"/>
                <w:szCs w:val="24"/>
              </w:rPr>
            </w:pPr>
            <w:r>
              <w:rPr>
                <w:rFonts w:eastAsia="仿宋_GB2312"/>
                <w:sz w:val="24"/>
                <w:szCs w:val="24"/>
              </w:rPr>
              <w:t>机械</w:t>
            </w:r>
            <w:r>
              <w:rPr>
                <w:rFonts w:hint="eastAsia" w:eastAsia="仿宋_GB2312"/>
                <w:sz w:val="24"/>
                <w:szCs w:val="24"/>
              </w:rPr>
              <w:t>能</w:t>
            </w:r>
          </w:p>
        </w:tc>
        <w:tc>
          <w:tcPr>
            <w:tcW w:w="2557" w:type="dxa"/>
            <w:tcBorders>
              <w:top w:val="single" w:color="auto" w:sz="4" w:space="0"/>
              <w:left w:val="single" w:color="auto" w:sz="4" w:space="0"/>
              <w:bottom w:val="single" w:color="auto" w:sz="4" w:space="0"/>
              <w:right w:val="single" w:color="auto" w:sz="4" w:space="0"/>
            </w:tcBorders>
            <w:noWrap w:val="0"/>
            <w:vAlign w:val="center"/>
          </w:tcPr>
          <w:p w14:paraId="24941EE3">
            <w:pPr>
              <w:spacing w:line="400" w:lineRule="exact"/>
              <w:jc w:val="left"/>
              <w:rPr>
                <w:rFonts w:eastAsia="仿宋_GB2312"/>
                <w:sz w:val="24"/>
                <w:szCs w:val="24"/>
              </w:rPr>
            </w:pPr>
            <w:r>
              <w:rPr>
                <w:rFonts w:eastAsia="仿宋_GB2312"/>
                <w:sz w:val="24"/>
                <w:szCs w:val="24"/>
              </w:rPr>
              <w:t>门密封失效，密封不严</w:t>
            </w:r>
            <w:r>
              <w:rPr>
                <w:rFonts w:hint="eastAsia" w:eastAsia="仿宋_GB2312"/>
                <w:sz w:val="24"/>
                <w:szCs w:val="24"/>
              </w:rPr>
              <w:t>，</w:t>
            </w:r>
            <w:r>
              <w:rPr>
                <w:rFonts w:eastAsia="仿宋_GB2312"/>
                <w:sz w:val="24"/>
                <w:szCs w:val="24"/>
              </w:rPr>
              <w:t>门锁机构失效</w:t>
            </w:r>
          </w:p>
        </w:tc>
        <w:tc>
          <w:tcPr>
            <w:tcW w:w="2638" w:type="dxa"/>
            <w:tcBorders>
              <w:top w:val="single" w:color="auto" w:sz="4" w:space="0"/>
              <w:left w:val="single" w:color="auto" w:sz="4" w:space="0"/>
              <w:bottom w:val="single" w:color="auto" w:sz="4" w:space="0"/>
              <w:right w:val="single" w:color="auto" w:sz="4" w:space="0"/>
            </w:tcBorders>
            <w:noWrap w:val="0"/>
            <w:vAlign w:val="center"/>
          </w:tcPr>
          <w:p w14:paraId="41F17221">
            <w:pPr>
              <w:spacing w:line="400" w:lineRule="exact"/>
              <w:jc w:val="left"/>
              <w:rPr>
                <w:rFonts w:eastAsia="仿宋_GB2312"/>
                <w:sz w:val="24"/>
                <w:szCs w:val="24"/>
              </w:rPr>
            </w:pPr>
            <w:r>
              <w:rPr>
                <w:rFonts w:eastAsia="仿宋_GB2312"/>
                <w:sz w:val="24"/>
                <w:szCs w:val="24"/>
                <w:lang w:val="en-US" w:eastAsia="zh-CN"/>
              </w:rPr>
              <w:t>环氧乙烷气体泄漏或门不能正常开启/关闭</w:t>
            </w:r>
          </w:p>
          <w:p w14:paraId="0CB58C8D">
            <w:pPr>
              <w:spacing w:line="400" w:lineRule="exact"/>
              <w:jc w:val="left"/>
              <w:rPr>
                <w:rFonts w:eastAsia="仿宋_GB2312"/>
                <w:sz w:val="24"/>
                <w:szCs w:val="24"/>
              </w:rPr>
            </w:pPr>
          </w:p>
        </w:tc>
        <w:tc>
          <w:tcPr>
            <w:tcW w:w="2435" w:type="dxa"/>
            <w:tcBorders>
              <w:top w:val="single" w:color="auto" w:sz="4" w:space="0"/>
              <w:left w:val="single" w:color="auto" w:sz="4" w:space="0"/>
              <w:bottom w:val="single" w:color="auto" w:sz="4" w:space="0"/>
              <w:right w:val="single" w:color="auto" w:sz="4" w:space="0"/>
            </w:tcBorders>
            <w:noWrap w:val="0"/>
            <w:vAlign w:val="center"/>
          </w:tcPr>
          <w:p w14:paraId="39FD6A61">
            <w:pPr>
              <w:spacing w:line="400" w:lineRule="exact"/>
              <w:jc w:val="left"/>
              <w:rPr>
                <w:rFonts w:hint="eastAsia" w:eastAsia="仿宋_GB2312"/>
                <w:sz w:val="24"/>
                <w:szCs w:val="24"/>
              </w:rPr>
            </w:pPr>
            <w:r>
              <w:rPr>
                <w:rFonts w:hint="eastAsia" w:eastAsia="仿宋_GB2312"/>
                <w:sz w:val="24"/>
                <w:szCs w:val="24"/>
              </w:rPr>
              <w:t>环境污染，灭菌失败</w:t>
            </w:r>
          </w:p>
        </w:tc>
      </w:tr>
      <w:tr w14:paraId="15B0B4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0" w:hRule="atLeast"/>
          <w:jc w:val="center"/>
        </w:trPr>
        <w:tc>
          <w:tcPr>
            <w:tcW w:w="1520" w:type="dxa"/>
            <w:vMerge w:val="continue"/>
            <w:tcBorders>
              <w:left w:val="single" w:color="auto" w:sz="4" w:space="0"/>
              <w:right w:val="single" w:color="auto" w:sz="4" w:space="0"/>
            </w:tcBorders>
            <w:noWrap w:val="0"/>
            <w:vAlign w:val="center"/>
          </w:tcPr>
          <w:p w14:paraId="41BA376B">
            <w:pPr>
              <w:spacing w:line="400" w:lineRule="exact"/>
              <w:jc w:val="center"/>
              <w:rPr>
                <w:rFonts w:eastAsia="仿宋_GB2312"/>
                <w:sz w:val="24"/>
                <w:szCs w:val="24"/>
              </w:rPr>
            </w:pPr>
          </w:p>
        </w:tc>
        <w:tc>
          <w:tcPr>
            <w:tcW w:w="2557" w:type="dxa"/>
            <w:tcBorders>
              <w:top w:val="single" w:color="auto" w:sz="4" w:space="0"/>
              <w:left w:val="single" w:color="auto" w:sz="4" w:space="0"/>
              <w:bottom w:val="single" w:color="auto" w:sz="4" w:space="0"/>
              <w:right w:val="single" w:color="auto" w:sz="4" w:space="0"/>
            </w:tcBorders>
            <w:noWrap w:val="0"/>
            <w:vAlign w:val="center"/>
          </w:tcPr>
          <w:p w14:paraId="6C4088AB">
            <w:pPr>
              <w:spacing w:line="400" w:lineRule="exact"/>
              <w:rPr>
                <w:rFonts w:hint="eastAsia" w:eastAsia="仿宋_GB2312"/>
                <w:sz w:val="24"/>
                <w:szCs w:val="24"/>
              </w:rPr>
            </w:pPr>
            <w:r>
              <w:rPr>
                <w:rFonts w:eastAsia="仿宋_GB2312"/>
                <w:sz w:val="24"/>
                <w:szCs w:val="24"/>
              </w:rPr>
              <w:t>外壳粗糙、有毛刺</w:t>
            </w:r>
          </w:p>
        </w:tc>
        <w:tc>
          <w:tcPr>
            <w:tcW w:w="2638" w:type="dxa"/>
            <w:tcBorders>
              <w:top w:val="single" w:color="auto" w:sz="4" w:space="0"/>
              <w:left w:val="single" w:color="auto" w:sz="4" w:space="0"/>
              <w:bottom w:val="single" w:color="auto" w:sz="4" w:space="0"/>
              <w:right w:val="single" w:color="auto" w:sz="4" w:space="0"/>
            </w:tcBorders>
            <w:noWrap w:val="0"/>
            <w:vAlign w:val="center"/>
          </w:tcPr>
          <w:p w14:paraId="4327AD6F">
            <w:pPr>
              <w:spacing w:line="400" w:lineRule="exact"/>
              <w:rPr>
                <w:rFonts w:eastAsia="仿宋_GB2312"/>
                <w:sz w:val="24"/>
                <w:szCs w:val="24"/>
              </w:rPr>
            </w:pPr>
            <w:r>
              <w:rPr>
                <w:rFonts w:hint="eastAsia" w:eastAsia="仿宋_GB2312"/>
                <w:sz w:val="24"/>
                <w:szCs w:val="24"/>
              </w:rPr>
              <w:t>操作人员划伤，损伤灭菌器械</w:t>
            </w:r>
          </w:p>
        </w:tc>
        <w:tc>
          <w:tcPr>
            <w:tcW w:w="2435" w:type="dxa"/>
            <w:tcBorders>
              <w:top w:val="single" w:color="auto" w:sz="4" w:space="0"/>
              <w:left w:val="single" w:color="auto" w:sz="4" w:space="0"/>
              <w:bottom w:val="single" w:color="auto" w:sz="4" w:space="0"/>
              <w:right w:val="single" w:color="auto" w:sz="4" w:space="0"/>
            </w:tcBorders>
            <w:noWrap w:val="0"/>
            <w:vAlign w:val="center"/>
          </w:tcPr>
          <w:p w14:paraId="62340B75">
            <w:pPr>
              <w:spacing w:line="400" w:lineRule="exact"/>
              <w:rPr>
                <w:rFonts w:eastAsia="仿宋_GB2312"/>
                <w:sz w:val="24"/>
                <w:szCs w:val="24"/>
              </w:rPr>
            </w:pPr>
            <w:r>
              <w:rPr>
                <w:rFonts w:hint="eastAsia" w:eastAsia="仿宋_GB2312"/>
                <w:sz w:val="24"/>
                <w:szCs w:val="24"/>
              </w:rPr>
              <w:t>人员受伤，物品损坏</w:t>
            </w:r>
          </w:p>
        </w:tc>
      </w:tr>
      <w:tr w14:paraId="7B1F0B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33" w:hRule="atLeast"/>
          <w:jc w:val="center"/>
        </w:trPr>
        <w:tc>
          <w:tcPr>
            <w:tcW w:w="1520" w:type="dxa"/>
            <w:vMerge w:val="continue"/>
            <w:tcBorders>
              <w:left w:val="single" w:color="auto" w:sz="4" w:space="0"/>
              <w:right w:val="single" w:color="auto" w:sz="4" w:space="0"/>
            </w:tcBorders>
            <w:noWrap w:val="0"/>
            <w:vAlign w:val="center"/>
          </w:tcPr>
          <w:p w14:paraId="0E365BDA">
            <w:pPr>
              <w:spacing w:line="400" w:lineRule="exact"/>
              <w:jc w:val="center"/>
              <w:rPr>
                <w:rFonts w:eastAsia="仿宋_GB2312"/>
                <w:sz w:val="24"/>
                <w:szCs w:val="24"/>
              </w:rPr>
            </w:pPr>
          </w:p>
        </w:tc>
        <w:tc>
          <w:tcPr>
            <w:tcW w:w="2557" w:type="dxa"/>
            <w:tcBorders>
              <w:top w:val="single" w:color="auto" w:sz="4" w:space="0"/>
              <w:left w:val="single" w:color="auto" w:sz="4" w:space="0"/>
              <w:bottom w:val="single" w:color="auto" w:sz="4" w:space="0"/>
              <w:right w:val="single" w:color="auto" w:sz="4" w:space="0"/>
            </w:tcBorders>
            <w:noWrap w:val="0"/>
            <w:vAlign w:val="center"/>
          </w:tcPr>
          <w:p w14:paraId="22172A50">
            <w:pPr>
              <w:spacing w:line="400" w:lineRule="exact"/>
              <w:rPr>
                <w:rFonts w:hint="eastAsia" w:eastAsia="仿宋_GB2312"/>
                <w:sz w:val="24"/>
                <w:szCs w:val="24"/>
              </w:rPr>
            </w:pPr>
            <w:r>
              <w:rPr>
                <w:rFonts w:hint="eastAsia" w:eastAsia="仿宋_GB2312"/>
                <w:sz w:val="24"/>
                <w:szCs w:val="24"/>
              </w:rPr>
              <w:t>运输过程中</w:t>
            </w:r>
            <w:r>
              <w:rPr>
                <w:rFonts w:eastAsia="仿宋_GB2312"/>
                <w:sz w:val="24"/>
                <w:szCs w:val="24"/>
              </w:rPr>
              <w:t>外壳</w:t>
            </w:r>
            <w:r>
              <w:rPr>
                <w:rFonts w:hint="eastAsia" w:eastAsia="仿宋_GB2312"/>
                <w:sz w:val="24"/>
                <w:szCs w:val="24"/>
              </w:rPr>
              <w:t>受外力碰撞</w:t>
            </w:r>
            <w:r>
              <w:rPr>
                <w:rFonts w:eastAsia="仿宋_GB2312"/>
                <w:sz w:val="24"/>
                <w:szCs w:val="24"/>
              </w:rPr>
              <w:t>，</w:t>
            </w:r>
            <w:r>
              <w:rPr>
                <w:rFonts w:hint="eastAsia" w:eastAsia="仿宋_GB2312"/>
                <w:sz w:val="24"/>
                <w:szCs w:val="24"/>
              </w:rPr>
              <w:t>造成</w:t>
            </w:r>
            <w:r>
              <w:rPr>
                <w:rFonts w:eastAsia="仿宋_GB2312"/>
                <w:sz w:val="24"/>
                <w:szCs w:val="24"/>
              </w:rPr>
              <w:t>腔体破裂</w:t>
            </w:r>
            <w:r>
              <w:rPr>
                <w:rFonts w:hint="eastAsia" w:eastAsia="仿宋_GB2312"/>
                <w:sz w:val="24"/>
                <w:szCs w:val="24"/>
              </w:rPr>
              <w:t>，</w:t>
            </w:r>
            <w:r>
              <w:rPr>
                <w:rFonts w:eastAsia="仿宋_GB2312"/>
                <w:sz w:val="24"/>
                <w:szCs w:val="24"/>
              </w:rPr>
              <w:t>门挤压</w:t>
            </w:r>
            <w:r>
              <w:rPr>
                <w:rFonts w:hint="eastAsia" w:eastAsia="仿宋_GB2312"/>
                <w:sz w:val="24"/>
                <w:szCs w:val="24"/>
              </w:rPr>
              <w:t>变形</w:t>
            </w:r>
          </w:p>
        </w:tc>
        <w:tc>
          <w:tcPr>
            <w:tcW w:w="2638" w:type="dxa"/>
            <w:tcBorders>
              <w:top w:val="single" w:color="auto" w:sz="4" w:space="0"/>
              <w:left w:val="single" w:color="auto" w:sz="4" w:space="0"/>
              <w:bottom w:val="single" w:color="auto" w:sz="4" w:space="0"/>
              <w:right w:val="single" w:color="auto" w:sz="4" w:space="0"/>
            </w:tcBorders>
            <w:noWrap w:val="0"/>
            <w:vAlign w:val="center"/>
          </w:tcPr>
          <w:p w14:paraId="6CC0CAC5">
            <w:pPr>
              <w:spacing w:line="400" w:lineRule="exact"/>
              <w:rPr>
                <w:rFonts w:hint="eastAsia" w:eastAsia="仿宋_GB2312"/>
                <w:sz w:val="24"/>
                <w:szCs w:val="24"/>
              </w:rPr>
            </w:pPr>
            <w:r>
              <w:rPr>
                <w:rFonts w:hint="eastAsia" w:eastAsia="仿宋_GB2312"/>
                <w:sz w:val="24"/>
                <w:szCs w:val="24"/>
              </w:rPr>
              <w:t>设备或部件损坏</w:t>
            </w:r>
          </w:p>
        </w:tc>
        <w:tc>
          <w:tcPr>
            <w:tcW w:w="2435" w:type="dxa"/>
            <w:tcBorders>
              <w:top w:val="single" w:color="auto" w:sz="4" w:space="0"/>
              <w:left w:val="single" w:color="auto" w:sz="4" w:space="0"/>
              <w:bottom w:val="single" w:color="auto" w:sz="4" w:space="0"/>
              <w:right w:val="single" w:color="auto" w:sz="4" w:space="0"/>
            </w:tcBorders>
            <w:noWrap w:val="0"/>
            <w:vAlign w:val="center"/>
          </w:tcPr>
          <w:p w14:paraId="1A786643">
            <w:pPr>
              <w:spacing w:line="400" w:lineRule="exact"/>
              <w:rPr>
                <w:rFonts w:hint="eastAsia" w:eastAsia="仿宋_GB2312"/>
                <w:sz w:val="24"/>
                <w:szCs w:val="24"/>
              </w:rPr>
            </w:pPr>
            <w:r>
              <w:rPr>
                <w:rFonts w:hint="eastAsia" w:eastAsia="仿宋_GB2312"/>
                <w:sz w:val="24"/>
                <w:szCs w:val="24"/>
              </w:rPr>
              <w:t>无法使用</w:t>
            </w:r>
          </w:p>
        </w:tc>
      </w:tr>
      <w:tr w14:paraId="73C88C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9" w:hRule="atLeast"/>
          <w:jc w:val="center"/>
        </w:trPr>
        <w:tc>
          <w:tcPr>
            <w:tcW w:w="1520" w:type="dxa"/>
            <w:vMerge w:val="continue"/>
            <w:tcBorders>
              <w:left w:val="single" w:color="auto" w:sz="4" w:space="0"/>
              <w:right w:val="single" w:color="auto" w:sz="4" w:space="0"/>
            </w:tcBorders>
            <w:noWrap w:val="0"/>
            <w:vAlign w:val="center"/>
          </w:tcPr>
          <w:p w14:paraId="04A6103D">
            <w:pPr>
              <w:spacing w:line="400" w:lineRule="exact"/>
              <w:jc w:val="center"/>
              <w:rPr>
                <w:rFonts w:hint="eastAsia" w:eastAsia="仿宋_GB2312"/>
                <w:sz w:val="24"/>
                <w:szCs w:val="24"/>
              </w:rPr>
            </w:pPr>
          </w:p>
        </w:tc>
        <w:tc>
          <w:tcPr>
            <w:tcW w:w="2557" w:type="dxa"/>
            <w:tcBorders>
              <w:top w:val="single" w:color="auto" w:sz="4" w:space="0"/>
              <w:left w:val="single" w:color="auto" w:sz="4" w:space="0"/>
              <w:bottom w:val="single" w:color="auto" w:sz="4" w:space="0"/>
              <w:right w:val="single" w:color="auto" w:sz="4" w:space="0"/>
            </w:tcBorders>
            <w:noWrap w:val="0"/>
            <w:vAlign w:val="center"/>
          </w:tcPr>
          <w:p w14:paraId="1E3B563A">
            <w:pPr>
              <w:spacing w:line="400" w:lineRule="exact"/>
              <w:rPr>
                <w:rFonts w:eastAsia="仿宋_GB2312"/>
                <w:sz w:val="24"/>
                <w:szCs w:val="24"/>
              </w:rPr>
            </w:pPr>
            <w:r>
              <w:rPr>
                <w:rFonts w:eastAsia="仿宋_GB2312"/>
                <w:sz w:val="24"/>
                <w:szCs w:val="24"/>
              </w:rPr>
              <w:t>设备压力未在规定值范围</w:t>
            </w:r>
            <w:r>
              <w:rPr>
                <w:rFonts w:hint="eastAsia" w:eastAsia="仿宋_GB2312"/>
                <w:sz w:val="24"/>
                <w:szCs w:val="24"/>
              </w:rPr>
              <w:t>，</w:t>
            </w:r>
            <w:r>
              <w:rPr>
                <w:rFonts w:eastAsia="仿宋_GB2312"/>
                <w:sz w:val="24"/>
                <w:szCs w:val="24"/>
              </w:rPr>
              <w:t>压力监测装置失效</w:t>
            </w:r>
          </w:p>
        </w:tc>
        <w:tc>
          <w:tcPr>
            <w:tcW w:w="2638" w:type="dxa"/>
            <w:tcBorders>
              <w:top w:val="single" w:color="auto" w:sz="4" w:space="0"/>
              <w:left w:val="single" w:color="auto" w:sz="4" w:space="0"/>
              <w:bottom w:val="single" w:color="auto" w:sz="4" w:space="0"/>
              <w:right w:val="single" w:color="auto" w:sz="4" w:space="0"/>
            </w:tcBorders>
            <w:noWrap w:val="0"/>
            <w:vAlign w:val="center"/>
          </w:tcPr>
          <w:p w14:paraId="0617444D">
            <w:pPr>
              <w:spacing w:line="400" w:lineRule="exact"/>
              <w:rPr>
                <w:rFonts w:eastAsia="仿宋_GB2312"/>
                <w:sz w:val="24"/>
                <w:szCs w:val="24"/>
              </w:rPr>
            </w:pPr>
            <w:r>
              <w:rPr>
                <w:rFonts w:hint="eastAsia" w:eastAsia="仿宋_GB2312"/>
                <w:sz w:val="24"/>
                <w:szCs w:val="24"/>
              </w:rPr>
              <w:t>设备不能正常工作</w:t>
            </w:r>
            <w:r>
              <w:rPr>
                <w:rFonts w:eastAsia="仿宋_GB2312"/>
                <w:sz w:val="24"/>
                <w:szCs w:val="24"/>
              </w:rPr>
              <w:t xml:space="preserve"> </w:t>
            </w:r>
          </w:p>
        </w:tc>
        <w:tc>
          <w:tcPr>
            <w:tcW w:w="2435" w:type="dxa"/>
            <w:tcBorders>
              <w:top w:val="single" w:color="auto" w:sz="4" w:space="0"/>
              <w:left w:val="single" w:color="auto" w:sz="4" w:space="0"/>
              <w:bottom w:val="single" w:color="auto" w:sz="4" w:space="0"/>
              <w:right w:val="single" w:color="auto" w:sz="4" w:space="0"/>
            </w:tcBorders>
            <w:noWrap w:val="0"/>
            <w:vAlign w:val="center"/>
          </w:tcPr>
          <w:p w14:paraId="784919C6">
            <w:pPr>
              <w:spacing w:line="400" w:lineRule="exact"/>
              <w:rPr>
                <w:rFonts w:eastAsia="仿宋_GB2312"/>
                <w:sz w:val="24"/>
                <w:szCs w:val="24"/>
              </w:rPr>
            </w:pPr>
            <w:r>
              <w:rPr>
                <w:rFonts w:hint="eastAsia" w:eastAsia="仿宋_GB2312"/>
                <w:sz w:val="24"/>
                <w:szCs w:val="24"/>
              </w:rPr>
              <w:t>物品损坏，灭菌失败</w:t>
            </w:r>
          </w:p>
        </w:tc>
      </w:tr>
      <w:tr w14:paraId="7EC3A2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0" w:hRule="atLeast"/>
          <w:jc w:val="center"/>
        </w:trPr>
        <w:tc>
          <w:tcPr>
            <w:tcW w:w="1520" w:type="dxa"/>
            <w:vMerge w:val="continue"/>
            <w:tcBorders>
              <w:left w:val="single" w:color="auto" w:sz="4" w:space="0"/>
              <w:right w:val="single" w:color="auto" w:sz="4" w:space="0"/>
            </w:tcBorders>
            <w:noWrap w:val="0"/>
            <w:vAlign w:val="center"/>
          </w:tcPr>
          <w:p w14:paraId="48ECDB1A">
            <w:pPr>
              <w:spacing w:line="400" w:lineRule="exact"/>
              <w:jc w:val="center"/>
              <w:rPr>
                <w:rFonts w:hint="eastAsia" w:eastAsia="仿宋_GB2312"/>
                <w:sz w:val="24"/>
                <w:szCs w:val="24"/>
              </w:rPr>
            </w:pPr>
          </w:p>
        </w:tc>
        <w:tc>
          <w:tcPr>
            <w:tcW w:w="2557" w:type="dxa"/>
            <w:tcBorders>
              <w:top w:val="single" w:color="auto" w:sz="4" w:space="0"/>
              <w:left w:val="single" w:color="auto" w:sz="4" w:space="0"/>
              <w:right w:val="single" w:color="auto" w:sz="4" w:space="0"/>
            </w:tcBorders>
            <w:noWrap w:val="0"/>
            <w:vAlign w:val="center"/>
          </w:tcPr>
          <w:p w14:paraId="42D44525">
            <w:pPr>
              <w:spacing w:line="400" w:lineRule="exact"/>
              <w:rPr>
                <w:rFonts w:eastAsia="仿宋_GB2312"/>
                <w:sz w:val="24"/>
                <w:szCs w:val="24"/>
                <w:lang w:val="en-US" w:eastAsia="zh-CN"/>
              </w:rPr>
            </w:pPr>
            <w:r>
              <w:rPr>
                <w:rFonts w:eastAsia="仿宋_GB2312"/>
                <w:sz w:val="24"/>
                <w:szCs w:val="24"/>
                <w:lang w:val="en-US" w:eastAsia="zh-CN"/>
              </w:rPr>
              <w:t>灭菌舱门在带压状态下误开启</w:t>
            </w:r>
          </w:p>
        </w:tc>
        <w:tc>
          <w:tcPr>
            <w:tcW w:w="2638" w:type="dxa"/>
            <w:tcBorders>
              <w:top w:val="single" w:color="auto" w:sz="4" w:space="0"/>
              <w:left w:val="single" w:color="auto" w:sz="4" w:space="0"/>
              <w:right w:val="single" w:color="auto" w:sz="4" w:space="0"/>
            </w:tcBorders>
            <w:noWrap w:val="0"/>
            <w:vAlign w:val="center"/>
          </w:tcPr>
          <w:p w14:paraId="290CF606">
            <w:pPr>
              <w:spacing w:line="400" w:lineRule="exact"/>
              <w:rPr>
                <w:rFonts w:hint="eastAsia" w:eastAsia="仿宋_GB2312"/>
                <w:sz w:val="24"/>
                <w:szCs w:val="24"/>
              </w:rPr>
            </w:pPr>
            <w:r>
              <w:rPr>
                <w:rFonts w:eastAsia="仿宋_GB2312"/>
                <w:sz w:val="24"/>
                <w:szCs w:val="24"/>
                <w:lang w:val="en-US" w:eastAsia="zh-CN"/>
              </w:rPr>
              <w:t>舱内残留环氧乙烷气体瞬间释放</w:t>
            </w:r>
          </w:p>
        </w:tc>
        <w:tc>
          <w:tcPr>
            <w:tcW w:w="2435" w:type="dxa"/>
            <w:tcBorders>
              <w:top w:val="single" w:color="auto" w:sz="4" w:space="0"/>
              <w:left w:val="single" w:color="auto" w:sz="4" w:space="0"/>
              <w:bottom w:val="single" w:color="auto" w:sz="4" w:space="0"/>
              <w:right w:val="single" w:color="auto" w:sz="4" w:space="0"/>
            </w:tcBorders>
            <w:noWrap w:val="0"/>
            <w:vAlign w:val="center"/>
          </w:tcPr>
          <w:p w14:paraId="193D2F0C">
            <w:pPr>
              <w:spacing w:line="400" w:lineRule="exact"/>
              <w:rPr>
                <w:rFonts w:hint="eastAsia" w:eastAsia="仿宋_GB2312"/>
                <w:sz w:val="24"/>
                <w:szCs w:val="24"/>
              </w:rPr>
            </w:pPr>
            <w:r>
              <w:rPr>
                <w:rFonts w:eastAsia="仿宋_GB2312"/>
                <w:sz w:val="24"/>
                <w:szCs w:val="24"/>
                <w:lang w:val="en-US" w:eastAsia="zh-CN"/>
              </w:rPr>
              <w:t>爆炸风险，人员中毒，严重时死亡</w:t>
            </w:r>
          </w:p>
        </w:tc>
      </w:tr>
      <w:tr w14:paraId="20DEF8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70" w:hRule="atLeast"/>
          <w:jc w:val="center"/>
        </w:trPr>
        <w:tc>
          <w:tcPr>
            <w:tcW w:w="1520" w:type="dxa"/>
            <w:vMerge w:val="restart"/>
            <w:tcBorders>
              <w:top w:val="single" w:color="auto" w:sz="4" w:space="0"/>
              <w:left w:val="single" w:color="auto" w:sz="4" w:space="0"/>
              <w:right w:val="single" w:color="auto" w:sz="4" w:space="0"/>
            </w:tcBorders>
            <w:noWrap w:val="0"/>
            <w:vAlign w:val="center"/>
          </w:tcPr>
          <w:p w14:paraId="01BB3043">
            <w:pPr>
              <w:spacing w:line="400" w:lineRule="exact"/>
              <w:jc w:val="center"/>
              <w:rPr>
                <w:rFonts w:hint="eastAsia" w:eastAsia="仿宋_GB2312"/>
                <w:sz w:val="24"/>
                <w:szCs w:val="24"/>
              </w:rPr>
            </w:pPr>
            <w:r>
              <w:rPr>
                <w:rFonts w:hint="eastAsia" w:eastAsia="仿宋_GB2312"/>
                <w:sz w:val="24"/>
                <w:szCs w:val="24"/>
              </w:rPr>
              <w:t>化学</w:t>
            </w:r>
          </w:p>
        </w:tc>
        <w:tc>
          <w:tcPr>
            <w:tcW w:w="2557" w:type="dxa"/>
            <w:tcBorders>
              <w:top w:val="single" w:color="auto" w:sz="4" w:space="0"/>
              <w:left w:val="single" w:color="auto" w:sz="4" w:space="0"/>
              <w:bottom w:val="single" w:color="auto" w:sz="4" w:space="0"/>
              <w:right w:val="single" w:color="auto" w:sz="4" w:space="0"/>
            </w:tcBorders>
            <w:noWrap w:val="0"/>
            <w:vAlign w:val="center"/>
          </w:tcPr>
          <w:p w14:paraId="17B845B1">
            <w:pPr>
              <w:spacing w:line="400" w:lineRule="exact"/>
              <w:rPr>
                <w:rFonts w:eastAsia="仿宋_GB2312"/>
                <w:sz w:val="24"/>
                <w:szCs w:val="24"/>
              </w:rPr>
            </w:pPr>
            <w:r>
              <w:rPr>
                <w:rFonts w:eastAsia="仿宋_GB2312"/>
                <w:sz w:val="24"/>
                <w:szCs w:val="24"/>
              </w:rPr>
              <w:t>容器壳体泄漏、管路泄漏</w:t>
            </w:r>
            <w:r>
              <w:rPr>
                <w:rFonts w:hint="eastAsia" w:eastAsia="仿宋_GB2312"/>
                <w:sz w:val="24"/>
                <w:szCs w:val="24"/>
              </w:rPr>
              <w:t>、</w:t>
            </w:r>
            <w:r>
              <w:rPr>
                <w:rFonts w:eastAsia="仿宋_GB2312"/>
                <w:sz w:val="24"/>
                <w:szCs w:val="24"/>
              </w:rPr>
              <w:t>过滤器失效</w:t>
            </w:r>
            <w:r>
              <w:rPr>
                <w:rFonts w:hint="eastAsia" w:eastAsia="仿宋_GB2312"/>
                <w:sz w:val="24"/>
                <w:szCs w:val="24"/>
              </w:rPr>
              <w:t>、操作不当等引起过氧化氢泄露</w:t>
            </w:r>
          </w:p>
        </w:tc>
        <w:tc>
          <w:tcPr>
            <w:tcW w:w="2638" w:type="dxa"/>
            <w:tcBorders>
              <w:top w:val="single" w:color="auto" w:sz="4" w:space="0"/>
              <w:left w:val="single" w:color="auto" w:sz="4" w:space="0"/>
              <w:bottom w:val="single" w:color="auto" w:sz="4" w:space="0"/>
              <w:right w:val="single" w:color="auto" w:sz="4" w:space="0"/>
            </w:tcBorders>
            <w:noWrap w:val="0"/>
            <w:vAlign w:val="center"/>
          </w:tcPr>
          <w:p w14:paraId="44860AE6">
            <w:pPr>
              <w:spacing w:line="400" w:lineRule="exact"/>
              <w:rPr>
                <w:rFonts w:hint="eastAsia" w:eastAsia="仿宋_GB2312"/>
                <w:sz w:val="24"/>
                <w:szCs w:val="24"/>
              </w:rPr>
            </w:pPr>
            <w:r>
              <w:rPr>
                <w:rFonts w:hint="eastAsia" w:eastAsia="仿宋_GB2312"/>
                <w:sz w:val="24"/>
                <w:szCs w:val="24"/>
              </w:rPr>
              <w:t>过氧化氢气体泄漏到环境中</w:t>
            </w:r>
          </w:p>
        </w:tc>
        <w:tc>
          <w:tcPr>
            <w:tcW w:w="2435" w:type="dxa"/>
            <w:tcBorders>
              <w:top w:val="single" w:color="auto" w:sz="4" w:space="0"/>
              <w:left w:val="single" w:color="auto" w:sz="4" w:space="0"/>
              <w:bottom w:val="single" w:color="auto" w:sz="4" w:space="0"/>
              <w:right w:val="single" w:color="auto" w:sz="4" w:space="0"/>
            </w:tcBorders>
            <w:noWrap w:val="0"/>
            <w:vAlign w:val="center"/>
          </w:tcPr>
          <w:p w14:paraId="3E0286CE">
            <w:pPr>
              <w:spacing w:line="400" w:lineRule="exact"/>
              <w:rPr>
                <w:rFonts w:hint="eastAsia"/>
                <w:sz w:val="24"/>
                <w:szCs w:val="24"/>
              </w:rPr>
            </w:pPr>
            <w:r>
              <w:rPr>
                <w:rFonts w:hint="eastAsia" w:eastAsia="仿宋_GB2312"/>
                <w:sz w:val="24"/>
                <w:szCs w:val="24"/>
              </w:rPr>
              <w:t>皮肤、眼睛过敏，灭菌物品损坏，灭菌失败</w:t>
            </w:r>
          </w:p>
        </w:tc>
      </w:tr>
      <w:tr w14:paraId="1DBEE5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0" w:hRule="atLeast"/>
          <w:jc w:val="center"/>
        </w:trPr>
        <w:tc>
          <w:tcPr>
            <w:tcW w:w="1520" w:type="dxa"/>
            <w:vMerge w:val="continue"/>
            <w:tcBorders>
              <w:left w:val="single" w:color="auto" w:sz="4" w:space="0"/>
              <w:right w:val="single" w:color="auto" w:sz="4" w:space="0"/>
            </w:tcBorders>
            <w:noWrap w:val="0"/>
            <w:vAlign w:val="center"/>
          </w:tcPr>
          <w:p w14:paraId="13C714B0">
            <w:pPr>
              <w:spacing w:line="400" w:lineRule="exact"/>
              <w:jc w:val="center"/>
              <w:rPr>
                <w:rFonts w:hint="eastAsia" w:eastAsia="仿宋_GB2312"/>
                <w:sz w:val="24"/>
                <w:szCs w:val="24"/>
              </w:rPr>
            </w:pPr>
          </w:p>
        </w:tc>
        <w:tc>
          <w:tcPr>
            <w:tcW w:w="2557" w:type="dxa"/>
            <w:tcBorders>
              <w:top w:val="single" w:color="auto" w:sz="4" w:space="0"/>
              <w:left w:val="single" w:color="auto" w:sz="4" w:space="0"/>
              <w:bottom w:val="single" w:color="auto" w:sz="4" w:space="0"/>
              <w:right w:val="single" w:color="auto" w:sz="4" w:space="0"/>
            </w:tcBorders>
            <w:noWrap w:val="0"/>
            <w:vAlign w:val="center"/>
          </w:tcPr>
          <w:p w14:paraId="0B60EE37">
            <w:pPr>
              <w:spacing w:line="400" w:lineRule="exact"/>
              <w:rPr>
                <w:rFonts w:eastAsia="仿宋_GB2312"/>
                <w:sz w:val="24"/>
                <w:szCs w:val="24"/>
              </w:rPr>
            </w:pPr>
            <w:r>
              <w:rPr>
                <w:rFonts w:eastAsia="仿宋_GB2312"/>
                <w:sz w:val="24"/>
                <w:szCs w:val="24"/>
                <w:lang w:val="en-US" w:eastAsia="zh-CN"/>
              </w:rPr>
              <w:t>灭菌完成后解析不彻底，灭菌舱内环氧乙烷残留量超标</w:t>
            </w:r>
          </w:p>
        </w:tc>
        <w:tc>
          <w:tcPr>
            <w:tcW w:w="2638" w:type="dxa"/>
            <w:tcBorders>
              <w:top w:val="single" w:color="auto" w:sz="4" w:space="0"/>
              <w:left w:val="single" w:color="auto" w:sz="4" w:space="0"/>
              <w:bottom w:val="single" w:color="auto" w:sz="4" w:space="0"/>
              <w:right w:val="single" w:color="auto" w:sz="4" w:space="0"/>
            </w:tcBorders>
            <w:noWrap w:val="0"/>
            <w:vAlign w:val="center"/>
          </w:tcPr>
          <w:p w14:paraId="7056274A">
            <w:pPr>
              <w:spacing w:line="400" w:lineRule="exact"/>
              <w:rPr>
                <w:rFonts w:hint="eastAsia" w:eastAsia="仿宋_GB2312"/>
                <w:sz w:val="24"/>
                <w:szCs w:val="24"/>
              </w:rPr>
            </w:pPr>
            <w:r>
              <w:rPr>
                <w:rFonts w:eastAsia="仿宋_GB2312"/>
                <w:sz w:val="24"/>
                <w:szCs w:val="24"/>
                <w:lang w:val="en-US" w:eastAsia="zh-CN"/>
              </w:rPr>
              <w:t>操作人员打开舱门时接触高浓度残留气体</w:t>
            </w:r>
          </w:p>
        </w:tc>
        <w:tc>
          <w:tcPr>
            <w:tcW w:w="2435" w:type="dxa"/>
            <w:tcBorders>
              <w:top w:val="single" w:color="auto" w:sz="4" w:space="0"/>
              <w:left w:val="single" w:color="auto" w:sz="4" w:space="0"/>
              <w:bottom w:val="single" w:color="auto" w:sz="4" w:space="0"/>
              <w:right w:val="single" w:color="auto" w:sz="4" w:space="0"/>
            </w:tcBorders>
            <w:noWrap w:val="0"/>
            <w:vAlign w:val="center"/>
          </w:tcPr>
          <w:p w14:paraId="2EE9ADAB">
            <w:pPr>
              <w:spacing w:line="400" w:lineRule="exact"/>
              <w:rPr>
                <w:rFonts w:hint="eastAsia" w:eastAsia="仿宋_GB2312"/>
                <w:sz w:val="24"/>
                <w:szCs w:val="24"/>
              </w:rPr>
            </w:pPr>
            <w:r>
              <w:rPr>
                <w:rFonts w:eastAsia="仿宋_GB2312"/>
                <w:sz w:val="24"/>
                <w:szCs w:val="24"/>
                <w:lang w:val="en-US" w:eastAsia="zh-CN"/>
              </w:rPr>
              <w:t>人员中毒（头痛、呕吐、昏迷），长期接触致突变/致癌</w:t>
            </w:r>
          </w:p>
        </w:tc>
      </w:tr>
      <w:tr w14:paraId="475E2C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07" w:hRule="atLeast"/>
          <w:jc w:val="center"/>
        </w:trPr>
        <w:tc>
          <w:tcPr>
            <w:tcW w:w="1520" w:type="dxa"/>
            <w:vMerge w:val="continue"/>
            <w:tcBorders>
              <w:left w:val="single" w:color="auto" w:sz="4" w:space="0"/>
              <w:right w:val="single" w:color="auto" w:sz="4" w:space="0"/>
            </w:tcBorders>
            <w:noWrap w:val="0"/>
            <w:vAlign w:val="center"/>
          </w:tcPr>
          <w:p w14:paraId="5CDED08C">
            <w:pPr>
              <w:spacing w:line="400" w:lineRule="exact"/>
              <w:jc w:val="center"/>
              <w:rPr>
                <w:rFonts w:hint="eastAsia" w:eastAsia="仿宋_GB2312"/>
                <w:sz w:val="24"/>
                <w:szCs w:val="24"/>
              </w:rPr>
            </w:pPr>
          </w:p>
        </w:tc>
        <w:tc>
          <w:tcPr>
            <w:tcW w:w="2557" w:type="dxa"/>
            <w:tcBorders>
              <w:top w:val="single" w:color="auto" w:sz="4" w:space="0"/>
              <w:left w:val="single" w:color="auto" w:sz="4" w:space="0"/>
              <w:bottom w:val="single" w:color="auto" w:sz="4" w:space="0"/>
              <w:right w:val="single" w:color="auto" w:sz="4" w:space="0"/>
            </w:tcBorders>
            <w:noWrap w:val="0"/>
            <w:vAlign w:val="center"/>
          </w:tcPr>
          <w:p w14:paraId="65DE971B">
            <w:pPr>
              <w:spacing w:line="400" w:lineRule="exact"/>
              <w:rPr>
                <w:rFonts w:hint="eastAsia" w:eastAsia="仿宋_GB2312"/>
                <w:sz w:val="24"/>
                <w:szCs w:val="24"/>
              </w:rPr>
            </w:pPr>
            <w:r>
              <w:rPr>
                <w:rFonts w:eastAsia="仿宋_GB2312"/>
                <w:sz w:val="24"/>
                <w:szCs w:val="24"/>
                <w:lang w:val="en-US" w:eastAsia="zh-CN"/>
              </w:rPr>
              <w:t>灭菌物品包装上吸附的环氧乙烷解析不充分，转移到患者或操作人员</w:t>
            </w:r>
          </w:p>
        </w:tc>
        <w:tc>
          <w:tcPr>
            <w:tcW w:w="2638" w:type="dxa"/>
            <w:tcBorders>
              <w:top w:val="single" w:color="auto" w:sz="4" w:space="0"/>
              <w:left w:val="single" w:color="auto" w:sz="4" w:space="0"/>
              <w:bottom w:val="single" w:color="auto" w:sz="4" w:space="0"/>
              <w:right w:val="single" w:color="auto" w:sz="4" w:space="0"/>
            </w:tcBorders>
            <w:noWrap w:val="0"/>
            <w:vAlign w:val="center"/>
          </w:tcPr>
          <w:p w14:paraId="51F45610">
            <w:pPr>
              <w:spacing w:line="400" w:lineRule="exact"/>
              <w:rPr>
                <w:rFonts w:hint="eastAsia" w:eastAsia="仿宋_GB2312"/>
                <w:sz w:val="24"/>
                <w:szCs w:val="24"/>
              </w:rPr>
            </w:pPr>
            <w:r>
              <w:rPr>
                <w:rFonts w:eastAsia="仿宋_GB2312"/>
                <w:sz w:val="24"/>
                <w:szCs w:val="24"/>
                <w:lang w:val="en-US" w:eastAsia="zh-CN"/>
              </w:rPr>
              <w:t>使用带有环氧乙烷残留的医疗器械</w:t>
            </w:r>
          </w:p>
        </w:tc>
        <w:tc>
          <w:tcPr>
            <w:tcW w:w="2435" w:type="dxa"/>
            <w:tcBorders>
              <w:top w:val="single" w:color="auto" w:sz="4" w:space="0"/>
              <w:left w:val="single" w:color="auto" w:sz="4" w:space="0"/>
              <w:bottom w:val="single" w:color="auto" w:sz="4" w:space="0"/>
              <w:right w:val="single" w:color="auto" w:sz="4" w:space="0"/>
            </w:tcBorders>
            <w:noWrap w:val="0"/>
            <w:vAlign w:val="center"/>
          </w:tcPr>
          <w:p w14:paraId="66B75655">
            <w:pPr>
              <w:spacing w:line="400" w:lineRule="exact"/>
              <w:rPr>
                <w:rFonts w:hint="eastAsia" w:eastAsia="仿宋_GB2312"/>
                <w:sz w:val="24"/>
                <w:szCs w:val="24"/>
              </w:rPr>
            </w:pPr>
            <w:r>
              <w:rPr>
                <w:rFonts w:eastAsia="仿宋_GB2312"/>
                <w:sz w:val="24"/>
                <w:szCs w:val="24"/>
                <w:lang w:val="en-US" w:eastAsia="zh-CN"/>
              </w:rPr>
              <w:t>患者/医务人员黏膜刺激、过敏反应，长期致癌风险</w:t>
            </w:r>
          </w:p>
        </w:tc>
      </w:tr>
      <w:tr w14:paraId="3FED66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07" w:hRule="atLeast"/>
          <w:jc w:val="center"/>
        </w:trPr>
        <w:tc>
          <w:tcPr>
            <w:tcW w:w="1520" w:type="dxa"/>
            <w:vMerge w:val="continue"/>
            <w:tcBorders>
              <w:left w:val="single" w:color="auto" w:sz="4" w:space="0"/>
              <w:right w:val="single" w:color="auto" w:sz="4" w:space="0"/>
            </w:tcBorders>
            <w:noWrap w:val="0"/>
            <w:vAlign w:val="center"/>
          </w:tcPr>
          <w:p w14:paraId="775A0908">
            <w:pPr>
              <w:spacing w:line="400" w:lineRule="exact"/>
              <w:jc w:val="center"/>
              <w:rPr>
                <w:rFonts w:hint="eastAsia" w:eastAsia="仿宋_GB2312"/>
                <w:sz w:val="24"/>
                <w:szCs w:val="24"/>
              </w:rPr>
            </w:pPr>
          </w:p>
        </w:tc>
        <w:tc>
          <w:tcPr>
            <w:tcW w:w="2557" w:type="dxa"/>
            <w:tcBorders>
              <w:top w:val="single" w:color="auto" w:sz="4" w:space="0"/>
              <w:left w:val="single" w:color="auto" w:sz="4" w:space="0"/>
              <w:bottom w:val="single" w:color="auto" w:sz="4" w:space="0"/>
              <w:right w:val="single" w:color="auto" w:sz="4" w:space="0"/>
            </w:tcBorders>
            <w:noWrap w:val="0"/>
            <w:vAlign w:val="center"/>
          </w:tcPr>
          <w:p w14:paraId="658E6C1C">
            <w:pPr>
              <w:spacing w:line="400" w:lineRule="exact"/>
              <w:rPr>
                <w:rFonts w:hint="eastAsia" w:eastAsia="仿宋_GB2312"/>
                <w:sz w:val="24"/>
                <w:szCs w:val="24"/>
              </w:rPr>
            </w:pPr>
            <w:r>
              <w:rPr>
                <w:rFonts w:eastAsia="仿宋_GB2312"/>
                <w:sz w:val="24"/>
                <w:szCs w:val="24"/>
                <w:lang w:val="en-US" w:eastAsia="zh-CN"/>
              </w:rPr>
              <w:t>环氧乙烷注入量过多</w:t>
            </w:r>
          </w:p>
        </w:tc>
        <w:tc>
          <w:tcPr>
            <w:tcW w:w="2638" w:type="dxa"/>
            <w:tcBorders>
              <w:top w:val="single" w:color="auto" w:sz="4" w:space="0"/>
              <w:left w:val="single" w:color="auto" w:sz="4" w:space="0"/>
              <w:bottom w:val="single" w:color="auto" w:sz="4" w:space="0"/>
              <w:right w:val="single" w:color="auto" w:sz="4" w:space="0"/>
            </w:tcBorders>
            <w:noWrap w:val="0"/>
            <w:vAlign w:val="center"/>
          </w:tcPr>
          <w:p w14:paraId="43BBF97A">
            <w:pPr>
              <w:spacing w:line="400" w:lineRule="exact"/>
              <w:rPr>
                <w:rFonts w:hint="eastAsia" w:eastAsia="仿宋_GB2312"/>
                <w:sz w:val="24"/>
                <w:szCs w:val="24"/>
              </w:rPr>
            </w:pPr>
            <w:r>
              <w:rPr>
                <w:rFonts w:eastAsia="仿宋_GB2312"/>
                <w:sz w:val="24"/>
                <w:szCs w:val="24"/>
                <w:lang w:val="en-US" w:eastAsia="zh-CN"/>
              </w:rPr>
              <w:t>灭菌物品上残留超标，解析时间延长</w:t>
            </w:r>
          </w:p>
        </w:tc>
        <w:tc>
          <w:tcPr>
            <w:tcW w:w="2435" w:type="dxa"/>
            <w:tcBorders>
              <w:top w:val="single" w:color="auto" w:sz="4" w:space="0"/>
              <w:left w:val="single" w:color="auto" w:sz="4" w:space="0"/>
              <w:bottom w:val="single" w:color="auto" w:sz="4" w:space="0"/>
              <w:right w:val="single" w:color="auto" w:sz="4" w:space="0"/>
            </w:tcBorders>
            <w:noWrap w:val="0"/>
            <w:vAlign w:val="center"/>
          </w:tcPr>
          <w:p w14:paraId="44A0A774">
            <w:pPr>
              <w:spacing w:line="400" w:lineRule="exact"/>
              <w:rPr>
                <w:rFonts w:hint="eastAsia" w:eastAsia="仿宋_GB2312"/>
                <w:sz w:val="24"/>
                <w:szCs w:val="24"/>
              </w:rPr>
            </w:pPr>
            <w:r>
              <w:rPr>
                <w:rFonts w:eastAsia="仿宋_GB2312"/>
                <w:sz w:val="24"/>
                <w:szCs w:val="24"/>
                <w:lang w:val="en-US" w:eastAsia="zh-CN"/>
              </w:rPr>
              <w:t>人员中毒，物品腐蚀，灭菌周期延长</w:t>
            </w:r>
          </w:p>
        </w:tc>
      </w:tr>
      <w:tr w14:paraId="3ACDA7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07" w:hRule="atLeast"/>
          <w:jc w:val="center"/>
        </w:trPr>
        <w:tc>
          <w:tcPr>
            <w:tcW w:w="1520" w:type="dxa"/>
            <w:vMerge w:val="continue"/>
            <w:tcBorders>
              <w:left w:val="single" w:color="auto" w:sz="4" w:space="0"/>
              <w:right w:val="single" w:color="auto" w:sz="4" w:space="0"/>
            </w:tcBorders>
            <w:noWrap w:val="0"/>
            <w:vAlign w:val="center"/>
          </w:tcPr>
          <w:p w14:paraId="54C09101">
            <w:pPr>
              <w:spacing w:line="400" w:lineRule="exact"/>
              <w:jc w:val="center"/>
              <w:rPr>
                <w:rFonts w:hint="eastAsia" w:eastAsia="仿宋_GB2312"/>
                <w:sz w:val="24"/>
                <w:szCs w:val="24"/>
              </w:rPr>
            </w:pPr>
          </w:p>
        </w:tc>
        <w:tc>
          <w:tcPr>
            <w:tcW w:w="2557" w:type="dxa"/>
            <w:tcBorders>
              <w:top w:val="single" w:color="auto" w:sz="4" w:space="0"/>
              <w:left w:val="single" w:color="auto" w:sz="4" w:space="0"/>
              <w:bottom w:val="single" w:color="auto" w:sz="4" w:space="0"/>
              <w:right w:val="single" w:color="auto" w:sz="4" w:space="0"/>
            </w:tcBorders>
            <w:noWrap w:val="0"/>
            <w:vAlign w:val="center"/>
          </w:tcPr>
          <w:p w14:paraId="44C95EB8">
            <w:pPr>
              <w:spacing w:line="400" w:lineRule="exact"/>
              <w:rPr>
                <w:rFonts w:hint="eastAsia" w:eastAsia="仿宋_GB2312"/>
                <w:sz w:val="24"/>
                <w:szCs w:val="24"/>
              </w:rPr>
            </w:pPr>
            <w:r>
              <w:rPr>
                <w:rFonts w:eastAsia="仿宋_GB2312"/>
                <w:sz w:val="24"/>
                <w:szCs w:val="24"/>
                <w:lang w:val="en-US" w:eastAsia="zh-CN"/>
              </w:rPr>
              <w:t>环氧乙烷注入量过少</w:t>
            </w:r>
          </w:p>
        </w:tc>
        <w:tc>
          <w:tcPr>
            <w:tcW w:w="2638" w:type="dxa"/>
            <w:tcBorders>
              <w:top w:val="single" w:color="auto" w:sz="4" w:space="0"/>
              <w:left w:val="single" w:color="auto" w:sz="4" w:space="0"/>
              <w:bottom w:val="single" w:color="auto" w:sz="4" w:space="0"/>
              <w:right w:val="single" w:color="auto" w:sz="4" w:space="0"/>
            </w:tcBorders>
            <w:noWrap w:val="0"/>
            <w:vAlign w:val="center"/>
          </w:tcPr>
          <w:p w14:paraId="1669D6B7">
            <w:pPr>
              <w:spacing w:line="400" w:lineRule="exact"/>
              <w:rPr>
                <w:rFonts w:hint="eastAsia" w:eastAsia="仿宋_GB2312"/>
                <w:sz w:val="24"/>
                <w:szCs w:val="24"/>
              </w:rPr>
            </w:pPr>
            <w:r>
              <w:rPr>
                <w:rFonts w:eastAsia="仿宋_GB2312"/>
                <w:sz w:val="24"/>
                <w:szCs w:val="24"/>
                <w:lang w:val="en-US" w:eastAsia="zh-CN"/>
              </w:rPr>
              <w:t>灭菌室内环氧乙烷浓度不足</w:t>
            </w:r>
          </w:p>
        </w:tc>
        <w:tc>
          <w:tcPr>
            <w:tcW w:w="2435" w:type="dxa"/>
            <w:tcBorders>
              <w:top w:val="single" w:color="auto" w:sz="4" w:space="0"/>
              <w:left w:val="single" w:color="auto" w:sz="4" w:space="0"/>
              <w:bottom w:val="single" w:color="auto" w:sz="4" w:space="0"/>
              <w:right w:val="single" w:color="auto" w:sz="4" w:space="0"/>
            </w:tcBorders>
            <w:noWrap w:val="0"/>
            <w:vAlign w:val="center"/>
          </w:tcPr>
          <w:p w14:paraId="3A57FA82">
            <w:pPr>
              <w:spacing w:line="400" w:lineRule="exact"/>
              <w:rPr>
                <w:rFonts w:hint="eastAsia" w:eastAsia="仿宋_GB2312"/>
                <w:sz w:val="24"/>
                <w:szCs w:val="24"/>
              </w:rPr>
            </w:pPr>
            <w:r>
              <w:rPr>
                <w:rFonts w:eastAsia="仿宋_GB2312"/>
                <w:sz w:val="24"/>
                <w:szCs w:val="24"/>
                <w:lang w:val="en-US" w:eastAsia="zh-CN"/>
              </w:rPr>
              <w:t>灭菌不彻底，灭菌失败</w:t>
            </w:r>
          </w:p>
        </w:tc>
      </w:tr>
      <w:tr w14:paraId="0B1BF5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07" w:hRule="atLeast"/>
          <w:jc w:val="center"/>
        </w:trPr>
        <w:tc>
          <w:tcPr>
            <w:tcW w:w="1520" w:type="dxa"/>
            <w:vMerge w:val="continue"/>
            <w:tcBorders>
              <w:left w:val="single" w:color="auto" w:sz="4" w:space="0"/>
              <w:right w:val="single" w:color="auto" w:sz="4" w:space="0"/>
            </w:tcBorders>
            <w:noWrap w:val="0"/>
            <w:vAlign w:val="center"/>
          </w:tcPr>
          <w:p w14:paraId="096696DE">
            <w:pPr>
              <w:spacing w:line="400" w:lineRule="exact"/>
              <w:jc w:val="center"/>
              <w:rPr>
                <w:rFonts w:hint="eastAsia" w:eastAsia="仿宋_GB2312"/>
                <w:sz w:val="24"/>
                <w:szCs w:val="24"/>
              </w:rPr>
            </w:pPr>
          </w:p>
        </w:tc>
        <w:tc>
          <w:tcPr>
            <w:tcW w:w="2557" w:type="dxa"/>
            <w:tcBorders>
              <w:top w:val="single" w:color="auto" w:sz="4" w:space="0"/>
              <w:left w:val="single" w:color="auto" w:sz="4" w:space="0"/>
              <w:bottom w:val="single" w:color="auto" w:sz="4" w:space="0"/>
              <w:right w:val="single" w:color="auto" w:sz="4" w:space="0"/>
            </w:tcBorders>
            <w:noWrap w:val="0"/>
            <w:vAlign w:val="center"/>
          </w:tcPr>
          <w:p w14:paraId="069F455C">
            <w:pPr>
              <w:spacing w:line="400" w:lineRule="exact"/>
              <w:rPr>
                <w:rFonts w:hint="eastAsia" w:eastAsia="仿宋_GB2312"/>
                <w:sz w:val="24"/>
                <w:szCs w:val="24"/>
              </w:rPr>
            </w:pPr>
            <w:r>
              <w:rPr>
                <w:rFonts w:eastAsia="仿宋_GB2312"/>
                <w:sz w:val="24"/>
                <w:szCs w:val="24"/>
                <w:lang w:val="en-US" w:eastAsia="zh-CN"/>
              </w:rPr>
              <w:t>灭菌负载潮湿，环氧乙烷与水反应生成乙二醇或氯乙醇（含氯条件下）</w:t>
            </w:r>
          </w:p>
        </w:tc>
        <w:tc>
          <w:tcPr>
            <w:tcW w:w="2638" w:type="dxa"/>
            <w:tcBorders>
              <w:top w:val="single" w:color="auto" w:sz="4" w:space="0"/>
              <w:left w:val="single" w:color="auto" w:sz="4" w:space="0"/>
              <w:bottom w:val="single" w:color="auto" w:sz="4" w:space="0"/>
              <w:right w:val="single" w:color="auto" w:sz="4" w:space="0"/>
            </w:tcBorders>
            <w:noWrap w:val="0"/>
            <w:vAlign w:val="center"/>
          </w:tcPr>
          <w:p w14:paraId="4CF5A665">
            <w:pPr>
              <w:spacing w:line="400" w:lineRule="exact"/>
              <w:rPr>
                <w:rFonts w:hint="eastAsia" w:eastAsia="仿宋_GB2312"/>
                <w:sz w:val="24"/>
                <w:szCs w:val="24"/>
              </w:rPr>
            </w:pPr>
            <w:r>
              <w:rPr>
                <w:rFonts w:eastAsia="仿宋_GB2312"/>
                <w:sz w:val="24"/>
                <w:szCs w:val="24"/>
                <w:lang w:val="en-US" w:eastAsia="zh-CN"/>
              </w:rPr>
              <w:t>灭菌物品上产生有毒反应产物</w:t>
            </w:r>
          </w:p>
        </w:tc>
        <w:tc>
          <w:tcPr>
            <w:tcW w:w="2435" w:type="dxa"/>
            <w:tcBorders>
              <w:top w:val="single" w:color="auto" w:sz="4" w:space="0"/>
              <w:left w:val="single" w:color="auto" w:sz="4" w:space="0"/>
              <w:bottom w:val="single" w:color="auto" w:sz="4" w:space="0"/>
              <w:right w:val="single" w:color="auto" w:sz="4" w:space="0"/>
            </w:tcBorders>
            <w:noWrap w:val="0"/>
            <w:vAlign w:val="center"/>
          </w:tcPr>
          <w:p w14:paraId="14E57710">
            <w:pPr>
              <w:spacing w:line="400" w:lineRule="exact"/>
              <w:rPr>
                <w:rFonts w:eastAsia="仿宋_GB2312"/>
                <w:sz w:val="24"/>
                <w:szCs w:val="24"/>
              </w:rPr>
            </w:pPr>
            <w:r>
              <w:rPr>
                <w:rFonts w:eastAsia="仿宋_GB2312"/>
                <w:sz w:val="24"/>
                <w:szCs w:val="24"/>
                <w:lang w:val="en-US" w:eastAsia="zh-CN"/>
              </w:rPr>
              <w:t>人员中毒，物品腐蚀，灭菌失败</w:t>
            </w:r>
          </w:p>
          <w:p w14:paraId="64A41863">
            <w:pPr>
              <w:spacing w:line="400" w:lineRule="exact"/>
              <w:rPr>
                <w:rFonts w:hint="eastAsia" w:eastAsia="仿宋_GB2312"/>
                <w:sz w:val="24"/>
                <w:szCs w:val="24"/>
              </w:rPr>
            </w:pPr>
          </w:p>
        </w:tc>
      </w:tr>
      <w:tr w14:paraId="6A849F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07" w:hRule="atLeast"/>
          <w:jc w:val="center"/>
        </w:trPr>
        <w:tc>
          <w:tcPr>
            <w:tcW w:w="1520" w:type="dxa"/>
            <w:vMerge w:val="continue"/>
            <w:tcBorders>
              <w:left w:val="single" w:color="auto" w:sz="4" w:space="0"/>
              <w:right w:val="single" w:color="auto" w:sz="4" w:space="0"/>
            </w:tcBorders>
            <w:noWrap w:val="0"/>
            <w:vAlign w:val="center"/>
          </w:tcPr>
          <w:p w14:paraId="2BF06CEC">
            <w:pPr>
              <w:spacing w:line="400" w:lineRule="exact"/>
              <w:jc w:val="center"/>
              <w:rPr>
                <w:rFonts w:hint="eastAsia" w:eastAsia="仿宋_GB2312"/>
                <w:sz w:val="24"/>
                <w:szCs w:val="24"/>
              </w:rPr>
            </w:pPr>
          </w:p>
        </w:tc>
        <w:tc>
          <w:tcPr>
            <w:tcW w:w="2557" w:type="dxa"/>
            <w:tcBorders>
              <w:top w:val="single" w:color="auto" w:sz="4" w:space="0"/>
              <w:left w:val="single" w:color="auto" w:sz="4" w:space="0"/>
              <w:bottom w:val="single" w:color="auto" w:sz="4" w:space="0"/>
              <w:right w:val="single" w:color="auto" w:sz="4" w:space="0"/>
            </w:tcBorders>
            <w:noWrap w:val="0"/>
            <w:vAlign w:val="center"/>
          </w:tcPr>
          <w:p w14:paraId="6358D785">
            <w:pPr>
              <w:spacing w:line="400" w:lineRule="exact"/>
              <w:rPr>
                <w:rFonts w:eastAsia="仿宋_GB2312"/>
                <w:sz w:val="24"/>
                <w:szCs w:val="24"/>
                <w:lang w:val="en-US" w:eastAsia="zh-CN"/>
              </w:rPr>
            </w:pPr>
            <w:r>
              <w:rPr>
                <w:rFonts w:eastAsia="仿宋_GB2312"/>
                <w:sz w:val="24"/>
                <w:szCs w:val="24"/>
                <w:lang w:val="en-US" w:eastAsia="zh-CN"/>
              </w:rPr>
              <w:t>湿度控制不当（低于25%或高于80%）</w:t>
            </w:r>
          </w:p>
        </w:tc>
        <w:tc>
          <w:tcPr>
            <w:tcW w:w="2638" w:type="dxa"/>
            <w:tcBorders>
              <w:top w:val="single" w:color="auto" w:sz="4" w:space="0"/>
              <w:left w:val="single" w:color="auto" w:sz="4" w:space="0"/>
              <w:bottom w:val="single" w:color="auto" w:sz="4" w:space="0"/>
              <w:right w:val="single" w:color="auto" w:sz="4" w:space="0"/>
            </w:tcBorders>
            <w:noWrap w:val="0"/>
            <w:vAlign w:val="center"/>
          </w:tcPr>
          <w:p w14:paraId="06D12938">
            <w:pPr>
              <w:spacing w:line="400" w:lineRule="exact"/>
              <w:rPr>
                <w:rFonts w:eastAsia="仿宋_GB2312"/>
                <w:sz w:val="24"/>
                <w:szCs w:val="24"/>
              </w:rPr>
            </w:pPr>
            <w:r>
              <w:rPr>
                <w:rFonts w:eastAsia="仿宋_GB2312"/>
                <w:sz w:val="24"/>
                <w:szCs w:val="24"/>
                <w:lang w:val="en-US" w:eastAsia="zh-CN"/>
              </w:rPr>
              <w:t>环氧乙烷灭菌效果下降或聚合</w:t>
            </w:r>
          </w:p>
          <w:p w14:paraId="63891452">
            <w:pPr>
              <w:spacing w:line="400" w:lineRule="exact"/>
              <w:rPr>
                <w:rFonts w:eastAsia="仿宋_GB2312"/>
                <w:sz w:val="24"/>
                <w:szCs w:val="24"/>
                <w:lang w:val="en-US" w:eastAsia="zh-CN"/>
              </w:rPr>
            </w:pPr>
          </w:p>
        </w:tc>
        <w:tc>
          <w:tcPr>
            <w:tcW w:w="2435" w:type="dxa"/>
            <w:tcBorders>
              <w:top w:val="single" w:color="auto" w:sz="4" w:space="0"/>
              <w:left w:val="single" w:color="auto" w:sz="4" w:space="0"/>
              <w:bottom w:val="single" w:color="auto" w:sz="4" w:space="0"/>
              <w:right w:val="single" w:color="auto" w:sz="4" w:space="0"/>
            </w:tcBorders>
            <w:noWrap w:val="0"/>
            <w:vAlign w:val="center"/>
          </w:tcPr>
          <w:p w14:paraId="5899D07E">
            <w:pPr>
              <w:spacing w:line="400" w:lineRule="exact"/>
              <w:rPr>
                <w:rFonts w:eastAsia="仿宋_GB2312"/>
                <w:sz w:val="24"/>
                <w:szCs w:val="24"/>
              </w:rPr>
            </w:pPr>
            <w:r>
              <w:rPr>
                <w:rFonts w:eastAsia="仿宋_GB2312"/>
                <w:sz w:val="24"/>
                <w:szCs w:val="24"/>
                <w:lang w:val="en-US" w:eastAsia="zh-CN"/>
              </w:rPr>
              <w:t>灭菌失败，物品损坏</w:t>
            </w:r>
          </w:p>
          <w:p w14:paraId="605C15C6">
            <w:pPr>
              <w:spacing w:line="400" w:lineRule="exact"/>
              <w:rPr>
                <w:rFonts w:hint="eastAsia" w:eastAsia="仿宋_GB2312"/>
                <w:sz w:val="24"/>
                <w:szCs w:val="24"/>
              </w:rPr>
            </w:pPr>
          </w:p>
        </w:tc>
      </w:tr>
      <w:tr w14:paraId="13986E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07" w:hRule="atLeast"/>
          <w:jc w:val="center"/>
        </w:trPr>
        <w:tc>
          <w:tcPr>
            <w:tcW w:w="1520" w:type="dxa"/>
            <w:vMerge w:val="continue"/>
            <w:tcBorders>
              <w:left w:val="single" w:color="auto" w:sz="4" w:space="0"/>
              <w:right w:val="single" w:color="auto" w:sz="4" w:space="0"/>
            </w:tcBorders>
            <w:noWrap w:val="0"/>
            <w:vAlign w:val="center"/>
          </w:tcPr>
          <w:p w14:paraId="364E2F4F">
            <w:pPr>
              <w:spacing w:line="400" w:lineRule="exact"/>
              <w:jc w:val="center"/>
              <w:rPr>
                <w:rFonts w:hint="eastAsia" w:eastAsia="仿宋_GB2312"/>
                <w:sz w:val="24"/>
                <w:szCs w:val="24"/>
              </w:rPr>
            </w:pPr>
          </w:p>
        </w:tc>
        <w:tc>
          <w:tcPr>
            <w:tcW w:w="2557" w:type="dxa"/>
            <w:tcBorders>
              <w:top w:val="single" w:color="auto" w:sz="4" w:space="0"/>
              <w:left w:val="single" w:color="auto" w:sz="4" w:space="0"/>
              <w:bottom w:val="single" w:color="auto" w:sz="4" w:space="0"/>
              <w:right w:val="single" w:color="auto" w:sz="4" w:space="0"/>
            </w:tcBorders>
            <w:noWrap w:val="0"/>
            <w:vAlign w:val="center"/>
          </w:tcPr>
          <w:p w14:paraId="3C05A0C0">
            <w:pPr>
              <w:spacing w:line="400" w:lineRule="exact"/>
              <w:rPr>
                <w:rFonts w:eastAsia="仿宋_GB2312"/>
                <w:sz w:val="24"/>
                <w:szCs w:val="24"/>
                <w:lang w:val="en-US" w:eastAsia="zh-CN"/>
              </w:rPr>
            </w:pPr>
            <w:r>
              <w:rPr>
                <w:rFonts w:eastAsia="仿宋_GB2312"/>
                <w:sz w:val="24"/>
                <w:szCs w:val="24"/>
                <w:lang w:val="en-US" w:eastAsia="zh-CN"/>
              </w:rPr>
              <w:t>残气处理系统失效，排放的尾气中环氧乙烷含量超标</w:t>
            </w:r>
          </w:p>
        </w:tc>
        <w:tc>
          <w:tcPr>
            <w:tcW w:w="2638" w:type="dxa"/>
            <w:tcBorders>
              <w:top w:val="single" w:color="auto" w:sz="4" w:space="0"/>
              <w:left w:val="single" w:color="auto" w:sz="4" w:space="0"/>
              <w:bottom w:val="single" w:color="auto" w:sz="4" w:space="0"/>
              <w:right w:val="single" w:color="auto" w:sz="4" w:space="0"/>
            </w:tcBorders>
            <w:noWrap w:val="0"/>
            <w:vAlign w:val="center"/>
          </w:tcPr>
          <w:p w14:paraId="4E20AB21">
            <w:pPr>
              <w:spacing w:line="400" w:lineRule="exact"/>
              <w:rPr>
                <w:rFonts w:eastAsia="仿宋_GB2312"/>
                <w:sz w:val="24"/>
                <w:szCs w:val="24"/>
              </w:rPr>
            </w:pPr>
            <w:r>
              <w:rPr>
                <w:rFonts w:eastAsia="仿宋_GB2312"/>
                <w:sz w:val="24"/>
                <w:szCs w:val="24"/>
                <w:lang w:val="en-US" w:eastAsia="zh-CN"/>
              </w:rPr>
              <w:t>未经处理或处理不达标的废气排入大气</w:t>
            </w:r>
          </w:p>
          <w:p w14:paraId="5533BD34">
            <w:pPr>
              <w:spacing w:line="400" w:lineRule="exact"/>
              <w:rPr>
                <w:rFonts w:eastAsia="仿宋_GB2312"/>
                <w:sz w:val="24"/>
                <w:szCs w:val="24"/>
                <w:lang w:val="en-US" w:eastAsia="zh-CN"/>
              </w:rPr>
            </w:pPr>
          </w:p>
        </w:tc>
        <w:tc>
          <w:tcPr>
            <w:tcW w:w="2435" w:type="dxa"/>
            <w:tcBorders>
              <w:top w:val="single" w:color="auto" w:sz="4" w:space="0"/>
              <w:left w:val="single" w:color="auto" w:sz="4" w:space="0"/>
              <w:bottom w:val="single" w:color="auto" w:sz="4" w:space="0"/>
              <w:right w:val="single" w:color="auto" w:sz="4" w:space="0"/>
            </w:tcBorders>
            <w:noWrap w:val="0"/>
            <w:vAlign w:val="center"/>
          </w:tcPr>
          <w:p w14:paraId="76C5FED2">
            <w:pPr>
              <w:spacing w:line="400" w:lineRule="exact"/>
              <w:rPr>
                <w:rFonts w:eastAsia="仿宋_GB2312"/>
                <w:sz w:val="24"/>
                <w:szCs w:val="24"/>
              </w:rPr>
            </w:pPr>
            <w:r>
              <w:rPr>
                <w:rFonts w:eastAsia="仿宋_GB2312"/>
                <w:sz w:val="24"/>
                <w:szCs w:val="24"/>
                <w:lang w:val="en-US" w:eastAsia="zh-CN"/>
              </w:rPr>
              <w:t>环境污染，周围人员中毒</w:t>
            </w:r>
          </w:p>
          <w:p w14:paraId="64206889">
            <w:pPr>
              <w:spacing w:line="400" w:lineRule="exact"/>
              <w:rPr>
                <w:rFonts w:hint="eastAsia" w:eastAsia="仿宋_GB2312"/>
                <w:sz w:val="24"/>
                <w:szCs w:val="24"/>
              </w:rPr>
            </w:pPr>
          </w:p>
        </w:tc>
      </w:tr>
      <w:tr w14:paraId="522643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07" w:hRule="atLeast"/>
          <w:jc w:val="center"/>
        </w:trPr>
        <w:tc>
          <w:tcPr>
            <w:tcW w:w="1520" w:type="dxa"/>
            <w:vMerge w:val="continue"/>
            <w:tcBorders>
              <w:left w:val="single" w:color="auto" w:sz="4" w:space="0"/>
              <w:bottom w:val="single" w:color="auto" w:sz="4" w:space="0"/>
              <w:right w:val="single" w:color="auto" w:sz="4" w:space="0"/>
            </w:tcBorders>
            <w:noWrap w:val="0"/>
            <w:vAlign w:val="center"/>
          </w:tcPr>
          <w:p w14:paraId="57E1D26E">
            <w:pPr>
              <w:spacing w:line="400" w:lineRule="exact"/>
              <w:jc w:val="center"/>
              <w:rPr>
                <w:rFonts w:hint="eastAsia" w:eastAsia="仿宋_GB2312"/>
                <w:sz w:val="24"/>
                <w:szCs w:val="24"/>
              </w:rPr>
            </w:pPr>
          </w:p>
        </w:tc>
        <w:tc>
          <w:tcPr>
            <w:tcW w:w="2557" w:type="dxa"/>
            <w:tcBorders>
              <w:top w:val="single" w:color="auto" w:sz="4" w:space="0"/>
              <w:left w:val="single" w:color="auto" w:sz="4" w:space="0"/>
              <w:bottom w:val="single" w:color="auto" w:sz="4" w:space="0"/>
              <w:right w:val="single" w:color="auto" w:sz="4" w:space="0"/>
            </w:tcBorders>
            <w:noWrap w:val="0"/>
            <w:vAlign w:val="center"/>
          </w:tcPr>
          <w:p w14:paraId="6119E539">
            <w:pPr>
              <w:spacing w:line="400" w:lineRule="exact"/>
              <w:rPr>
                <w:rFonts w:eastAsia="仿宋_GB2312"/>
                <w:sz w:val="24"/>
                <w:szCs w:val="24"/>
                <w:lang w:val="en-US" w:eastAsia="zh-CN"/>
              </w:rPr>
            </w:pPr>
            <w:r>
              <w:rPr>
                <w:rFonts w:eastAsia="仿宋_GB2312"/>
                <w:sz w:val="24"/>
                <w:szCs w:val="24"/>
                <w:lang w:val="en-US" w:eastAsia="zh-CN"/>
              </w:rPr>
              <w:t>环氧乙烷在灭菌室内局部积聚浓度过高，达到爆炸极限</w:t>
            </w:r>
          </w:p>
        </w:tc>
        <w:tc>
          <w:tcPr>
            <w:tcW w:w="2638" w:type="dxa"/>
            <w:tcBorders>
              <w:top w:val="single" w:color="auto" w:sz="4" w:space="0"/>
              <w:left w:val="single" w:color="auto" w:sz="4" w:space="0"/>
              <w:bottom w:val="single" w:color="auto" w:sz="4" w:space="0"/>
              <w:right w:val="single" w:color="auto" w:sz="4" w:space="0"/>
            </w:tcBorders>
            <w:noWrap w:val="0"/>
            <w:vAlign w:val="center"/>
          </w:tcPr>
          <w:p w14:paraId="306898AC">
            <w:pPr>
              <w:spacing w:line="400" w:lineRule="exact"/>
              <w:rPr>
                <w:rFonts w:eastAsia="仿宋_GB2312"/>
                <w:sz w:val="24"/>
                <w:szCs w:val="24"/>
              </w:rPr>
            </w:pPr>
            <w:r>
              <w:rPr>
                <w:rFonts w:eastAsia="仿宋_GB2312"/>
                <w:sz w:val="24"/>
                <w:szCs w:val="24"/>
                <w:lang w:val="en-US" w:eastAsia="zh-CN"/>
              </w:rPr>
              <w:t>静电或高温触发爆炸</w:t>
            </w:r>
          </w:p>
          <w:p w14:paraId="1C34C771">
            <w:pPr>
              <w:spacing w:line="400" w:lineRule="exact"/>
              <w:rPr>
                <w:rFonts w:eastAsia="仿宋_GB2312"/>
                <w:sz w:val="24"/>
                <w:szCs w:val="24"/>
                <w:lang w:val="en-US" w:eastAsia="zh-CN"/>
              </w:rPr>
            </w:pPr>
          </w:p>
        </w:tc>
        <w:tc>
          <w:tcPr>
            <w:tcW w:w="2435" w:type="dxa"/>
            <w:tcBorders>
              <w:top w:val="single" w:color="auto" w:sz="4" w:space="0"/>
              <w:left w:val="single" w:color="auto" w:sz="4" w:space="0"/>
              <w:bottom w:val="single" w:color="auto" w:sz="4" w:space="0"/>
              <w:right w:val="single" w:color="auto" w:sz="4" w:space="0"/>
            </w:tcBorders>
            <w:noWrap w:val="0"/>
            <w:vAlign w:val="center"/>
          </w:tcPr>
          <w:p w14:paraId="5CB77847">
            <w:pPr>
              <w:spacing w:line="400" w:lineRule="exact"/>
              <w:rPr>
                <w:rFonts w:eastAsia="仿宋_GB2312"/>
                <w:sz w:val="24"/>
                <w:szCs w:val="24"/>
              </w:rPr>
            </w:pPr>
            <w:r>
              <w:rPr>
                <w:rFonts w:eastAsia="仿宋_GB2312"/>
                <w:sz w:val="24"/>
                <w:szCs w:val="24"/>
                <w:lang w:val="en-US" w:eastAsia="zh-CN"/>
              </w:rPr>
              <w:t>人员伤亡，设备损毁</w:t>
            </w:r>
          </w:p>
          <w:p w14:paraId="548778E4">
            <w:pPr>
              <w:spacing w:line="400" w:lineRule="exact"/>
              <w:rPr>
                <w:rFonts w:hint="eastAsia" w:eastAsia="仿宋_GB2312"/>
                <w:sz w:val="24"/>
                <w:szCs w:val="24"/>
              </w:rPr>
            </w:pPr>
          </w:p>
        </w:tc>
      </w:tr>
      <w:tr w14:paraId="650ECB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195" w:hRule="atLeast"/>
          <w:jc w:val="center"/>
        </w:trPr>
        <w:tc>
          <w:tcPr>
            <w:tcW w:w="1520" w:type="dxa"/>
            <w:vMerge w:val="restart"/>
            <w:tcBorders>
              <w:top w:val="single" w:color="auto" w:sz="4" w:space="0"/>
              <w:left w:val="single" w:color="auto" w:sz="4" w:space="0"/>
              <w:right w:val="single" w:color="auto" w:sz="4" w:space="0"/>
            </w:tcBorders>
            <w:noWrap w:val="0"/>
            <w:vAlign w:val="center"/>
          </w:tcPr>
          <w:p w14:paraId="75B29DE0">
            <w:pPr>
              <w:spacing w:line="400" w:lineRule="exact"/>
              <w:jc w:val="center"/>
              <w:rPr>
                <w:rFonts w:hint="eastAsia" w:eastAsia="仿宋_GB2312"/>
                <w:sz w:val="24"/>
                <w:szCs w:val="24"/>
              </w:rPr>
            </w:pPr>
            <w:r>
              <w:rPr>
                <w:rFonts w:hint="eastAsia" w:eastAsia="仿宋_GB2312"/>
                <w:sz w:val="24"/>
                <w:szCs w:val="24"/>
              </w:rPr>
              <w:t>操作</w:t>
            </w:r>
          </w:p>
        </w:tc>
        <w:tc>
          <w:tcPr>
            <w:tcW w:w="2557" w:type="dxa"/>
            <w:tcBorders>
              <w:top w:val="single" w:color="auto" w:sz="4" w:space="0"/>
              <w:left w:val="single" w:color="auto" w:sz="4" w:space="0"/>
              <w:bottom w:val="single" w:color="auto" w:sz="4" w:space="0"/>
              <w:right w:val="single" w:color="auto" w:sz="4" w:space="0"/>
            </w:tcBorders>
            <w:noWrap w:val="0"/>
            <w:vAlign w:val="center"/>
          </w:tcPr>
          <w:p w14:paraId="678BC4A2">
            <w:pPr>
              <w:spacing w:line="400" w:lineRule="exact"/>
              <w:rPr>
                <w:rFonts w:hint="eastAsia" w:eastAsia="仿宋_GB2312"/>
                <w:sz w:val="24"/>
                <w:szCs w:val="24"/>
              </w:rPr>
            </w:pPr>
            <w:r>
              <w:rPr>
                <w:rFonts w:hint="eastAsia" w:eastAsia="仿宋_GB2312"/>
                <w:sz w:val="24"/>
                <w:szCs w:val="24"/>
              </w:rPr>
              <w:t>对不适用的物品进行灭菌或选用了不匹配的灭菌周期</w:t>
            </w:r>
          </w:p>
        </w:tc>
        <w:tc>
          <w:tcPr>
            <w:tcW w:w="2638" w:type="dxa"/>
            <w:tcBorders>
              <w:top w:val="single" w:color="auto" w:sz="4" w:space="0"/>
              <w:left w:val="single" w:color="auto" w:sz="4" w:space="0"/>
              <w:bottom w:val="single" w:color="auto" w:sz="4" w:space="0"/>
              <w:right w:val="single" w:color="auto" w:sz="4" w:space="0"/>
            </w:tcBorders>
            <w:noWrap w:val="0"/>
            <w:vAlign w:val="center"/>
          </w:tcPr>
          <w:p w14:paraId="0300DE97">
            <w:pPr>
              <w:spacing w:line="400" w:lineRule="exact"/>
              <w:rPr>
                <w:rFonts w:eastAsia="仿宋_GB2312"/>
                <w:sz w:val="24"/>
                <w:szCs w:val="24"/>
              </w:rPr>
            </w:pPr>
            <w:r>
              <w:rPr>
                <w:rFonts w:hint="eastAsia" w:eastAsia="仿宋_GB2312"/>
                <w:sz w:val="24"/>
                <w:szCs w:val="24"/>
              </w:rPr>
              <w:t>物品不能灭菌，受到腐蚀</w:t>
            </w:r>
          </w:p>
        </w:tc>
        <w:tc>
          <w:tcPr>
            <w:tcW w:w="2435" w:type="dxa"/>
            <w:tcBorders>
              <w:top w:val="single" w:color="auto" w:sz="4" w:space="0"/>
              <w:left w:val="single" w:color="auto" w:sz="4" w:space="0"/>
              <w:bottom w:val="single" w:color="auto" w:sz="4" w:space="0"/>
              <w:right w:val="single" w:color="auto" w:sz="4" w:space="0"/>
            </w:tcBorders>
            <w:noWrap w:val="0"/>
            <w:vAlign w:val="center"/>
          </w:tcPr>
          <w:p w14:paraId="6438DF68">
            <w:pPr>
              <w:spacing w:line="400" w:lineRule="exact"/>
              <w:rPr>
                <w:rFonts w:eastAsia="仿宋_GB2312"/>
                <w:sz w:val="24"/>
                <w:szCs w:val="24"/>
              </w:rPr>
            </w:pPr>
            <w:r>
              <w:rPr>
                <w:rFonts w:hint="eastAsia" w:eastAsia="仿宋_GB2312"/>
                <w:sz w:val="24"/>
                <w:szCs w:val="24"/>
              </w:rPr>
              <w:t>物品损坏，灭菌失败</w:t>
            </w:r>
          </w:p>
        </w:tc>
      </w:tr>
      <w:tr w14:paraId="4A065B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70" w:hRule="atLeast"/>
          <w:jc w:val="center"/>
        </w:trPr>
        <w:tc>
          <w:tcPr>
            <w:tcW w:w="1520" w:type="dxa"/>
            <w:vMerge w:val="continue"/>
            <w:tcBorders>
              <w:left w:val="single" w:color="auto" w:sz="4" w:space="0"/>
              <w:right w:val="single" w:color="auto" w:sz="4" w:space="0"/>
            </w:tcBorders>
            <w:noWrap w:val="0"/>
            <w:vAlign w:val="center"/>
          </w:tcPr>
          <w:p w14:paraId="042730AD">
            <w:pPr>
              <w:spacing w:line="400" w:lineRule="exact"/>
              <w:jc w:val="center"/>
              <w:rPr>
                <w:rFonts w:eastAsia="仿宋_GB2312"/>
                <w:sz w:val="24"/>
                <w:szCs w:val="24"/>
              </w:rPr>
            </w:pPr>
          </w:p>
        </w:tc>
        <w:tc>
          <w:tcPr>
            <w:tcW w:w="2557" w:type="dxa"/>
            <w:tcBorders>
              <w:top w:val="single" w:color="auto" w:sz="4" w:space="0"/>
              <w:left w:val="single" w:color="auto" w:sz="4" w:space="0"/>
              <w:bottom w:val="single" w:color="auto" w:sz="4" w:space="0"/>
              <w:right w:val="single" w:color="auto" w:sz="4" w:space="0"/>
            </w:tcBorders>
            <w:noWrap w:val="0"/>
            <w:vAlign w:val="center"/>
          </w:tcPr>
          <w:p w14:paraId="10DD7544">
            <w:pPr>
              <w:spacing w:line="400" w:lineRule="exact"/>
              <w:rPr>
                <w:rFonts w:hint="eastAsia" w:eastAsia="仿宋_GB2312"/>
                <w:sz w:val="24"/>
                <w:szCs w:val="24"/>
              </w:rPr>
            </w:pPr>
            <w:r>
              <w:rPr>
                <w:rFonts w:hint="eastAsia" w:eastAsia="仿宋_GB2312"/>
                <w:sz w:val="24"/>
                <w:szCs w:val="24"/>
                <w:lang w:val="en-US" w:eastAsia="zh-CN"/>
              </w:rPr>
              <w:t>使用人员操作不熟练、使用不当，负载未经彻底干燥或装载量过大、过密</w:t>
            </w:r>
          </w:p>
        </w:tc>
        <w:tc>
          <w:tcPr>
            <w:tcW w:w="2638" w:type="dxa"/>
            <w:tcBorders>
              <w:top w:val="single" w:color="auto" w:sz="4" w:space="0"/>
              <w:left w:val="single" w:color="auto" w:sz="4" w:space="0"/>
              <w:bottom w:val="single" w:color="auto" w:sz="4" w:space="0"/>
              <w:right w:val="single" w:color="auto" w:sz="4" w:space="0"/>
            </w:tcBorders>
            <w:noWrap w:val="0"/>
            <w:vAlign w:val="center"/>
          </w:tcPr>
          <w:p w14:paraId="6CBE4693">
            <w:pPr>
              <w:spacing w:line="400" w:lineRule="exact"/>
              <w:rPr>
                <w:rFonts w:hint="eastAsia" w:eastAsia="仿宋_GB2312"/>
                <w:sz w:val="24"/>
                <w:szCs w:val="24"/>
              </w:rPr>
            </w:pPr>
            <w:r>
              <w:rPr>
                <w:rFonts w:hint="eastAsia" w:eastAsia="仿宋_GB2312"/>
                <w:sz w:val="24"/>
                <w:szCs w:val="24"/>
                <w:lang w:val="en-US" w:eastAsia="zh-CN"/>
              </w:rPr>
              <w:t>抽真空超时，灭菌程序终止；环氧乙烷穿透受阻，灭菌效果不均匀</w:t>
            </w:r>
          </w:p>
        </w:tc>
        <w:tc>
          <w:tcPr>
            <w:tcW w:w="2435" w:type="dxa"/>
            <w:tcBorders>
              <w:top w:val="single" w:color="auto" w:sz="4" w:space="0"/>
              <w:left w:val="single" w:color="auto" w:sz="4" w:space="0"/>
              <w:bottom w:val="single" w:color="auto" w:sz="4" w:space="0"/>
              <w:right w:val="single" w:color="auto" w:sz="4" w:space="0"/>
            </w:tcBorders>
            <w:noWrap w:val="0"/>
            <w:vAlign w:val="center"/>
          </w:tcPr>
          <w:p w14:paraId="51F91502">
            <w:pPr>
              <w:widowControl/>
              <w:spacing w:line="400" w:lineRule="exact"/>
              <w:rPr>
                <w:rFonts w:hint="eastAsia" w:eastAsia="仿宋_GB2312"/>
                <w:sz w:val="24"/>
                <w:szCs w:val="24"/>
              </w:rPr>
            </w:pPr>
            <w:r>
              <w:rPr>
                <w:rFonts w:hint="eastAsia" w:eastAsia="仿宋_GB2312"/>
                <w:sz w:val="24"/>
                <w:szCs w:val="24"/>
              </w:rPr>
              <w:t>灭菌失败</w:t>
            </w:r>
          </w:p>
        </w:tc>
      </w:tr>
      <w:tr w14:paraId="64BD87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71" w:hRule="atLeast"/>
          <w:jc w:val="center"/>
        </w:trPr>
        <w:tc>
          <w:tcPr>
            <w:tcW w:w="1520" w:type="dxa"/>
            <w:vMerge w:val="continue"/>
            <w:tcBorders>
              <w:left w:val="single" w:color="auto" w:sz="4" w:space="0"/>
              <w:right w:val="single" w:color="auto" w:sz="4" w:space="0"/>
            </w:tcBorders>
            <w:noWrap w:val="0"/>
            <w:vAlign w:val="center"/>
          </w:tcPr>
          <w:p w14:paraId="7C2CF58C">
            <w:pPr>
              <w:widowControl/>
              <w:spacing w:line="400" w:lineRule="exact"/>
              <w:jc w:val="center"/>
              <w:rPr>
                <w:rFonts w:eastAsia="仿宋_GB2312"/>
                <w:sz w:val="24"/>
                <w:szCs w:val="24"/>
              </w:rPr>
            </w:pPr>
          </w:p>
        </w:tc>
        <w:tc>
          <w:tcPr>
            <w:tcW w:w="2557" w:type="dxa"/>
            <w:tcBorders>
              <w:top w:val="single" w:color="auto" w:sz="4" w:space="0"/>
              <w:left w:val="single" w:color="auto" w:sz="4" w:space="0"/>
              <w:bottom w:val="single" w:color="auto" w:sz="4" w:space="0"/>
              <w:right w:val="single" w:color="auto" w:sz="4" w:space="0"/>
            </w:tcBorders>
            <w:noWrap w:val="0"/>
            <w:vAlign w:val="center"/>
          </w:tcPr>
          <w:p w14:paraId="24013E78">
            <w:pPr>
              <w:spacing w:line="400" w:lineRule="exact"/>
              <w:rPr>
                <w:rFonts w:hint="eastAsia" w:eastAsia="仿宋_GB2312"/>
                <w:sz w:val="24"/>
                <w:szCs w:val="24"/>
                <w:lang w:val="en-US" w:eastAsia="zh-CN"/>
              </w:rPr>
            </w:pPr>
            <w:r>
              <w:rPr>
                <w:rFonts w:hint="eastAsia" w:eastAsia="仿宋_GB2312"/>
                <w:sz w:val="24"/>
                <w:szCs w:val="24"/>
                <w:lang w:val="en-US" w:eastAsia="zh-CN"/>
              </w:rPr>
              <w:t>操作过程过于复杂，使用操作时失误</w:t>
            </w:r>
          </w:p>
        </w:tc>
        <w:tc>
          <w:tcPr>
            <w:tcW w:w="2638" w:type="dxa"/>
            <w:tcBorders>
              <w:top w:val="single" w:color="auto" w:sz="4" w:space="0"/>
              <w:left w:val="single" w:color="auto" w:sz="4" w:space="0"/>
              <w:bottom w:val="single" w:color="auto" w:sz="4" w:space="0"/>
              <w:right w:val="single" w:color="auto" w:sz="4" w:space="0"/>
            </w:tcBorders>
            <w:noWrap w:val="0"/>
            <w:vAlign w:val="center"/>
          </w:tcPr>
          <w:p w14:paraId="6E17E20F">
            <w:pPr>
              <w:spacing w:line="400" w:lineRule="exact"/>
              <w:rPr>
                <w:rFonts w:hint="eastAsia" w:eastAsia="仿宋_GB2312"/>
                <w:sz w:val="24"/>
                <w:szCs w:val="24"/>
                <w:lang w:val="en-US" w:eastAsia="zh-CN"/>
              </w:rPr>
            </w:pPr>
            <w:r>
              <w:rPr>
                <w:rFonts w:hint="eastAsia" w:eastAsia="仿宋_GB2312"/>
                <w:sz w:val="24"/>
                <w:szCs w:val="24"/>
                <w:lang w:val="en-US" w:eastAsia="zh-CN"/>
              </w:rPr>
              <w:t>不能正常使用</w:t>
            </w:r>
          </w:p>
        </w:tc>
        <w:tc>
          <w:tcPr>
            <w:tcW w:w="2435" w:type="dxa"/>
            <w:tcBorders>
              <w:top w:val="single" w:color="auto" w:sz="4" w:space="0"/>
              <w:left w:val="single" w:color="auto" w:sz="4" w:space="0"/>
              <w:bottom w:val="single" w:color="auto" w:sz="4" w:space="0"/>
              <w:right w:val="single" w:color="auto" w:sz="4" w:space="0"/>
            </w:tcBorders>
            <w:noWrap w:val="0"/>
            <w:vAlign w:val="center"/>
          </w:tcPr>
          <w:p w14:paraId="45B167F8">
            <w:pPr>
              <w:spacing w:line="400" w:lineRule="exact"/>
              <w:rPr>
                <w:rFonts w:hint="eastAsia" w:eastAsia="仿宋_GB2312"/>
                <w:sz w:val="24"/>
                <w:szCs w:val="24"/>
                <w:lang w:val="en-US" w:eastAsia="zh-CN"/>
              </w:rPr>
            </w:pPr>
            <w:r>
              <w:rPr>
                <w:rFonts w:hint="eastAsia" w:eastAsia="仿宋_GB2312"/>
                <w:sz w:val="24"/>
                <w:szCs w:val="24"/>
                <w:lang w:val="en-US" w:eastAsia="zh-CN"/>
              </w:rPr>
              <w:t>灭菌失败，设备故障</w:t>
            </w:r>
          </w:p>
          <w:p w14:paraId="365559FB">
            <w:pPr>
              <w:spacing w:line="400" w:lineRule="exact"/>
              <w:rPr>
                <w:rFonts w:hint="eastAsia" w:eastAsia="仿宋_GB2312"/>
                <w:sz w:val="24"/>
                <w:szCs w:val="24"/>
                <w:lang w:val="en-US" w:eastAsia="zh-CN"/>
              </w:rPr>
            </w:pPr>
          </w:p>
        </w:tc>
      </w:tr>
      <w:tr w14:paraId="05B893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075" w:hRule="atLeast"/>
          <w:jc w:val="center"/>
        </w:trPr>
        <w:tc>
          <w:tcPr>
            <w:tcW w:w="1520" w:type="dxa"/>
            <w:vMerge w:val="continue"/>
            <w:tcBorders>
              <w:left w:val="single" w:color="auto" w:sz="4" w:space="0"/>
              <w:right w:val="single" w:color="auto" w:sz="4" w:space="0"/>
            </w:tcBorders>
            <w:noWrap w:val="0"/>
            <w:vAlign w:val="center"/>
          </w:tcPr>
          <w:p w14:paraId="4FD02A24">
            <w:pPr>
              <w:widowControl/>
              <w:spacing w:line="400" w:lineRule="exact"/>
              <w:jc w:val="center"/>
              <w:rPr>
                <w:rFonts w:eastAsia="仿宋_GB2312"/>
                <w:sz w:val="24"/>
                <w:szCs w:val="24"/>
              </w:rPr>
            </w:pPr>
          </w:p>
        </w:tc>
        <w:tc>
          <w:tcPr>
            <w:tcW w:w="2557" w:type="dxa"/>
            <w:tcBorders>
              <w:top w:val="single" w:color="auto" w:sz="4" w:space="0"/>
              <w:left w:val="single" w:color="auto" w:sz="4" w:space="0"/>
              <w:right w:val="single" w:color="auto" w:sz="4" w:space="0"/>
            </w:tcBorders>
            <w:noWrap w:val="0"/>
            <w:vAlign w:val="center"/>
          </w:tcPr>
          <w:p w14:paraId="59E44619">
            <w:pPr>
              <w:spacing w:line="400" w:lineRule="exact"/>
              <w:rPr>
                <w:rFonts w:hint="eastAsia" w:eastAsia="仿宋_GB2312"/>
                <w:sz w:val="24"/>
                <w:szCs w:val="24"/>
                <w:lang w:val="en-US" w:eastAsia="zh-CN"/>
              </w:rPr>
            </w:pPr>
            <w:r>
              <w:rPr>
                <w:rFonts w:hint="eastAsia" w:eastAsia="仿宋_GB2312"/>
                <w:sz w:val="24"/>
                <w:szCs w:val="24"/>
                <w:lang w:val="en-US" w:eastAsia="zh-CN"/>
              </w:rPr>
              <w:t>未按要求更换易耗品（如空气过滤器、真空泵油等）</w:t>
            </w:r>
          </w:p>
        </w:tc>
        <w:tc>
          <w:tcPr>
            <w:tcW w:w="2638" w:type="dxa"/>
            <w:tcBorders>
              <w:top w:val="single" w:color="auto" w:sz="4" w:space="0"/>
              <w:left w:val="single" w:color="auto" w:sz="4" w:space="0"/>
              <w:right w:val="single" w:color="auto" w:sz="4" w:space="0"/>
            </w:tcBorders>
            <w:noWrap w:val="0"/>
            <w:vAlign w:val="center"/>
          </w:tcPr>
          <w:p w14:paraId="672354C8">
            <w:pPr>
              <w:spacing w:line="400" w:lineRule="exact"/>
              <w:rPr>
                <w:rFonts w:hint="eastAsia" w:eastAsia="仿宋_GB2312"/>
                <w:sz w:val="24"/>
                <w:szCs w:val="24"/>
                <w:lang w:val="en-US" w:eastAsia="zh-CN"/>
              </w:rPr>
            </w:pPr>
            <w:r>
              <w:rPr>
                <w:rFonts w:hint="eastAsia" w:eastAsia="仿宋_GB2312"/>
                <w:sz w:val="24"/>
                <w:szCs w:val="24"/>
                <w:lang w:val="en-US" w:eastAsia="zh-CN"/>
              </w:rPr>
              <w:t>设备性能下降，抽真空效果变差</w:t>
            </w:r>
          </w:p>
        </w:tc>
        <w:tc>
          <w:tcPr>
            <w:tcW w:w="2435" w:type="dxa"/>
            <w:tcBorders>
              <w:top w:val="single" w:color="auto" w:sz="4" w:space="0"/>
              <w:left w:val="single" w:color="auto" w:sz="4" w:space="0"/>
              <w:bottom w:val="single" w:color="auto" w:sz="4" w:space="0"/>
              <w:right w:val="single" w:color="auto" w:sz="4" w:space="0"/>
            </w:tcBorders>
            <w:noWrap w:val="0"/>
            <w:vAlign w:val="center"/>
          </w:tcPr>
          <w:p w14:paraId="68F848D6">
            <w:pPr>
              <w:spacing w:line="400" w:lineRule="exact"/>
              <w:rPr>
                <w:rFonts w:hint="eastAsia" w:eastAsia="仿宋_GB2312"/>
                <w:sz w:val="24"/>
                <w:szCs w:val="24"/>
                <w:lang w:val="en-US" w:eastAsia="zh-CN"/>
              </w:rPr>
            </w:pPr>
            <w:r>
              <w:rPr>
                <w:rFonts w:hint="eastAsia" w:eastAsia="仿宋_GB2312"/>
                <w:sz w:val="24"/>
                <w:szCs w:val="24"/>
                <w:lang w:val="en-US" w:eastAsia="zh-CN"/>
              </w:rPr>
              <w:t>灭菌失败</w:t>
            </w:r>
          </w:p>
        </w:tc>
      </w:tr>
      <w:tr w14:paraId="7CEDB8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71" w:hRule="atLeast"/>
          <w:jc w:val="center"/>
        </w:trPr>
        <w:tc>
          <w:tcPr>
            <w:tcW w:w="1520" w:type="dxa"/>
            <w:vMerge w:val="continue"/>
            <w:tcBorders>
              <w:left w:val="single" w:color="auto" w:sz="4" w:space="0"/>
              <w:bottom w:val="single" w:color="auto" w:sz="4" w:space="0"/>
              <w:right w:val="single" w:color="auto" w:sz="4" w:space="0"/>
            </w:tcBorders>
            <w:noWrap w:val="0"/>
            <w:vAlign w:val="center"/>
          </w:tcPr>
          <w:p w14:paraId="68725187">
            <w:pPr>
              <w:widowControl/>
              <w:spacing w:line="400" w:lineRule="exact"/>
              <w:jc w:val="center"/>
              <w:rPr>
                <w:rFonts w:eastAsia="仿宋_GB2312"/>
                <w:sz w:val="24"/>
                <w:szCs w:val="24"/>
              </w:rPr>
            </w:pPr>
          </w:p>
        </w:tc>
        <w:tc>
          <w:tcPr>
            <w:tcW w:w="2557" w:type="dxa"/>
            <w:tcBorders>
              <w:top w:val="single" w:color="auto" w:sz="4" w:space="0"/>
              <w:left w:val="single" w:color="auto" w:sz="4" w:space="0"/>
              <w:bottom w:val="single" w:color="auto" w:sz="4" w:space="0"/>
              <w:right w:val="single" w:color="auto" w:sz="4" w:space="0"/>
            </w:tcBorders>
            <w:noWrap w:val="0"/>
            <w:vAlign w:val="center"/>
          </w:tcPr>
          <w:p w14:paraId="579DB59A">
            <w:pPr>
              <w:spacing w:line="400" w:lineRule="exact"/>
              <w:rPr>
                <w:rFonts w:hint="eastAsia" w:eastAsia="仿宋_GB2312"/>
                <w:sz w:val="24"/>
                <w:szCs w:val="24"/>
                <w:lang w:val="en-US" w:eastAsia="zh-CN"/>
              </w:rPr>
            </w:pPr>
            <w:r>
              <w:rPr>
                <w:rFonts w:hint="eastAsia" w:eastAsia="仿宋_GB2312"/>
                <w:sz w:val="24"/>
                <w:szCs w:val="24"/>
                <w:lang w:val="en-US" w:eastAsia="zh-CN"/>
              </w:rPr>
              <w:t>未对灭菌物品进行正确的包装（使用不兼容的包装材料）</w:t>
            </w:r>
          </w:p>
        </w:tc>
        <w:tc>
          <w:tcPr>
            <w:tcW w:w="2638" w:type="dxa"/>
            <w:tcBorders>
              <w:top w:val="single" w:color="auto" w:sz="4" w:space="0"/>
              <w:left w:val="single" w:color="auto" w:sz="4" w:space="0"/>
              <w:bottom w:val="single" w:color="auto" w:sz="4" w:space="0"/>
              <w:right w:val="single" w:color="auto" w:sz="4" w:space="0"/>
            </w:tcBorders>
            <w:noWrap w:val="0"/>
            <w:vAlign w:val="center"/>
          </w:tcPr>
          <w:p w14:paraId="43D5FB24">
            <w:pPr>
              <w:spacing w:line="400" w:lineRule="exact"/>
              <w:rPr>
                <w:rFonts w:hint="eastAsia" w:eastAsia="仿宋_GB2312"/>
                <w:sz w:val="24"/>
                <w:szCs w:val="24"/>
                <w:lang w:val="en-US" w:eastAsia="zh-CN"/>
              </w:rPr>
            </w:pPr>
            <w:r>
              <w:rPr>
                <w:rFonts w:hint="eastAsia" w:eastAsia="仿宋_GB2312"/>
                <w:sz w:val="24"/>
                <w:szCs w:val="24"/>
                <w:lang w:val="en-US" w:eastAsia="zh-CN"/>
              </w:rPr>
              <w:t>环氧乙烷穿透受阻，或包装破损</w:t>
            </w:r>
          </w:p>
        </w:tc>
        <w:tc>
          <w:tcPr>
            <w:tcW w:w="2435" w:type="dxa"/>
            <w:tcBorders>
              <w:top w:val="single" w:color="auto" w:sz="4" w:space="0"/>
              <w:left w:val="single" w:color="auto" w:sz="4" w:space="0"/>
              <w:bottom w:val="single" w:color="auto" w:sz="4" w:space="0"/>
              <w:right w:val="single" w:color="auto" w:sz="4" w:space="0"/>
            </w:tcBorders>
            <w:noWrap w:val="0"/>
            <w:vAlign w:val="center"/>
          </w:tcPr>
          <w:p w14:paraId="3ECD9DC9">
            <w:pPr>
              <w:spacing w:line="400" w:lineRule="exact"/>
              <w:rPr>
                <w:rFonts w:hint="eastAsia" w:eastAsia="仿宋_GB2312"/>
                <w:sz w:val="24"/>
                <w:szCs w:val="24"/>
                <w:lang w:val="en-US" w:eastAsia="zh-CN"/>
              </w:rPr>
            </w:pPr>
            <w:r>
              <w:rPr>
                <w:rFonts w:hint="eastAsia" w:eastAsia="仿宋_GB2312"/>
                <w:sz w:val="24"/>
                <w:szCs w:val="24"/>
                <w:lang w:val="en-US" w:eastAsia="zh-CN"/>
              </w:rPr>
              <w:t>灭菌失败，再次污染</w:t>
            </w:r>
          </w:p>
        </w:tc>
      </w:tr>
      <w:tr w14:paraId="2550EA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8" w:hRule="atLeast"/>
          <w:jc w:val="center"/>
        </w:trPr>
        <w:tc>
          <w:tcPr>
            <w:tcW w:w="1520" w:type="dxa"/>
            <w:vMerge w:val="restart"/>
            <w:tcBorders>
              <w:top w:val="single" w:color="auto" w:sz="4" w:space="0"/>
              <w:left w:val="single" w:color="auto" w:sz="4" w:space="0"/>
              <w:right w:val="single" w:color="auto" w:sz="4" w:space="0"/>
            </w:tcBorders>
            <w:noWrap w:val="0"/>
            <w:vAlign w:val="center"/>
          </w:tcPr>
          <w:p w14:paraId="00035642">
            <w:pPr>
              <w:spacing w:line="400" w:lineRule="exact"/>
              <w:jc w:val="left"/>
              <w:rPr>
                <w:rFonts w:hint="eastAsia" w:eastAsia="仿宋_GB2312"/>
                <w:sz w:val="24"/>
                <w:szCs w:val="24"/>
              </w:rPr>
            </w:pPr>
            <w:r>
              <w:rPr>
                <w:rFonts w:hint="eastAsia" w:eastAsia="仿宋_GB2312"/>
                <w:sz w:val="24"/>
                <w:szCs w:val="24"/>
              </w:rPr>
              <w:t>不完整的说明书</w:t>
            </w:r>
          </w:p>
        </w:tc>
        <w:tc>
          <w:tcPr>
            <w:tcW w:w="2557" w:type="dxa"/>
            <w:tcBorders>
              <w:top w:val="single" w:color="auto" w:sz="4" w:space="0"/>
              <w:left w:val="single" w:color="auto" w:sz="4" w:space="0"/>
              <w:bottom w:val="single" w:color="auto" w:sz="4" w:space="0"/>
              <w:right w:val="single" w:color="auto" w:sz="4" w:space="0"/>
            </w:tcBorders>
            <w:noWrap w:val="0"/>
            <w:vAlign w:val="center"/>
          </w:tcPr>
          <w:p w14:paraId="080FF6CE">
            <w:pPr>
              <w:spacing w:line="400" w:lineRule="exact"/>
              <w:rPr>
                <w:rFonts w:eastAsia="仿宋_GB2312"/>
                <w:sz w:val="24"/>
                <w:szCs w:val="24"/>
              </w:rPr>
            </w:pPr>
            <w:r>
              <w:rPr>
                <w:rFonts w:eastAsia="仿宋_GB2312"/>
                <w:sz w:val="24"/>
                <w:szCs w:val="24"/>
              </w:rPr>
              <w:t>说明书中有关维护、保养等内容不明确。如：清洗、预防性检查、保养周期等</w:t>
            </w:r>
          </w:p>
        </w:tc>
        <w:tc>
          <w:tcPr>
            <w:tcW w:w="2638" w:type="dxa"/>
            <w:tcBorders>
              <w:top w:val="single" w:color="auto" w:sz="4" w:space="0"/>
              <w:left w:val="single" w:color="auto" w:sz="4" w:space="0"/>
              <w:bottom w:val="single" w:color="auto" w:sz="4" w:space="0"/>
              <w:right w:val="single" w:color="auto" w:sz="4" w:space="0"/>
            </w:tcBorders>
            <w:noWrap w:val="0"/>
            <w:vAlign w:val="center"/>
          </w:tcPr>
          <w:p w14:paraId="75864FE8">
            <w:pPr>
              <w:spacing w:line="400" w:lineRule="exact"/>
              <w:rPr>
                <w:rFonts w:hint="eastAsia" w:eastAsia="仿宋_GB2312"/>
                <w:sz w:val="24"/>
                <w:szCs w:val="24"/>
              </w:rPr>
            </w:pPr>
            <w:r>
              <w:rPr>
                <w:rFonts w:hint="eastAsia" w:eastAsia="仿宋_GB2312"/>
                <w:sz w:val="24"/>
                <w:szCs w:val="24"/>
              </w:rPr>
              <w:t>不能及时维护，更换易耗部件</w:t>
            </w:r>
          </w:p>
        </w:tc>
        <w:tc>
          <w:tcPr>
            <w:tcW w:w="2435" w:type="dxa"/>
            <w:tcBorders>
              <w:top w:val="single" w:color="auto" w:sz="4" w:space="0"/>
              <w:left w:val="single" w:color="auto" w:sz="4" w:space="0"/>
              <w:bottom w:val="single" w:color="auto" w:sz="4" w:space="0"/>
              <w:right w:val="single" w:color="auto" w:sz="4" w:space="0"/>
            </w:tcBorders>
            <w:noWrap w:val="0"/>
            <w:vAlign w:val="center"/>
          </w:tcPr>
          <w:p w14:paraId="1E968F1A">
            <w:pPr>
              <w:spacing w:line="400" w:lineRule="exact"/>
              <w:rPr>
                <w:rFonts w:hint="eastAsia" w:eastAsia="仿宋_GB2312"/>
                <w:sz w:val="24"/>
                <w:szCs w:val="24"/>
              </w:rPr>
            </w:pPr>
            <w:r>
              <w:rPr>
                <w:rFonts w:hint="eastAsia" w:eastAsia="仿宋_GB2312"/>
                <w:sz w:val="24"/>
                <w:szCs w:val="24"/>
              </w:rPr>
              <w:t>产品故障，性能下降，寿命降低</w:t>
            </w:r>
          </w:p>
        </w:tc>
      </w:tr>
      <w:tr w14:paraId="669882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662" w:hRule="atLeast"/>
          <w:jc w:val="center"/>
        </w:trPr>
        <w:tc>
          <w:tcPr>
            <w:tcW w:w="1520" w:type="dxa"/>
            <w:vMerge w:val="continue"/>
            <w:tcBorders>
              <w:left w:val="single" w:color="auto" w:sz="4" w:space="0"/>
              <w:right w:val="single" w:color="auto" w:sz="4" w:space="0"/>
            </w:tcBorders>
            <w:noWrap w:val="0"/>
            <w:vAlign w:val="center"/>
          </w:tcPr>
          <w:p w14:paraId="3389C576">
            <w:pPr>
              <w:spacing w:line="400" w:lineRule="exact"/>
              <w:jc w:val="left"/>
              <w:rPr>
                <w:rFonts w:hint="eastAsia" w:eastAsia="仿宋_GB2312"/>
                <w:sz w:val="24"/>
                <w:szCs w:val="24"/>
              </w:rPr>
            </w:pPr>
          </w:p>
        </w:tc>
        <w:tc>
          <w:tcPr>
            <w:tcW w:w="2557" w:type="dxa"/>
            <w:tcBorders>
              <w:top w:val="single" w:color="auto" w:sz="4" w:space="0"/>
              <w:left w:val="single" w:color="auto" w:sz="4" w:space="0"/>
              <w:bottom w:val="single" w:color="auto" w:sz="4" w:space="0"/>
              <w:right w:val="single" w:color="auto" w:sz="4" w:space="0"/>
            </w:tcBorders>
            <w:noWrap w:val="0"/>
            <w:vAlign w:val="center"/>
          </w:tcPr>
          <w:p w14:paraId="783F8D42">
            <w:pPr>
              <w:widowControl/>
              <w:spacing w:line="400" w:lineRule="exact"/>
              <w:rPr>
                <w:rFonts w:eastAsia="仿宋_GB2312"/>
                <w:sz w:val="24"/>
                <w:szCs w:val="24"/>
              </w:rPr>
            </w:pPr>
            <w:r>
              <w:rPr>
                <w:rFonts w:eastAsia="仿宋_GB2312"/>
                <w:sz w:val="24"/>
                <w:szCs w:val="24"/>
              </w:rPr>
              <w:t>说明书中缺少必要的警告说明和详细的使用方法</w:t>
            </w:r>
          </w:p>
        </w:tc>
        <w:tc>
          <w:tcPr>
            <w:tcW w:w="2638" w:type="dxa"/>
            <w:tcBorders>
              <w:top w:val="single" w:color="auto" w:sz="4" w:space="0"/>
              <w:left w:val="single" w:color="auto" w:sz="4" w:space="0"/>
              <w:bottom w:val="single" w:color="auto" w:sz="4" w:space="0"/>
              <w:right w:val="single" w:color="auto" w:sz="4" w:space="0"/>
            </w:tcBorders>
            <w:noWrap w:val="0"/>
            <w:vAlign w:val="center"/>
          </w:tcPr>
          <w:p w14:paraId="7AC13C3B">
            <w:pPr>
              <w:spacing w:line="400" w:lineRule="exact"/>
              <w:rPr>
                <w:rFonts w:eastAsia="仿宋_GB2312"/>
                <w:sz w:val="24"/>
                <w:szCs w:val="24"/>
              </w:rPr>
            </w:pPr>
            <w:r>
              <w:rPr>
                <w:rFonts w:eastAsia="仿宋_GB2312"/>
                <w:sz w:val="24"/>
                <w:szCs w:val="24"/>
              </w:rPr>
              <w:t>错误操作</w:t>
            </w:r>
          </w:p>
        </w:tc>
        <w:tc>
          <w:tcPr>
            <w:tcW w:w="2435" w:type="dxa"/>
            <w:tcBorders>
              <w:top w:val="single" w:color="auto" w:sz="4" w:space="0"/>
              <w:left w:val="single" w:color="auto" w:sz="4" w:space="0"/>
              <w:bottom w:val="single" w:color="auto" w:sz="4" w:space="0"/>
              <w:right w:val="single" w:color="auto" w:sz="4" w:space="0"/>
            </w:tcBorders>
            <w:noWrap w:val="0"/>
            <w:vAlign w:val="center"/>
          </w:tcPr>
          <w:p w14:paraId="2416CC0A">
            <w:pPr>
              <w:spacing w:line="400" w:lineRule="exact"/>
              <w:rPr>
                <w:rFonts w:hint="eastAsia" w:eastAsia="仿宋_GB2312"/>
                <w:sz w:val="24"/>
                <w:szCs w:val="24"/>
              </w:rPr>
            </w:pPr>
            <w:r>
              <w:rPr>
                <w:rFonts w:hint="eastAsia" w:eastAsia="仿宋_GB2312"/>
                <w:sz w:val="24"/>
                <w:szCs w:val="24"/>
              </w:rPr>
              <w:t>设备无法正常使用，人员受伤</w:t>
            </w:r>
          </w:p>
        </w:tc>
      </w:tr>
      <w:tr w14:paraId="2BB4BC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98" w:hRule="atLeast"/>
          <w:jc w:val="center"/>
        </w:trPr>
        <w:tc>
          <w:tcPr>
            <w:tcW w:w="1520" w:type="dxa"/>
            <w:vMerge w:val="continue"/>
            <w:tcBorders>
              <w:left w:val="single" w:color="auto" w:sz="4" w:space="0"/>
              <w:right w:val="single" w:color="auto" w:sz="4" w:space="0"/>
            </w:tcBorders>
            <w:noWrap w:val="0"/>
            <w:vAlign w:val="center"/>
          </w:tcPr>
          <w:p w14:paraId="6ACA2BDB">
            <w:pPr>
              <w:spacing w:line="400" w:lineRule="exact"/>
              <w:jc w:val="center"/>
              <w:rPr>
                <w:rFonts w:eastAsia="仿宋_GB2312"/>
                <w:sz w:val="24"/>
                <w:szCs w:val="24"/>
              </w:rPr>
            </w:pPr>
          </w:p>
        </w:tc>
        <w:tc>
          <w:tcPr>
            <w:tcW w:w="2557" w:type="dxa"/>
            <w:tcBorders>
              <w:top w:val="single" w:color="auto" w:sz="4" w:space="0"/>
              <w:left w:val="single" w:color="auto" w:sz="4" w:space="0"/>
              <w:bottom w:val="single" w:color="auto" w:sz="4" w:space="0"/>
              <w:right w:val="single" w:color="auto" w:sz="4" w:space="0"/>
            </w:tcBorders>
            <w:noWrap w:val="0"/>
            <w:vAlign w:val="center"/>
          </w:tcPr>
          <w:p w14:paraId="601EB105">
            <w:pPr>
              <w:keepNext w:val="0"/>
              <w:keepLines w:val="0"/>
              <w:widowControl/>
              <w:suppressLineNumbers w:val="0"/>
              <w:jc w:val="left"/>
              <w:rPr>
                <w:sz w:val="24"/>
                <w:szCs w:val="24"/>
              </w:rPr>
            </w:pPr>
            <w:r>
              <w:rPr>
                <w:rFonts w:eastAsia="仿宋_GB2312"/>
                <w:sz w:val="24"/>
                <w:szCs w:val="24"/>
              </w:rPr>
              <w:t>未明确</w:t>
            </w:r>
            <w:r>
              <w:rPr>
                <w:rFonts w:hint="eastAsia" w:eastAsia="仿宋_GB2312"/>
                <w:sz w:val="24"/>
                <w:szCs w:val="24"/>
              </w:rPr>
              <w:t>可更换部件的更换周期</w:t>
            </w:r>
            <w:r>
              <w:rPr>
                <w:rFonts w:eastAsia="仿宋_GB2312"/>
                <w:sz w:val="24"/>
                <w:szCs w:val="24"/>
              </w:rPr>
              <w:t>，如</w:t>
            </w:r>
            <w:r>
              <w:rPr>
                <w:rFonts w:hint="eastAsia" w:eastAsia="仿宋_GB2312"/>
                <w:sz w:val="24"/>
                <w:szCs w:val="24"/>
              </w:rPr>
              <w:t>真空油泵、油雾过滤器</w:t>
            </w:r>
            <w:r>
              <w:rPr>
                <w:rFonts w:hint="eastAsia" w:eastAsia="仿宋_GB2312"/>
                <w:sz w:val="24"/>
                <w:szCs w:val="24"/>
                <w:lang w:eastAsia="zh-CN"/>
              </w:rPr>
              <w:t>、密封圈、</w:t>
            </w:r>
            <w:r>
              <w:rPr>
                <w:rFonts w:ascii="sans-serif" w:hAnsi="sans-serif" w:eastAsia="sans-serif" w:cs="sans-serif"/>
                <w:i w:val="0"/>
                <w:iCs w:val="0"/>
                <w:caps w:val="0"/>
                <w:color w:val="0F1115"/>
                <w:spacing w:val="0"/>
                <w:kern w:val="0"/>
                <w:sz w:val="24"/>
                <w:szCs w:val="24"/>
                <w:shd w:val="clear" w:fill="FFFFFF"/>
                <w:lang w:val="en-US" w:eastAsia="zh-CN" w:bidi="ar"/>
              </w:rPr>
              <w:t>催化分解装置中的催化剂等</w:t>
            </w:r>
          </w:p>
          <w:p w14:paraId="45FFCB21">
            <w:pPr>
              <w:spacing w:line="400" w:lineRule="exact"/>
              <w:rPr>
                <w:rFonts w:hint="eastAsia" w:eastAsia="仿宋_GB2312"/>
                <w:sz w:val="24"/>
                <w:szCs w:val="24"/>
                <w:lang w:eastAsia="zh-CN"/>
              </w:rPr>
            </w:pPr>
          </w:p>
        </w:tc>
        <w:tc>
          <w:tcPr>
            <w:tcW w:w="2638" w:type="dxa"/>
            <w:tcBorders>
              <w:top w:val="single" w:color="auto" w:sz="4" w:space="0"/>
              <w:left w:val="single" w:color="auto" w:sz="4" w:space="0"/>
              <w:bottom w:val="single" w:color="auto" w:sz="4" w:space="0"/>
              <w:right w:val="single" w:color="auto" w:sz="4" w:space="0"/>
            </w:tcBorders>
            <w:noWrap w:val="0"/>
            <w:vAlign w:val="center"/>
          </w:tcPr>
          <w:p w14:paraId="0C03CD9D">
            <w:pPr>
              <w:spacing w:line="400" w:lineRule="exact"/>
              <w:rPr>
                <w:rFonts w:hint="eastAsia" w:eastAsia="仿宋_GB2312"/>
                <w:sz w:val="24"/>
                <w:szCs w:val="24"/>
              </w:rPr>
            </w:pPr>
            <w:r>
              <w:rPr>
                <w:rFonts w:hint="eastAsia" w:eastAsia="仿宋_GB2312"/>
                <w:sz w:val="24"/>
                <w:szCs w:val="24"/>
              </w:rPr>
              <w:t>产品或部件超期使用</w:t>
            </w:r>
          </w:p>
        </w:tc>
        <w:tc>
          <w:tcPr>
            <w:tcW w:w="2435" w:type="dxa"/>
            <w:tcBorders>
              <w:top w:val="single" w:color="auto" w:sz="4" w:space="0"/>
              <w:left w:val="single" w:color="auto" w:sz="4" w:space="0"/>
              <w:bottom w:val="single" w:color="auto" w:sz="4" w:space="0"/>
              <w:right w:val="single" w:color="auto" w:sz="4" w:space="0"/>
            </w:tcBorders>
            <w:noWrap w:val="0"/>
            <w:vAlign w:val="center"/>
          </w:tcPr>
          <w:p w14:paraId="6D328C61">
            <w:pPr>
              <w:spacing w:line="400" w:lineRule="exact"/>
              <w:rPr>
                <w:rFonts w:eastAsia="仿宋_GB2312"/>
                <w:sz w:val="24"/>
                <w:szCs w:val="24"/>
              </w:rPr>
            </w:pPr>
            <w:r>
              <w:rPr>
                <w:rFonts w:hint="eastAsia" w:eastAsia="仿宋_GB2312"/>
                <w:sz w:val="24"/>
                <w:szCs w:val="24"/>
              </w:rPr>
              <w:t>产品出现故障，性能下降，残留超标</w:t>
            </w:r>
          </w:p>
        </w:tc>
      </w:tr>
      <w:tr w14:paraId="790AA4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98" w:hRule="atLeast"/>
          <w:jc w:val="center"/>
        </w:trPr>
        <w:tc>
          <w:tcPr>
            <w:tcW w:w="1520" w:type="dxa"/>
            <w:tcBorders>
              <w:left w:val="single" w:color="auto" w:sz="4" w:space="0"/>
              <w:bottom w:val="single" w:color="auto" w:sz="4" w:space="0"/>
              <w:right w:val="single" w:color="auto" w:sz="4" w:space="0"/>
            </w:tcBorders>
            <w:noWrap w:val="0"/>
            <w:vAlign w:val="center"/>
          </w:tcPr>
          <w:p w14:paraId="6B85C6A8">
            <w:pPr>
              <w:spacing w:line="400" w:lineRule="exact"/>
              <w:jc w:val="center"/>
              <w:rPr>
                <w:rFonts w:eastAsia="仿宋_GB2312"/>
                <w:sz w:val="24"/>
                <w:szCs w:val="24"/>
              </w:rPr>
            </w:pPr>
          </w:p>
        </w:tc>
        <w:tc>
          <w:tcPr>
            <w:tcW w:w="2557" w:type="dxa"/>
            <w:tcBorders>
              <w:top w:val="single" w:color="auto" w:sz="4" w:space="0"/>
              <w:left w:val="single" w:color="auto" w:sz="4" w:space="0"/>
              <w:bottom w:val="single" w:color="auto" w:sz="4" w:space="0"/>
              <w:right w:val="single" w:color="auto" w:sz="4" w:space="0"/>
            </w:tcBorders>
            <w:noWrap w:val="0"/>
            <w:vAlign w:val="center"/>
          </w:tcPr>
          <w:p w14:paraId="56A08AF4">
            <w:pPr>
              <w:spacing w:line="400" w:lineRule="exact"/>
              <w:rPr>
                <w:rFonts w:hint="eastAsia" w:eastAsia="仿宋_GB2312"/>
                <w:sz w:val="24"/>
                <w:szCs w:val="24"/>
              </w:rPr>
            </w:pPr>
            <w:r>
              <w:rPr>
                <w:rFonts w:eastAsia="仿宋_GB2312"/>
                <w:sz w:val="24"/>
                <w:szCs w:val="24"/>
              </w:rPr>
              <w:t>外部和内部标记不全面、标记不正确或不能够清楚易认，标记位置不恰当，以及标记不能够永久贴牢</w:t>
            </w:r>
          </w:p>
        </w:tc>
        <w:tc>
          <w:tcPr>
            <w:tcW w:w="2638" w:type="dxa"/>
            <w:tcBorders>
              <w:top w:val="single" w:color="auto" w:sz="4" w:space="0"/>
              <w:left w:val="single" w:color="auto" w:sz="4" w:space="0"/>
              <w:bottom w:val="single" w:color="auto" w:sz="4" w:space="0"/>
              <w:right w:val="single" w:color="auto" w:sz="4" w:space="0"/>
            </w:tcBorders>
            <w:noWrap w:val="0"/>
            <w:vAlign w:val="center"/>
          </w:tcPr>
          <w:p w14:paraId="26FCCAF0">
            <w:pPr>
              <w:spacing w:line="400" w:lineRule="exact"/>
              <w:rPr>
                <w:rFonts w:hint="eastAsia" w:eastAsia="仿宋_GB2312"/>
                <w:sz w:val="24"/>
                <w:szCs w:val="24"/>
              </w:rPr>
            </w:pPr>
            <w:r>
              <w:rPr>
                <w:rFonts w:eastAsia="仿宋_GB2312"/>
                <w:sz w:val="24"/>
                <w:szCs w:val="24"/>
              </w:rPr>
              <w:t>错误使用</w:t>
            </w:r>
            <w:r>
              <w:rPr>
                <w:rFonts w:hint="eastAsia" w:eastAsia="仿宋_GB2312"/>
                <w:sz w:val="24"/>
                <w:szCs w:val="24"/>
                <w:lang w:eastAsia="zh-CN"/>
              </w:rPr>
              <w:t>；</w:t>
            </w:r>
          </w:p>
          <w:p w14:paraId="7AB12F1B">
            <w:pPr>
              <w:spacing w:line="400" w:lineRule="exact"/>
              <w:rPr>
                <w:rFonts w:eastAsia="仿宋_GB2312"/>
                <w:sz w:val="24"/>
                <w:szCs w:val="24"/>
              </w:rPr>
            </w:pPr>
            <w:r>
              <w:rPr>
                <w:rFonts w:eastAsia="仿宋_GB2312"/>
                <w:sz w:val="24"/>
                <w:szCs w:val="24"/>
              </w:rPr>
              <w:t>产品辨别错误</w:t>
            </w:r>
          </w:p>
        </w:tc>
        <w:tc>
          <w:tcPr>
            <w:tcW w:w="2435" w:type="dxa"/>
            <w:tcBorders>
              <w:top w:val="single" w:color="auto" w:sz="4" w:space="0"/>
              <w:left w:val="single" w:color="auto" w:sz="4" w:space="0"/>
              <w:bottom w:val="single" w:color="auto" w:sz="4" w:space="0"/>
              <w:right w:val="single" w:color="auto" w:sz="4" w:space="0"/>
            </w:tcBorders>
            <w:noWrap w:val="0"/>
            <w:vAlign w:val="center"/>
          </w:tcPr>
          <w:p w14:paraId="3989D699">
            <w:pPr>
              <w:spacing w:line="400" w:lineRule="exact"/>
              <w:rPr>
                <w:rFonts w:eastAsia="仿宋_GB2312"/>
                <w:sz w:val="24"/>
                <w:szCs w:val="24"/>
              </w:rPr>
            </w:pPr>
            <w:r>
              <w:rPr>
                <w:rFonts w:hint="eastAsia" w:eastAsia="仿宋_GB2312"/>
                <w:sz w:val="24"/>
                <w:szCs w:val="24"/>
              </w:rPr>
              <w:t>设备无法正常使用</w:t>
            </w:r>
          </w:p>
        </w:tc>
      </w:tr>
      <w:tr w14:paraId="106FEE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98" w:hRule="atLeast"/>
          <w:jc w:val="center"/>
        </w:trPr>
        <w:tc>
          <w:tcPr>
            <w:tcW w:w="1520" w:type="dxa"/>
            <w:tcBorders>
              <w:top w:val="single" w:color="auto" w:sz="4" w:space="0"/>
              <w:left w:val="single" w:color="auto" w:sz="4" w:space="0"/>
              <w:bottom w:val="single" w:color="auto" w:sz="4" w:space="0"/>
              <w:right w:val="single" w:color="auto" w:sz="4" w:space="0"/>
            </w:tcBorders>
            <w:noWrap w:val="0"/>
            <w:vAlign w:val="center"/>
          </w:tcPr>
          <w:p w14:paraId="06F5E5D6">
            <w:pPr>
              <w:spacing w:line="400" w:lineRule="exact"/>
              <w:jc w:val="center"/>
              <w:rPr>
                <w:rFonts w:eastAsia="仿宋_GB2312"/>
                <w:sz w:val="24"/>
                <w:szCs w:val="24"/>
                <w:highlight w:val="none"/>
              </w:rPr>
            </w:pPr>
            <w:r>
              <w:rPr>
                <w:rFonts w:hint="eastAsia" w:eastAsia="仿宋_GB2312"/>
                <w:sz w:val="24"/>
                <w:szCs w:val="24"/>
                <w:highlight w:val="none"/>
                <w:lang w:eastAsia="zh-CN"/>
              </w:rPr>
              <w:t>软件风险</w:t>
            </w:r>
          </w:p>
        </w:tc>
        <w:tc>
          <w:tcPr>
            <w:tcW w:w="255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590C440">
            <w:pPr>
              <w:spacing w:line="400" w:lineRule="exact"/>
              <w:rPr>
                <w:rFonts w:hint="default" w:ascii="Times New Roman" w:hAnsi="Times New Roman" w:eastAsia="仿宋_GB2312" w:cs="Times New Roman"/>
                <w:kern w:val="2"/>
                <w:sz w:val="24"/>
                <w:szCs w:val="24"/>
                <w:highlight w:val="none"/>
                <w:lang w:val="en-US" w:eastAsia="zh-CN" w:bidi="ar-SA"/>
              </w:rPr>
            </w:pPr>
            <w:r>
              <w:rPr>
                <w:rFonts w:hint="default" w:eastAsia="仿宋_GB2312"/>
                <w:sz w:val="24"/>
                <w:szCs w:val="24"/>
                <w:highlight w:val="none"/>
                <w:lang w:eastAsia="zh-CN"/>
              </w:rPr>
              <w:t>软件异常</w:t>
            </w:r>
            <w:r>
              <w:rPr>
                <w:rFonts w:hint="default" w:ascii="Times New Roman" w:hAnsi="Times New Roman" w:eastAsia="仿宋_GB2312" w:cs="Times New Roman"/>
                <w:kern w:val="2"/>
                <w:sz w:val="24"/>
                <w:szCs w:val="24"/>
                <w:highlight w:val="none"/>
                <w:lang w:val="en-US" w:eastAsia="zh-CN" w:bidi="ar"/>
              </w:rPr>
              <w:t>导致灭菌失败，以及网络安全漏洞导致灭菌数据泄露或灭菌器被非法控制</w:t>
            </w:r>
          </w:p>
        </w:tc>
        <w:tc>
          <w:tcPr>
            <w:tcW w:w="263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CC9FE2B">
            <w:pPr>
              <w:spacing w:line="400" w:lineRule="exact"/>
              <w:rPr>
                <w:rFonts w:hint="default" w:eastAsia="仿宋_GB2312"/>
                <w:sz w:val="24"/>
                <w:szCs w:val="24"/>
                <w:highlight w:val="none"/>
                <w:lang w:eastAsia="zh-CN"/>
              </w:rPr>
            </w:pPr>
            <w:r>
              <w:rPr>
                <w:rFonts w:hint="default" w:eastAsia="仿宋_GB2312"/>
                <w:sz w:val="24"/>
                <w:szCs w:val="24"/>
                <w:highlight w:val="none"/>
                <w:lang w:eastAsia="zh-CN"/>
              </w:rPr>
              <w:t>数据泄露</w:t>
            </w:r>
            <w:r>
              <w:rPr>
                <w:rFonts w:hint="eastAsia" w:eastAsia="仿宋_GB2312"/>
                <w:sz w:val="24"/>
                <w:szCs w:val="24"/>
                <w:highlight w:val="none"/>
                <w:lang w:eastAsia="zh-CN"/>
              </w:rPr>
              <w:t>；</w:t>
            </w:r>
          </w:p>
          <w:p w14:paraId="39D1BD61">
            <w:pPr>
              <w:spacing w:line="400" w:lineRule="exact"/>
              <w:rPr>
                <w:rFonts w:hint="default" w:ascii="Times New Roman" w:hAnsi="Times New Roman" w:eastAsia="仿宋_GB2312" w:cs="Times New Roman"/>
                <w:kern w:val="2"/>
                <w:sz w:val="24"/>
                <w:szCs w:val="24"/>
                <w:highlight w:val="none"/>
                <w:lang w:val="en-US" w:eastAsia="zh-CN" w:bidi="ar-SA"/>
              </w:rPr>
            </w:pPr>
            <w:r>
              <w:rPr>
                <w:rFonts w:hint="default" w:eastAsia="仿宋_GB2312"/>
                <w:sz w:val="24"/>
                <w:szCs w:val="24"/>
                <w:highlight w:val="none"/>
                <w:lang w:eastAsia="zh-CN"/>
              </w:rPr>
              <w:t>灭菌失败</w:t>
            </w:r>
          </w:p>
        </w:tc>
        <w:tc>
          <w:tcPr>
            <w:tcW w:w="243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AC51CC5">
            <w:pPr>
              <w:spacing w:line="400" w:lineRule="exact"/>
              <w:rPr>
                <w:rFonts w:hint="default" w:ascii="Times New Roman" w:hAnsi="Times New Roman" w:eastAsia="仿宋_GB2312" w:cs="Times New Roman"/>
                <w:kern w:val="2"/>
                <w:sz w:val="24"/>
                <w:szCs w:val="24"/>
                <w:highlight w:val="none"/>
                <w:lang w:val="en-US" w:eastAsia="zh-CN" w:bidi="ar-SA"/>
              </w:rPr>
            </w:pPr>
            <w:r>
              <w:rPr>
                <w:rFonts w:hint="eastAsia" w:eastAsia="仿宋_GB2312"/>
                <w:sz w:val="24"/>
                <w:szCs w:val="24"/>
                <w:highlight w:val="none"/>
              </w:rPr>
              <w:t>设备无法正常使用</w:t>
            </w:r>
            <w:r>
              <w:rPr>
                <w:rFonts w:hint="default" w:eastAsia="仿宋_GB2312"/>
                <w:sz w:val="24"/>
                <w:szCs w:val="24"/>
                <w:highlight w:val="none"/>
                <w:lang w:eastAsia="zh-CN"/>
              </w:rPr>
              <w:t>，</w:t>
            </w:r>
            <w:r>
              <w:rPr>
                <w:rFonts w:hint="eastAsia" w:eastAsia="仿宋_GB2312"/>
                <w:sz w:val="24"/>
                <w:szCs w:val="24"/>
                <w:highlight w:val="none"/>
              </w:rPr>
              <w:t>灭菌失败</w:t>
            </w:r>
          </w:p>
        </w:tc>
      </w:tr>
    </w:tbl>
    <w:p w14:paraId="76036E65">
      <w:pPr>
        <w:rPr>
          <w:rFonts w:hint="default"/>
          <w:lang w:val="en-US" w:eastAsia="zh-CN"/>
        </w:rPr>
      </w:pPr>
    </w:p>
    <w:sectPr>
      <w:footerReference r:id="rId3" w:type="default"/>
      <w:pgSz w:w="11906" w:h="16838"/>
      <w:pgMar w:top="1440" w:right="1800" w:bottom="1440" w:left="1800" w:header="851" w:footer="992" w:gutter="0"/>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B2180D4-D44D-40CA-A3B9-6110688BACA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方正舒体"/>
    <w:panose1 w:val="02000000000000000000"/>
    <w:charset w:val="86"/>
    <w:family w:val="auto"/>
    <w:pitch w:val="default"/>
    <w:sig w:usb0="00000000" w:usb1="00000000" w:usb2="00000012" w:usb3="00000000" w:csb0="00040001" w:csb1="00000000"/>
    <w:embedRegular r:id="rId2" w:fontKey="{BC8CA7DB-FF4D-4D64-9629-DD022FC2C308}"/>
  </w:font>
  <w:font w:name="仿宋_GB2312">
    <w:altName w:val="仿宋"/>
    <w:panose1 w:val="02010609030101010101"/>
    <w:charset w:val="86"/>
    <w:family w:val="modern"/>
    <w:pitch w:val="default"/>
    <w:sig w:usb0="00000000" w:usb1="00000000" w:usb2="00000000" w:usb3="00000000" w:csb0="00040000" w:csb1="00000000"/>
    <w:embedRegular r:id="rId3" w:fontKey="{A700A062-786C-4352-B1D7-838FF4EBB4D0}"/>
  </w:font>
  <w:font w:name="楷体_GB2312">
    <w:altName w:val="楷体"/>
    <w:panose1 w:val="02010609030101010101"/>
    <w:charset w:val="86"/>
    <w:family w:val="modern"/>
    <w:pitch w:val="default"/>
    <w:sig w:usb0="00000000" w:usb1="00000000" w:usb2="00000000" w:usb3="00000000" w:csb0="00040000" w:csb1="00000000"/>
    <w:embedRegular r:id="rId4" w:fontKey="{BA9F86F3-7B29-4362-AF08-36C87D321717}"/>
  </w:font>
  <w:font w:name="Cambria Math">
    <w:panose1 w:val="02040503050406030204"/>
    <w:charset w:val="00"/>
    <w:family w:val="auto"/>
    <w:pitch w:val="default"/>
    <w:sig w:usb0="E00006FF" w:usb1="420024FF" w:usb2="02000000" w:usb3="00000000" w:csb0="2000019F" w:csb1="00000000"/>
    <w:embedRegular r:id="rId5" w:fontKey="{32A02B15-DE42-4035-A5AF-C50FE78110C9}"/>
  </w:font>
  <w:font w:name="DejaVu Math TeX Gyre">
    <w:panose1 w:val="02000503000000000000"/>
    <w:charset w:val="00"/>
    <w:family w:val="auto"/>
    <w:pitch w:val="default"/>
    <w:sig w:usb0="A10000EF" w:usb1="4201F9EE" w:usb2="02000000" w:usb3="00000000" w:csb0="60000193" w:csb1="0DD40000"/>
  </w:font>
  <w:font w:name="___WRD_EMBED_SUB_47">
    <w:altName w:val="宋体"/>
    <w:panose1 w:val="00000000000000000000"/>
    <w:charset w:val="86"/>
    <w:family w:val="modern"/>
    <w:pitch w:val="default"/>
    <w:sig w:usb0="00000000" w:usb1="00000000" w:usb2="00000010" w:usb3="00000000" w:csb0="00040000" w:csb1="00000000"/>
    <w:embedRegular r:id="rId6" w:fontKey="{DDC56462-36A3-4F6F-A899-BC090B1A5197}"/>
  </w:font>
  <w:font w:name="微软雅黑">
    <w:panose1 w:val="020B0503020204020204"/>
    <w:charset w:val="86"/>
    <w:family w:val="auto"/>
    <w:pitch w:val="default"/>
    <w:sig w:usb0="80000287" w:usb1="2ACF3C50" w:usb2="00000016" w:usb3="00000000" w:csb0="0004001F" w:csb1="00000000"/>
    <w:embedRegular r:id="rId7" w:fontKey="{6D82E6C0-318C-4973-BAC9-C17DCDC1EBD4}"/>
  </w:font>
  <w:font w:name="sans-serif">
    <w:altName w:val="Segoe Print"/>
    <w:panose1 w:val="00000000000000000000"/>
    <w:charset w:val="00"/>
    <w:family w:val="auto"/>
    <w:pitch w:val="default"/>
    <w:sig w:usb0="00000000" w:usb1="00000000" w:usb2="00000000" w:usb3="00000000" w:csb0="00000000" w:csb1="00000000"/>
    <w:embedRegular r:id="rId8" w:fontKey="{FB3E05BA-FC86-4232-8D3F-057ED2DA9334}"/>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 w:name="MS Mincho">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B2498">
    <w:pPr>
      <w:spacing w:line="172" w:lineRule="auto"/>
      <w:ind w:left="4209"/>
      <w:rPr>
        <w:rFonts w:ascii="Times New Roman" w:hAnsi="Times New Roman" w:eastAsia="Times New Roman" w:cs="Times New Roman"/>
        <w:sz w:val="13"/>
        <w:szCs w:val="13"/>
      </w:rPr>
    </w:pPr>
    <w:r>
      <w:rPr>
        <w:rFonts w:ascii="Times New Roman" w:hAnsi="Times New Roman" w:eastAsia="Times New Roman" w:cs="Times New Roman"/>
        <w:sz w:val="13"/>
        <w:szCs w:val="13"/>
      </w:rPr>
      <w:t>1</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391215"/>
    <w:multiLevelType w:val="singleLevel"/>
    <w:tmpl w:val="0A391215"/>
    <w:lvl w:ilvl="0" w:tentative="0">
      <w:start w:val="2"/>
      <w:numFmt w:val="decimal"/>
      <w:lvlText w:val="%1."/>
      <w:lvlJc w:val="left"/>
      <w:pPr>
        <w:tabs>
          <w:tab w:val="left" w:pos="312"/>
        </w:tabs>
      </w:pPr>
    </w:lvl>
  </w:abstractNum>
  <w:abstractNum w:abstractNumId="1">
    <w:nsid w:val="22804A3D"/>
    <w:multiLevelType w:val="multilevel"/>
    <w:tmpl w:val="22804A3D"/>
    <w:lvl w:ilvl="0" w:tentative="0">
      <w:start w:val="1"/>
      <w:numFmt w:val="decimal"/>
      <w:lvlText w:val="[%1]"/>
      <w:lvlJc w:val="left"/>
      <w:pPr>
        <w:ind w:left="1320" w:hanging="720"/>
      </w:pPr>
      <w:rPr>
        <w:rFonts w:hint="default"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M1NzE1ZDVhNDNhYjQ3MGFlNDJhMzU0N2JhYzY4MjYifQ=="/>
  </w:docVars>
  <w:rsids>
    <w:rsidRoot w:val="00000000"/>
    <w:rsid w:val="03773C2D"/>
    <w:rsid w:val="041B1368"/>
    <w:rsid w:val="054E09BE"/>
    <w:rsid w:val="05A609AF"/>
    <w:rsid w:val="072E6CF9"/>
    <w:rsid w:val="08EE6740"/>
    <w:rsid w:val="097E7AC3"/>
    <w:rsid w:val="0D5C636E"/>
    <w:rsid w:val="0DEE3696"/>
    <w:rsid w:val="0EA9796C"/>
    <w:rsid w:val="0EBB217E"/>
    <w:rsid w:val="0F83228E"/>
    <w:rsid w:val="10725EA8"/>
    <w:rsid w:val="11A4041C"/>
    <w:rsid w:val="11CA22BA"/>
    <w:rsid w:val="12DB5F87"/>
    <w:rsid w:val="13C44C6D"/>
    <w:rsid w:val="13FF3AF4"/>
    <w:rsid w:val="15316332"/>
    <w:rsid w:val="15747FCD"/>
    <w:rsid w:val="170F4451"/>
    <w:rsid w:val="17457E73"/>
    <w:rsid w:val="18AD10E5"/>
    <w:rsid w:val="19261124"/>
    <w:rsid w:val="19663798"/>
    <w:rsid w:val="1AF06347"/>
    <w:rsid w:val="1B7629AD"/>
    <w:rsid w:val="1B8A054A"/>
    <w:rsid w:val="1F6B2440"/>
    <w:rsid w:val="21303941"/>
    <w:rsid w:val="232A2A4B"/>
    <w:rsid w:val="233D4FDC"/>
    <w:rsid w:val="24BAFEE2"/>
    <w:rsid w:val="26AC2D80"/>
    <w:rsid w:val="28DB23E5"/>
    <w:rsid w:val="29997167"/>
    <w:rsid w:val="2AF84EE9"/>
    <w:rsid w:val="2BE9814F"/>
    <w:rsid w:val="2BF437BD"/>
    <w:rsid w:val="2DD66F8C"/>
    <w:rsid w:val="2E1F2D74"/>
    <w:rsid w:val="2F1A79DF"/>
    <w:rsid w:val="2F5D1A80"/>
    <w:rsid w:val="2FD4F764"/>
    <w:rsid w:val="30D51E0F"/>
    <w:rsid w:val="33255888"/>
    <w:rsid w:val="3390372F"/>
    <w:rsid w:val="33D81649"/>
    <w:rsid w:val="33FEDC51"/>
    <w:rsid w:val="34D128EE"/>
    <w:rsid w:val="3538471B"/>
    <w:rsid w:val="35AA45BF"/>
    <w:rsid w:val="36A111B4"/>
    <w:rsid w:val="36C56482"/>
    <w:rsid w:val="37B7226F"/>
    <w:rsid w:val="393671C3"/>
    <w:rsid w:val="39D32C64"/>
    <w:rsid w:val="3A533B82"/>
    <w:rsid w:val="3BA743A8"/>
    <w:rsid w:val="3C6F1A2E"/>
    <w:rsid w:val="3D2A703F"/>
    <w:rsid w:val="3E1A3557"/>
    <w:rsid w:val="3FA255B3"/>
    <w:rsid w:val="3FB848CA"/>
    <w:rsid w:val="3FFABED9"/>
    <w:rsid w:val="3FFE4311"/>
    <w:rsid w:val="420C67D1"/>
    <w:rsid w:val="42505332"/>
    <w:rsid w:val="42C6222B"/>
    <w:rsid w:val="44F81BAD"/>
    <w:rsid w:val="46A56620"/>
    <w:rsid w:val="46A936CA"/>
    <w:rsid w:val="46FB7F8A"/>
    <w:rsid w:val="499D4247"/>
    <w:rsid w:val="49CC2177"/>
    <w:rsid w:val="4A470A96"/>
    <w:rsid w:val="4DA3677F"/>
    <w:rsid w:val="4EF91D2E"/>
    <w:rsid w:val="4F8FDDDD"/>
    <w:rsid w:val="4F9FA927"/>
    <w:rsid w:val="4FDE8AAF"/>
    <w:rsid w:val="4FF8E0F5"/>
    <w:rsid w:val="5066262C"/>
    <w:rsid w:val="50CE7876"/>
    <w:rsid w:val="52275E39"/>
    <w:rsid w:val="5664316A"/>
    <w:rsid w:val="56953069"/>
    <w:rsid w:val="56985339"/>
    <w:rsid w:val="56F42740"/>
    <w:rsid w:val="57544FA2"/>
    <w:rsid w:val="57AF6DB9"/>
    <w:rsid w:val="5883183D"/>
    <w:rsid w:val="59155BB5"/>
    <w:rsid w:val="5C090941"/>
    <w:rsid w:val="5C2C64D8"/>
    <w:rsid w:val="5C9C45EC"/>
    <w:rsid w:val="5DE459F1"/>
    <w:rsid w:val="5E4D0988"/>
    <w:rsid w:val="5EA42C9D"/>
    <w:rsid w:val="5F6B47EE"/>
    <w:rsid w:val="5F759418"/>
    <w:rsid w:val="5FFFF2BB"/>
    <w:rsid w:val="603158D4"/>
    <w:rsid w:val="620D46B6"/>
    <w:rsid w:val="63471E49"/>
    <w:rsid w:val="64BB0F97"/>
    <w:rsid w:val="667DBAFB"/>
    <w:rsid w:val="66D44D11"/>
    <w:rsid w:val="67B93877"/>
    <w:rsid w:val="67EC773C"/>
    <w:rsid w:val="686506CF"/>
    <w:rsid w:val="68D75A1D"/>
    <w:rsid w:val="6A696B49"/>
    <w:rsid w:val="6C3311BD"/>
    <w:rsid w:val="6C354F35"/>
    <w:rsid w:val="6C575974"/>
    <w:rsid w:val="6D630E4F"/>
    <w:rsid w:val="6DD7E01D"/>
    <w:rsid w:val="6F2FFA4A"/>
    <w:rsid w:val="6F353009"/>
    <w:rsid w:val="6F7C7A28"/>
    <w:rsid w:val="6FC24017"/>
    <w:rsid w:val="6FC33560"/>
    <w:rsid w:val="6FE31E3F"/>
    <w:rsid w:val="6FFFF38D"/>
    <w:rsid w:val="70036D25"/>
    <w:rsid w:val="70B86A00"/>
    <w:rsid w:val="73FB417C"/>
    <w:rsid w:val="75A4502A"/>
    <w:rsid w:val="75E1341E"/>
    <w:rsid w:val="75E654F2"/>
    <w:rsid w:val="764E30F5"/>
    <w:rsid w:val="76DFE035"/>
    <w:rsid w:val="77701517"/>
    <w:rsid w:val="7779D472"/>
    <w:rsid w:val="77FF738B"/>
    <w:rsid w:val="797F94F1"/>
    <w:rsid w:val="79CE0777"/>
    <w:rsid w:val="79FF2AFF"/>
    <w:rsid w:val="7A3F0883"/>
    <w:rsid w:val="7AACAC3A"/>
    <w:rsid w:val="7AFF5182"/>
    <w:rsid w:val="7B3F5ED1"/>
    <w:rsid w:val="7BF9EE01"/>
    <w:rsid w:val="7D7AE65E"/>
    <w:rsid w:val="7D7BDBB9"/>
    <w:rsid w:val="7DCD7244"/>
    <w:rsid w:val="7DDB9891"/>
    <w:rsid w:val="7DFE00DB"/>
    <w:rsid w:val="7E977CD1"/>
    <w:rsid w:val="7E9E23D4"/>
    <w:rsid w:val="7EDBE7BE"/>
    <w:rsid w:val="7FFD56BC"/>
    <w:rsid w:val="96EDC126"/>
    <w:rsid w:val="9BAF26EF"/>
    <w:rsid w:val="9EF29C4A"/>
    <w:rsid w:val="A9A712AE"/>
    <w:rsid w:val="AF9F017B"/>
    <w:rsid w:val="B94207E7"/>
    <w:rsid w:val="BAFEBC43"/>
    <w:rsid w:val="BBCB70A6"/>
    <w:rsid w:val="BE3FE926"/>
    <w:rsid w:val="BF3EA8D5"/>
    <w:rsid w:val="BF6E61D8"/>
    <w:rsid w:val="BFB910C0"/>
    <w:rsid w:val="BFF47952"/>
    <w:rsid w:val="CBEEE2E5"/>
    <w:rsid w:val="CFBF6BA3"/>
    <w:rsid w:val="CFFE46A7"/>
    <w:rsid w:val="D3D6B100"/>
    <w:rsid w:val="D7F988FD"/>
    <w:rsid w:val="DDFFF057"/>
    <w:rsid w:val="DF1EE9BA"/>
    <w:rsid w:val="DF76FD69"/>
    <w:rsid w:val="DFFDF5D2"/>
    <w:rsid w:val="DFFED0DE"/>
    <w:rsid w:val="E6FFE1D8"/>
    <w:rsid w:val="EF5BF5BF"/>
    <w:rsid w:val="EF7FF09E"/>
    <w:rsid w:val="F3AA93F1"/>
    <w:rsid w:val="F6CADD92"/>
    <w:rsid w:val="F9E3F62C"/>
    <w:rsid w:val="FB5AE127"/>
    <w:rsid w:val="FBAC018F"/>
    <w:rsid w:val="FBFE65AF"/>
    <w:rsid w:val="FCE7EB79"/>
    <w:rsid w:val="FD7792ED"/>
    <w:rsid w:val="FDFFFF90"/>
    <w:rsid w:val="FEF9A01F"/>
    <w:rsid w:val="FF3B60B0"/>
    <w:rsid w:val="FFAFD9D2"/>
    <w:rsid w:val="FFEB349C"/>
    <w:rsid w:val="FFF997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semiHidden/>
    <w:qFormat/>
    <w:uiPriority w:val="0"/>
    <w:rPr>
      <w:rFonts w:ascii="宋体" w:hAnsi="宋体" w:eastAsia="宋体" w:cs="宋体"/>
      <w:sz w:val="24"/>
      <w:szCs w:val="24"/>
      <w:lang w:val="en-US" w:eastAsia="en-US" w:bidi="ar-SA"/>
    </w:rPr>
  </w:style>
  <w:style w:type="character" w:styleId="6">
    <w:name w:val="annotation reference"/>
    <w:basedOn w:val="5"/>
    <w:qFormat/>
    <w:uiPriority w:val="0"/>
    <w:rPr>
      <w:sz w:val="21"/>
      <w:szCs w:val="21"/>
    </w:rPr>
  </w:style>
  <w:style w:type="paragraph" w:styleId="7">
    <w:name w:val="List Paragraph"/>
    <w:basedOn w:val="1"/>
    <w:qFormat/>
    <w:uiPriority w:val="99"/>
    <w:pPr>
      <w:ind w:firstLine="420" w:firstLineChars="200"/>
    </w:pPr>
  </w:style>
  <w:style w:type="paragraph" w:customStyle="1" w:styleId="8">
    <w:name w:val="列出段落1"/>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22</Pages>
  <Words>1580</Words>
  <Characters>1657</Characters>
  <Lines>0</Lines>
  <Paragraphs>0</Paragraphs>
  <TotalTime>40</TotalTime>
  <ScaleCrop>false</ScaleCrop>
  <LinksUpToDate>false</LinksUpToDate>
  <CharactersWithSpaces>1667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2026-04-01T22:06:00Z</dcterms:created>
  <dc:creator>lenovo</dc:creator>
  <cp:lastModifiedBy>姚芦鹬</cp:lastModifiedBy>
  <dcterms:modified xsi:type="dcterms:W3CDTF">2026-08-12T05:27:27Z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eyJoZGlkIjoiMzEwNTM5NzYwMDRjMzkwZTVkZjY2ODkwMGIxNGU0OTUiLCJ1c2VySWQiOiI1NTcxOTg2MjQifQ==</vt:lpwstr>
  </property>
  <property fmtid="{D5CDD505-2E9C-101B-9397-08002B2CF9AE}" pid="4" name="ICV">
    <vt:lpwstr>2F7398D39F8D47198EA4846B444BB8DA_13</vt:lpwstr>
  </property>
</Properties>
</file>