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right="-102" w:rightChars="-32"/>
        <w:jc w:val="center"/>
        <w:rPr>
          <w:rFonts w:eastAsia="方正小标宋简体"/>
          <w:bCs/>
          <w:color w:val="auto"/>
          <w:sz w:val="44"/>
          <w:szCs w:val="44"/>
        </w:rPr>
      </w:pPr>
      <w:r>
        <w:rPr>
          <w:rFonts w:hint="eastAsia" w:eastAsia="方正小标宋简体"/>
          <w:bCs/>
          <w:color w:val="auto"/>
          <w:sz w:val="44"/>
          <w:szCs w:val="44"/>
        </w:rPr>
        <w:t>阴道填塞材料</w:t>
      </w:r>
      <w:r>
        <w:rPr>
          <w:rFonts w:eastAsia="方正小标宋简体"/>
          <w:bCs/>
          <w:color w:val="auto"/>
          <w:sz w:val="44"/>
          <w:szCs w:val="44"/>
        </w:rPr>
        <w:t>注册审查指导原则</w:t>
      </w:r>
    </w:p>
    <w:p>
      <w:pPr>
        <w:spacing w:line="520" w:lineRule="exact"/>
        <w:ind w:right="-102" w:rightChars="-32"/>
        <w:jc w:val="center"/>
        <w:rPr>
          <w:rFonts w:hint="eastAsia" w:eastAsia="方正小标宋简体"/>
          <w:bCs/>
          <w:color w:val="auto"/>
          <w:sz w:val="44"/>
          <w:szCs w:val="44"/>
          <w:lang w:eastAsia="zh-CN"/>
        </w:rPr>
      </w:pPr>
      <w:r>
        <w:rPr>
          <w:rFonts w:hint="eastAsia" w:eastAsia="方正小标宋简体"/>
          <w:bCs/>
          <w:color w:val="auto"/>
          <w:sz w:val="44"/>
          <w:szCs w:val="44"/>
          <w:lang w:eastAsia="zh-CN"/>
        </w:rPr>
        <w:t>（征求意见稿）</w:t>
      </w:r>
    </w:p>
    <w:p>
      <w:pPr>
        <w:spacing w:line="520" w:lineRule="exact"/>
        <w:ind w:right="-102" w:rightChars="-32"/>
        <w:jc w:val="center"/>
        <w:rPr>
          <w:rFonts w:eastAsia="方正小标宋简体"/>
          <w:color w:val="auto"/>
          <w:szCs w:val="44"/>
        </w:rPr>
      </w:pPr>
    </w:p>
    <w:p>
      <w:pPr>
        <w:spacing w:line="520" w:lineRule="exact"/>
        <w:ind w:firstLine="640" w:firstLineChars="200"/>
        <w:rPr>
          <w:rFonts w:eastAsia="仿宋_GB2312"/>
          <w:color w:val="auto"/>
          <w:szCs w:val="32"/>
        </w:rPr>
      </w:pPr>
      <w:r>
        <w:rPr>
          <w:rFonts w:eastAsia="仿宋_GB2312"/>
          <w:color w:val="auto"/>
          <w:szCs w:val="32"/>
        </w:rPr>
        <w:t>本指导原则旨在指导注册申请人准备及撰写</w:t>
      </w:r>
      <w:r>
        <w:rPr>
          <w:rFonts w:hint="eastAsia" w:eastAsia="仿宋_GB2312"/>
          <w:color w:val="auto"/>
          <w:szCs w:val="32"/>
        </w:rPr>
        <w:t>阴道填塞材料</w:t>
      </w:r>
      <w:r>
        <w:rPr>
          <w:rFonts w:eastAsia="仿宋_GB2312"/>
          <w:color w:val="auto"/>
          <w:szCs w:val="32"/>
        </w:rPr>
        <w:t>产品注册申报资料，同时也为技术审评部门对注册申报资料的审评提供技术参考。</w:t>
      </w:r>
    </w:p>
    <w:p>
      <w:pPr>
        <w:spacing w:line="520" w:lineRule="exact"/>
        <w:ind w:firstLine="640" w:firstLineChars="200"/>
        <w:rPr>
          <w:rFonts w:eastAsia="仿宋_GB2312"/>
          <w:color w:val="auto"/>
          <w:szCs w:val="32"/>
        </w:rPr>
      </w:pPr>
      <w:r>
        <w:rPr>
          <w:rFonts w:eastAsia="仿宋_GB2312"/>
          <w:color w:val="auto"/>
          <w:szCs w:val="32"/>
        </w:rPr>
        <w:t>本指导原则是对</w:t>
      </w:r>
      <w:r>
        <w:rPr>
          <w:rFonts w:hint="eastAsia" w:eastAsia="仿宋_GB2312"/>
          <w:color w:val="auto"/>
          <w:szCs w:val="32"/>
        </w:rPr>
        <w:t>阴道填塞材料</w:t>
      </w:r>
      <w:r>
        <w:rPr>
          <w:rFonts w:eastAsia="仿宋_GB2312"/>
          <w:color w:val="auto"/>
          <w:szCs w:val="32"/>
        </w:rPr>
        <w:t>注册申报资料的一般要求，注册申请人需依据产品的具体特性确定其中内容是否使用。若不适用，需具体阐述理由及相应的科学依据，并依据产品的具体特性对注册申报资料的内容进行充实和细化。</w:t>
      </w:r>
    </w:p>
    <w:p>
      <w:pPr>
        <w:spacing w:line="520" w:lineRule="exact"/>
        <w:ind w:firstLine="640" w:firstLineChars="200"/>
        <w:rPr>
          <w:rFonts w:eastAsia="仿宋_GB2312"/>
          <w:color w:val="auto"/>
          <w:szCs w:val="32"/>
        </w:rPr>
      </w:pPr>
      <w:r>
        <w:rPr>
          <w:rFonts w:eastAsia="仿宋_GB2312"/>
          <w:color w:val="auto"/>
          <w:szCs w:val="32"/>
        </w:rPr>
        <w:t>本指导原则是供注册申请人和技术审评人员的指导性文件，但不包括注册审批所涉及的行政事项，亦不作为法规强制执行，需在遵循相关法规和强制性标准的前提下使用本指导原则。如果有能够满足相关法规要求的其他方法，也可以采用，但是需要提供详细的研究资料和验证资料。</w:t>
      </w:r>
    </w:p>
    <w:p>
      <w:pPr>
        <w:spacing w:line="520" w:lineRule="exact"/>
        <w:ind w:firstLine="640" w:firstLineChars="200"/>
        <w:rPr>
          <w:rFonts w:eastAsia="黑体"/>
          <w:color w:val="auto"/>
          <w:szCs w:val="32"/>
        </w:rPr>
      </w:pPr>
      <w:r>
        <w:rPr>
          <w:rFonts w:eastAsia="仿宋_GB2312"/>
          <w:color w:val="auto"/>
          <w:szCs w:val="32"/>
        </w:rPr>
        <w:t>本指导原则是在现行法规和标准体系以及当前认知水平下制定的，随着法规和标准的不断完善，以及科学技术的不断发展，本指导原则相关内容也将进行适时的调整。</w:t>
      </w:r>
    </w:p>
    <w:p>
      <w:pPr>
        <w:spacing w:line="520" w:lineRule="exact"/>
        <w:ind w:firstLine="640" w:firstLineChars="200"/>
        <w:rPr>
          <w:rFonts w:eastAsia="黑体"/>
          <w:color w:val="auto"/>
          <w:szCs w:val="32"/>
        </w:rPr>
      </w:pPr>
      <w:r>
        <w:rPr>
          <w:rFonts w:eastAsia="黑体"/>
          <w:color w:val="auto"/>
          <w:szCs w:val="32"/>
        </w:rPr>
        <w:t>一、适用范围</w:t>
      </w:r>
    </w:p>
    <w:p>
      <w:pPr>
        <w:spacing w:line="520" w:lineRule="exact"/>
        <w:ind w:firstLine="640" w:firstLineChars="200"/>
        <w:rPr>
          <w:rFonts w:hint="eastAsia" w:eastAsia="仿宋_GB2312"/>
          <w:color w:val="auto"/>
          <w:szCs w:val="32"/>
        </w:rPr>
      </w:pPr>
      <w:r>
        <w:rPr>
          <w:rFonts w:eastAsia="仿宋_GB2312"/>
          <w:color w:val="auto"/>
          <w:szCs w:val="32"/>
        </w:rPr>
        <w:t>本指导原则适用于</w:t>
      </w:r>
      <w:r>
        <w:rPr>
          <w:rFonts w:hint="eastAsia" w:eastAsia="仿宋_GB2312"/>
          <w:color w:val="auto"/>
          <w:szCs w:val="32"/>
          <w:lang w:eastAsia="zh-CN"/>
        </w:rPr>
        <w:t>使用活性炭纤维作为主要原材料的阴道填塞材料产品，按照第</w:t>
      </w:r>
      <w:r>
        <w:rPr>
          <w:rFonts w:hint="default" w:eastAsia="仿宋_GB2312"/>
          <w:color w:val="auto"/>
          <w:szCs w:val="32"/>
          <w:lang w:val="en-US" w:eastAsia="zh-CN"/>
        </w:rPr>
        <w:t>II</w:t>
      </w:r>
      <w:r>
        <w:rPr>
          <w:rFonts w:hint="eastAsia" w:eastAsia="仿宋_GB2312"/>
          <w:color w:val="auto"/>
          <w:szCs w:val="32"/>
          <w:lang w:val="en-US" w:eastAsia="zh-CN"/>
        </w:rPr>
        <w:t>类医疗器械管理。</w:t>
      </w:r>
      <w:r>
        <w:rPr>
          <w:rFonts w:hint="eastAsia" w:eastAsia="仿宋_GB2312"/>
          <w:color w:val="auto"/>
          <w:szCs w:val="32"/>
          <w:lang w:eastAsia="zh-CN"/>
        </w:rPr>
        <w:t>通常</w:t>
      </w:r>
      <w:r>
        <w:rPr>
          <w:rFonts w:hint="eastAsia" w:eastAsia="仿宋_GB2312"/>
          <w:color w:val="auto"/>
          <w:szCs w:val="32"/>
        </w:rPr>
        <w:t>由</w:t>
      </w:r>
      <w:r>
        <w:rPr>
          <w:rFonts w:hint="eastAsia"/>
          <w:color w:val="auto"/>
        </w:rPr>
        <w:t>栓</w:t>
      </w:r>
      <w:r>
        <w:rPr>
          <w:rFonts w:hint="eastAsia"/>
          <w:color w:val="auto"/>
          <w:lang w:eastAsia="zh-CN"/>
        </w:rPr>
        <w:t>芯</w:t>
      </w:r>
      <w:r>
        <w:rPr>
          <w:rFonts w:hint="eastAsia"/>
          <w:color w:val="auto"/>
          <w:lang w:val="en-US" w:eastAsia="zh-CN"/>
        </w:rPr>
        <w:t>/</w:t>
      </w:r>
      <w:r>
        <w:rPr>
          <w:rFonts w:hint="eastAsia"/>
          <w:color w:val="auto"/>
        </w:rPr>
        <w:t>粒</w:t>
      </w:r>
      <w:r>
        <w:rPr>
          <w:rFonts w:hint="eastAsia"/>
          <w:color w:val="auto"/>
          <w:lang w:eastAsia="zh-CN"/>
        </w:rPr>
        <w:t>（活性炭纤维）</w:t>
      </w:r>
      <w:r>
        <w:rPr>
          <w:rFonts w:hint="eastAsia"/>
          <w:color w:val="auto"/>
        </w:rPr>
        <w:t>、脱脂纱布、无纺布、推进器、</w:t>
      </w:r>
      <w:r>
        <w:rPr>
          <w:rFonts w:hint="eastAsia"/>
          <w:color w:val="auto"/>
          <w:lang w:eastAsia="zh-CN"/>
        </w:rPr>
        <w:t>引出</w:t>
      </w:r>
      <w:r>
        <w:rPr>
          <w:rFonts w:hint="eastAsia"/>
          <w:color w:val="auto"/>
        </w:rPr>
        <w:t>尾线部分组成。</w:t>
      </w:r>
      <w:r>
        <w:rPr>
          <w:rFonts w:hint="eastAsia" w:eastAsia="仿宋_GB2312"/>
          <w:color w:val="auto"/>
          <w:szCs w:val="32"/>
        </w:rPr>
        <w:t>所含成分不具有药理学作用。主要通过活性</w:t>
      </w:r>
      <w:r>
        <w:rPr>
          <w:rFonts w:hint="eastAsia" w:eastAsia="仿宋_GB2312"/>
          <w:color w:val="auto"/>
          <w:szCs w:val="32"/>
          <w:highlight w:val="none"/>
        </w:rPr>
        <w:t>炭</w:t>
      </w:r>
      <w:r>
        <w:rPr>
          <w:rFonts w:hint="eastAsia" w:eastAsia="仿宋_GB2312"/>
          <w:color w:val="auto"/>
          <w:szCs w:val="32"/>
        </w:rPr>
        <w:t>的吸附性降低微生物的浓度。</w:t>
      </w:r>
    </w:p>
    <w:p>
      <w:pPr>
        <w:spacing w:line="520" w:lineRule="exact"/>
        <w:ind w:firstLine="640" w:firstLineChars="200"/>
        <w:rPr>
          <w:rFonts w:eastAsia="黑体"/>
          <w:color w:val="auto"/>
          <w:szCs w:val="32"/>
        </w:rPr>
      </w:pPr>
      <w:r>
        <w:rPr>
          <w:rFonts w:eastAsia="黑体"/>
          <w:color w:val="auto"/>
          <w:szCs w:val="32"/>
        </w:rPr>
        <w:t>二、注册审查要点</w:t>
      </w:r>
    </w:p>
    <w:p>
      <w:pPr>
        <w:spacing w:line="520" w:lineRule="exact"/>
        <w:ind w:firstLine="640" w:firstLineChars="200"/>
        <w:rPr>
          <w:rFonts w:eastAsia="楷体_GB2312"/>
          <w:color w:val="auto"/>
          <w:szCs w:val="32"/>
        </w:rPr>
      </w:pPr>
      <w:r>
        <w:rPr>
          <w:rFonts w:eastAsia="楷体_GB2312"/>
          <w:color w:val="auto"/>
          <w:szCs w:val="32"/>
        </w:rPr>
        <w:t>（一）监管信息</w:t>
      </w:r>
    </w:p>
    <w:p>
      <w:pPr>
        <w:snapToGrid w:val="0"/>
        <w:spacing w:line="520" w:lineRule="exact"/>
        <w:ind w:firstLine="640" w:firstLineChars="200"/>
        <w:rPr>
          <w:rFonts w:eastAsia="仿宋_GB2312"/>
          <w:color w:val="auto"/>
          <w:szCs w:val="32"/>
        </w:rPr>
      </w:pPr>
      <w:r>
        <w:rPr>
          <w:rFonts w:ascii="Times New Roman" w:hAnsi="Times New Roman" w:eastAsia="仿宋_GB2312"/>
          <w:color w:val="auto"/>
          <w:sz w:val="32"/>
        </w:rPr>
        <w:t>注册申请人应提供申请表、</w:t>
      </w:r>
      <w:r>
        <w:rPr>
          <w:rFonts w:ascii="Times New Roman" w:hAnsi="Times New Roman" w:eastAsia="仿宋_GB2312"/>
          <w:color w:val="auto"/>
          <w:spacing w:val="-1"/>
          <w:sz w:val="32"/>
          <w:szCs w:val="32"/>
        </w:rPr>
        <w:t>既往沟通记录（</w:t>
      </w:r>
      <w:r>
        <w:rPr>
          <w:rFonts w:ascii="Times New Roman" w:hAnsi="Times New Roman" w:eastAsia="仿宋_GB2312"/>
          <w:color w:val="auto"/>
          <w:sz w:val="32"/>
          <w:szCs w:val="32"/>
        </w:rPr>
        <w:t>如不适用，应当明确声明申报产品没有既往申报和/或申报前沟通</w:t>
      </w:r>
      <w:r>
        <w:rPr>
          <w:rFonts w:ascii="Times New Roman" w:hAnsi="Times New Roman" w:eastAsia="仿宋_GB2312"/>
          <w:color w:val="auto"/>
          <w:spacing w:val="-1"/>
          <w:sz w:val="32"/>
          <w:szCs w:val="32"/>
        </w:rPr>
        <w:t>）、关联文件（如主文档授权信）及其他管理信息等。</w:t>
      </w:r>
    </w:p>
    <w:p>
      <w:pPr>
        <w:spacing w:line="520" w:lineRule="exact"/>
        <w:ind w:firstLine="640" w:firstLineChars="200"/>
        <w:rPr>
          <w:rFonts w:hint="eastAsia" w:eastAsia="仿宋_GB2312"/>
          <w:color w:val="auto"/>
          <w:szCs w:val="32"/>
          <w:lang w:eastAsia="zh-CN"/>
        </w:rPr>
      </w:pPr>
      <w:r>
        <w:rPr>
          <w:rFonts w:eastAsia="仿宋_GB2312"/>
          <w:color w:val="auto"/>
          <w:szCs w:val="32"/>
        </w:rPr>
        <w:t>1.</w:t>
      </w:r>
      <w:r>
        <w:rPr>
          <w:rFonts w:hint="eastAsia" w:eastAsia="仿宋_GB2312"/>
          <w:color w:val="auto"/>
          <w:szCs w:val="32"/>
          <w:lang w:eastAsia="zh-CN"/>
        </w:rPr>
        <w:t>申请表</w:t>
      </w:r>
    </w:p>
    <w:p>
      <w:pPr>
        <w:spacing w:line="520" w:lineRule="exact"/>
        <w:ind w:firstLine="640" w:firstLineChars="200"/>
        <w:rPr>
          <w:rFonts w:eastAsia="仿宋_GB2312"/>
          <w:color w:val="auto"/>
          <w:szCs w:val="32"/>
        </w:rPr>
      </w:pPr>
      <w:r>
        <w:rPr>
          <w:rFonts w:hint="default" w:eastAsia="仿宋_GB2312"/>
          <w:color w:val="auto"/>
          <w:szCs w:val="32"/>
          <w:lang w:val="en-US"/>
        </w:rPr>
        <w:t>1.1</w:t>
      </w:r>
      <w:r>
        <w:rPr>
          <w:rFonts w:eastAsia="仿宋_GB2312"/>
          <w:color w:val="auto"/>
          <w:szCs w:val="32"/>
        </w:rPr>
        <w:t>产品名称</w:t>
      </w:r>
    </w:p>
    <w:p>
      <w:pPr>
        <w:spacing w:line="520" w:lineRule="exact"/>
        <w:ind w:firstLine="640" w:firstLineChars="200"/>
        <w:rPr>
          <w:rFonts w:eastAsia="仿宋_GB2312"/>
          <w:color w:val="auto"/>
          <w:szCs w:val="32"/>
        </w:rPr>
      </w:pPr>
      <w:r>
        <w:rPr>
          <w:rFonts w:hint="eastAsia" w:eastAsia="仿宋_GB2312"/>
          <w:color w:val="auto"/>
          <w:szCs w:val="32"/>
        </w:rPr>
        <w:t>阴道填塞材料</w:t>
      </w:r>
      <w:r>
        <w:rPr>
          <w:rFonts w:eastAsia="仿宋_GB2312"/>
          <w:color w:val="auto"/>
          <w:szCs w:val="32"/>
        </w:rPr>
        <w:t>产品的命名需采用《医疗器械分类目录》或国家标准、行业标准中的通用名称，或以产品结构和预期目的为依据命名，需符合《医疗器械通用名称命名规则》等相关规范性文件的要求</w:t>
      </w:r>
      <w:r>
        <w:rPr>
          <w:rFonts w:hint="eastAsia" w:eastAsia="仿宋_GB2312"/>
          <w:color w:val="auto"/>
          <w:szCs w:val="32"/>
          <w:lang w:eastAsia="zh-CN"/>
        </w:rPr>
        <w:t>，由一个核心词和一般不超过三个特征词组成</w:t>
      </w:r>
      <w:r>
        <w:rPr>
          <w:rFonts w:eastAsia="仿宋_GB2312"/>
          <w:color w:val="auto"/>
          <w:szCs w:val="32"/>
        </w:rPr>
        <w:t>。</w:t>
      </w:r>
      <w:r>
        <w:rPr>
          <w:rFonts w:hint="eastAsia" w:eastAsia="仿宋_GB2312"/>
          <w:color w:val="auto"/>
          <w:szCs w:val="32"/>
        </w:rPr>
        <w:t>常见的名称有：阴道填塞吸附栓、活性炭阴道填塞、活性炭吸附栓等。</w:t>
      </w:r>
    </w:p>
    <w:p>
      <w:pPr>
        <w:spacing w:line="520" w:lineRule="exact"/>
        <w:ind w:firstLine="640" w:firstLineChars="200"/>
        <w:rPr>
          <w:rFonts w:eastAsia="仿宋_GB2312"/>
          <w:color w:val="auto"/>
          <w:szCs w:val="32"/>
        </w:rPr>
      </w:pPr>
      <w:r>
        <w:rPr>
          <w:rFonts w:hint="default" w:eastAsia="仿宋_GB2312"/>
          <w:color w:val="auto"/>
          <w:szCs w:val="32"/>
          <w:lang w:val="en-US"/>
        </w:rPr>
        <w:t>1.</w:t>
      </w:r>
      <w:r>
        <w:rPr>
          <w:rFonts w:eastAsia="仿宋_GB2312"/>
          <w:color w:val="auto"/>
          <w:szCs w:val="32"/>
        </w:rPr>
        <w:t>2</w:t>
      </w:r>
      <w:r>
        <w:rPr>
          <w:rFonts w:ascii="Times New Roman" w:hAnsi="Times New Roman" w:eastAsia="仿宋_GB2312"/>
          <w:color w:val="auto"/>
          <w:sz w:val="32"/>
          <w:szCs w:val="32"/>
        </w:rPr>
        <w:t>管理类别、</w:t>
      </w:r>
      <w:r>
        <w:rPr>
          <w:rFonts w:eastAsia="仿宋_GB2312"/>
          <w:color w:val="auto"/>
          <w:szCs w:val="32"/>
        </w:rPr>
        <w:t>分类编码</w:t>
      </w:r>
    </w:p>
    <w:p>
      <w:pPr>
        <w:spacing w:line="520" w:lineRule="exact"/>
        <w:ind w:firstLine="640" w:firstLineChars="200"/>
        <w:rPr>
          <w:rFonts w:eastAsia="仿宋_GB2312"/>
          <w:color w:val="auto"/>
          <w:szCs w:val="32"/>
        </w:rPr>
      </w:pPr>
      <w:r>
        <w:rPr>
          <w:rFonts w:eastAsia="仿宋_GB2312"/>
          <w:color w:val="auto"/>
          <w:szCs w:val="32"/>
        </w:rPr>
        <w:t>根据《医疗器械分类目录》，分类编码为</w:t>
      </w:r>
      <w:r>
        <w:rPr>
          <w:rFonts w:hint="eastAsia" w:eastAsia="仿宋_GB2312"/>
          <w:color w:val="auto"/>
          <w:szCs w:val="32"/>
        </w:rPr>
        <w:t>18妇产科、辅助生殖和避孕器械-01妇产科手术器械-14阴道填塞材料。</w:t>
      </w:r>
      <w:r>
        <w:rPr>
          <w:rFonts w:eastAsia="仿宋_GB2312"/>
          <w:color w:val="auto"/>
          <w:szCs w:val="32"/>
        </w:rPr>
        <w:t>管理类别为</w:t>
      </w:r>
      <w:r>
        <w:rPr>
          <w:rFonts w:hint="default" w:eastAsia="仿宋_GB2312"/>
          <w:color w:val="auto"/>
          <w:szCs w:val="32"/>
          <w:lang w:val="en-US"/>
        </w:rPr>
        <w:t>II</w:t>
      </w:r>
      <w:r>
        <w:rPr>
          <w:rFonts w:eastAsia="仿宋_GB2312"/>
          <w:color w:val="auto"/>
          <w:szCs w:val="32"/>
        </w:rPr>
        <w:t>类。</w:t>
      </w:r>
    </w:p>
    <w:p>
      <w:pPr>
        <w:spacing w:line="520" w:lineRule="exact"/>
        <w:ind w:firstLine="640" w:firstLineChars="200"/>
        <w:rPr>
          <w:rFonts w:eastAsia="仿宋_GB2312"/>
          <w:color w:val="auto"/>
          <w:szCs w:val="32"/>
        </w:rPr>
      </w:pPr>
      <w:r>
        <w:rPr>
          <w:rFonts w:hint="default" w:eastAsia="仿宋_GB2312"/>
          <w:color w:val="auto"/>
          <w:szCs w:val="32"/>
          <w:lang w:val="en-US"/>
        </w:rPr>
        <w:t>1.</w:t>
      </w:r>
      <w:r>
        <w:rPr>
          <w:rFonts w:eastAsia="仿宋_GB2312"/>
          <w:color w:val="auto"/>
          <w:szCs w:val="32"/>
        </w:rPr>
        <w:t>3注册单元划分的原则和实例</w:t>
      </w:r>
    </w:p>
    <w:p>
      <w:pPr>
        <w:spacing w:line="520" w:lineRule="exact"/>
        <w:ind w:firstLine="640" w:firstLineChars="200"/>
        <w:rPr>
          <w:rFonts w:ascii="Times New Roman" w:hAnsi="Times New Roman" w:eastAsia="仿宋_GB2312"/>
          <w:snapToGrid w:val="0"/>
          <w:color w:val="auto"/>
          <w:kern w:val="0"/>
          <w:sz w:val="32"/>
          <w:szCs w:val="32"/>
        </w:rPr>
      </w:pPr>
      <w:r>
        <w:rPr>
          <w:rFonts w:hint="eastAsia" w:ascii="Times New Roman" w:hAnsi="Times New Roman" w:eastAsia="仿宋_GB2312"/>
          <w:snapToGrid w:val="0"/>
          <w:color w:val="auto"/>
          <w:kern w:val="0"/>
          <w:sz w:val="32"/>
          <w:szCs w:val="32"/>
        </w:rPr>
        <w:t>申报产品的</w:t>
      </w:r>
      <w:r>
        <w:rPr>
          <w:rFonts w:ascii="Times New Roman" w:hAnsi="Times New Roman" w:eastAsia="仿宋_GB2312"/>
          <w:snapToGrid w:val="0"/>
          <w:color w:val="auto"/>
          <w:kern w:val="0"/>
          <w:sz w:val="32"/>
          <w:szCs w:val="32"/>
        </w:rPr>
        <w:t>注册单元原则上以产品的技术原理、</w:t>
      </w:r>
      <w:r>
        <w:rPr>
          <w:rFonts w:hint="eastAsia" w:ascii="Times New Roman" w:hAnsi="Times New Roman" w:eastAsia="仿宋_GB2312"/>
          <w:snapToGrid w:val="0"/>
          <w:color w:val="auto"/>
          <w:kern w:val="0"/>
          <w:sz w:val="32"/>
          <w:szCs w:val="32"/>
        </w:rPr>
        <w:t>主要</w:t>
      </w:r>
      <w:r>
        <w:rPr>
          <w:rFonts w:ascii="Times New Roman" w:hAnsi="Times New Roman" w:eastAsia="仿宋_GB2312"/>
          <w:snapToGrid w:val="0"/>
          <w:color w:val="auto"/>
          <w:kern w:val="0"/>
          <w:sz w:val="32"/>
          <w:szCs w:val="32"/>
        </w:rPr>
        <w:t>结构组成、性能指标和适用范围为划分依据，同时应满足《医疗器械注册单元划分指导原则》相关要求。</w:t>
      </w:r>
    </w:p>
    <w:p>
      <w:pPr>
        <w:spacing w:line="520" w:lineRule="exact"/>
        <w:ind w:firstLine="640" w:firstLineChars="200"/>
        <w:rPr>
          <w:rFonts w:hint="eastAsia" w:ascii="Times New Roman" w:hAnsi="Times New Roman" w:eastAsia="仿宋_GB2312"/>
          <w:snapToGrid w:val="0"/>
          <w:color w:val="auto"/>
          <w:kern w:val="0"/>
          <w:sz w:val="32"/>
          <w:szCs w:val="32"/>
        </w:rPr>
      </w:pPr>
      <w:r>
        <w:rPr>
          <w:rFonts w:hint="eastAsia" w:ascii="Times New Roman" w:hAnsi="Times New Roman" w:eastAsia="仿宋_GB2312"/>
          <w:snapToGrid w:val="0"/>
          <w:color w:val="auto"/>
          <w:kern w:val="0"/>
          <w:sz w:val="32"/>
          <w:szCs w:val="32"/>
        </w:rPr>
        <w:t>例如：</w:t>
      </w:r>
    </w:p>
    <w:p>
      <w:pPr>
        <w:spacing w:line="520" w:lineRule="exact"/>
        <w:ind w:firstLine="640"/>
        <w:rPr>
          <w:rFonts w:hint="eastAsia" w:cs="仿宋_GB2312"/>
          <w:bCs/>
          <w:color w:val="auto"/>
          <w:szCs w:val="32"/>
        </w:rPr>
      </w:pPr>
      <w:r>
        <w:rPr>
          <w:rFonts w:ascii="Times New Roman" w:hAnsi="Times New Roman" w:eastAsia="仿宋_GB2312"/>
          <w:snapToGrid w:val="0"/>
          <w:color w:val="auto"/>
          <w:kern w:val="0"/>
          <w:sz w:val="32"/>
          <w:szCs w:val="32"/>
        </w:rPr>
        <w:t>1.3</w:t>
      </w:r>
      <w:r>
        <w:rPr>
          <w:rFonts w:hint="eastAsia" w:ascii="Times New Roman" w:hAnsi="Times New Roman" w:eastAsia="仿宋_GB2312"/>
          <w:snapToGrid w:val="0"/>
          <w:color w:val="auto"/>
          <w:kern w:val="0"/>
          <w:sz w:val="32"/>
          <w:szCs w:val="32"/>
        </w:rPr>
        <w:t>.1</w:t>
      </w:r>
      <w:r>
        <w:rPr>
          <w:rFonts w:hint="eastAsia" w:ascii="Times New Roman" w:hAnsi="Times New Roman" w:eastAsia="仿宋_GB2312"/>
          <w:color w:val="auto"/>
          <w:sz w:val="32"/>
          <w:szCs w:val="32"/>
        </w:rPr>
        <w:t>产品因</w:t>
      </w:r>
      <w:r>
        <w:rPr>
          <w:rFonts w:hint="eastAsia" w:ascii="Times New Roman" w:hAnsi="Times New Roman" w:eastAsia="仿宋_GB2312"/>
          <w:color w:val="auto"/>
          <w:kern w:val="0"/>
          <w:sz w:val="32"/>
          <w:szCs w:val="32"/>
        </w:rPr>
        <w:t>组成成分不同，导致性能指标存在差异而影响产品安全有效性时，建议划分为不同的注册单元。</w:t>
      </w:r>
    </w:p>
    <w:p>
      <w:pPr>
        <w:spacing w:line="520" w:lineRule="exact"/>
        <w:ind w:firstLine="640" w:firstLineChars="200"/>
        <w:rPr>
          <w:rFonts w:eastAsia="仿宋_GB2312"/>
          <w:color w:val="auto"/>
          <w:szCs w:val="32"/>
        </w:rPr>
      </w:pPr>
      <w:r>
        <w:rPr>
          <w:rFonts w:ascii="Times New Roman" w:hAnsi="Times New Roman" w:eastAsia="仿宋_GB2312"/>
          <w:snapToGrid w:val="0"/>
          <w:color w:val="auto"/>
          <w:kern w:val="0"/>
          <w:sz w:val="32"/>
          <w:szCs w:val="32"/>
        </w:rPr>
        <w:t>1.3</w:t>
      </w:r>
      <w:r>
        <w:rPr>
          <w:rFonts w:hint="eastAsia" w:ascii="Times New Roman" w:hAnsi="Times New Roman" w:eastAsia="仿宋_GB2312"/>
          <w:snapToGrid w:val="0"/>
          <w:color w:val="auto"/>
          <w:kern w:val="0"/>
          <w:sz w:val="32"/>
          <w:szCs w:val="32"/>
        </w:rPr>
        <w:t>.2</w:t>
      </w:r>
      <w:r>
        <w:rPr>
          <w:rFonts w:hint="eastAsia" w:ascii="Times New Roman" w:hAnsi="Times New Roman" w:eastAsia="仿宋_GB2312"/>
          <w:color w:val="auto"/>
          <w:sz w:val="32"/>
          <w:szCs w:val="32"/>
        </w:rPr>
        <w:t>若产品组成成分和配比一致，仅包装材质不同，且包装对产品性能无影响时，可划分为同一个注册单元。</w:t>
      </w:r>
    </w:p>
    <w:p>
      <w:pPr>
        <w:spacing w:line="520" w:lineRule="exact"/>
        <w:ind w:firstLine="640" w:firstLineChars="200"/>
        <w:rPr>
          <w:rFonts w:eastAsia="仿宋_GB2312"/>
          <w:color w:val="auto"/>
          <w:szCs w:val="32"/>
        </w:rPr>
      </w:pPr>
      <w:r>
        <w:rPr>
          <w:rFonts w:hint="default" w:eastAsia="仿宋_GB2312"/>
          <w:color w:val="auto"/>
          <w:szCs w:val="32"/>
          <w:lang w:val="en-US"/>
        </w:rPr>
        <w:t>1.</w:t>
      </w:r>
      <w:r>
        <w:rPr>
          <w:rFonts w:eastAsia="仿宋_GB2312"/>
          <w:color w:val="auto"/>
          <w:szCs w:val="32"/>
        </w:rPr>
        <w:t>4型号规格</w:t>
      </w:r>
    </w:p>
    <w:p>
      <w:pPr>
        <w:spacing w:line="520" w:lineRule="exact"/>
        <w:ind w:firstLine="640" w:firstLineChars="200"/>
        <w:rPr>
          <w:rFonts w:eastAsia="仿宋_GB2312"/>
          <w:color w:val="auto"/>
          <w:szCs w:val="32"/>
        </w:rPr>
      </w:pPr>
      <w:r>
        <w:rPr>
          <w:rFonts w:eastAsia="仿宋_GB2312"/>
          <w:color w:val="auto"/>
          <w:szCs w:val="32"/>
        </w:rPr>
        <w:t>需提供产品各型号规格的划分原则。对于存在多种型号、规格的产品，需明确各型号、规格的区别。需采用对比表</w:t>
      </w:r>
      <w:r>
        <w:rPr>
          <w:rFonts w:hint="eastAsia" w:eastAsia="仿宋_GB2312"/>
          <w:color w:val="auto"/>
          <w:szCs w:val="32"/>
          <w:lang w:eastAsia="zh-CN"/>
        </w:rPr>
        <w:t>或</w:t>
      </w:r>
      <w:r>
        <w:rPr>
          <w:rFonts w:eastAsia="仿宋_GB2312"/>
          <w:color w:val="auto"/>
          <w:szCs w:val="32"/>
        </w:rPr>
        <w:t>带有说明性文字的图片、图表，对各种型号、规格的结构组成、功能、产品特征、性能指标等方面加以描述。</w:t>
      </w:r>
    </w:p>
    <w:p>
      <w:pPr>
        <w:spacing w:line="520" w:lineRule="exact"/>
        <w:ind w:firstLine="640" w:firstLineChars="200"/>
        <w:rPr>
          <w:rFonts w:eastAsia="仿宋_GB2312"/>
          <w:color w:val="auto"/>
          <w:szCs w:val="32"/>
        </w:rPr>
      </w:pPr>
      <w:r>
        <w:rPr>
          <w:rFonts w:hint="default" w:eastAsia="仿宋_GB2312"/>
          <w:color w:val="auto"/>
          <w:szCs w:val="32"/>
          <w:lang w:val="en-US"/>
        </w:rPr>
        <w:t>1.</w:t>
      </w:r>
      <w:r>
        <w:rPr>
          <w:rFonts w:eastAsia="仿宋_GB2312"/>
          <w:color w:val="auto"/>
          <w:szCs w:val="32"/>
        </w:rPr>
        <w:t>5结构组成</w:t>
      </w:r>
    </w:p>
    <w:p>
      <w:pPr>
        <w:spacing w:line="520" w:lineRule="exact"/>
        <w:ind w:firstLine="640" w:firstLineChars="200"/>
        <w:rPr>
          <w:rFonts w:eastAsia="仿宋_GB2312"/>
          <w:color w:val="auto"/>
          <w:szCs w:val="32"/>
        </w:rPr>
      </w:pPr>
      <w:r>
        <w:rPr>
          <w:rFonts w:eastAsia="仿宋_GB2312"/>
          <w:color w:val="auto"/>
          <w:szCs w:val="32"/>
        </w:rPr>
        <w:t>需提供所含组件描述、选用材料及符合标准、材料牌号信息、</w:t>
      </w:r>
      <w:r>
        <w:rPr>
          <w:rFonts w:hint="eastAsia" w:eastAsia="仿宋_GB2312"/>
          <w:color w:val="auto"/>
          <w:szCs w:val="32"/>
          <w:lang w:eastAsia="zh-CN"/>
        </w:rPr>
        <w:t>灭菌</w:t>
      </w:r>
      <w:r>
        <w:rPr>
          <w:rFonts w:eastAsia="仿宋_GB2312"/>
          <w:color w:val="auto"/>
          <w:szCs w:val="32"/>
        </w:rPr>
        <w:t>方式、交付状态及有效期信息。</w:t>
      </w:r>
      <w:r>
        <w:rPr>
          <w:rFonts w:hint="eastAsia" w:eastAsia="仿宋_GB2312"/>
          <w:color w:val="auto"/>
          <w:szCs w:val="32"/>
        </w:rPr>
        <w:t>产品所含成分应不发挥药理学、免疫学或者代谢作用。</w:t>
      </w:r>
    </w:p>
    <w:p>
      <w:pPr>
        <w:spacing w:line="520" w:lineRule="exact"/>
        <w:ind w:right="-102" w:rightChars="-32" w:firstLine="640" w:firstLineChars="200"/>
        <w:rPr>
          <w:rFonts w:ascii="Times New Roman" w:hAnsi="Times New Roman" w:eastAsia="仿宋_GB2312"/>
          <w:color w:val="auto"/>
          <w:sz w:val="32"/>
          <w:szCs w:val="32"/>
        </w:rPr>
      </w:pPr>
      <w:r>
        <w:rPr>
          <w:rFonts w:ascii="Times New Roman" w:hAnsi="Times New Roman" w:eastAsia="仿宋_GB2312"/>
          <w:color w:val="auto"/>
          <w:sz w:val="32"/>
          <w:szCs w:val="32"/>
        </w:rPr>
        <w:t>2.产品列表</w:t>
      </w:r>
    </w:p>
    <w:p>
      <w:pPr>
        <w:spacing w:line="520" w:lineRule="exact"/>
        <w:ind w:firstLine="640" w:firstLineChars="200"/>
        <w:jc w:val="left"/>
        <w:rPr>
          <w:rFonts w:eastAsia="楷体_GB2312"/>
          <w:color w:val="auto"/>
          <w:szCs w:val="32"/>
        </w:rPr>
      </w:pPr>
      <w:r>
        <w:rPr>
          <w:rFonts w:hint="eastAsia" w:ascii="Times New Roman" w:hAnsi="Times New Roman" w:eastAsia="仿宋_GB2312"/>
          <w:color w:val="auto"/>
          <w:sz w:val="32"/>
          <w:szCs w:val="32"/>
        </w:rPr>
        <w:t>应以表格形式</w:t>
      </w:r>
      <w:r>
        <w:rPr>
          <w:rFonts w:ascii="Times New Roman" w:hAnsi="Times New Roman" w:eastAsia="仿宋_GB2312"/>
          <w:color w:val="auto"/>
          <w:sz w:val="32"/>
          <w:szCs w:val="32"/>
        </w:rPr>
        <w:t>列出拟申报产品的型号、规格、结构及组成、附件，以及每个规格型号的标识（如型号或部件的编号、器械唯一标识等）和描述说明（</w:t>
      </w:r>
      <w:r>
        <w:rPr>
          <w:rFonts w:eastAsia="仿宋_GB2312"/>
          <w:color w:val="auto"/>
          <w:sz w:val="32"/>
          <w:szCs w:val="32"/>
        </w:rPr>
        <w:t>如</w:t>
      </w:r>
      <w:r>
        <w:rPr>
          <w:rFonts w:hint="eastAsia" w:eastAsia="仿宋_GB2312"/>
          <w:color w:val="auto"/>
          <w:sz w:val="32"/>
          <w:szCs w:val="32"/>
        </w:rPr>
        <w:t>具体组成配方、作用、包装方式</w:t>
      </w:r>
      <w:r>
        <w:rPr>
          <w:rFonts w:eastAsia="仿宋_GB2312"/>
          <w:color w:val="auto"/>
          <w:sz w:val="32"/>
          <w:szCs w:val="32"/>
        </w:rPr>
        <w:t>等</w:t>
      </w:r>
      <w:r>
        <w:rPr>
          <w:rFonts w:ascii="Times New Roman" w:hAnsi="Times New Roman" w:eastAsia="仿宋_GB2312"/>
          <w:color w:val="auto"/>
          <w:sz w:val="32"/>
          <w:szCs w:val="32"/>
        </w:rPr>
        <w:t>）。</w:t>
      </w:r>
    </w:p>
    <w:p>
      <w:pPr>
        <w:spacing w:line="520" w:lineRule="exact"/>
        <w:ind w:firstLine="640" w:firstLineChars="20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3.既往沟通记录（如适用）</w:t>
      </w:r>
    </w:p>
    <w:p>
      <w:pPr>
        <w:spacing w:line="520" w:lineRule="exact"/>
        <w:ind w:firstLine="640" w:firstLineChars="20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在产品申报前，如果注册申请人与监管机构针对申报产品以会议形式进行了沟通，或者申报产品与既往注册申报相关，应提交相关沟通记录。</w:t>
      </w:r>
    </w:p>
    <w:p>
      <w:pPr>
        <w:spacing w:line="52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4.主文档授权信（如适用）</w:t>
      </w:r>
    </w:p>
    <w:p>
      <w:pPr>
        <w:spacing w:line="520" w:lineRule="exact"/>
        <w:ind w:firstLine="640" w:firstLineChars="20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申请人应当对主文档引用的情况进行说明。</w:t>
      </w:r>
    </w:p>
    <w:p>
      <w:pPr>
        <w:spacing w:line="520" w:lineRule="exact"/>
        <w:ind w:firstLine="640" w:firstLineChars="20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5.其它管理信息</w:t>
      </w:r>
    </w:p>
    <w:p>
      <w:pPr>
        <w:spacing w:line="520" w:lineRule="exact"/>
        <w:ind w:firstLine="640" w:firstLineChars="20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5.1按照《创新医疗器械特别审查程序》审批的境内医疗器械申请注册时，应当提交通过创新医疗器械审查的相关说明。</w:t>
      </w:r>
    </w:p>
    <w:p>
      <w:pPr>
        <w:spacing w:line="520" w:lineRule="exact"/>
        <w:ind w:firstLine="640" w:firstLineChars="20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5.2按照《医疗器械应急审批程序》审批的医疗器械产品申请注册时，应当提交通过医疗器械应急审批的相关说明。</w:t>
      </w:r>
    </w:p>
    <w:p>
      <w:pPr>
        <w:spacing w:line="520" w:lineRule="exact"/>
        <w:ind w:firstLine="640" w:firstLineChars="200"/>
        <w:rPr>
          <w:rFonts w:eastAsia="楷体_GB2312"/>
          <w:color w:val="auto"/>
          <w:szCs w:val="32"/>
        </w:rPr>
      </w:pPr>
      <w:r>
        <w:rPr>
          <w:rFonts w:hint="eastAsia" w:ascii="Times New Roman" w:hAnsi="Times New Roman" w:eastAsia="仿宋_GB2312"/>
          <w:color w:val="auto"/>
          <w:sz w:val="32"/>
          <w:szCs w:val="32"/>
        </w:rPr>
        <w:t>5.3委托其他企业生产的，应当提供受托企业资格文件（营业执照副本复印件）、委托合同和质量协议。</w:t>
      </w:r>
    </w:p>
    <w:p>
      <w:pPr>
        <w:spacing w:line="520" w:lineRule="exact"/>
        <w:ind w:firstLine="640" w:firstLineChars="200"/>
        <w:rPr>
          <w:rFonts w:eastAsia="楷体_GB2312"/>
          <w:color w:val="auto"/>
          <w:szCs w:val="32"/>
        </w:rPr>
      </w:pPr>
      <w:r>
        <w:rPr>
          <w:rFonts w:eastAsia="楷体_GB2312"/>
          <w:color w:val="auto"/>
          <w:szCs w:val="32"/>
        </w:rPr>
        <w:t>（二）综述资料</w:t>
      </w:r>
    </w:p>
    <w:p>
      <w:pPr>
        <w:spacing w:line="520" w:lineRule="exact"/>
        <w:ind w:firstLine="640" w:firstLineChars="20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1.产品描述</w:t>
      </w:r>
    </w:p>
    <w:p>
      <w:pPr>
        <w:spacing w:line="520" w:lineRule="exact"/>
        <w:ind w:firstLine="640" w:firstLineChars="20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1.1工作原理</w:t>
      </w:r>
    </w:p>
    <w:p>
      <w:pPr>
        <w:spacing w:line="520" w:lineRule="exact"/>
        <w:ind w:firstLine="640" w:firstLineChars="200"/>
        <w:jc w:val="left"/>
        <w:rPr>
          <w:rFonts w:eastAsia="仿宋_GB2312"/>
          <w:color w:val="auto"/>
          <w:szCs w:val="32"/>
          <w:highlight w:val="yellow"/>
        </w:rPr>
      </w:pPr>
      <w:r>
        <w:rPr>
          <w:rFonts w:hint="eastAsia" w:ascii="Times New Roman" w:hAnsi="Times New Roman" w:eastAsia="仿宋_GB2312"/>
          <w:color w:val="auto"/>
          <w:sz w:val="32"/>
          <w:szCs w:val="32"/>
        </w:rPr>
        <w:t>应描述申报产品的工作原理。产品应主要通过活性炭的吸附性降低微生物的浓度，应不发挥药理学作用。</w:t>
      </w:r>
    </w:p>
    <w:p>
      <w:pPr>
        <w:spacing w:line="520" w:lineRule="exact"/>
        <w:ind w:firstLine="640" w:firstLineChars="20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1.2结构组成</w:t>
      </w:r>
    </w:p>
    <w:p>
      <w:pPr>
        <w:spacing w:line="520" w:lineRule="exact"/>
        <w:ind w:firstLine="640" w:firstLineChars="200"/>
        <w:jc w:val="left"/>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本指导原则中所述阴道填塞材料通常由</w:t>
      </w:r>
      <w:r>
        <w:rPr>
          <w:rFonts w:hint="eastAsia"/>
          <w:color w:val="auto"/>
        </w:rPr>
        <w:t>栓</w:t>
      </w:r>
      <w:r>
        <w:rPr>
          <w:rFonts w:hint="eastAsia"/>
          <w:color w:val="auto"/>
          <w:lang w:eastAsia="zh-CN"/>
        </w:rPr>
        <w:t>芯</w:t>
      </w:r>
      <w:r>
        <w:rPr>
          <w:rFonts w:hint="eastAsia"/>
          <w:color w:val="auto"/>
          <w:lang w:val="en-US" w:eastAsia="zh-CN"/>
        </w:rPr>
        <w:t>/</w:t>
      </w:r>
      <w:r>
        <w:rPr>
          <w:rFonts w:hint="eastAsia"/>
          <w:color w:val="auto"/>
        </w:rPr>
        <w:t>粒</w:t>
      </w:r>
      <w:r>
        <w:rPr>
          <w:rFonts w:hint="eastAsia"/>
          <w:color w:val="auto"/>
          <w:lang w:eastAsia="zh-CN"/>
        </w:rPr>
        <w:t>（活性炭纤维）</w:t>
      </w:r>
      <w:r>
        <w:rPr>
          <w:rFonts w:hint="eastAsia"/>
          <w:color w:val="auto"/>
        </w:rPr>
        <w:t>、脱脂纱布、无纺布、推进器、</w:t>
      </w:r>
      <w:r>
        <w:rPr>
          <w:rFonts w:hint="eastAsia"/>
          <w:color w:val="auto"/>
          <w:lang w:eastAsia="zh-CN"/>
        </w:rPr>
        <w:t>引出</w:t>
      </w:r>
      <w:r>
        <w:rPr>
          <w:rFonts w:hint="eastAsia"/>
          <w:color w:val="auto"/>
        </w:rPr>
        <w:t>尾线部分组成</w:t>
      </w:r>
      <w:r>
        <w:rPr>
          <w:rFonts w:hint="eastAsia"/>
          <w:color w:val="auto"/>
          <w:lang w:eastAsia="zh-CN"/>
        </w:rPr>
        <w:t>。</w:t>
      </w:r>
      <w:r>
        <w:rPr>
          <w:rFonts w:hint="eastAsia" w:ascii="Times New Roman" w:hAnsi="Times New Roman" w:eastAsia="仿宋_GB2312"/>
          <w:snapToGrid w:val="0"/>
          <w:color w:val="auto"/>
          <w:kern w:val="0"/>
          <w:sz w:val="32"/>
          <w:szCs w:val="32"/>
        </w:rPr>
        <w:t>产品</w:t>
      </w:r>
      <w:r>
        <w:rPr>
          <w:rFonts w:hint="eastAsia" w:ascii="仿宋_GB2312" w:hAnsi="仿宋_GB2312" w:eastAsia="仿宋_GB2312" w:cs="仿宋_GB2312"/>
          <w:bCs/>
          <w:color w:val="auto"/>
          <w:sz w:val="32"/>
          <w:szCs w:val="32"/>
        </w:rPr>
        <w:t>所含成分应不发</w:t>
      </w:r>
      <w:r>
        <w:rPr>
          <w:rFonts w:hint="eastAsia" w:ascii="Times New Roman" w:hAnsi="Times New Roman" w:eastAsia="仿宋_GB2312"/>
          <w:snapToGrid w:val="0"/>
          <w:color w:val="auto"/>
          <w:kern w:val="0"/>
          <w:sz w:val="32"/>
          <w:szCs w:val="32"/>
        </w:rPr>
        <w:t>挥药理学、免疫学或者代谢作</w:t>
      </w:r>
      <w:r>
        <w:rPr>
          <w:rFonts w:hint="eastAsia" w:ascii="Times New Roman" w:hAnsi="Times New Roman" w:eastAsia="仿宋_GB2312"/>
          <w:color w:val="auto"/>
          <w:sz w:val="32"/>
          <w:szCs w:val="32"/>
        </w:rPr>
        <w:t>用。一次性使用</w:t>
      </w:r>
      <w:r>
        <w:rPr>
          <w:rFonts w:hint="eastAsia" w:ascii="Times New Roman" w:hAnsi="Times New Roman" w:eastAsia="仿宋_GB2312"/>
          <w:color w:val="auto"/>
          <w:sz w:val="32"/>
          <w:szCs w:val="32"/>
          <w:highlight w:val="none"/>
        </w:rPr>
        <w:t>，无菌形式或非无菌形式提供。</w:t>
      </w:r>
    </w:p>
    <w:p>
      <w:pPr>
        <w:spacing w:line="520" w:lineRule="exact"/>
        <w:ind w:firstLine="640" w:firstLineChars="200"/>
        <w:rPr>
          <w:rFonts w:hint="default" w:eastAsia="仿宋_GB2312"/>
          <w:color w:val="auto"/>
          <w:szCs w:val="32"/>
          <w:lang w:val="en-US"/>
        </w:rPr>
      </w:pPr>
      <w:r>
        <w:rPr>
          <w:rFonts w:eastAsia="仿宋_GB2312"/>
          <w:color w:val="auto"/>
          <w:szCs w:val="32"/>
        </w:rPr>
        <w:t>1.</w:t>
      </w:r>
      <w:r>
        <w:rPr>
          <w:rFonts w:hint="default" w:eastAsia="仿宋_GB2312"/>
          <w:color w:val="auto"/>
          <w:szCs w:val="32"/>
          <w:lang w:val="en-US"/>
        </w:rPr>
        <w:t>3</w:t>
      </w:r>
      <w:r>
        <w:rPr>
          <w:rFonts w:hint="eastAsia" w:ascii="Times New Roman" w:hAnsi="Times New Roman" w:eastAsia="仿宋_GB2312"/>
          <w:color w:val="auto"/>
          <w:sz w:val="32"/>
          <w:szCs w:val="32"/>
        </w:rPr>
        <w:t>型号规格</w:t>
      </w:r>
    </w:p>
    <w:p>
      <w:pPr>
        <w:spacing w:line="520" w:lineRule="exact"/>
        <w:ind w:firstLine="640" w:firstLineChars="200"/>
        <w:rPr>
          <w:rFonts w:eastAsia="仿宋_GB2312"/>
          <w:color w:val="auto"/>
          <w:szCs w:val="32"/>
        </w:rPr>
      </w:pPr>
      <w:r>
        <w:rPr>
          <w:rFonts w:ascii="Times New Roman" w:hAnsi="Times New Roman" w:eastAsia="仿宋_GB2312"/>
          <w:color w:val="auto"/>
          <w:sz w:val="32"/>
          <w:szCs w:val="32"/>
        </w:rPr>
        <w:t>对于存在多种型号规格的</w:t>
      </w:r>
      <w:r>
        <w:rPr>
          <w:rFonts w:hint="eastAsia" w:ascii="Times New Roman" w:hAnsi="Times New Roman" w:eastAsia="仿宋_GB2312"/>
          <w:color w:val="auto"/>
          <w:sz w:val="32"/>
          <w:szCs w:val="32"/>
        </w:rPr>
        <w:t>申报</w:t>
      </w:r>
      <w:r>
        <w:rPr>
          <w:rFonts w:ascii="Times New Roman" w:hAnsi="Times New Roman" w:eastAsia="仿宋_GB2312"/>
          <w:color w:val="auto"/>
          <w:sz w:val="32"/>
          <w:szCs w:val="32"/>
        </w:rPr>
        <w:t>产品，应当明确各型号规格的区别。应当采用对比表或带有说明性文字的图片、图表，描述各种型号规格的结构组成、功能、产品特征和技术参数等内容。应清晰、准确表述产品的全部型号规格，不得出现</w:t>
      </w:r>
      <w:r>
        <w:rPr>
          <w:rFonts w:hint="eastAsia" w:ascii="Times New Roman" w:hAnsi="Times New Roman" w:eastAsia="仿宋_GB2312"/>
          <w:color w:val="auto"/>
          <w:sz w:val="32"/>
          <w:szCs w:val="32"/>
        </w:rPr>
        <w:t>“</w:t>
      </w:r>
      <w:r>
        <w:rPr>
          <w:rFonts w:ascii="Times New Roman" w:hAnsi="Times New Roman" w:eastAsia="仿宋_GB2312"/>
          <w:color w:val="auto"/>
          <w:sz w:val="32"/>
          <w:szCs w:val="32"/>
        </w:rPr>
        <w:t>依据客户需求提供定制</w:t>
      </w:r>
      <w:r>
        <w:rPr>
          <w:rFonts w:hint="eastAsia" w:ascii="Times New Roman" w:hAnsi="Times New Roman" w:eastAsia="仿宋_GB2312"/>
          <w:color w:val="auto"/>
          <w:sz w:val="32"/>
          <w:szCs w:val="32"/>
        </w:rPr>
        <w:t>”的描述</w:t>
      </w:r>
      <w:r>
        <w:rPr>
          <w:rFonts w:ascii="Times New Roman" w:hAnsi="Times New Roman" w:eastAsia="仿宋_GB2312"/>
          <w:color w:val="auto"/>
          <w:sz w:val="32"/>
          <w:szCs w:val="32"/>
        </w:rPr>
        <w:t>。</w:t>
      </w:r>
    </w:p>
    <w:p>
      <w:pPr>
        <w:pStyle w:val="2"/>
        <w:ind w:left="0" w:leftChars="0" w:firstLine="640" w:firstLineChars="200"/>
        <w:rPr>
          <w:rFonts w:hint="default" w:ascii="Times New Roman" w:hAnsi="Times New Roman" w:eastAsia="仿宋_GB2312"/>
          <w:color w:val="auto"/>
          <w:szCs w:val="32"/>
        </w:rPr>
      </w:pPr>
      <w:r>
        <w:rPr>
          <w:rFonts w:hint="default" w:ascii="Times New Roman" w:hAnsi="Times New Roman" w:eastAsia="仿宋_GB2312"/>
          <w:color w:val="auto"/>
          <w:szCs w:val="32"/>
        </w:rPr>
        <w:t>1.4包装说明</w:t>
      </w:r>
    </w:p>
    <w:p>
      <w:pPr>
        <w:spacing w:line="520" w:lineRule="exact"/>
        <w:ind w:firstLine="640" w:firstLineChars="200"/>
        <w:rPr>
          <w:rFonts w:eastAsia="仿宋_GB2312"/>
          <w:color w:val="auto"/>
          <w:sz w:val="32"/>
          <w:szCs w:val="32"/>
        </w:rPr>
      </w:pPr>
      <w:r>
        <w:rPr>
          <w:rFonts w:ascii="Times New Roman" w:hAnsi="Times New Roman" w:eastAsia="仿宋_GB2312"/>
          <w:color w:val="auto"/>
          <w:sz w:val="32"/>
          <w:szCs w:val="32"/>
        </w:rPr>
        <w:t>说明</w:t>
      </w:r>
      <w:r>
        <w:rPr>
          <w:rFonts w:hint="eastAsia" w:ascii="Times New Roman" w:hAnsi="Times New Roman" w:eastAsia="仿宋_GB2312"/>
          <w:color w:val="auto"/>
          <w:sz w:val="32"/>
          <w:szCs w:val="32"/>
        </w:rPr>
        <w:t>申报</w:t>
      </w:r>
      <w:r>
        <w:rPr>
          <w:rFonts w:ascii="Times New Roman" w:hAnsi="Times New Roman" w:eastAsia="仿宋_GB2312"/>
          <w:color w:val="auto"/>
          <w:sz w:val="32"/>
          <w:szCs w:val="32"/>
        </w:rPr>
        <w:t>产品组成的包装信息</w:t>
      </w:r>
      <w:r>
        <w:rPr>
          <w:rFonts w:hint="eastAsia" w:ascii="Times New Roman" w:hAnsi="Times New Roman" w:eastAsia="仿宋_GB2312"/>
          <w:color w:val="auto"/>
          <w:sz w:val="32"/>
          <w:szCs w:val="32"/>
        </w:rPr>
        <w:t>，以</w:t>
      </w:r>
      <w:r>
        <w:rPr>
          <w:rFonts w:eastAsia="仿宋_GB2312"/>
          <w:color w:val="auto"/>
          <w:sz w:val="32"/>
          <w:szCs w:val="32"/>
        </w:rPr>
        <w:t>无菌</w:t>
      </w:r>
      <w:r>
        <w:rPr>
          <w:rFonts w:ascii="Times New Roman" w:hAnsi="Times New Roman" w:eastAsia="仿宋_GB2312"/>
          <w:color w:val="auto"/>
          <w:sz w:val="32"/>
          <w:szCs w:val="32"/>
        </w:rPr>
        <w:t>形式</w:t>
      </w:r>
      <w:r>
        <w:rPr>
          <w:rFonts w:hint="eastAsia" w:ascii="Times New Roman" w:hAnsi="Times New Roman" w:eastAsia="仿宋_GB2312"/>
          <w:color w:val="auto"/>
          <w:sz w:val="32"/>
          <w:szCs w:val="32"/>
        </w:rPr>
        <w:t>提供的</w:t>
      </w:r>
      <w:r>
        <w:rPr>
          <w:rFonts w:eastAsia="仿宋_GB2312"/>
          <w:color w:val="auto"/>
          <w:sz w:val="32"/>
          <w:szCs w:val="32"/>
        </w:rPr>
        <w:t>医疗器械，应当说明其无菌屏障系统的信息</w:t>
      </w:r>
      <w:r>
        <w:rPr>
          <w:rFonts w:hint="eastAsia" w:eastAsia="仿宋_GB2312"/>
          <w:color w:val="auto"/>
          <w:sz w:val="32"/>
          <w:szCs w:val="32"/>
        </w:rPr>
        <w:t>；以非无菌形式提供的医疗器械，应当说明保持其微生物指标的包装信息。</w:t>
      </w:r>
      <w:r>
        <w:rPr>
          <w:rFonts w:hint="eastAsia" w:ascii="Times New Roman" w:hAnsi="Times New Roman" w:eastAsia="仿宋_GB2312"/>
          <w:color w:val="auto"/>
          <w:sz w:val="32"/>
          <w:szCs w:val="32"/>
        </w:rPr>
        <w:t>说明</w:t>
      </w:r>
      <w:r>
        <w:rPr>
          <w:rFonts w:ascii="Times New Roman" w:hAnsi="Times New Roman" w:eastAsia="仿宋_GB2312"/>
          <w:color w:val="auto"/>
          <w:sz w:val="32"/>
          <w:szCs w:val="32"/>
        </w:rPr>
        <w:t>如何确保最终使用者可清晰地辨识包装的完整性</w:t>
      </w:r>
      <w:r>
        <w:rPr>
          <w:rFonts w:hint="eastAsia" w:eastAsia="仿宋_GB2312"/>
          <w:color w:val="auto"/>
          <w:sz w:val="32"/>
          <w:szCs w:val="32"/>
        </w:rPr>
        <w:t>。</w:t>
      </w:r>
    </w:p>
    <w:p>
      <w:pPr>
        <w:spacing w:line="520" w:lineRule="exact"/>
        <w:ind w:firstLine="640" w:firstLineChars="200"/>
        <w:rPr>
          <w:rFonts w:ascii="Times New Roman" w:hAnsi="Times New Roman" w:eastAsia="仿宋_GB2312"/>
          <w:color w:val="auto"/>
          <w:sz w:val="32"/>
          <w:szCs w:val="32"/>
        </w:rPr>
      </w:pPr>
      <w:r>
        <w:rPr>
          <w:rFonts w:ascii="Times New Roman" w:hAnsi="Times New Roman" w:eastAsia="仿宋_GB2312"/>
          <w:color w:val="auto"/>
          <w:sz w:val="32"/>
          <w:szCs w:val="32"/>
        </w:rPr>
        <w:t>1.5研发历程</w:t>
      </w:r>
    </w:p>
    <w:p>
      <w:pPr>
        <w:spacing w:line="520" w:lineRule="exact"/>
        <w:ind w:firstLine="640" w:firstLineChars="200"/>
        <w:rPr>
          <w:rFonts w:ascii="Times New Roman" w:hAnsi="Times New Roman" w:eastAsia="仿宋_GB2312"/>
          <w:color w:val="auto"/>
          <w:sz w:val="32"/>
          <w:szCs w:val="32"/>
        </w:rPr>
      </w:pPr>
      <w:r>
        <w:rPr>
          <w:rFonts w:ascii="Times New Roman" w:hAnsi="Times New Roman" w:eastAsia="仿宋_GB2312"/>
          <w:color w:val="auto"/>
          <w:sz w:val="32"/>
          <w:szCs w:val="32"/>
        </w:rPr>
        <w:t>阐述</w:t>
      </w:r>
      <w:r>
        <w:rPr>
          <w:rFonts w:hint="eastAsia" w:ascii="Times New Roman" w:hAnsi="Times New Roman" w:eastAsia="仿宋_GB2312"/>
          <w:color w:val="auto"/>
          <w:sz w:val="32"/>
          <w:szCs w:val="32"/>
        </w:rPr>
        <w:t>申报</w:t>
      </w:r>
      <w:r>
        <w:rPr>
          <w:rFonts w:ascii="Times New Roman" w:hAnsi="Times New Roman" w:eastAsia="仿宋_GB2312"/>
          <w:color w:val="auto"/>
          <w:sz w:val="32"/>
          <w:szCs w:val="32"/>
        </w:rPr>
        <w:t>产品的研发背景和目的。如有参考的同类产品或前代产品，应当提供同类产品或前代产品的信息，并说明选择其作为研发参考的原因。</w:t>
      </w:r>
    </w:p>
    <w:p>
      <w:pPr>
        <w:spacing w:line="520" w:lineRule="exact"/>
        <w:ind w:firstLine="640" w:firstLineChars="200"/>
        <w:rPr>
          <w:rFonts w:ascii="Times New Roman" w:hAnsi="Times New Roman" w:eastAsia="仿宋_GB2312"/>
          <w:color w:val="auto"/>
          <w:sz w:val="32"/>
          <w:szCs w:val="32"/>
        </w:rPr>
      </w:pPr>
      <w:r>
        <w:rPr>
          <w:rFonts w:ascii="Times New Roman" w:hAnsi="Times New Roman" w:eastAsia="仿宋_GB2312"/>
          <w:color w:val="auto"/>
          <w:sz w:val="32"/>
          <w:szCs w:val="32"/>
        </w:rPr>
        <w:t>1.6与同类和/或前代产品的参考和比较</w:t>
      </w:r>
    </w:p>
    <w:p>
      <w:pPr>
        <w:spacing w:line="520" w:lineRule="exact"/>
        <w:ind w:firstLine="640" w:firstLineChars="200"/>
        <w:rPr>
          <w:rFonts w:ascii="Times New Roman" w:hAnsi="Times New Roman" w:eastAsia="仿宋_GB2312"/>
          <w:color w:val="auto"/>
          <w:sz w:val="32"/>
          <w:szCs w:val="32"/>
        </w:rPr>
      </w:pPr>
      <w:r>
        <w:rPr>
          <w:rFonts w:ascii="Times New Roman" w:hAnsi="Times New Roman" w:eastAsia="仿宋_GB2312"/>
          <w:color w:val="auto"/>
          <w:sz w:val="32"/>
          <w:szCs w:val="32"/>
        </w:rPr>
        <w:t>列表比较说明申报产品与同类产品和/或前代产品（如有）在工作原理、结构组成、制造材料、性能指标</w:t>
      </w:r>
      <w:r>
        <w:rPr>
          <w:rFonts w:eastAsia="仿宋_GB2312"/>
          <w:bCs/>
          <w:color w:val="auto"/>
          <w:sz w:val="32"/>
          <w:szCs w:val="32"/>
        </w:rPr>
        <w:t>、作用方式</w:t>
      </w:r>
      <w:r>
        <w:rPr>
          <w:rFonts w:hint="eastAsia" w:ascii="Times New Roman" w:hAnsi="Times New Roman" w:eastAsia="仿宋_GB2312"/>
          <w:color w:val="auto"/>
          <w:sz w:val="32"/>
          <w:szCs w:val="32"/>
        </w:rPr>
        <w:t>、</w:t>
      </w:r>
      <w:r>
        <w:rPr>
          <w:rFonts w:ascii="Times New Roman" w:hAnsi="Times New Roman" w:eastAsia="仿宋_GB2312"/>
          <w:color w:val="auto"/>
          <w:sz w:val="32"/>
          <w:szCs w:val="32"/>
        </w:rPr>
        <w:t>适用范围等方面的异同。</w:t>
      </w:r>
    </w:p>
    <w:p>
      <w:pPr>
        <w:spacing w:line="520" w:lineRule="exact"/>
        <w:ind w:firstLine="640" w:firstLineChars="200"/>
        <w:rPr>
          <w:rFonts w:eastAsia="仿宋_GB2312"/>
          <w:color w:val="auto"/>
          <w:szCs w:val="32"/>
        </w:rPr>
      </w:pPr>
      <w:r>
        <w:rPr>
          <w:rFonts w:eastAsia="仿宋_GB2312"/>
          <w:color w:val="auto"/>
          <w:szCs w:val="32"/>
        </w:rPr>
        <w:t>2.产品的适用范围、适用人群、禁忌证</w:t>
      </w:r>
    </w:p>
    <w:p>
      <w:pPr>
        <w:spacing w:line="520" w:lineRule="exact"/>
        <w:ind w:firstLine="640" w:firstLineChars="200"/>
        <w:rPr>
          <w:rFonts w:hint="eastAsia" w:eastAsia="仿宋_GB2312"/>
          <w:color w:val="auto"/>
          <w:szCs w:val="32"/>
          <w:lang w:eastAsia="zh-CN"/>
        </w:rPr>
      </w:pPr>
      <w:r>
        <w:rPr>
          <w:rFonts w:eastAsia="仿宋_GB2312"/>
          <w:color w:val="auto"/>
          <w:szCs w:val="32"/>
        </w:rPr>
        <w:t>产品的适用范围、适用人群、禁忌证需与申报产品的性能、功能相符，</w:t>
      </w:r>
      <w:r>
        <w:rPr>
          <w:rFonts w:eastAsia="仿宋_GB2312"/>
          <w:color w:val="auto"/>
          <w:szCs w:val="32"/>
          <w:highlight w:val="none"/>
        </w:rPr>
        <w:t>并需与</w:t>
      </w:r>
      <w:r>
        <w:rPr>
          <w:rFonts w:hint="eastAsia" w:eastAsia="仿宋_GB2312"/>
          <w:color w:val="auto"/>
          <w:szCs w:val="32"/>
          <w:highlight w:val="none"/>
          <w:lang w:eastAsia="zh-CN"/>
        </w:rPr>
        <w:t>研究验证</w:t>
      </w:r>
      <w:r>
        <w:rPr>
          <w:rFonts w:eastAsia="仿宋_GB2312"/>
          <w:color w:val="auto"/>
          <w:szCs w:val="32"/>
          <w:highlight w:val="none"/>
        </w:rPr>
        <w:t>资料一致</w:t>
      </w:r>
      <w:r>
        <w:rPr>
          <w:rFonts w:eastAsia="仿宋_GB2312"/>
          <w:color w:val="auto"/>
          <w:szCs w:val="32"/>
        </w:rPr>
        <w:t>。适用范围的描述需清晰准确。</w:t>
      </w:r>
    </w:p>
    <w:p>
      <w:pPr>
        <w:spacing w:line="520" w:lineRule="exact"/>
        <w:ind w:firstLine="640" w:firstLineChars="200"/>
        <w:rPr>
          <w:rFonts w:eastAsia="仿宋_GB2312"/>
          <w:color w:val="auto"/>
          <w:szCs w:val="32"/>
        </w:rPr>
      </w:pPr>
      <w:r>
        <w:rPr>
          <w:rFonts w:eastAsia="仿宋_GB2312"/>
          <w:color w:val="auto"/>
          <w:szCs w:val="32"/>
        </w:rPr>
        <w:t>注册申请人需根据申报产品的设计特征，进一步说明其具体的适用人群、预期使用环境等信息。</w:t>
      </w:r>
    </w:p>
    <w:p>
      <w:pPr>
        <w:spacing w:line="520" w:lineRule="exact"/>
        <w:ind w:firstLine="640" w:firstLineChars="200"/>
        <w:rPr>
          <w:rFonts w:hint="default" w:eastAsia="仿宋_GB2312"/>
          <w:color w:val="auto"/>
          <w:szCs w:val="32"/>
          <w:lang w:val="en-US" w:eastAsia="zh-CN"/>
        </w:rPr>
      </w:pPr>
      <w:r>
        <w:rPr>
          <w:rFonts w:eastAsia="仿宋_GB2312"/>
          <w:color w:val="auto"/>
          <w:szCs w:val="32"/>
        </w:rPr>
        <w:t>描述产品的禁忌证（包括绝对禁忌证、相对禁忌证），如不适宜使用的人群、疾病等情形。</w:t>
      </w:r>
      <w:r>
        <w:rPr>
          <w:rFonts w:hint="eastAsia" w:eastAsia="仿宋_GB2312"/>
          <w:color w:val="auto"/>
          <w:szCs w:val="32"/>
        </w:rPr>
        <w:t>如：对原材料过敏者禁用，对不明确过敏者慎用，对特定人群（如孕妇、哺乳期妇女）慎用，未有性生活及月经期女性禁用</w:t>
      </w:r>
      <w:r>
        <w:rPr>
          <w:rFonts w:hint="eastAsia" w:eastAsia="仿宋_GB2312"/>
          <w:color w:val="auto"/>
          <w:szCs w:val="32"/>
          <w:lang w:eastAsia="zh-CN"/>
        </w:rPr>
        <w:t>，</w:t>
      </w:r>
      <w:r>
        <w:rPr>
          <w:rFonts w:hint="eastAsia" w:eastAsia="仿宋_GB2312"/>
          <w:color w:val="auto"/>
          <w:szCs w:val="32"/>
          <w:highlight w:val="none"/>
          <w:lang w:val="en-US" w:eastAsia="zh-CN"/>
        </w:rPr>
        <w:t>不用于阴道止血。</w:t>
      </w:r>
    </w:p>
    <w:p>
      <w:pPr>
        <w:spacing w:line="520" w:lineRule="exact"/>
        <w:ind w:firstLine="640" w:firstLineChars="200"/>
        <w:rPr>
          <w:rFonts w:eastAsia="仿宋_GB2312"/>
          <w:color w:val="auto"/>
          <w:szCs w:val="32"/>
        </w:rPr>
      </w:pPr>
      <w:r>
        <w:rPr>
          <w:rFonts w:eastAsia="仿宋_GB2312"/>
          <w:color w:val="auto"/>
          <w:szCs w:val="32"/>
        </w:rPr>
        <w:t>3.包装说明</w:t>
      </w:r>
    </w:p>
    <w:p>
      <w:pPr>
        <w:spacing w:line="520" w:lineRule="exact"/>
        <w:ind w:firstLine="640" w:firstLineChars="200"/>
        <w:rPr>
          <w:rFonts w:eastAsia="仿宋_GB2312"/>
          <w:color w:val="auto"/>
          <w:szCs w:val="32"/>
        </w:rPr>
      </w:pPr>
      <w:r>
        <w:rPr>
          <w:rFonts w:hint="eastAsia" w:eastAsia="仿宋_GB2312"/>
          <w:color w:val="auto"/>
          <w:szCs w:val="32"/>
        </w:rPr>
        <w:t>以无菌形式提供的医疗器械，应当说明其无菌屏障系统的信息；以非无菌形式提供的医疗器械，应当说明保持其微生物指标的包装信息。</w:t>
      </w:r>
    </w:p>
    <w:p>
      <w:pPr>
        <w:spacing w:line="520" w:lineRule="exact"/>
        <w:ind w:firstLine="640" w:firstLineChars="200"/>
        <w:rPr>
          <w:rFonts w:hint="default" w:ascii="Times New Roman" w:eastAsia="仿宋_GB2312"/>
          <w:color w:val="auto"/>
          <w:sz w:val="32"/>
          <w:szCs w:val="32"/>
        </w:rPr>
      </w:pPr>
      <w:r>
        <w:rPr>
          <w:rFonts w:hint="default" w:eastAsia="仿宋_GB2312"/>
          <w:color w:val="auto"/>
          <w:szCs w:val="32"/>
          <w:lang w:val="en-US"/>
        </w:rPr>
        <w:t>4.</w:t>
      </w:r>
      <w:r>
        <w:rPr>
          <w:rFonts w:hint="default" w:ascii="Times New Roman" w:eastAsia="仿宋_GB2312"/>
          <w:color w:val="auto"/>
          <w:sz w:val="32"/>
          <w:szCs w:val="32"/>
        </w:rPr>
        <w:t>申报产品上市历史（如适用）</w:t>
      </w:r>
    </w:p>
    <w:p>
      <w:pPr>
        <w:spacing w:line="520" w:lineRule="exact"/>
        <w:ind w:firstLine="640" w:firstLineChars="200"/>
        <w:rPr>
          <w:rFonts w:hint="default" w:eastAsia="仿宋_GB2312"/>
          <w:color w:val="auto"/>
          <w:szCs w:val="32"/>
          <w:lang w:val="en-US"/>
        </w:rPr>
      </w:pPr>
      <w:r>
        <w:rPr>
          <w:rFonts w:hint="default" w:ascii="Times New Roman" w:eastAsia="仿宋_GB2312"/>
          <w:color w:val="auto"/>
          <w:sz w:val="32"/>
          <w:szCs w:val="32"/>
        </w:rPr>
        <w:t>应当提交申报产品的上市情况、不良事件和召回、销售不良事件及召回率。</w:t>
      </w:r>
    </w:p>
    <w:p>
      <w:pPr>
        <w:spacing w:line="520" w:lineRule="exact"/>
        <w:ind w:firstLine="640" w:firstLineChars="200"/>
        <w:rPr>
          <w:rFonts w:eastAsia="楷体_GB2312"/>
          <w:b/>
          <w:color w:val="auto"/>
          <w:szCs w:val="32"/>
        </w:rPr>
      </w:pPr>
      <w:r>
        <w:rPr>
          <w:rFonts w:eastAsia="楷体_GB2312"/>
          <w:color w:val="auto"/>
          <w:szCs w:val="32"/>
        </w:rPr>
        <w:t>（三）非临床资料</w:t>
      </w:r>
    </w:p>
    <w:p>
      <w:pPr>
        <w:spacing w:line="520" w:lineRule="exact"/>
        <w:ind w:firstLine="640" w:firstLineChars="200"/>
        <w:rPr>
          <w:rFonts w:eastAsia="仿宋_GB2312"/>
          <w:color w:val="auto"/>
          <w:szCs w:val="32"/>
        </w:rPr>
      </w:pPr>
      <w:r>
        <w:rPr>
          <w:rFonts w:eastAsia="仿宋_GB2312"/>
          <w:color w:val="auto"/>
          <w:szCs w:val="32"/>
        </w:rPr>
        <w:t>1.产品风险管理资料</w:t>
      </w:r>
    </w:p>
    <w:p>
      <w:pPr>
        <w:spacing w:line="520" w:lineRule="exact"/>
        <w:ind w:firstLine="640" w:firstLineChars="200"/>
        <w:rPr>
          <w:rFonts w:eastAsia="仿宋_GB2312"/>
          <w:color w:val="auto"/>
          <w:szCs w:val="32"/>
        </w:rPr>
      </w:pPr>
      <w:r>
        <w:rPr>
          <w:rFonts w:eastAsia="仿宋_GB2312"/>
          <w:color w:val="auto"/>
          <w:szCs w:val="32"/>
        </w:rPr>
        <w:t>注册申请人需对产品全生命周期实施风险管理，提交风险管理资料</w:t>
      </w:r>
      <w:r>
        <w:rPr>
          <w:rFonts w:hint="eastAsia" w:eastAsia="仿宋_GB2312"/>
          <w:color w:val="auto"/>
          <w:szCs w:val="32"/>
          <w:lang w:eastAsia="zh-CN"/>
        </w:rPr>
        <w:t>，</w:t>
      </w:r>
      <w:r>
        <w:rPr>
          <w:rFonts w:eastAsia="仿宋_GB2312"/>
          <w:color w:val="auto"/>
          <w:szCs w:val="32"/>
        </w:rPr>
        <w:t>参照</w:t>
      </w:r>
      <w:r>
        <w:rPr>
          <w:rFonts w:eastAsia="仿宋_GB2312"/>
          <w:color w:val="auto"/>
          <w:szCs w:val="32"/>
          <w:highlight w:val="none"/>
        </w:rPr>
        <w:t>GB/T 42062《医疗器械风险管理对医疗器械的应用》</w:t>
      </w:r>
      <w:r>
        <w:rPr>
          <w:rFonts w:eastAsia="仿宋_GB2312"/>
          <w:color w:val="auto"/>
          <w:szCs w:val="32"/>
        </w:rPr>
        <w:t>。注册申请人在产品注册上市前，需对风险管理过程进行评审。评审需至少确保：风险管理计划已被适当地实施，综合剩余风险是可接受的。评审结果需形成风险管理报告。申报资料格式需符合现行有效的《医疗器械注册申报资料要求和批准证明文件格式》的要求。</w:t>
      </w:r>
      <w:r>
        <w:rPr>
          <w:rFonts w:hint="eastAsia" w:ascii="Times New Roman" w:hAnsi="Times New Roman" w:eastAsia="仿宋_GB2312"/>
          <w:color w:val="auto"/>
          <w:kern w:val="0"/>
          <w:sz w:val="32"/>
          <w:szCs w:val="32"/>
          <w:lang w:val="zh-CN"/>
        </w:rPr>
        <w:t>应对申报产品的可能危害进行判定并列出清单（</w:t>
      </w:r>
      <w:r>
        <w:rPr>
          <w:rFonts w:hint="eastAsia" w:ascii="Times New Roman" w:hAnsi="Times New Roman" w:eastAsia="仿宋_GB2312"/>
          <w:color w:val="auto"/>
          <w:kern w:val="0"/>
          <w:sz w:val="32"/>
          <w:szCs w:val="32"/>
        </w:rPr>
        <w:t>详</w:t>
      </w:r>
      <w:r>
        <w:rPr>
          <w:rFonts w:hint="eastAsia" w:ascii="Times New Roman" w:hAnsi="Times New Roman" w:eastAsia="仿宋_GB2312"/>
          <w:color w:val="auto"/>
          <w:kern w:val="0"/>
          <w:sz w:val="32"/>
          <w:szCs w:val="32"/>
          <w:lang w:val="zh-CN"/>
        </w:rPr>
        <w:t>见</w:t>
      </w:r>
      <w:r>
        <w:rPr>
          <w:rFonts w:hint="eastAsia" w:ascii="Times New Roman" w:hAnsi="Times New Roman" w:eastAsia="仿宋_GB2312"/>
          <w:color w:val="auto"/>
          <w:kern w:val="0"/>
          <w:sz w:val="32"/>
          <w:szCs w:val="32"/>
        </w:rPr>
        <w:t>附件</w:t>
      </w:r>
      <w:r>
        <w:rPr>
          <w:rFonts w:hint="eastAsia" w:ascii="Times New Roman" w:hAnsi="Times New Roman" w:eastAsia="仿宋_GB2312"/>
          <w:color w:val="auto"/>
          <w:kern w:val="0"/>
          <w:sz w:val="32"/>
          <w:szCs w:val="32"/>
          <w:lang w:val="zh-CN"/>
        </w:rPr>
        <w:t>）。</w:t>
      </w:r>
    </w:p>
    <w:p>
      <w:pPr>
        <w:autoSpaceDE/>
        <w:autoSpaceDN/>
        <w:spacing w:line="520" w:lineRule="exact"/>
        <w:ind w:firstLine="640" w:firstLineChars="200"/>
        <w:jc w:val="both"/>
        <w:outlineLvl w:val="9"/>
        <w:rPr>
          <w:rFonts w:ascii="Times New Roman" w:eastAsia="仿宋_GB2312"/>
          <w:bCs w:val="0"/>
          <w:color w:val="auto"/>
          <w:sz w:val="32"/>
          <w:szCs w:val="32"/>
        </w:rPr>
      </w:pPr>
      <w:r>
        <w:rPr>
          <w:rFonts w:ascii="Times New Roman" w:hAnsi="Times New Roman" w:eastAsia="仿宋_GB2312"/>
          <w:bCs w:val="0"/>
          <w:color w:val="auto"/>
          <w:sz w:val="32"/>
          <w:szCs w:val="32"/>
        </w:rPr>
        <w:t>2.医</w:t>
      </w:r>
      <w:r>
        <w:rPr>
          <w:rFonts w:ascii="Times New Roman" w:eastAsia="仿宋_GB2312"/>
          <w:bCs w:val="0"/>
          <w:color w:val="auto"/>
          <w:sz w:val="32"/>
          <w:szCs w:val="32"/>
        </w:rPr>
        <w:t>疗器械安全和性能基本原则清单</w:t>
      </w:r>
    </w:p>
    <w:p>
      <w:pPr>
        <w:spacing w:line="520" w:lineRule="exact"/>
        <w:ind w:firstLine="640" w:firstLineChars="200"/>
        <w:rPr>
          <w:rFonts w:eastAsia="仿宋_GB2312"/>
          <w:color w:val="auto"/>
          <w:szCs w:val="32"/>
        </w:rPr>
      </w:pPr>
      <w:r>
        <w:rPr>
          <w:rFonts w:hint="default" w:ascii="Times New Roman" w:hAnsi="Times New Roman" w:eastAsia="仿宋_GB2312" w:cs="Times New Roman"/>
          <w:bCs w:val="0"/>
          <w:color w:val="auto"/>
          <w:kern w:val="2"/>
          <w:szCs w:val="32"/>
        </w:rPr>
        <w:t>说明申报产品符合《医疗器械安全和性能基本原则清单》各项适用要求所采用的方法，以及证明其符合性的文件。对于《医疗器械安全和性能基本原则清单》中不适用的各项要求，应当说明理由。</w:t>
      </w:r>
    </w:p>
    <w:p>
      <w:pPr>
        <w:spacing w:line="520" w:lineRule="exact"/>
        <w:ind w:firstLine="640" w:firstLineChars="200"/>
        <w:rPr>
          <w:rFonts w:eastAsia="仿宋_GB2312"/>
          <w:color w:val="auto"/>
          <w:szCs w:val="32"/>
        </w:rPr>
      </w:pPr>
      <w:r>
        <w:rPr>
          <w:rFonts w:hint="default" w:eastAsia="仿宋_GB2312"/>
          <w:color w:val="auto"/>
          <w:szCs w:val="32"/>
          <w:lang w:val="en-US"/>
        </w:rPr>
        <w:t>3</w:t>
      </w:r>
      <w:r>
        <w:rPr>
          <w:rFonts w:eastAsia="仿宋_GB2312"/>
          <w:color w:val="auto"/>
          <w:szCs w:val="32"/>
        </w:rPr>
        <w:t>.产品技术要求</w:t>
      </w:r>
      <w:r>
        <w:rPr>
          <w:rFonts w:hint="default" w:ascii="Times New Roman" w:hAnsi="Times New Roman" w:eastAsia="仿宋_GB2312"/>
          <w:snapToGrid w:val="0"/>
          <w:color w:val="auto"/>
          <w:szCs w:val="32"/>
          <w:lang w:val="zh-CN"/>
        </w:rPr>
        <w:t>及检验报告</w:t>
      </w:r>
    </w:p>
    <w:p>
      <w:pPr>
        <w:pStyle w:val="2"/>
        <w:ind w:left="0" w:leftChars="0" w:firstLine="640" w:firstLineChars="200"/>
        <w:rPr>
          <w:rFonts w:hint="default" w:ascii="Times New Roman" w:hAnsi="Times New Roman" w:eastAsia="仿宋_GB2312"/>
          <w:snapToGrid w:val="0"/>
          <w:color w:val="auto"/>
          <w:szCs w:val="32"/>
          <w:lang w:val="zh-CN"/>
        </w:rPr>
      </w:pPr>
      <w:r>
        <w:rPr>
          <w:rFonts w:hint="default" w:ascii="Times New Roman" w:hAnsi="Times New Roman" w:eastAsia="仿宋_GB2312"/>
          <w:color w:val="auto"/>
          <w:kern w:val="2"/>
          <w:szCs w:val="32"/>
        </w:rPr>
        <w:t>3.1</w:t>
      </w:r>
      <w:r>
        <w:rPr>
          <w:rFonts w:hint="default" w:ascii="Times New Roman" w:hAnsi="Times New Roman" w:eastAsia="仿宋_GB2312"/>
          <w:snapToGrid w:val="0"/>
          <w:color w:val="auto"/>
          <w:szCs w:val="32"/>
          <w:lang w:val="zh-CN"/>
        </w:rPr>
        <w:t>产品技术要求</w:t>
      </w:r>
    </w:p>
    <w:p>
      <w:pPr>
        <w:spacing w:line="520" w:lineRule="exact"/>
        <w:ind w:firstLine="640" w:firstLineChars="200"/>
        <w:rPr>
          <w:rFonts w:eastAsia="仿宋_GB2312"/>
          <w:color w:val="auto"/>
          <w:szCs w:val="32"/>
        </w:rPr>
      </w:pPr>
      <w:r>
        <w:rPr>
          <w:rFonts w:eastAsia="仿宋_GB2312"/>
          <w:color w:val="auto"/>
          <w:szCs w:val="32"/>
        </w:rPr>
        <w:t>产品技术要求需符合相关国家标准、行业标准和有关法律、法规的相应要求。在此基础上，注册申请人需根据产品的特点，制定保证产品安全、有效的技术要求。产品技术要求中试验方法需依据有关国家标准、行业标准、国际标准制订，或经过验证。</w:t>
      </w:r>
    </w:p>
    <w:p>
      <w:pPr>
        <w:spacing w:line="520" w:lineRule="exact"/>
        <w:ind w:firstLine="640" w:firstLineChars="200"/>
        <w:rPr>
          <w:rFonts w:eastAsia="仿宋_GB2312"/>
          <w:color w:val="auto"/>
          <w:szCs w:val="32"/>
        </w:rPr>
      </w:pPr>
      <w:r>
        <w:rPr>
          <w:rFonts w:hint="default" w:eastAsia="仿宋_GB2312"/>
          <w:color w:val="auto"/>
          <w:szCs w:val="32"/>
          <w:lang w:val="en-US"/>
        </w:rPr>
        <w:t>3</w:t>
      </w:r>
      <w:r>
        <w:rPr>
          <w:rFonts w:eastAsia="仿宋_GB2312"/>
          <w:color w:val="auto"/>
          <w:szCs w:val="32"/>
        </w:rPr>
        <w:t>.1</w:t>
      </w:r>
      <w:r>
        <w:rPr>
          <w:rFonts w:hint="default" w:eastAsia="仿宋_GB2312"/>
          <w:color w:val="auto"/>
          <w:szCs w:val="32"/>
          <w:lang w:val="en-US"/>
        </w:rPr>
        <w:t>.1</w:t>
      </w:r>
      <w:r>
        <w:rPr>
          <w:rFonts w:eastAsia="仿宋_GB2312"/>
          <w:color w:val="auto"/>
          <w:szCs w:val="32"/>
        </w:rPr>
        <w:t>产品型号/规格及其划分的说明</w:t>
      </w:r>
    </w:p>
    <w:p>
      <w:pPr>
        <w:spacing w:line="520" w:lineRule="exact"/>
        <w:ind w:firstLine="640" w:firstLineChars="200"/>
        <w:rPr>
          <w:rFonts w:eastAsia="仿宋_GB2312"/>
          <w:color w:val="auto"/>
          <w:szCs w:val="32"/>
        </w:rPr>
      </w:pPr>
      <w:r>
        <w:rPr>
          <w:rFonts w:eastAsia="仿宋_GB2312"/>
          <w:color w:val="auto"/>
          <w:szCs w:val="32"/>
        </w:rPr>
        <w:t>列表说明产品的型号、规格，明确产品型号、规格的划分说明。</w:t>
      </w:r>
    </w:p>
    <w:p>
      <w:pPr>
        <w:spacing w:line="520" w:lineRule="exact"/>
        <w:ind w:firstLine="640" w:firstLineChars="200"/>
        <w:rPr>
          <w:rFonts w:eastAsia="仿宋_GB2312"/>
          <w:color w:val="auto"/>
          <w:szCs w:val="32"/>
        </w:rPr>
      </w:pPr>
      <w:r>
        <w:rPr>
          <w:rFonts w:hint="default" w:eastAsia="仿宋_GB2312"/>
          <w:color w:val="auto"/>
          <w:szCs w:val="32"/>
          <w:lang w:val="en-US"/>
        </w:rPr>
        <w:t>3</w:t>
      </w:r>
      <w:r>
        <w:rPr>
          <w:rFonts w:eastAsia="仿宋_GB2312"/>
          <w:color w:val="auto"/>
          <w:szCs w:val="32"/>
        </w:rPr>
        <w:t>.</w:t>
      </w:r>
      <w:r>
        <w:rPr>
          <w:rFonts w:hint="default" w:eastAsia="仿宋_GB2312"/>
          <w:color w:val="auto"/>
          <w:szCs w:val="32"/>
          <w:lang w:val="en-US"/>
        </w:rPr>
        <w:t>1.</w:t>
      </w:r>
      <w:r>
        <w:rPr>
          <w:rFonts w:eastAsia="仿宋_GB2312"/>
          <w:color w:val="auto"/>
          <w:szCs w:val="32"/>
        </w:rPr>
        <w:t>2性能指标</w:t>
      </w:r>
    </w:p>
    <w:p>
      <w:pPr>
        <w:widowControl/>
        <w:spacing w:line="520" w:lineRule="exact"/>
        <w:ind w:firstLine="640" w:firstLineChars="200"/>
        <w:jc w:val="left"/>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申报产品的性能指标建议包含以下几点（包括但不限于此）：</w:t>
      </w:r>
    </w:p>
    <w:p>
      <w:pPr>
        <w:widowControl/>
        <w:numPr>
          <w:ilvl w:val="0"/>
          <w:numId w:val="1"/>
        </w:numPr>
        <w:spacing w:line="520" w:lineRule="exact"/>
        <w:ind w:firstLine="640" w:firstLineChars="200"/>
        <w:jc w:val="left"/>
        <w:rPr>
          <w:rFonts w:hint="eastAsia" w:eastAsia="仿宋_GB2312"/>
          <w:color w:val="auto"/>
          <w:szCs w:val="32"/>
          <w:lang w:eastAsia="zh-CN"/>
        </w:rPr>
      </w:pPr>
      <w:r>
        <w:rPr>
          <w:rFonts w:hint="eastAsia" w:eastAsia="仿宋_GB2312"/>
          <w:color w:val="auto"/>
          <w:szCs w:val="32"/>
          <w:lang w:eastAsia="zh-CN"/>
        </w:rPr>
        <w:t>外观</w:t>
      </w:r>
    </w:p>
    <w:p>
      <w:pPr>
        <w:widowControl/>
        <w:numPr>
          <w:ilvl w:val="0"/>
          <w:numId w:val="1"/>
        </w:numPr>
        <w:spacing w:line="520" w:lineRule="exact"/>
        <w:ind w:firstLine="640" w:firstLineChars="200"/>
        <w:jc w:val="left"/>
        <w:rPr>
          <w:rFonts w:hint="eastAsia" w:eastAsia="仿宋_GB2312"/>
          <w:color w:val="auto"/>
          <w:szCs w:val="32"/>
          <w:highlight w:val="none"/>
          <w:lang w:eastAsia="zh-CN"/>
        </w:rPr>
      </w:pPr>
      <w:r>
        <w:rPr>
          <w:rFonts w:hint="eastAsia" w:eastAsia="仿宋_GB2312"/>
          <w:color w:val="auto"/>
          <w:szCs w:val="32"/>
          <w:lang w:eastAsia="zh-CN"/>
        </w:rPr>
        <w:t>尺寸（栓芯（</w:t>
      </w:r>
      <w:r>
        <w:rPr>
          <w:rFonts w:hint="eastAsia"/>
          <w:color w:val="auto"/>
          <w:highlight w:val="none"/>
          <w:lang w:eastAsia="zh-CN"/>
        </w:rPr>
        <w:t>长度、直径、重量、压缩强度（如适用）</w:t>
      </w:r>
      <w:r>
        <w:rPr>
          <w:rFonts w:hint="eastAsia" w:eastAsia="仿宋_GB2312"/>
          <w:color w:val="auto"/>
          <w:szCs w:val="32"/>
          <w:highlight w:val="none"/>
          <w:lang w:eastAsia="zh-CN"/>
        </w:rPr>
        <w:t>）；</w:t>
      </w:r>
      <w:r>
        <w:rPr>
          <w:rFonts w:hint="eastAsia"/>
          <w:color w:val="auto"/>
          <w:highlight w:val="none"/>
          <w:lang w:eastAsia="zh-CN"/>
        </w:rPr>
        <w:t>引出线长度）</w:t>
      </w:r>
    </w:p>
    <w:p>
      <w:pPr>
        <w:widowControl/>
        <w:spacing w:line="520" w:lineRule="exact"/>
        <w:ind w:firstLine="640" w:firstLineChars="200"/>
        <w:jc w:val="left"/>
        <w:rPr>
          <w:rFonts w:hint="eastAsia" w:eastAsia="仿宋_GB2312"/>
          <w:color w:val="auto"/>
          <w:szCs w:val="32"/>
          <w:lang w:eastAsia="zh-CN"/>
        </w:rPr>
      </w:pPr>
      <w:r>
        <w:rPr>
          <w:rFonts w:hint="eastAsia" w:eastAsia="仿宋_GB2312"/>
          <w:color w:val="auto"/>
          <w:szCs w:val="32"/>
          <w:lang w:eastAsia="zh-CN"/>
        </w:rPr>
        <w:t>（</w:t>
      </w:r>
      <w:r>
        <w:rPr>
          <w:rFonts w:hint="eastAsia" w:eastAsia="仿宋_GB2312"/>
          <w:color w:val="auto"/>
          <w:szCs w:val="32"/>
          <w:lang w:val="en-US" w:eastAsia="zh-CN"/>
        </w:rPr>
        <w:t>3）</w:t>
      </w:r>
      <w:r>
        <w:rPr>
          <w:rFonts w:hint="eastAsia" w:eastAsia="仿宋_GB2312"/>
          <w:color w:val="auto"/>
          <w:szCs w:val="32"/>
        </w:rPr>
        <w:t>材料</w:t>
      </w:r>
      <w:r>
        <w:rPr>
          <w:rFonts w:hint="eastAsia" w:eastAsia="仿宋_GB2312"/>
          <w:color w:val="auto"/>
          <w:szCs w:val="32"/>
          <w:lang w:eastAsia="zh-CN"/>
        </w:rPr>
        <w:t>（如活性</w:t>
      </w:r>
      <w:r>
        <w:rPr>
          <w:rFonts w:hint="eastAsia" w:eastAsia="仿宋_GB2312"/>
          <w:color w:val="auto"/>
          <w:szCs w:val="32"/>
          <w:highlight w:val="none"/>
          <w:lang w:eastAsia="zh-CN"/>
        </w:rPr>
        <w:t>炭纤维重量</w:t>
      </w:r>
      <w:r>
        <w:rPr>
          <w:rFonts w:hint="eastAsia" w:eastAsia="仿宋_GB2312"/>
          <w:color w:val="auto"/>
          <w:szCs w:val="32"/>
          <w:highlight w:val="none"/>
          <w:lang w:val="en-US" w:eastAsia="zh-CN"/>
        </w:rPr>
        <w:t>/</w:t>
      </w:r>
      <w:r>
        <w:rPr>
          <w:rFonts w:hint="eastAsia" w:eastAsia="仿宋_GB2312"/>
          <w:color w:val="auto"/>
          <w:szCs w:val="32"/>
          <w:highlight w:val="none"/>
          <w:lang w:eastAsia="zh-CN"/>
        </w:rPr>
        <w:t>活性炭含量、</w:t>
      </w:r>
      <w:r>
        <w:rPr>
          <w:rFonts w:hint="eastAsia"/>
          <w:color w:val="auto"/>
          <w:highlight w:val="none"/>
          <w:lang w:eastAsia="zh-CN"/>
        </w:rPr>
        <w:t>无纺布（规格、克重）、包覆完整性等</w:t>
      </w:r>
      <w:r>
        <w:rPr>
          <w:rFonts w:hint="eastAsia" w:eastAsia="仿宋_GB2312"/>
          <w:color w:val="auto"/>
          <w:szCs w:val="32"/>
          <w:lang w:eastAsia="zh-CN"/>
        </w:rPr>
        <w:t>）</w:t>
      </w:r>
    </w:p>
    <w:p>
      <w:pPr>
        <w:widowControl/>
        <w:spacing w:line="520" w:lineRule="exact"/>
        <w:ind w:firstLine="640" w:firstLineChars="200"/>
        <w:jc w:val="left"/>
        <w:rPr>
          <w:rFonts w:hint="eastAsia" w:eastAsia="仿宋_GB2312"/>
          <w:color w:val="auto"/>
          <w:szCs w:val="32"/>
          <w:lang w:eastAsia="zh-CN"/>
        </w:rPr>
      </w:pPr>
      <w:r>
        <w:rPr>
          <w:rFonts w:hint="eastAsia" w:eastAsia="仿宋_GB2312"/>
          <w:color w:val="auto"/>
          <w:szCs w:val="32"/>
          <w:lang w:eastAsia="zh-CN"/>
        </w:rPr>
        <w:t>（</w:t>
      </w:r>
      <w:r>
        <w:rPr>
          <w:rFonts w:hint="eastAsia" w:eastAsia="仿宋_GB2312"/>
          <w:color w:val="auto"/>
          <w:szCs w:val="32"/>
          <w:lang w:val="en-US" w:eastAsia="zh-CN"/>
        </w:rPr>
        <w:t>4</w:t>
      </w:r>
      <w:r>
        <w:rPr>
          <w:rFonts w:hint="eastAsia" w:eastAsia="仿宋_GB2312"/>
          <w:color w:val="auto"/>
          <w:szCs w:val="32"/>
          <w:lang w:eastAsia="zh-CN"/>
        </w:rPr>
        <w:t>）</w:t>
      </w:r>
      <w:r>
        <w:rPr>
          <w:rFonts w:hint="eastAsia" w:eastAsia="仿宋_GB2312"/>
          <w:color w:val="auto"/>
          <w:szCs w:val="32"/>
        </w:rPr>
        <w:t>抗拉强度（栓芯的无纺布与引出线之间的抗拉强度）</w:t>
      </w:r>
    </w:p>
    <w:p>
      <w:pPr>
        <w:widowControl/>
        <w:spacing w:line="520" w:lineRule="exact"/>
        <w:ind w:firstLine="640" w:firstLineChars="200"/>
        <w:jc w:val="left"/>
        <w:rPr>
          <w:rFonts w:hint="eastAsia" w:eastAsia="仿宋_GB2312"/>
          <w:color w:val="auto"/>
          <w:szCs w:val="32"/>
          <w:lang w:eastAsia="zh-CN"/>
        </w:rPr>
      </w:pPr>
      <w:r>
        <w:rPr>
          <w:rFonts w:hint="eastAsia"/>
          <w:color w:val="auto"/>
          <w:lang w:eastAsia="zh-CN"/>
        </w:rPr>
        <w:t>（</w:t>
      </w:r>
      <w:r>
        <w:rPr>
          <w:rFonts w:hint="eastAsia"/>
          <w:color w:val="auto"/>
          <w:lang w:val="en-US" w:eastAsia="zh-CN"/>
        </w:rPr>
        <w:t>5</w:t>
      </w:r>
      <w:r>
        <w:rPr>
          <w:rFonts w:hint="eastAsia"/>
          <w:color w:val="auto"/>
          <w:lang w:eastAsia="zh-CN"/>
        </w:rPr>
        <w:t>）</w:t>
      </w:r>
      <w:r>
        <w:rPr>
          <w:rFonts w:hint="eastAsia" w:ascii="Times New Roman" w:eastAsia="仿宋_GB2312"/>
          <w:color w:val="auto"/>
          <w:sz w:val="32"/>
          <w:szCs w:val="32"/>
          <w:lang w:eastAsia="zh-CN"/>
        </w:rPr>
        <w:t>干燥失重</w:t>
      </w:r>
    </w:p>
    <w:p>
      <w:pPr>
        <w:widowControl/>
        <w:spacing w:line="520" w:lineRule="exact"/>
        <w:ind w:firstLine="640" w:firstLineChars="200"/>
        <w:jc w:val="left"/>
        <w:rPr>
          <w:rFonts w:hint="eastAsia" w:eastAsia="仿宋_GB2312"/>
          <w:color w:val="auto"/>
          <w:szCs w:val="32"/>
          <w:lang w:eastAsia="zh-CN"/>
        </w:rPr>
      </w:pPr>
      <w:r>
        <w:rPr>
          <w:rFonts w:hint="eastAsia" w:eastAsia="仿宋_GB2312"/>
          <w:color w:val="auto"/>
          <w:sz w:val="32"/>
          <w:szCs w:val="32"/>
          <w:lang w:eastAsia="zh-CN"/>
        </w:rPr>
        <w:t>（</w:t>
      </w:r>
      <w:r>
        <w:rPr>
          <w:rFonts w:hint="eastAsia" w:eastAsia="仿宋_GB2312"/>
          <w:color w:val="auto"/>
          <w:sz w:val="32"/>
          <w:szCs w:val="32"/>
          <w:lang w:val="en-US" w:eastAsia="zh-CN"/>
        </w:rPr>
        <w:t>6）</w:t>
      </w:r>
      <w:r>
        <w:rPr>
          <w:rFonts w:hint="eastAsia" w:ascii="Times New Roman" w:hAnsi="Times New Roman" w:eastAsia="仿宋_GB2312"/>
          <w:color w:val="auto"/>
          <w:sz w:val="32"/>
          <w:szCs w:val="32"/>
        </w:rPr>
        <w:t>化学性能（如酸碱度、重金属</w:t>
      </w:r>
      <w:r>
        <w:rPr>
          <w:rFonts w:hint="eastAsia" w:eastAsia="仿宋_GB2312"/>
          <w:color w:val="auto"/>
          <w:sz w:val="32"/>
          <w:szCs w:val="32"/>
          <w:lang w:eastAsia="zh-CN"/>
        </w:rPr>
        <w:t>、灰分</w:t>
      </w:r>
      <w:r>
        <w:rPr>
          <w:rFonts w:hint="eastAsia" w:eastAsia="仿宋_GB2312"/>
          <w:color w:val="auto"/>
          <w:sz w:val="32"/>
          <w:szCs w:val="32"/>
          <w:lang w:val="en-US" w:eastAsia="zh-CN"/>
        </w:rPr>
        <w:t>/炽灼残渣</w:t>
      </w:r>
      <w:r>
        <w:rPr>
          <w:rFonts w:hint="eastAsia" w:ascii="Times New Roman" w:hAnsi="Times New Roman" w:eastAsia="仿宋_GB2312"/>
          <w:color w:val="auto"/>
          <w:sz w:val="32"/>
          <w:szCs w:val="32"/>
        </w:rPr>
        <w:t>等）</w:t>
      </w:r>
    </w:p>
    <w:p>
      <w:pPr>
        <w:widowControl/>
        <w:spacing w:line="520" w:lineRule="exact"/>
        <w:ind w:firstLine="640" w:firstLineChars="200"/>
        <w:jc w:val="left"/>
        <w:rPr>
          <w:rFonts w:hint="eastAsia" w:eastAsia="仿宋_GB2312"/>
          <w:color w:val="auto"/>
          <w:sz w:val="32"/>
          <w:szCs w:val="32"/>
          <w:lang w:val="en-US" w:eastAsia="zh-CN"/>
        </w:rPr>
      </w:pPr>
      <w:r>
        <w:rPr>
          <w:rFonts w:hint="eastAsia" w:eastAsia="仿宋_GB2312"/>
          <w:color w:val="auto"/>
          <w:sz w:val="32"/>
          <w:szCs w:val="32"/>
          <w:lang w:val="en-US" w:eastAsia="zh-CN"/>
        </w:rPr>
        <w:t>（7）</w:t>
      </w:r>
      <w:r>
        <w:rPr>
          <w:rFonts w:hint="eastAsia" w:ascii="Times New Roman" w:eastAsia="仿宋_GB2312"/>
          <w:color w:val="auto"/>
          <w:sz w:val="32"/>
          <w:szCs w:val="32"/>
          <w:lang w:val="en-US" w:eastAsia="zh-CN"/>
        </w:rPr>
        <w:t>碘吸附值</w:t>
      </w:r>
    </w:p>
    <w:p>
      <w:pPr>
        <w:widowControl/>
        <w:spacing w:line="520" w:lineRule="exact"/>
        <w:ind w:firstLine="640" w:firstLineChars="200"/>
        <w:jc w:val="left"/>
        <w:rPr>
          <w:rFonts w:hint="eastAsia" w:eastAsia="仿宋_GB2312"/>
          <w:color w:val="auto"/>
          <w:kern w:val="2"/>
          <w:sz w:val="32"/>
          <w:szCs w:val="32"/>
          <w:lang w:val="en-US" w:eastAsia="zh-CN"/>
        </w:rPr>
      </w:pPr>
      <w:r>
        <w:rPr>
          <w:rFonts w:hint="eastAsia" w:eastAsia="仿宋_GB2312"/>
          <w:color w:val="auto"/>
          <w:kern w:val="2"/>
          <w:sz w:val="32"/>
          <w:szCs w:val="32"/>
          <w:lang w:val="en-US" w:eastAsia="zh-CN"/>
        </w:rPr>
        <w:t>（8）</w:t>
      </w:r>
      <w:r>
        <w:rPr>
          <w:rFonts w:hint="default" w:ascii="Times New Roman" w:hAnsi="Times New Roman" w:eastAsia="仿宋_GB2312"/>
          <w:color w:val="auto"/>
          <w:kern w:val="2"/>
          <w:sz w:val="32"/>
          <w:szCs w:val="32"/>
          <w:lang w:val="en-US" w:eastAsia="zh-CN"/>
        </w:rPr>
        <w:t>无菌（或微生物指标）</w:t>
      </w:r>
    </w:p>
    <w:p>
      <w:pPr>
        <w:widowControl/>
        <w:spacing w:line="520" w:lineRule="exact"/>
        <w:ind w:firstLine="640" w:firstLineChars="200"/>
        <w:jc w:val="left"/>
        <w:rPr>
          <w:rFonts w:hint="eastAsia" w:eastAsia="仿宋_GB2312"/>
          <w:color w:val="auto"/>
          <w:szCs w:val="32"/>
          <w:lang w:val="en-US" w:eastAsia="zh-CN"/>
        </w:rPr>
      </w:pPr>
      <w:r>
        <w:rPr>
          <w:rFonts w:hint="eastAsia" w:eastAsia="仿宋_GB2312"/>
          <w:color w:val="auto"/>
          <w:szCs w:val="32"/>
          <w:lang w:val="en-US" w:eastAsia="zh-CN"/>
        </w:rPr>
        <w:t>（</w:t>
      </w:r>
      <w:r>
        <w:rPr>
          <w:rFonts w:hint="eastAsia" w:eastAsia="仿宋_GB2312"/>
          <w:color w:val="auto"/>
          <w:szCs w:val="32"/>
          <w:highlight w:val="none"/>
          <w:lang w:val="en-US" w:eastAsia="zh-CN"/>
        </w:rPr>
        <w:t>9）</w:t>
      </w:r>
      <w:r>
        <w:rPr>
          <w:rFonts w:hint="default" w:eastAsia="仿宋_GB2312"/>
          <w:color w:val="auto"/>
          <w:szCs w:val="32"/>
          <w:highlight w:val="none"/>
          <w:lang w:val="en-US"/>
        </w:rPr>
        <w:t>阻菌性</w:t>
      </w:r>
      <w:r>
        <w:rPr>
          <w:rFonts w:hint="default" w:eastAsia="仿宋_GB2312"/>
          <w:color w:val="auto"/>
          <w:szCs w:val="32"/>
          <w:lang w:val="en-US"/>
        </w:rPr>
        <w:t>（如适用）</w:t>
      </w:r>
    </w:p>
    <w:p>
      <w:pPr>
        <w:widowControl/>
        <w:spacing w:line="520" w:lineRule="exact"/>
        <w:ind w:firstLine="640" w:firstLineChars="200"/>
        <w:jc w:val="left"/>
        <w:rPr>
          <w:rFonts w:eastAsia="仿宋_GB2312"/>
          <w:color w:val="auto"/>
          <w:szCs w:val="32"/>
        </w:rPr>
      </w:pPr>
      <w:r>
        <w:rPr>
          <w:rFonts w:hint="eastAsia" w:eastAsia="仿宋_GB2312"/>
          <w:color w:val="auto"/>
          <w:sz w:val="32"/>
          <w:szCs w:val="32"/>
          <w:lang w:eastAsia="zh-CN"/>
        </w:rPr>
        <w:t>（</w:t>
      </w:r>
      <w:r>
        <w:rPr>
          <w:rFonts w:hint="eastAsia" w:eastAsia="仿宋_GB2312"/>
          <w:color w:val="auto"/>
          <w:sz w:val="32"/>
          <w:szCs w:val="32"/>
          <w:lang w:val="en-US" w:eastAsia="zh-CN"/>
        </w:rPr>
        <w:t>10</w:t>
      </w:r>
      <w:r>
        <w:rPr>
          <w:rFonts w:hint="eastAsia" w:eastAsia="仿宋_GB2312"/>
          <w:color w:val="auto"/>
          <w:sz w:val="32"/>
          <w:szCs w:val="32"/>
          <w:lang w:eastAsia="zh-CN"/>
        </w:rPr>
        <w:t>）</w:t>
      </w:r>
      <w:r>
        <w:rPr>
          <w:rFonts w:hint="eastAsia" w:ascii="Times New Roman" w:hAnsi="Times New Roman" w:eastAsia="仿宋_GB2312"/>
          <w:color w:val="auto"/>
          <w:sz w:val="32"/>
          <w:szCs w:val="32"/>
        </w:rPr>
        <w:t>如有配合使用的附件（如</w:t>
      </w:r>
      <w:r>
        <w:rPr>
          <w:rFonts w:hint="eastAsia" w:eastAsia="仿宋_GB2312"/>
          <w:color w:val="auto"/>
          <w:sz w:val="32"/>
          <w:szCs w:val="32"/>
          <w:lang w:val="en-US" w:eastAsia="zh-CN"/>
        </w:rPr>
        <w:t>推进器</w:t>
      </w:r>
      <w:r>
        <w:rPr>
          <w:rFonts w:hint="eastAsia" w:eastAsia="仿宋_GB2312"/>
          <w:color w:val="auto"/>
          <w:sz w:val="32"/>
          <w:szCs w:val="32"/>
          <w:lang w:eastAsia="zh-CN"/>
        </w:rPr>
        <w:t>、</w:t>
      </w:r>
      <w:r>
        <w:rPr>
          <w:rFonts w:hint="eastAsia" w:eastAsia="仿宋_GB2312"/>
          <w:color w:val="auto"/>
          <w:sz w:val="32"/>
          <w:szCs w:val="32"/>
          <w:lang w:val="en-US" w:eastAsia="zh-CN"/>
        </w:rPr>
        <w:t>套管</w:t>
      </w:r>
      <w:r>
        <w:rPr>
          <w:rFonts w:hint="eastAsia" w:ascii="Times New Roman" w:hAnsi="Times New Roman" w:eastAsia="仿宋_GB2312"/>
          <w:color w:val="auto"/>
          <w:sz w:val="32"/>
          <w:szCs w:val="32"/>
        </w:rPr>
        <w:t>等）应制定相应要求等。</w:t>
      </w:r>
    </w:p>
    <w:p>
      <w:pPr>
        <w:spacing w:line="520" w:lineRule="exact"/>
        <w:ind w:firstLine="640" w:firstLineChars="200"/>
        <w:rPr>
          <w:color w:val="auto"/>
        </w:rPr>
      </w:pPr>
      <w:r>
        <w:rPr>
          <w:rFonts w:hint="eastAsia" w:ascii="仿宋_GB2312" w:hAnsi="仿宋_GB2312" w:eastAsia="仿宋_GB2312" w:cs="仿宋_GB2312"/>
          <w:color w:val="auto"/>
          <w:sz w:val="32"/>
          <w:szCs w:val="32"/>
        </w:rPr>
        <w:t>注册申请人对宣称的其他技术参数和功能，应在产品技术要求中予以规定等。</w:t>
      </w:r>
    </w:p>
    <w:p>
      <w:pPr>
        <w:pStyle w:val="17"/>
        <w:spacing w:line="520" w:lineRule="exact"/>
        <w:ind w:firstLine="640"/>
        <w:rPr>
          <w:rFonts w:eastAsia="仿宋_GB2312"/>
          <w:color w:val="auto"/>
          <w:sz w:val="32"/>
          <w:szCs w:val="32"/>
        </w:rPr>
      </w:pPr>
      <w:r>
        <w:rPr>
          <w:rFonts w:hint="eastAsia" w:eastAsia="仿宋_GB2312"/>
          <w:color w:val="auto"/>
          <w:sz w:val="32"/>
          <w:szCs w:val="32"/>
        </w:rPr>
        <w:t>3.1.</w:t>
      </w:r>
      <w:r>
        <w:rPr>
          <w:rFonts w:eastAsia="仿宋_GB2312"/>
          <w:color w:val="auto"/>
          <w:sz w:val="32"/>
          <w:szCs w:val="32"/>
        </w:rPr>
        <w:t>3附录</w:t>
      </w:r>
    </w:p>
    <w:p>
      <w:pPr>
        <w:widowControl/>
        <w:spacing w:line="520" w:lineRule="exact"/>
        <w:ind w:firstLine="640" w:firstLineChars="200"/>
        <w:jc w:val="left"/>
        <w:rPr>
          <w:rFonts w:eastAsia="仿宋_GB2312"/>
          <w:color w:val="auto"/>
          <w:szCs w:val="32"/>
        </w:rPr>
      </w:pPr>
      <w:r>
        <w:rPr>
          <w:rFonts w:hint="eastAsia" w:ascii="仿宋_GB2312" w:hAnsi="仿宋_GB2312" w:eastAsia="仿宋_GB2312" w:cs="仿宋_GB2312"/>
          <w:color w:val="auto"/>
          <w:sz w:val="32"/>
          <w:szCs w:val="32"/>
        </w:rPr>
        <w:t>产品技术要求建议设置附录，</w:t>
      </w:r>
      <w:r>
        <w:rPr>
          <w:rFonts w:hint="eastAsia" w:ascii="仿宋_GB2312" w:hAnsi="仿宋_GB2312" w:eastAsia="仿宋_GB2312" w:cs="仿宋_GB2312"/>
          <w:color w:val="auto"/>
          <w:sz w:val="32"/>
          <w:szCs w:val="32"/>
          <w:lang w:eastAsia="zh-CN"/>
        </w:rPr>
        <w:t>列明产品的结构示意图、灭菌方式、</w:t>
      </w:r>
      <w:r>
        <w:rPr>
          <w:rFonts w:hint="eastAsia" w:ascii="仿宋_GB2312" w:hAnsi="仿宋_GB2312" w:eastAsia="仿宋_GB2312" w:cs="仿宋_GB2312"/>
          <w:color w:val="auto"/>
          <w:sz w:val="32"/>
          <w:szCs w:val="32"/>
        </w:rPr>
        <w:t>产品</w:t>
      </w:r>
      <w:r>
        <w:rPr>
          <w:rFonts w:hint="eastAsia" w:ascii="仿宋_GB2312" w:hAnsi="仿宋_GB2312" w:eastAsia="仿宋_GB2312" w:cs="仿宋_GB2312"/>
          <w:color w:val="auto"/>
          <w:sz w:val="32"/>
          <w:szCs w:val="32"/>
          <w:lang w:eastAsia="zh-CN"/>
        </w:rPr>
        <w:t>碘吸附值测定方法</w:t>
      </w:r>
      <w:r>
        <w:rPr>
          <w:rFonts w:hint="eastAsia" w:ascii="仿宋_GB2312" w:hAnsi="仿宋_GB2312" w:eastAsia="仿宋_GB2312" w:cs="仿宋_GB2312"/>
          <w:color w:val="auto"/>
          <w:sz w:val="32"/>
          <w:szCs w:val="32"/>
        </w:rPr>
        <w:t>等信息。</w:t>
      </w:r>
    </w:p>
    <w:p>
      <w:pPr>
        <w:spacing w:line="520" w:lineRule="exact"/>
        <w:ind w:firstLine="640" w:firstLineChars="200"/>
        <w:rPr>
          <w:rFonts w:hint="eastAsia" w:ascii="仿宋_GB2312" w:hAnsi="仿宋_GB2312" w:eastAsia="仿宋_GB2312" w:cs="仿宋_GB2312"/>
          <w:color w:val="auto"/>
          <w:sz w:val="32"/>
          <w:szCs w:val="32"/>
        </w:rPr>
      </w:pPr>
      <w:r>
        <w:rPr>
          <w:rFonts w:ascii="Times New Roman" w:hAnsi="Times New Roman" w:eastAsia="仿宋_GB2312"/>
          <w:color w:val="auto"/>
          <w:sz w:val="32"/>
          <w:szCs w:val="32"/>
        </w:rPr>
        <w:t>3.1.4检验方法</w:t>
      </w:r>
    </w:p>
    <w:p>
      <w:pPr>
        <w:spacing w:line="520" w:lineRule="exact"/>
        <w:ind w:firstLine="640" w:firstLineChars="200"/>
        <w:rPr>
          <w:rFonts w:eastAsia="仿宋_GB2312"/>
          <w:color w:val="auto"/>
          <w:szCs w:val="32"/>
        </w:rPr>
      </w:pPr>
      <w:r>
        <w:rPr>
          <w:rFonts w:eastAsia="仿宋_GB2312"/>
          <w:color w:val="auto"/>
          <w:szCs w:val="32"/>
        </w:rPr>
        <w:t>产品的检验方法需根据技术性能指标设定，检验方法需优先采用公认的或已颁布的标准检验方法；自建检验方法需提供相应的方法学依据及理论基础，同时保证检验方法具有可操作性和可重现性，必要时可附相应图示进行说明，文本较大的可以附录形式提供。</w:t>
      </w:r>
    </w:p>
    <w:p>
      <w:pPr>
        <w:pStyle w:val="2"/>
        <w:ind w:left="0" w:leftChars="0" w:firstLine="640" w:firstLineChars="200"/>
        <w:rPr>
          <w:rFonts w:hint="eastAsia" w:eastAsia="仿宋_GB2312"/>
          <w:color w:val="auto"/>
          <w:szCs w:val="32"/>
        </w:rPr>
      </w:pPr>
      <w:r>
        <w:rPr>
          <w:rFonts w:hint="default" w:ascii="Times New Roman" w:hAnsi="Times New Roman" w:eastAsia="仿宋_GB2312"/>
          <w:color w:val="auto"/>
          <w:kern w:val="2"/>
          <w:szCs w:val="32"/>
        </w:rPr>
        <w:t>3.2产品检验报告</w:t>
      </w:r>
    </w:p>
    <w:p>
      <w:pPr>
        <w:spacing w:line="520" w:lineRule="exact"/>
        <w:ind w:firstLine="640" w:firstLineChars="200"/>
        <w:rPr>
          <w:rFonts w:eastAsia="仿宋_GB2312"/>
          <w:color w:val="auto"/>
          <w:szCs w:val="32"/>
        </w:rPr>
      </w:pPr>
      <w:r>
        <w:rPr>
          <w:rFonts w:hint="eastAsia" w:eastAsia="仿宋_GB2312"/>
          <w:color w:val="auto"/>
          <w:szCs w:val="32"/>
        </w:rPr>
        <w:t>可提交注册申请人出具的自检报告或委托有资质的医疗器械检验机构出具的检验报告。若提交自检报告，应按照《医疗器械自检管理规定》的要求提供相关资料。</w:t>
      </w:r>
    </w:p>
    <w:p>
      <w:pPr>
        <w:pStyle w:val="14"/>
        <w:spacing w:line="520" w:lineRule="exact"/>
        <w:ind w:firstLine="640"/>
        <w:rPr>
          <w:color w:val="auto"/>
        </w:rPr>
      </w:pPr>
      <w:r>
        <w:rPr>
          <w:color w:val="auto"/>
        </w:rPr>
        <w:t>3.</w:t>
      </w:r>
      <w:r>
        <w:rPr>
          <w:rFonts w:hint="default"/>
          <w:color w:val="auto"/>
          <w:lang w:val="en-US"/>
        </w:rPr>
        <w:t>3</w:t>
      </w:r>
      <w:r>
        <w:rPr>
          <w:color w:val="auto"/>
        </w:rPr>
        <w:t>同一注册单元内检验典型性产品确定原则</w:t>
      </w:r>
    </w:p>
    <w:p>
      <w:pPr>
        <w:spacing w:line="520" w:lineRule="exact"/>
        <w:ind w:firstLine="640" w:firstLineChars="200"/>
        <w:rPr>
          <w:rFonts w:eastAsia="仿宋_GB2312"/>
          <w:color w:val="auto"/>
          <w:szCs w:val="32"/>
        </w:rPr>
      </w:pPr>
      <w:r>
        <w:rPr>
          <w:rFonts w:eastAsia="仿宋_GB2312"/>
          <w:color w:val="auto"/>
          <w:szCs w:val="32"/>
        </w:rPr>
        <w:t>同一注册单元内所检验的产品应当能够代表本注册单元内其他产品的安全性和有效性，并提供典型性检验样品的确定依据。</w:t>
      </w:r>
    </w:p>
    <w:p>
      <w:pPr>
        <w:spacing w:line="520" w:lineRule="exact"/>
        <w:ind w:firstLine="640" w:firstLineChars="200"/>
        <w:rPr>
          <w:rFonts w:hint="eastAsia" w:eastAsia="仿宋_GB2312"/>
          <w:color w:val="auto"/>
          <w:szCs w:val="32"/>
        </w:rPr>
      </w:pPr>
      <w:r>
        <w:rPr>
          <w:rFonts w:eastAsia="仿宋_GB2312"/>
          <w:color w:val="auto"/>
          <w:szCs w:val="32"/>
        </w:rPr>
        <w:t>4.研究资料</w:t>
      </w:r>
    </w:p>
    <w:p>
      <w:pPr>
        <w:spacing w:line="520" w:lineRule="exact"/>
        <w:ind w:firstLine="640" w:firstLineChars="200"/>
        <w:jc w:val="left"/>
        <w:rPr>
          <w:rFonts w:eastAsia="仿宋_GB2312"/>
          <w:color w:val="auto"/>
          <w:szCs w:val="32"/>
        </w:rPr>
      </w:pPr>
      <w:r>
        <w:rPr>
          <w:rFonts w:eastAsia="仿宋_GB2312"/>
          <w:color w:val="auto"/>
          <w:szCs w:val="32"/>
        </w:rPr>
        <w:t>4.1性能研究</w:t>
      </w:r>
    </w:p>
    <w:p>
      <w:pPr>
        <w:spacing w:line="520" w:lineRule="exact"/>
        <w:ind w:firstLine="640" w:firstLineChars="200"/>
        <w:rPr>
          <w:rFonts w:hint="eastAsia" w:eastAsia="仿宋_GB2312"/>
          <w:color w:val="auto"/>
          <w:szCs w:val="32"/>
        </w:rPr>
      </w:pPr>
      <w:r>
        <w:rPr>
          <w:rFonts w:hint="eastAsia" w:eastAsia="仿宋_GB2312"/>
          <w:color w:val="auto"/>
          <w:szCs w:val="32"/>
        </w:rPr>
        <w:t>应详述产品技术要求中主要性能指标及检验方法的确定依据，提供采用的原因及理论基础，提供涉及的研究性资料、文献资料和标准文本。如适用的国家标准、行业标准中有不采纳的条款，应将不采纳的条款及其理由予以阐明。</w:t>
      </w:r>
    </w:p>
    <w:p>
      <w:pPr>
        <w:spacing w:line="520" w:lineRule="exact"/>
        <w:ind w:firstLine="640" w:firstLineChars="200"/>
        <w:rPr>
          <w:rFonts w:ascii="Times New Roman" w:hAnsi="Times New Roman" w:eastAsia="仿宋_GB2312"/>
          <w:color w:val="auto"/>
          <w:sz w:val="32"/>
          <w:szCs w:val="32"/>
        </w:rPr>
      </w:pPr>
      <w:r>
        <w:rPr>
          <w:rFonts w:hint="eastAsia" w:ascii="仿宋_GB2312" w:hAnsi="仿宋_GB2312" w:eastAsia="仿宋_GB2312" w:cs="仿宋_GB2312"/>
          <w:color w:val="auto"/>
          <w:sz w:val="32"/>
          <w:szCs w:val="32"/>
        </w:rPr>
        <w:t>如有配合使用的附件（</w:t>
      </w:r>
      <w:r>
        <w:rPr>
          <w:rFonts w:hint="eastAsia" w:ascii="Times New Roman" w:hAnsi="Times New Roman" w:eastAsia="仿宋_GB2312"/>
          <w:color w:val="auto"/>
          <w:sz w:val="32"/>
          <w:szCs w:val="32"/>
        </w:rPr>
        <w:t>如推注器等</w:t>
      </w:r>
      <w:r>
        <w:rPr>
          <w:rFonts w:hint="eastAsia" w:ascii="仿宋_GB2312" w:hAnsi="仿宋_GB2312" w:eastAsia="仿宋_GB2312" w:cs="仿宋_GB2312"/>
          <w:color w:val="auto"/>
          <w:sz w:val="32"/>
          <w:szCs w:val="32"/>
        </w:rPr>
        <w:t>）应制定相应要求</w:t>
      </w:r>
      <w:r>
        <w:rPr>
          <w:rFonts w:hint="eastAsia" w:ascii="Times New Roman" w:hAnsi="Times New Roman" w:eastAsia="仿宋_GB2312"/>
          <w:color w:val="auto"/>
          <w:sz w:val="32"/>
          <w:szCs w:val="32"/>
        </w:rPr>
        <w:t>，</w:t>
      </w:r>
      <w:r>
        <w:rPr>
          <w:rFonts w:ascii="Times New Roman" w:hAnsi="Times New Roman" w:eastAsia="仿宋_GB2312"/>
          <w:color w:val="auto"/>
          <w:sz w:val="32"/>
          <w:szCs w:val="32"/>
        </w:rPr>
        <w:t>考虑</w:t>
      </w:r>
      <w:r>
        <w:rPr>
          <w:rFonts w:hint="eastAsia" w:ascii="Times New Roman" w:hAnsi="Times New Roman" w:eastAsia="仿宋_GB2312"/>
          <w:color w:val="auto"/>
          <w:sz w:val="32"/>
          <w:szCs w:val="32"/>
        </w:rPr>
        <w:t>附</w:t>
      </w:r>
      <w:r>
        <w:rPr>
          <w:rFonts w:ascii="Times New Roman" w:hAnsi="Times New Roman" w:eastAsia="仿宋_GB2312"/>
          <w:color w:val="auto"/>
          <w:sz w:val="32"/>
          <w:szCs w:val="32"/>
        </w:rPr>
        <w:t>件与产品的适宜性。</w:t>
      </w:r>
    </w:p>
    <w:p>
      <w:pPr>
        <w:spacing w:line="520" w:lineRule="exact"/>
        <w:ind w:firstLine="640" w:firstLineChars="200"/>
        <w:rPr>
          <w:rFonts w:eastAsia="仿宋_GB2312"/>
          <w:color w:val="auto"/>
          <w:szCs w:val="32"/>
        </w:rPr>
      </w:pPr>
      <w:r>
        <w:rPr>
          <w:rFonts w:eastAsia="仿宋_GB2312"/>
          <w:color w:val="auto"/>
          <w:szCs w:val="32"/>
        </w:rPr>
        <w:t>4.</w:t>
      </w:r>
      <w:r>
        <w:rPr>
          <w:rFonts w:hint="default" w:eastAsia="仿宋_GB2312"/>
          <w:color w:val="auto"/>
          <w:szCs w:val="32"/>
          <w:lang w:val="en-US"/>
        </w:rPr>
        <w:t>2</w:t>
      </w:r>
      <w:r>
        <w:rPr>
          <w:rFonts w:eastAsia="仿宋_GB2312"/>
          <w:color w:val="auto"/>
          <w:szCs w:val="32"/>
        </w:rPr>
        <w:t>生物学特性研究</w:t>
      </w:r>
    </w:p>
    <w:p>
      <w:pPr>
        <w:spacing w:line="52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依据GB/T 16886.1《医疗器械生物学评价 第1部分 风险管理过程中的评价与试验》进行生物相容性评价，并提交研究资料。研究资料应包括：生物相容性评价的依据、项目和方法，产品所用材料的描述及与人体接触的性质，实施或豁免生物学试验的理由和论证，对于现有数据或试验结果的评价。在评价项目选择时，建议考虑产品累积使用的接触时间。产品接触时间是该产品对人体的最大累积作用时间。</w:t>
      </w:r>
    </w:p>
    <w:p>
      <w:pPr>
        <w:spacing w:line="520" w:lineRule="exact"/>
        <w:ind w:firstLine="640" w:firstLineChars="200"/>
        <w:rPr>
          <w:rFonts w:hint="eastAsia"/>
          <w:color w:val="auto"/>
          <w:highlight w:val="yellow"/>
          <w:lang w:eastAsia="zh-CN"/>
        </w:rPr>
      </w:pPr>
      <w:r>
        <w:rPr>
          <w:rFonts w:hint="eastAsia"/>
          <w:color w:val="auto"/>
        </w:rPr>
        <w:t>应按照GB/T 16886.1要求的评价路径完成相应产品生物学评价，</w:t>
      </w:r>
      <w:r>
        <w:rPr>
          <w:rFonts w:hint="eastAsia"/>
          <w:strike w:val="0"/>
          <w:color w:val="auto"/>
          <w:highlight w:val="none"/>
        </w:rPr>
        <w:t>对于需要开展生物学试验的</w:t>
      </w:r>
      <w:r>
        <w:rPr>
          <w:rFonts w:hint="eastAsia"/>
          <w:color w:val="auto"/>
        </w:rPr>
        <w:t>，按照器械与人体的不同接触时间和接触方式来选择合适的生物学试验方法</w:t>
      </w:r>
      <w:r>
        <w:rPr>
          <w:rFonts w:hint="eastAsia"/>
          <w:color w:val="auto"/>
          <w:lang w:eastAsia="zh-CN"/>
        </w:rPr>
        <w:t>。</w:t>
      </w:r>
    </w:p>
    <w:p>
      <w:pPr>
        <w:spacing w:line="520" w:lineRule="exact"/>
        <w:ind w:firstLine="640" w:firstLineChars="200"/>
        <w:rPr>
          <w:rFonts w:hint="eastAsia" w:eastAsia="仿宋_GB2312"/>
          <w:color w:val="auto"/>
          <w:sz w:val="32"/>
          <w:szCs w:val="32"/>
          <w:lang w:val="en-US" w:eastAsia="zh-CN"/>
        </w:rPr>
      </w:pPr>
      <w:r>
        <w:rPr>
          <w:rFonts w:hint="eastAsia" w:eastAsia="仿宋_GB2312"/>
          <w:color w:val="auto"/>
          <w:sz w:val="32"/>
          <w:szCs w:val="32"/>
          <w:lang w:val="en-US" w:eastAsia="zh-CN"/>
        </w:rPr>
        <w:t>4.3微生物吸附性研究</w:t>
      </w:r>
    </w:p>
    <w:p>
      <w:pPr>
        <w:spacing w:line="520" w:lineRule="exact"/>
        <w:ind w:firstLine="640" w:firstLineChars="200"/>
        <w:rPr>
          <w:rFonts w:hint="default" w:eastAsia="仿宋_GB2312"/>
          <w:color w:val="auto"/>
          <w:sz w:val="32"/>
          <w:szCs w:val="32"/>
          <w:lang w:val="en-US" w:eastAsia="zh-CN"/>
        </w:rPr>
      </w:pPr>
      <w:r>
        <w:rPr>
          <w:rFonts w:hint="eastAsia" w:eastAsia="仿宋_GB2312"/>
          <w:color w:val="auto"/>
          <w:sz w:val="32"/>
          <w:szCs w:val="32"/>
          <w:lang w:val="en-US" w:eastAsia="zh-CN"/>
        </w:rPr>
        <w:t>应说明材料的吸附机理，提供在模拟阴道环境下对常见的阴道致病微生物（如金黄色葡萄球菌、白色念珠菌等）的吸附效果评价数据，如微生物浓度下降率。</w:t>
      </w:r>
    </w:p>
    <w:p>
      <w:pPr>
        <w:spacing w:line="520" w:lineRule="exact"/>
        <w:ind w:firstLine="640" w:firstLineChars="200"/>
        <w:rPr>
          <w:rFonts w:hint="default" w:eastAsia="仿宋_GB2312"/>
          <w:color w:val="auto"/>
          <w:sz w:val="32"/>
          <w:szCs w:val="32"/>
          <w:lang w:val="en-US" w:eastAsia="zh-CN"/>
        </w:rPr>
      </w:pPr>
      <w:r>
        <w:rPr>
          <w:rFonts w:hint="eastAsia" w:eastAsia="仿宋_GB2312"/>
          <w:color w:val="auto"/>
          <w:sz w:val="32"/>
          <w:szCs w:val="32"/>
          <w:lang w:val="en-US" w:eastAsia="zh-CN"/>
        </w:rPr>
        <w:t>4.4活性炭脱落相关研究</w:t>
      </w:r>
    </w:p>
    <w:p>
      <w:pPr>
        <w:spacing w:line="520" w:lineRule="exact"/>
        <w:ind w:firstLine="640" w:firstLineChars="200"/>
        <w:outlineLvl w:val="9"/>
        <w:rPr>
          <w:rFonts w:hint="eastAsia" w:ascii="Times New Roman" w:hAnsi="Times New Roman" w:eastAsia="仿宋_GB2312"/>
          <w:color w:val="auto"/>
          <w:sz w:val="32"/>
          <w:szCs w:val="32"/>
        </w:rPr>
      </w:pPr>
      <w:r>
        <w:rPr>
          <w:rFonts w:hint="eastAsia" w:eastAsia="仿宋_GB2312"/>
          <w:color w:val="auto"/>
          <w:szCs w:val="32"/>
          <w:lang w:eastAsia="zh-CN"/>
        </w:rPr>
        <w:t>对于含有活性炭、活性炭纤维等材质的阴道填塞材料，应模拟产品在湿润、摩擦、牵拉及取出等临床使用场景，采用定量（如活性炭脱落率测定）与定性（如掉屑检查、包覆完整性评价等）相结合的方式，研究和评价炭纤维或炭屑析出风险。</w:t>
      </w:r>
    </w:p>
    <w:p>
      <w:pPr>
        <w:spacing w:line="520" w:lineRule="exact"/>
        <w:ind w:firstLine="640" w:firstLineChars="200"/>
        <w:outlineLvl w:val="2"/>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4.</w:t>
      </w:r>
      <w:r>
        <w:rPr>
          <w:rFonts w:hint="eastAsia" w:eastAsia="仿宋_GB2312"/>
          <w:color w:val="auto"/>
          <w:sz w:val="32"/>
          <w:szCs w:val="32"/>
          <w:lang w:val="en-US" w:eastAsia="zh-CN"/>
        </w:rPr>
        <w:t>5</w:t>
      </w:r>
      <w:r>
        <w:rPr>
          <w:rFonts w:hint="eastAsia" w:ascii="Times New Roman" w:hAnsi="Times New Roman" w:eastAsia="仿宋_GB2312"/>
          <w:color w:val="auto"/>
          <w:sz w:val="32"/>
          <w:szCs w:val="32"/>
        </w:rPr>
        <w:t>生物安全性</w:t>
      </w:r>
      <w:r>
        <w:rPr>
          <w:rFonts w:ascii="Times New Roman" w:hAnsi="Times New Roman" w:eastAsia="仿宋_GB2312"/>
          <w:color w:val="auto"/>
          <w:sz w:val="32"/>
          <w:szCs w:val="32"/>
        </w:rPr>
        <w:t>研究</w:t>
      </w:r>
      <w:r>
        <w:rPr>
          <w:rFonts w:hint="eastAsia" w:ascii="Times New Roman" w:hAnsi="Times New Roman" w:eastAsia="仿宋_GB2312"/>
          <w:color w:val="auto"/>
          <w:sz w:val="32"/>
          <w:szCs w:val="32"/>
        </w:rPr>
        <w:t>（如适用）</w:t>
      </w:r>
    </w:p>
    <w:p>
      <w:pPr>
        <w:spacing w:line="520" w:lineRule="exact"/>
        <w:ind w:firstLine="640" w:firstLineChars="200"/>
        <w:rPr>
          <w:rFonts w:eastAsia="仿宋_GB2312"/>
          <w:color w:val="auto"/>
          <w:szCs w:val="32"/>
        </w:rPr>
      </w:pPr>
      <w:r>
        <w:rPr>
          <w:rFonts w:hint="eastAsia" w:ascii="Times New Roman" w:hAnsi="Times New Roman" w:eastAsia="仿宋_GB2312"/>
          <w:color w:val="auto"/>
          <w:sz w:val="32"/>
          <w:szCs w:val="32"/>
        </w:rPr>
        <w:t>若申报产品含有动物源性材料，</w:t>
      </w:r>
      <w:r>
        <w:rPr>
          <w:rFonts w:hint="eastAsia" w:ascii="Times New Roman" w:hAnsi="Times New Roman" w:eastAsia="仿宋_GB2312"/>
          <w:bCs/>
          <w:color w:val="auto"/>
          <w:sz w:val="32"/>
          <w:szCs w:val="32"/>
        </w:rPr>
        <w:t>应</w:t>
      </w:r>
      <w:r>
        <w:rPr>
          <w:rFonts w:hint="eastAsia" w:ascii="Times New Roman" w:hAnsi="Times New Roman" w:eastAsia="仿宋_GB2312"/>
          <w:color w:val="auto"/>
          <w:sz w:val="32"/>
          <w:szCs w:val="32"/>
        </w:rPr>
        <w:t>参照《动物源性医疗器械注册技术审查指导原则》进行相应研究。说明原材料的来源，并描述生产过程中对病毒、其他病原体及免疫原性物质去除或灭活方法的验证过程，及对工艺验证的简要总结。此项可由注册申请人对产品进行研究，也可由原材料供应商提供相应研究资料。</w:t>
      </w:r>
    </w:p>
    <w:p>
      <w:pPr>
        <w:spacing w:line="520" w:lineRule="exact"/>
        <w:ind w:firstLine="640" w:firstLineChars="200"/>
        <w:rPr>
          <w:rFonts w:hint="eastAsia" w:eastAsia="仿宋_GB2312"/>
          <w:color w:val="auto"/>
          <w:szCs w:val="32"/>
          <w:lang w:eastAsia="zh-CN"/>
        </w:rPr>
      </w:pPr>
      <w:r>
        <w:rPr>
          <w:rFonts w:eastAsia="仿宋_GB2312"/>
          <w:color w:val="auto"/>
          <w:szCs w:val="32"/>
        </w:rPr>
        <w:t>4.</w:t>
      </w:r>
      <w:r>
        <w:rPr>
          <w:rFonts w:hint="eastAsia" w:eastAsia="仿宋_GB2312"/>
          <w:color w:val="auto"/>
          <w:szCs w:val="32"/>
          <w:lang w:val="en-US" w:eastAsia="zh-CN"/>
        </w:rPr>
        <w:t>6</w:t>
      </w:r>
      <w:r>
        <w:rPr>
          <w:rFonts w:eastAsia="仿宋_GB2312"/>
          <w:color w:val="auto"/>
          <w:szCs w:val="32"/>
        </w:rPr>
        <w:t>灭菌</w:t>
      </w:r>
      <w:r>
        <w:rPr>
          <w:rFonts w:hint="eastAsia" w:eastAsia="仿宋_GB2312"/>
          <w:color w:val="auto"/>
          <w:szCs w:val="32"/>
          <w:lang w:eastAsia="zh-CN"/>
        </w:rPr>
        <w:t>工艺</w:t>
      </w:r>
      <w:r>
        <w:rPr>
          <w:rFonts w:eastAsia="仿宋_GB2312"/>
          <w:color w:val="auto"/>
          <w:szCs w:val="32"/>
        </w:rPr>
        <w:t>研究</w:t>
      </w:r>
      <w:r>
        <w:rPr>
          <w:rFonts w:hint="eastAsia" w:eastAsia="仿宋_GB2312"/>
          <w:color w:val="auto"/>
          <w:szCs w:val="32"/>
          <w:lang w:eastAsia="zh-CN"/>
        </w:rPr>
        <w:t>（如适用）</w:t>
      </w:r>
    </w:p>
    <w:p>
      <w:pPr>
        <w:tabs>
          <w:tab w:val="left" w:pos="540"/>
        </w:tabs>
        <w:spacing w:line="520" w:lineRule="exact"/>
        <w:ind w:firstLine="640" w:firstLineChars="200"/>
        <w:rPr>
          <w:rFonts w:ascii="宋体" w:hAnsi="宋体" w:eastAsia="仿宋_GB2312"/>
          <w:color w:val="auto"/>
          <w:kern w:val="0"/>
          <w:sz w:val="32"/>
          <w:szCs w:val="32"/>
        </w:rPr>
      </w:pPr>
      <w:r>
        <w:rPr>
          <w:rFonts w:ascii="Times New Roman" w:hAnsi="Times New Roman" w:eastAsia="仿宋_GB2312"/>
          <w:color w:val="auto"/>
          <w:sz w:val="32"/>
          <w:szCs w:val="32"/>
        </w:rPr>
        <w:t>以无菌形式提供的产品，</w:t>
      </w:r>
      <w:r>
        <w:rPr>
          <w:rFonts w:hint="eastAsia" w:ascii="Times New Roman" w:hAnsi="Times New Roman" w:eastAsia="仿宋_GB2312"/>
          <w:color w:val="auto"/>
          <w:sz w:val="32"/>
          <w:szCs w:val="32"/>
        </w:rPr>
        <w:t>应</w:t>
      </w:r>
      <w:r>
        <w:rPr>
          <w:rFonts w:ascii="宋体" w:hAnsi="宋体" w:eastAsia="仿宋_GB2312"/>
          <w:color w:val="auto"/>
          <w:kern w:val="0"/>
          <w:sz w:val="32"/>
          <w:szCs w:val="32"/>
        </w:rPr>
        <w:t>提交产品包装及灭菌方法选择的依据，经过确认并进行常规控制，开展以下方面的确认：</w:t>
      </w:r>
    </w:p>
    <w:p>
      <w:pPr>
        <w:pStyle w:val="4"/>
        <w:spacing w:line="520" w:lineRule="exact"/>
        <w:ind w:firstLine="640" w:firstLineChars="200"/>
        <w:rPr>
          <w:rFonts w:ascii="Times New Roman" w:hAnsi="Times New Roman"/>
          <w:color w:val="auto"/>
          <w:sz w:val="32"/>
          <w:szCs w:val="32"/>
        </w:rPr>
      </w:pPr>
      <w:r>
        <w:rPr>
          <w:rFonts w:ascii="Times New Roman" w:hAnsi="Times New Roman"/>
          <w:color w:val="auto"/>
          <w:sz w:val="32"/>
          <w:szCs w:val="32"/>
        </w:rPr>
        <w:t>4.</w:t>
      </w:r>
      <w:r>
        <w:rPr>
          <w:rFonts w:hint="default" w:ascii="Times New Roman" w:hAnsi="Times New Roman"/>
          <w:color w:val="auto"/>
          <w:sz w:val="32"/>
          <w:szCs w:val="32"/>
          <w:lang w:val="en-US"/>
        </w:rPr>
        <w:t>4</w:t>
      </w:r>
      <w:r>
        <w:rPr>
          <w:rFonts w:hint="eastAsia" w:ascii="Times New Roman" w:hAnsi="Times New Roman"/>
          <w:color w:val="auto"/>
          <w:sz w:val="32"/>
          <w:szCs w:val="32"/>
        </w:rPr>
        <w:t>.1</w:t>
      </w:r>
      <w:r>
        <w:rPr>
          <w:rFonts w:ascii="Times New Roman" w:hAnsi="Times New Roman"/>
          <w:color w:val="auto"/>
          <w:sz w:val="32"/>
          <w:szCs w:val="32"/>
        </w:rPr>
        <w:t>产品与灭菌过程的适应性：应考察灭菌方法等工艺过程对于产品的影响。</w:t>
      </w:r>
    </w:p>
    <w:p>
      <w:pPr>
        <w:pStyle w:val="4"/>
        <w:spacing w:line="520" w:lineRule="exact"/>
        <w:ind w:firstLine="640" w:firstLineChars="200"/>
        <w:rPr>
          <w:rFonts w:ascii="Times New Roman" w:hAnsi="Times New Roman"/>
          <w:color w:val="auto"/>
          <w:sz w:val="32"/>
          <w:szCs w:val="32"/>
        </w:rPr>
      </w:pPr>
      <w:r>
        <w:rPr>
          <w:rFonts w:ascii="Times New Roman" w:hAnsi="Times New Roman"/>
          <w:color w:val="auto"/>
          <w:sz w:val="32"/>
          <w:szCs w:val="32"/>
        </w:rPr>
        <w:t>4.</w:t>
      </w:r>
      <w:r>
        <w:rPr>
          <w:rFonts w:hint="default" w:ascii="Times New Roman" w:hAnsi="Times New Roman"/>
          <w:color w:val="auto"/>
          <w:sz w:val="32"/>
          <w:szCs w:val="32"/>
          <w:lang w:val="en-US"/>
        </w:rPr>
        <w:t>4</w:t>
      </w:r>
      <w:r>
        <w:rPr>
          <w:rFonts w:hint="eastAsia" w:ascii="Times New Roman" w:hAnsi="Times New Roman"/>
          <w:color w:val="auto"/>
          <w:sz w:val="32"/>
          <w:szCs w:val="32"/>
        </w:rPr>
        <w:t>.2</w:t>
      </w:r>
      <w:r>
        <w:rPr>
          <w:rFonts w:ascii="Times New Roman" w:hAnsi="Times New Roman"/>
          <w:color w:val="auto"/>
          <w:sz w:val="32"/>
          <w:szCs w:val="32"/>
        </w:rPr>
        <w:t>包装与灭菌过程的适应性。</w:t>
      </w:r>
    </w:p>
    <w:p>
      <w:pPr>
        <w:spacing w:line="520" w:lineRule="exact"/>
        <w:ind w:firstLine="640" w:firstLineChars="200"/>
        <w:rPr>
          <w:rFonts w:hint="eastAsia" w:ascii="Times New Roman" w:hAnsi="Times New Roman" w:eastAsia="仿宋_GB2312"/>
          <w:color w:val="auto"/>
          <w:sz w:val="32"/>
          <w:szCs w:val="32"/>
          <w:lang w:eastAsia="zh-CN"/>
        </w:rPr>
      </w:pPr>
      <w:r>
        <w:rPr>
          <w:rFonts w:ascii="Times New Roman" w:hAnsi="Times New Roman" w:eastAsia="仿宋_GB2312"/>
          <w:color w:val="auto"/>
          <w:sz w:val="32"/>
          <w:szCs w:val="32"/>
        </w:rPr>
        <w:t>4.</w:t>
      </w:r>
      <w:r>
        <w:rPr>
          <w:rFonts w:hint="default" w:eastAsia="仿宋_GB2312"/>
          <w:color w:val="auto"/>
          <w:sz w:val="32"/>
          <w:szCs w:val="32"/>
          <w:lang w:val="en-US"/>
        </w:rPr>
        <w:t>4</w:t>
      </w:r>
      <w:r>
        <w:rPr>
          <w:rFonts w:hint="eastAsia" w:ascii="Times New Roman" w:hAnsi="Times New Roman"/>
          <w:color w:val="auto"/>
          <w:sz w:val="32"/>
          <w:szCs w:val="32"/>
        </w:rPr>
        <w:t>.3</w:t>
      </w:r>
      <w:r>
        <w:rPr>
          <w:rFonts w:ascii="Times New Roman" w:hAnsi="Times New Roman" w:eastAsia="仿宋_GB2312"/>
          <w:color w:val="auto"/>
          <w:kern w:val="0"/>
          <w:sz w:val="32"/>
          <w:szCs w:val="32"/>
        </w:rPr>
        <w:t>应明确灭菌工艺（方法和参数）和无菌保证水平（SAL），无菌保证水平（SAL）应达到10</w:t>
      </w:r>
      <w:r>
        <w:rPr>
          <w:rFonts w:ascii="Times New Roman" w:hAnsi="Times New Roman" w:eastAsia="仿宋_GB2312"/>
          <w:color w:val="auto"/>
          <w:kern w:val="0"/>
          <w:sz w:val="32"/>
          <w:szCs w:val="32"/>
          <w:vertAlign w:val="superscript"/>
        </w:rPr>
        <w:t>-6</w:t>
      </w:r>
      <w:r>
        <w:rPr>
          <w:rFonts w:ascii="Times New Roman" w:hAnsi="Times New Roman" w:eastAsia="仿宋_GB2312"/>
          <w:color w:val="auto"/>
          <w:kern w:val="0"/>
          <w:sz w:val="32"/>
          <w:szCs w:val="32"/>
        </w:rPr>
        <w:t>，提供灭菌确认报告。</w:t>
      </w:r>
      <w:r>
        <w:rPr>
          <w:rFonts w:ascii="Times New Roman" w:hAnsi="Times New Roman" w:eastAsia="仿宋_GB2312"/>
          <w:color w:val="auto"/>
          <w:sz w:val="32"/>
          <w:szCs w:val="32"/>
        </w:rPr>
        <w:t>可根据适用情况选择不同的灭菌方式</w:t>
      </w:r>
      <w:r>
        <w:rPr>
          <w:rFonts w:hint="eastAsia" w:eastAsia="仿宋_GB2312"/>
          <w:color w:val="auto"/>
          <w:sz w:val="32"/>
          <w:szCs w:val="32"/>
          <w:lang w:eastAsia="zh-CN"/>
        </w:rPr>
        <w:t>。</w:t>
      </w:r>
    </w:p>
    <w:p>
      <w:pPr>
        <w:spacing w:line="520" w:lineRule="exact"/>
        <w:ind w:firstLine="640" w:firstLineChars="200"/>
        <w:rPr>
          <w:rFonts w:hint="eastAsia" w:eastAsia="仿宋_GB2312"/>
          <w:color w:val="auto"/>
          <w:szCs w:val="32"/>
          <w:lang w:eastAsia="zh-CN"/>
        </w:rPr>
      </w:pPr>
      <w:r>
        <w:rPr>
          <w:rFonts w:eastAsia="仿宋_GB2312"/>
          <w:color w:val="auto"/>
          <w:szCs w:val="32"/>
        </w:rPr>
        <w:t>4.</w:t>
      </w:r>
      <w:r>
        <w:rPr>
          <w:rFonts w:hint="eastAsia" w:eastAsia="仿宋_GB2312"/>
          <w:color w:val="auto"/>
          <w:szCs w:val="32"/>
          <w:lang w:val="en-US" w:eastAsia="zh-CN"/>
        </w:rPr>
        <w:t>7</w:t>
      </w:r>
      <w:r>
        <w:rPr>
          <w:rFonts w:eastAsia="仿宋_GB2312"/>
          <w:color w:val="auto"/>
          <w:szCs w:val="32"/>
        </w:rPr>
        <w:t>动物试验研究</w:t>
      </w:r>
      <w:r>
        <w:rPr>
          <w:rFonts w:hint="eastAsia" w:eastAsia="仿宋_GB2312"/>
          <w:color w:val="auto"/>
          <w:szCs w:val="32"/>
          <w:lang w:eastAsia="zh-CN"/>
        </w:rPr>
        <w:t>（如适用）</w:t>
      </w:r>
    </w:p>
    <w:p>
      <w:pPr>
        <w:spacing w:line="520" w:lineRule="exact"/>
        <w:ind w:firstLine="640" w:firstLineChars="200"/>
        <w:rPr>
          <w:rFonts w:eastAsia="仿宋_GB2312"/>
          <w:color w:val="auto"/>
          <w:szCs w:val="32"/>
        </w:rPr>
      </w:pPr>
      <w:r>
        <w:rPr>
          <w:rFonts w:eastAsia="仿宋_GB2312"/>
          <w:color w:val="auto"/>
          <w:szCs w:val="32"/>
        </w:rPr>
        <w:t>请根据《</w:t>
      </w:r>
      <w:r>
        <w:rPr>
          <w:rFonts w:eastAsia="仿宋_GB2312"/>
          <w:color w:val="auto"/>
          <w:szCs w:val="32"/>
          <w:highlight w:val="none"/>
        </w:rPr>
        <w:t>医疗器械动物试验研究技术审查指导原则第一部分：决策原则</w:t>
      </w:r>
      <w:r>
        <w:rPr>
          <w:rFonts w:eastAsia="仿宋_GB2312"/>
          <w:color w:val="auto"/>
          <w:szCs w:val="32"/>
        </w:rPr>
        <w:t>》要求，结合动物试验“替代、减少和优化”原则及医疗器械风险管理原则判定开展动物试验的必要性。如需开展动物试验，请参照《医疗器械动物试验研究技术审查指导原则第二部分：实验设计、实施质量保证》进行研究方案设计和实施质量保证工作</w:t>
      </w:r>
      <w:r>
        <w:rPr>
          <w:rFonts w:hint="eastAsia" w:eastAsia="仿宋_GB2312"/>
          <w:color w:val="auto"/>
          <w:szCs w:val="32"/>
          <w:lang w:eastAsia="zh-CN"/>
        </w:rPr>
        <w:t>，提交动物模型选择依据，并结合产品预期用途明确产品安全性和有效性评价指标</w:t>
      </w:r>
      <w:r>
        <w:rPr>
          <w:rFonts w:eastAsia="仿宋_GB2312"/>
          <w:color w:val="auto"/>
          <w:szCs w:val="32"/>
        </w:rPr>
        <w:t>。具体产品适用情形还可参考相关医疗器械产品技术审查指导原则。</w:t>
      </w:r>
    </w:p>
    <w:p>
      <w:pPr>
        <w:spacing w:line="520" w:lineRule="exact"/>
        <w:ind w:firstLine="640" w:firstLineChars="200"/>
        <w:rPr>
          <w:rFonts w:eastAsia="仿宋_GB2312"/>
          <w:color w:val="auto"/>
          <w:szCs w:val="32"/>
        </w:rPr>
      </w:pPr>
      <w:r>
        <w:rPr>
          <w:rFonts w:eastAsia="仿宋_GB2312"/>
          <w:color w:val="auto"/>
          <w:szCs w:val="32"/>
        </w:rPr>
        <w:t>4.</w:t>
      </w:r>
      <w:r>
        <w:rPr>
          <w:rFonts w:hint="eastAsia" w:eastAsia="仿宋_GB2312"/>
          <w:color w:val="auto"/>
          <w:szCs w:val="32"/>
          <w:lang w:val="en-US" w:eastAsia="zh-CN"/>
        </w:rPr>
        <w:t>8</w:t>
      </w:r>
      <w:r>
        <w:rPr>
          <w:rFonts w:eastAsia="仿宋_GB2312"/>
          <w:color w:val="auto"/>
          <w:szCs w:val="32"/>
        </w:rPr>
        <w:t>稳定性研究</w:t>
      </w:r>
    </w:p>
    <w:p>
      <w:pPr>
        <w:spacing w:line="520" w:lineRule="exact"/>
        <w:ind w:firstLine="640" w:firstLineChars="200"/>
        <w:rPr>
          <w:rFonts w:eastAsia="仿宋_GB2312"/>
          <w:color w:val="auto"/>
          <w:szCs w:val="32"/>
        </w:rPr>
      </w:pPr>
      <w:r>
        <w:rPr>
          <w:rFonts w:eastAsia="仿宋_GB2312"/>
          <w:color w:val="auto"/>
          <w:szCs w:val="32"/>
        </w:rPr>
        <w:t>4.</w:t>
      </w:r>
      <w:r>
        <w:rPr>
          <w:rFonts w:hint="eastAsia" w:eastAsia="仿宋_GB2312"/>
          <w:color w:val="auto"/>
          <w:szCs w:val="32"/>
          <w:lang w:val="en-US" w:eastAsia="zh-CN"/>
        </w:rPr>
        <w:t>8</w:t>
      </w:r>
      <w:r>
        <w:rPr>
          <w:rFonts w:eastAsia="仿宋_GB2312"/>
          <w:color w:val="auto"/>
          <w:szCs w:val="32"/>
        </w:rPr>
        <w:t>.1货架有效期</w:t>
      </w:r>
    </w:p>
    <w:p>
      <w:pPr>
        <w:pStyle w:val="2"/>
        <w:ind w:left="0" w:leftChars="0" w:firstLine="640" w:firstLineChars="200"/>
        <w:rPr>
          <w:rFonts w:hint="default" w:ascii="Times New Roman" w:hAnsi="Times New Roman" w:eastAsia="仿宋_GB2312"/>
          <w:color w:val="auto"/>
          <w:kern w:val="2"/>
          <w:szCs w:val="32"/>
        </w:rPr>
      </w:pPr>
      <w:r>
        <w:rPr>
          <w:rFonts w:hint="default" w:ascii="Times New Roman" w:hAnsi="Times New Roman" w:eastAsia="仿宋_GB2312"/>
          <w:color w:val="auto"/>
          <w:kern w:val="2"/>
          <w:szCs w:val="32"/>
        </w:rPr>
        <w:t>应提供</w:t>
      </w:r>
      <w:r>
        <w:rPr>
          <w:rFonts w:ascii="Times New Roman" w:hAnsi="Times New Roman" w:eastAsia="仿宋_GB2312"/>
          <w:color w:val="auto"/>
          <w:kern w:val="2"/>
          <w:szCs w:val="32"/>
        </w:rPr>
        <w:t>货架</w:t>
      </w:r>
      <w:r>
        <w:rPr>
          <w:rFonts w:hint="default" w:ascii="Times New Roman" w:hAnsi="Times New Roman" w:eastAsia="仿宋_GB2312"/>
          <w:color w:val="auto"/>
          <w:kern w:val="2"/>
          <w:szCs w:val="32"/>
        </w:rPr>
        <w:t>有效期研究资料，证明在</w:t>
      </w:r>
      <w:r>
        <w:rPr>
          <w:rFonts w:ascii="Times New Roman" w:hAnsi="Times New Roman" w:eastAsia="仿宋_GB2312"/>
          <w:color w:val="auto"/>
          <w:kern w:val="2"/>
          <w:szCs w:val="32"/>
        </w:rPr>
        <w:t>货架</w:t>
      </w:r>
      <w:r>
        <w:rPr>
          <w:rFonts w:hint="default" w:ascii="Times New Roman" w:hAnsi="Times New Roman" w:eastAsia="仿宋_GB2312"/>
          <w:color w:val="auto"/>
          <w:kern w:val="2"/>
          <w:szCs w:val="32"/>
        </w:rPr>
        <w:t>有效期内，产品可保持性能功能满足使用要求</w:t>
      </w:r>
      <w:r>
        <w:rPr>
          <w:rFonts w:ascii="Times New Roman" w:hAnsi="Times New Roman" w:eastAsia="仿宋_GB2312"/>
          <w:color w:val="auto"/>
          <w:kern w:val="2"/>
          <w:szCs w:val="32"/>
        </w:rPr>
        <w:t>，包括产品有效期和包装有效期的研究。</w:t>
      </w:r>
    </w:p>
    <w:p>
      <w:pPr>
        <w:spacing w:line="520" w:lineRule="exact"/>
        <w:ind w:firstLine="640" w:firstLineChars="200"/>
        <w:rPr>
          <w:rFonts w:ascii="Times New Roman" w:hAnsi="Times New Roman" w:eastAsia="仿宋_GB2312"/>
          <w:color w:val="auto"/>
          <w:sz w:val="32"/>
          <w:szCs w:val="32"/>
        </w:rPr>
      </w:pPr>
      <w:r>
        <w:rPr>
          <w:rFonts w:ascii="Times New Roman" w:hAnsi="Times New Roman" w:eastAsia="仿宋_GB2312"/>
          <w:color w:val="auto"/>
          <w:sz w:val="32"/>
          <w:szCs w:val="32"/>
        </w:rPr>
        <w:t>货架有效期验证可采用实时稳定性试验或加速稳定性试验。实时稳定性试验是唯一能够反映产品在规定运输贮存条件下实际稳定性要求的方法。建议以加速稳定性试验来对产品货架有效期进行先期研究和预测，并适时启动实时稳定性试验，对产品货架有效期做进一步的研究和确认，当加速稳定性试验与实时稳定性试验结果不一致时，应以实时稳定性试验结果为准。加速稳定性试验的具体要求可参考YY/T 0681系列标准、YY/T 0698系列标准、GB/T 19633系列标准</w:t>
      </w:r>
      <w:r>
        <w:rPr>
          <w:rFonts w:hint="eastAsia" w:ascii="Times New Roman" w:hAnsi="Times New Roman" w:eastAsia="仿宋_GB2312"/>
          <w:color w:val="auto"/>
          <w:sz w:val="32"/>
          <w:szCs w:val="32"/>
        </w:rPr>
        <w:t>。</w:t>
      </w:r>
    </w:p>
    <w:p>
      <w:pPr>
        <w:spacing w:line="520" w:lineRule="exact"/>
        <w:ind w:firstLine="640" w:firstLineChars="200"/>
        <w:rPr>
          <w:rFonts w:ascii="Times New Roman" w:hAnsi="Times New Roman" w:eastAsia="仿宋_GB2312"/>
          <w:color w:val="auto"/>
          <w:sz w:val="32"/>
          <w:szCs w:val="32"/>
        </w:rPr>
      </w:pPr>
      <w:r>
        <w:rPr>
          <w:rFonts w:ascii="Times New Roman" w:hAnsi="Times New Roman" w:eastAsia="仿宋_GB2312"/>
          <w:color w:val="auto"/>
          <w:sz w:val="32"/>
          <w:szCs w:val="32"/>
        </w:rPr>
        <w:t>无论实时稳定性试验</w:t>
      </w:r>
      <w:r>
        <w:rPr>
          <w:rFonts w:hint="eastAsia" w:ascii="Times New Roman" w:hAnsi="Times New Roman" w:eastAsia="仿宋_GB2312"/>
          <w:color w:val="auto"/>
          <w:sz w:val="32"/>
          <w:szCs w:val="32"/>
        </w:rPr>
        <w:t>还是</w:t>
      </w:r>
      <w:r>
        <w:rPr>
          <w:rFonts w:ascii="Times New Roman" w:hAnsi="Times New Roman" w:eastAsia="仿宋_GB2312"/>
          <w:color w:val="auto"/>
          <w:sz w:val="32"/>
          <w:szCs w:val="32"/>
        </w:rPr>
        <w:t>加速稳定性试验，注册申请人均需在试验方案中设定检测项目、检测方法及判定标准。检测项目包括产品自身性能检测和包装系统性能检测两方面。</w:t>
      </w:r>
      <w:r>
        <w:rPr>
          <w:rFonts w:hint="eastAsia" w:ascii="Times New Roman" w:hAnsi="Times New Roman" w:eastAsia="仿宋_GB2312"/>
          <w:color w:val="auto"/>
          <w:sz w:val="32"/>
          <w:szCs w:val="32"/>
        </w:rPr>
        <w:t>其中，</w:t>
      </w:r>
      <w:r>
        <w:rPr>
          <w:rFonts w:ascii="Times New Roman" w:hAnsi="Times New Roman" w:eastAsia="仿宋_GB2312"/>
          <w:color w:val="auto"/>
          <w:sz w:val="32"/>
          <w:szCs w:val="32"/>
        </w:rPr>
        <w:t>产品自身性能检测需选择与医疗器械货架有效期密切相关的性能检测项目。建议注册申请人在试验过程中设立多个检测时间点（一般不少于3个）对</w:t>
      </w:r>
      <w:r>
        <w:rPr>
          <w:rFonts w:hint="eastAsia" w:ascii="Times New Roman" w:hAnsi="Times New Roman" w:eastAsia="仿宋_GB2312"/>
          <w:color w:val="auto"/>
          <w:sz w:val="32"/>
          <w:szCs w:val="32"/>
        </w:rPr>
        <w:t>申报产品</w:t>
      </w:r>
      <w:r>
        <w:rPr>
          <w:rFonts w:ascii="Times New Roman" w:hAnsi="Times New Roman" w:eastAsia="仿宋_GB2312"/>
          <w:color w:val="auto"/>
          <w:sz w:val="32"/>
          <w:szCs w:val="32"/>
        </w:rPr>
        <w:t>进行检测。可采用零点时间</w:t>
      </w:r>
      <w:r>
        <w:rPr>
          <w:rFonts w:hint="eastAsia" w:ascii="Times New Roman" w:hAnsi="Times New Roman" w:eastAsia="仿宋_GB2312"/>
          <w:color w:val="auto"/>
          <w:sz w:val="32"/>
          <w:szCs w:val="32"/>
        </w:rPr>
        <w:t>的</w:t>
      </w:r>
      <w:r>
        <w:rPr>
          <w:rFonts w:ascii="Times New Roman" w:hAnsi="Times New Roman" w:eastAsia="仿宋_GB2312"/>
          <w:color w:val="auto"/>
          <w:sz w:val="32"/>
          <w:szCs w:val="32"/>
        </w:rPr>
        <w:t>性能数据作为检测项目的参照指标。</w:t>
      </w:r>
    </w:p>
    <w:p>
      <w:pPr>
        <w:spacing w:line="520" w:lineRule="exact"/>
        <w:ind w:firstLine="640" w:firstLineChars="200"/>
        <w:rPr>
          <w:rFonts w:hint="eastAsia" w:eastAsia="仿宋_GB2312"/>
          <w:color w:val="auto"/>
          <w:szCs w:val="32"/>
        </w:rPr>
      </w:pPr>
      <w:r>
        <w:rPr>
          <w:rFonts w:ascii="仿宋_GB2312" w:hAnsi="仿宋_GB2312" w:eastAsia="仿宋_GB2312" w:cs="仿宋_GB2312"/>
          <w:color w:val="auto"/>
          <w:sz w:val="32"/>
          <w:szCs w:val="32"/>
        </w:rPr>
        <w:t>产品</w:t>
      </w:r>
      <w:r>
        <w:rPr>
          <w:rFonts w:hint="eastAsia" w:ascii="仿宋_GB2312" w:hAnsi="仿宋_GB2312" w:eastAsia="仿宋_GB2312" w:cs="仿宋_GB2312"/>
          <w:color w:val="auto"/>
          <w:sz w:val="32"/>
          <w:szCs w:val="32"/>
        </w:rPr>
        <w:t>若为不同提供形式（如</w:t>
      </w:r>
      <w:r>
        <w:rPr>
          <w:rFonts w:ascii="仿宋_GB2312" w:hAnsi="仿宋_GB2312" w:eastAsia="仿宋_GB2312" w:cs="仿宋_GB2312"/>
          <w:color w:val="auto"/>
          <w:sz w:val="32"/>
          <w:szCs w:val="32"/>
        </w:rPr>
        <w:t>无菌</w:t>
      </w:r>
      <w:r>
        <w:rPr>
          <w:rFonts w:hint="eastAsia" w:ascii="仿宋_GB2312" w:hAnsi="仿宋_GB2312" w:eastAsia="仿宋_GB2312" w:cs="仿宋_GB2312"/>
          <w:color w:val="auto"/>
          <w:sz w:val="32"/>
          <w:szCs w:val="32"/>
        </w:rPr>
        <w:t>形式、</w:t>
      </w:r>
      <w:r>
        <w:rPr>
          <w:rFonts w:ascii="仿宋_GB2312" w:hAnsi="仿宋_GB2312" w:eastAsia="仿宋_GB2312" w:cs="仿宋_GB2312"/>
          <w:color w:val="auto"/>
          <w:sz w:val="32"/>
          <w:szCs w:val="32"/>
        </w:rPr>
        <w:t>非无菌形式</w:t>
      </w:r>
      <w:r>
        <w:rPr>
          <w:rFonts w:hint="eastAsia" w:ascii="仿宋_GB2312" w:hAnsi="仿宋_GB2312" w:eastAsia="仿宋_GB2312" w:cs="仿宋_GB2312"/>
          <w:color w:val="auto"/>
          <w:sz w:val="32"/>
          <w:szCs w:val="32"/>
        </w:rPr>
        <w:t>）、不同包装形式</w:t>
      </w:r>
      <w:r>
        <w:rPr>
          <w:rFonts w:ascii="仿宋_GB2312" w:hAnsi="仿宋_GB2312" w:eastAsia="仿宋_GB2312" w:cs="仿宋_GB2312"/>
          <w:color w:val="auto"/>
          <w:sz w:val="32"/>
          <w:szCs w:val="32"/>
        </w:rPr>
        <w:t>时，</w:t>
      </w:r>
      <w:r>
        <w:rPr>
          <w:rFonts w:hint="eastAsia" w:ascii="仿宋_GB2312" w:hAnsi="仿宋_GB2312" w:eastAsia="仿宋_GB2312" w:cs="仿宋_GB2312"/>
          <w:color w:val="auto"/>
          <w:sz w:val="32"/>
          <w:szCs w:val="32"/>
        </w:rPr>
        <w:t>应分别</w:t>
      </w:r>
      <w:r>
        <w:rPr>
          <w:rFonts w:ascii="仿宋_GB2312" w:hAnsi="仿宋_GB2312" w:eastAsia="仿宋_GB2312" w:cs="仿宋_GB2312"/>
          <w:color w:val="auto"/>
          <w:sz w:val="32"/>
          <w:szCs w:val="32"/>
        </w:rPr>
        <w:t>进行有效期的研究。</w:t>
      </w:r>
    </w:p>
    <w:p>
      <w:pPr>
        <w:spacing w:line="520" w:lineRule="exact"/>
        <w:ind w:firstLine="640" w:firstLineChars="200"/>
        <w:rPr>
          <w:rFonts w:eastAsia="仿宋_GB2312"/>
          <w:color w:val="auto"/>
          <w:szCs w:val="32"/>
        </w:rPr>
      </w:pPr>
      <w:r>
        <w:rPr>
          <w:rFonts w:eastAsia="仿宋_GB2312"/>
          <w:color w:val="auto"/>
          <w:szCs w:val="32"/>
        </w:rPr>
        <w:t>4.</w:t>
      </w:r>
      <w:r>
        <w:rPr>
          <w:rFonts w:hint="eastAsia" w:eastAsia="仿宋_GB2312"/>
          <w:color w:val="auto"/>
          <w:szCs w:val="32"/>
          <w:lang w:val="en-US" w:eastAsia="zh-CN"/>
        </w:rPr>
        <w:t>8</w:t>
      </w:r>
      <w:r>
        <w:rPr>
          <w:rFonts w:eastAsia="仿宋_GB2312"/>
          <w:color w:val="auto"/>
          <w:szCs w:val="32"/>
        </w:rPr>
        <w:t>.2运输稳定性</w:t>
      </w:r>
    </w:p>
    <w:p>
      <w:pPr>
        <w:spacing w:line="520" w:lineRule="exact"/>
        <w:ind w:firstLine="640" w:firstLineChars="200"/>
        <w:rPr>
          <w:rFonts w:eastAsia="仿宋_GB2312"/>
          <w:color w:val="auto"/>
          <w:szCs w:val="32"/>
        </w:rPr>
      </w:pPr>
      <w:r>
        <w:rPr>
          <w:rFonts w:eastAsia="仿宋_GB2312"/>
          <w:color w:val="auto"/>
          <w:szCs w:val="32"/>
        </w:rPr>
        <w:t>注册申请人需提交运输稳定性验证资料，证明在规定的运输条件下，运输过程中环境条件（例如：震动、振动、温度和湿度的波动）不会对医疗器械的特性和性能，包括完整性和清洁度，造成不利影响。</w:t>
      </w:r>
    </w:p>
    <w:p>
      <w:pPr>
        <w:spacing w:line="520" w:lineRule="exact"/>
        <w:ind w:firstLine="640" w:firstLineChars="200"/>
        <w:rPr>
          <w:rFonts w:hint="default" w:eastAsia="仿宋_GB2312"/>
          <w:color w:val="auto"/>
          <w:szCs w:val="32"/>
          <w:lang w:val="en-US" w:eastAsia="zh-CN"/>
        </w:rPr>
      </w:pPr>
      <w:r>
        <w:rPr>
          <w:rFonts w:hint="default" w:eastAsia="仿宋_GB2312"/>
          <w:color w:val="auto"/>
          <w:szCs w:val="32"/>
          <w:lang w:val="en-US" w:eastAsia="zh-CN"/>
        </w:rPr>
        <w:t>4.</w:t>
      </w:r>
      <w:r>
        <w:rPr>
          <w:rFonts w:hint="eastAsia" w:eastAsia="仿宋_GB2312"/>
          <w:color w:val="auto"/>
          <w:szCs w:val="32"/>
          <w:lang w:val="en-US" w:eastAsia="zh-CN"/>
        </w:rPr>
        <w:t>9</w:t>
      </w:r>
      <w:r>
        <w:rPr>
          <w:rFonts w:hint="default" w:eastAsia="仿宋_GB2312"/>
          <w:color w:val="auto"/>
          <w:szCs w:val="32"/>
          <w:lang w:val="en-US" w:eastAsia="zh-CN"/>
        </w:rPr>
        <w:t>其他资料</w:t>
      </w:r>
    </w:p>
    <w:p>
      <w:pPr>
        <w:spacing w:line="520" w:lineRule="exact"/>
        <w:ind w:firstLine="640" w:firstLineChars="200"/>
        <w:rPr>
          <w:rFonts w:eastAsia="楷体_GB2312"/>
          <w:color w:val="auto"/>
          <w:szCs w:val="32"/>
          <w:highlight w:val="yellow"/>
        </w:rPr>
      </w:pPr>
      <w:r>
        <w:rPr>
          <w:rFonts w:eastAsia="仿宋_GB2312"/>
          <w:bCs/>
          <w:color w:val="auto"/>
          <w:sz w:val="32"/>
          <w:szCs w:val="32"/>
        </w:rPr>
        <w:t>注册申请人应基于申报产品的分类编码、适用范围等判定申报产品与《免于临床评价医疗器械目录》产品的等同性，经判定属于免于进行临床评价的产品的，应按照《列入免于临床评价医疗器械目录产品对比说明技术指导原则》提供相应资料，从基本原理、结构组成、性能、安全性、适用范围等方面，证明产品的安全有效性。</w:t>
      </w:r>
    </w:p>
    <w:p>
      <w:pPr>
        <w:spacing w:line="520" w:lineRule="exact"/>
        <w:ind w:firstLine="640" w:firstLineChars="200"/>
        <w:rPr>
          <w:rFonts w:hint="eastAsia" w:eastAsia="楷体_GB2312"/>
          <w:color w:val="auto"/>
          <w:szCs w:val="32"/>
        </w:rPr>
      </w:pPr>
      <w:r>
        <w:rPr>
          <w:rFonts w:eastAsia="楷体_GB2312"/>
          <w:color w:val="auto"/>
          <w:szCs w:val="32"/>
        </w:rPr>
        <w:t>（四）临床评价资料</w:t>
      </w:r>
    </w:p>
    <w:p>
      <w:pPr>
        <w:spacing w:line="520" w:lineRule="exact"/>
        <w:ind w:firstLine="640" w:firstLineChars="200"/>
        <w:rPr>
          <w:rFonts w:eastAsia="仿宋_GB2312"/>
          <w:color w:val="auto"/>
          <w:szCs w:val="32"/>
        </w:rPr>
      </w:pPr>
      <w:r>
        <w:rPr>
          <w:rFonts w:eastAsia="仿宋_GB2312"/>
          <w:bCs/>
          <w:color w:val="auto"/>
          <w:sz w:val="32"/>
          <w:szCs w:val="32"/>
        </w:rPr>
        <w:t>对于不符合《免于临床评价医疗器械目录》的产品，应按照《医疗器械临床评价技术指导原则》《医疗器械临床试验质量管理规范》等要求提交临床评价资料</w:t>
      </w:r>
      <w:r>
        <w:rPr>
          <w:rFonts w:hint="eastAsia" w:eastAsia="仿宋_GB2312"/>
          <w:bCs/>
          <w:color w:val="auto"/>
          <w:sz w:val="32"/>
          <w:szCs w:val="32"/>
          <w:lang w:eastAsia="zh-CN"/>
        </w:rPr>
        <w:t>，</w:t>
      </w:r>
      <w:r>
        <w:rPr>
          <w:rFonts w:eastAsia="仿宋_GB2312"/>
          <w:color w:val="auto"/>
          <w:szCs w:val="32"/>
        </w:rPr>
        <w:t>根据产品的适用范围、技术特征、已有临床数据等情形，选择恰当的临床评价路径，包括同品种医疗器械评价路径和/或临床试验路径。</w:t>
      </w:r>
    </w:p>
    <w:p>
      <w:pPr>
        <w:spacing w:line="520" w:lineRule="exact"/>
        <w:ind w:firstLine="640" w:firstLineChars="200"/>
        <w:rPr>
          <w:rFonts w:eastAsia="楷体_GB2312"/>
          <w:color w:val="auto"/>
          <w:szCs w:val="32"/>
        </w:rPr>
      </w:pPr>
      <w:r>
        <w:rPr>
          <w:rFonts w:eastAsia="楷体_GB2312"/>
          <w:color w:val="auto"/>
          <w:szCs w:val="32"/>
        </w:rPr>
        <w:t>（五）产品说明书和标签样稿</w:t>
      </w:r>
    </w:p>
    <w:p>
      <w:pPr>
        <w:spacing w:line="520" w:lineRule="exact"/>
        <w:ind w:firstLine="640" w:firstLineChars="200"/>
        <w:rPr>
          <w:rFonts w:hint="eastAsia" w:eastAsia="仿宋_GB2312"/>
          <w:color w:val="auto"/>
          <w:szCs w:val="32"/>
        </w:rPr>
      </w:pPr>
      <w:r>
        <w:rPr>
          <w:rFonts w:eastAsia="仿宋_GB2312"/>
          <w:color w:val="auto"/>
          <w:szCs w:val="32"/>
        </w:rPr>
        <w:t>按照《医疗器械说明书和标签管理规定》要求编制产品说明书和标签样稿。</w:t>
      </w:r>
      <w:r>
        <w:rPr>
          <w:rFonts w:hint="eastAsia" w:eastAsia="仿宋_GB2312"/>
          <w:color w:val="auto"/>
          <w:szCs w:val="32"/>
        </w:rPr>
        <w:t>说明书中关于产品性能特征的描述不应超过注册申请人提交的研究资料及产品技术要求，不得含有未经验证的夸大宣传的相关描述。应注意以下内容：</w:t>
      </w:r>
    </w:p>
    <w:p>
      <w:pPr>
        <w:spacing w:line="520" w:lineRule="exact"/>
        <w:ind w:firstLine="640" w:firstLineChars="200"/>
        <w:rPr>
          <w:rFonts w:hint="default" w:eastAsia="仿宋_GB2312"/>
          <w:color w:val="auto"/>
          <w:szCs w:val="32"/>
          <w:lang w:val="en-US"/>
        </w:rPr>
      </w:pPr>
      <w:r>
        <w:rPr>
          <w:rFonts w:hint="default" w:eastAsia="仿宋_GB2312"/>
          <w:color w:val="auto"/>
          <w:szCs w:val="32"/>
          <w:lang w:val="en-US"/>
        </w:rPr>
        <w:t>1.无菌形式提供的产品应当注明灭菌方式、“无菌”等字样或符号；非无菌形式提供的产品应当注明微生物指标、“非无菌”字样或符号。</w:t>
      </w:r>
    </w:p>
    <w:p>
      <w:pPr>
        <w:spacing w:line="520" w:lineRule="exact"/>
        <w:ind w:firstLine="640" w:firstLineChars="200"/>
        <w:rPr>
          <w:rFonts w:hint="default" w:eastAsia="仿宋_GB2312"/>
          <w:color w:val="auto"/>
          <w:szCs w:val="32"/>
          <w:lang w:val="en-US"/>
        </w:rPr>
      </w:pPr>
      <w:r>
        <w:rPr>
          <w:rFonts w:hint="default" w:eastAsia="仿宋_GB2312"/>
          <w:color w:val="auto"/>
          <w:szCs w:val="32"/>
          <w:lang w:val="en-US"/>
        </w:rPr>
        <w:t>2.注明产品的组成成分，对产品所含成分过敏的患者，应有相应的警示。</w:t>
      </w:r>
    </w:p>
    <w:p>
      <w:pPr>
        <w:spacing w:line="520" w:lineRule="exact"/>
        <w:ind w:firstLine="640" w:firstLineChars="200"/>
        <w:rPr>
          <w:rFonts w:hint="default" w:ascii="Times New Roman" w:eastAsia="仿宋_GB2312"/>
          <w:color w:val="auto"/>
          <w:sz w:val="32"/>
          <w:szCs w:val="32"/>
          <w:lang w:val="en-US" w:eastAsia="zh-CN"/>
        </w:rPr>
      </w:pPr>
      <w:r>
        <w:rPr>
          <w:rFonts w:hint="default" w:eastAsia="仿宋_GB2312"/>
          <w:color w:val="auto"/>
          <w:szCs w:val="32"/>
          <w:lang w:val="en-US"/>
        </w:rPr>
        <w:t>3.</w:t>
      </w:r>
      <w:r>
        <w:rPr>
          <w:rFonts w:hint="default" w:ascii="Times New Roman" w:eastAsia="仿宋_GB2312"/>
          <w:color w:val="auto"/>
          <w:sz w:val="32"/>
          <w:szCs w:val="32"/>
          <w:lang w:val="en-US" w:eastAsia="zh-CN"/>
        </w:rPr>
        <w:t>使用前检查包装是否完好，如有破损，禁止使用。</w:t>
      </w:r>
    </w:p>
    <w:p>
      <w:pPr>
        <w:spacing w:line="520" w:lineRule="exact"/>
        <w:ind w:firstLine="640" w:firstLineChars="200"/>
        <w:rPr>
          <w:rFonts w:hint="default" w:ascii="Times New Roman" w:eastAsia="仿宋_GB2312"/>
          <w:color w:val="auto"/>
          <w:sz w:val="32"/>
          <w:szCs w:val="32"/>
          <w:lang w:val="en-US" w:eastAsia="zh-CN"/>
        </w:rPr>
      </w:pPr>
      <w:r>
        <w:rPr>
          <w:rFonts w:hint="default" w:ascii="Times New Roman" w:eastAsia="仿宋_GB2312"/>
          <w:color w:val="auto"/>
          <w:sz w:val="32"/>
          <w:szCs w:val="32"/>
          <w:lang w:val="en-US" w:eastAsia="zh-CN"/>
        </w:rPr>
        <w:t>4.应标明产品的货架有效期，严禁使用超过货架有效期的产品。</w:t>
      </w:r>
    </w:p>
    <w:p>
      <w:pPr>
        <w:spacing w:line="520" w:lineRule="exact"/>
        <w:ind w:firstLine="640" w:firstLineChars="200"/>
        <w:rPr>
          <w:rFonts w:hint="default" w:ascii="Times New Roman" w:eastAsia="仿宋_GB2312"/>
          <w:color w:val="auto"/>
          <w:sz w:val="32"/>
          <w:szCs w:val="32"/>
          <w:lang w:val="en-US" w:eastAsia="zh-CN"/>
        </w:rPr>
      </w:pPr>
      <w:r>
        <w:rPr>
          <w:rFonts w:hint="default" w:ascii="Times New Roman" w:eastAsia="仿宋_GB2312"/>
          <w:color w:val="auto"/>
          <w:sz w:val="32"/>
          <w:szCs w:val="32"/>
          <w:lang w:val="en-US" w:eastAsia="zh-CN"/>
        </w:rPr>
        <w:t>5.产品应注明使用时间和使用方法</w:t>
      </w:r>
      <w:r>
        <w:rPr>
          <w:rFonts w:hint="eastAsia" w:eastAsia="仿宋_GB2312"/>
          <w:color w:val="auto"/>
          <w:sz w:val="32"/>
          <w:szCs w:val="32"/>
          <w:lang w:val="en-US" w:eastAsia="zh-CN"/>
        </w:rPr>
        <w:t>，</w:t>
      </w:r>
      <w:r>
        <w:rPr>
          <w:rFonts w:hint="eastAsia" w:eastAsia="仿宋_GB2312"/>
          <w:color w:val="auto"/>
          <w:sz w:val="32"/>
          <w:szCs w:val="32"/>
          <w:highlight w:val="none"/>
          <w:lang w:val="en-US" w:eastAsia="zh-CN"/>
        </w:rPr>
        <w:t>明确具体使用时间，如</w:t>
      </w:r>
      <w:r>
        <w:rPr>
          <w:rFonts w:hint="default" w:eastAsia="仿宋_GB2312"/>
          <w:color w:val="auto"/>
          <w:sz w:val="32"/>
          <w:szCs w:val="32"/>
          <w:highlight w:val="none"/>
          <w:lang w:val="en-US" w:eastAsia="zh-CN"/>
        </w:rPr>
        <w:t>6-8</w:t>
      </w:r>
      <w:r>
        <w:rPr>
          <w:rFonts w:hint="eastAsia" w:eastAsia="仿宋_GB2312"/>
          <w:color w:val="auto"/>
          <w:sz w:val="32"/>
          <w:szCs w:val="32"/>
          <w:highlight w:val="none"/>
          <w:lang w:val="en-US" w:eastAsia="zh-CN"/>
        </w:rPr>
        <w:t>小时取出，最长不超过</w:t>
      </w:r>
      <w:r>
        <w:rPr>
          <w:rFonts w:hint="default" w:eastAsia="仿宋_GB2312"/>
          <w:color w:val="auto"/>
          <w:sz w:val="32"/>
          <w:szCs w:val="32"/>
          <w:highlight w:val="none"/>
          <w:lang w:val="en-US" w:eastAsia="zh-CN"/>
        </w:rPr>
        <w:t>12</w:t>
      </w:r>
      <w:r>
        <w:rPr>
          <w:rFonts w:hint="eastAsia" w:eastAsia="仿宋_GB2312"/>
          <w:color w:val="auto"/>
          <w:sz w:val="32"/>
          <w:szCs w:val="32"/>
          <w:highlight w:val="none"/>
          <w:lang w:val="en-US" w:eastAsia="zh-CN"/>
        </w:rPr>
        <w:t>小时。</w:t>
      </w:r>
    </w:p>
    <w:p>
      <w:pPr>
        <w:spacing w:line="520" w:lineRule="exact"/>
        <w:ind w:firstLine="640" w:firstLineChars="200"/>
        <w:rPr>
          <w:rFonts w:hint="default" w:ascii="Times New Roman" w:eastAsia="仿宋_GB2312"/>
          <w:color w:val="auto"/>
          <w:sz w:val="32"/>
          <w:szCs w:val="32"/>
          <w:lang w:val="en-US" w:eastAsia="zh-CN"/>
        </w:rPr>
      </w:pPr>
      <w:r>
        <w:rPr>
          <w:rFonts w:hint="default" w:ascii="Times New Roman" w:eastAsia="仿宋_GB2312"/>
          <w:color w:val="auto"/>
          <w:sz w:val="32"/>
          <w:szCs w:val="32"/>
          <w:lang w:val="en-US" w:eastAsia="zh-CN"/>
        </w:rPr>
        <w:t>6.产品的储存、运输要求。</w:t>
      </w:r>
    </w:p>
    <w:p>
      <w:pPr>
        <w:spacing w:line="520" w:lineRule="exact"/>
        <w:ind w:firstLine="640" w:firstLineChars="200"/>
        <w:rPr>
          <w:rFonts w:hint="default" w:ascii="Times New Roman" w:eastAsia="仿宋_GB2312"/>
          <w:color w:val="auto"/>
          <w:sz w:val="32"/>
          <w:szCs w:val="32"/>
          <w:lang w:val="en-US" w:eastAsia="zh-CN"/>
        </w:rPr>
      </w:pPr>
      <w:r>
        <w:rPr>
          <w:rFonts w:hint="default" w:ascii="Times New Roman" w:eastAsia="仿宋_GB2312"/>
          <w:color w:val="auto"/>
          <w:sz w:val="32"/>
          <w:szCs w:val="32"/>
          <w:lang w:val="en-US" w:eastAsia="zh-CN"/>
        </w:rPr>
        <w:t>7.使用过程中如有烧灼感、红肿等不适症状，请立即停止使用，必要时向医生咨询或及</w:t>
      </w:r>
      <w:bookmarkStart w:id="1" w:name="_GoBack"/>
      <w:bookmarkEnd w:id="1"/>
      <w:r>
        <w:rPr>
          <w:rFonts w:hint="default" w:ascii="Times New Roman" w:eastAsia="仿宋_GB2312"/>
          <w:color w:val="auto"/>
          <w:sz w:val="32"/>
          <w:szCs w:val="32"/>
          <w:lang w:val="en-US" w:eastAsia="zh-CN"/>
        </w:rPr>
        <w:t>时就医。</w:t>
      </w:r>
    </w:p>
    <w:p>
      <w:pPr>
        <w:spacing w:line="520" w:lineRule="exact"/>
        <w:ind w:firstLine="640" w:firstLineChars="200"/>
        <w:rPr>
          <w:rFonts w:hint="default" w:ascii="Times New Roman" w:eastAsia="仿宋_GB2312"/>
          <w:color w:val="auto"/>
          <w:sz w:val="32"/>
          <w:szCs w:val="32"/>
          <w:lang w:val="en-US" w:eastAsia="zh-CN"/>
        </w:rPr>
      </w:pPr>
      <w:r>
        <w:rPr>
          <w:rFonts w:hint="default" w:ascii="Times New Roman" w:eastAsia="仿宋_GB2312"/>
          <w:color w:val="auto"/>
          <w:sz w:val="32"/>
          <w:szCs w:val="32"/>
          <w:lang w:val="en-US" w:eastAsia="zh-CN"/>
        </w:rPr>
        <w:t>8.明确针对产品特点的特殊注意事项、警示信息、不适宜应用的特定人群或特定情况等信息。如对不明确过敏者慎用，</w:t>
      </w:r>
      <w:r>
        <w:rPr>
          <w:rFonts w:hint="eastAsia" w:eastAsia="仿宋_GB2312"/>
          <w:color w:val="auto"/>
          <w:szCs w:val="32"/>
        </w:rPr>
        <w:t>对特定人群（如孕妇、哺乳期妇女）慎用，未有性生活及月经期女性禁用</w:t>
      </w:r>
      <w:r>
        <w:rPr>
          <w:rFonts w:hint="eastAsia" w:eastAsia="仿宋_GB2312"/>
          <w:color w:val="auto"/>
          <w:szCs w:val="32"/>
          <w:lang w:eastAsia="zh-CN"/>
        </w:rPr>
        <w:t>，</w:t>
      </w:r>
      <w:r>
        <w:rPr>
          <w:rFonts w:hint="eastAsia" w:eastAsia="仿宋_GB2312"/>
          <w:color w:val="auto"/>
          <w:szCs w:val="32"/>
          <w:highlight w:val="none"/>
          <w:lang w:val="en-US" w:eastAsia="zh-CN"/>
        </w:rPr>
        <w:t>不用于阴道止血。</w:t>
      </w:r>
    </w:p>
    <w:p>
      <w:pPr>
        <w:spacing w:line="520" w:lineRule="exact"/>
        <w:ind w:firstLine="640" w:firstLineChars="200"/>
        <w:rPr>
          <w:rFonts w:hint="default" w:ascii="Times New Roman" w:eastAsia="仿宋_GB2312"/>
          <w:color w:val="auto"/>
          <w:sz w:val="32"/>
          <w:szCs w:val="32"/>
          <w:highlight w:val="none"/>
          <w:lang w:val="en-US" w:eastAsia="zh-CN"/>
        </w:rPr>
      </w:pPr>
      <w:r>
        <w:rPr>
          <w:rFonts w:hint="default" w:eastAsia="仿宋_GB2312"/>
          <w:color w:val="auto"/>
          <w:sz w:val="32"/>
          <w:szCs w:val="32"/>
          <w:highlight w:val="none"/>
          <w:lang w:val="en-US" w:eastAsia="zh-CN"/>
        </w:rPr>
        <w:t>9.</w:t>
      </w:r>
      <w:r>
        <w:rPr>
          <w:rFonts w:hint="eastAsia" w:eastAsia="仿宋_GB2312"/>
          <w:color w:val="auto"/>
          <w:sz w:val="32"/>
          <w:szCs w:val="32"/>
          <w:highlight w:val="none"/>
          <w:lang w:val="en-US" w:eastAsia="zh-CN"/>
        </w:rPr>
        <w:t>明确使用环境，如家用</w:t>
      </w:r>
      <w:r>
        <w:rPr>
          <w:rFonts w:hint="default" w:eastAsia="仿宋_GB2312"/>
          <w:color w:val="auto"/>
          <w:sz w:val="32"/>
          <w:szCs w:val="32"/>
          <w:highlight w:val="none"/>
          <w:lang w:val="en-US" w:eastAsia="zh-CN"/>
        </w:rPr>
        <w:t>/</w:t>
      </w:r>
      <w:r>
        <w:rPr>
          <w:rFonts w:hint="eastAsia" w:eastAsia="仿宋_GB2312"/>
          <w:color w:val="auto"/>
          <w:sz w:val="32"/>
          <w:szCs w:val="32"/>
          <w:highlight w:val="none"/>
          <w:lang w:val="en-US" w:eastAsia="zh-CN"/>
        </w:rPr>
        <w:t>医疗环境使用。</w:t>
      </w:r>
    </w:p>
    <w:p>
      <w:pPr>
        <w:spacing w:line="520" w:lineRule="exact"/>
        <w:ind w:firstLine="640" w:firstLineChars="200"/>
        <w:rPr>
          <w:rFonts w:eastAsia="楷体_GB2312"/>
          <w:color w:val="auto"/>
          <w:szCs w:val="32"/>
        </w:rPr>
      </w:pPr>
      <w:r>
        <w:rPr>
          <w:rFonts w:eastAsia="楷体_GB2312"/>
          <w:color w:val="auto"/>
          <w:szCs w:val="32"/>
        </w:rPr>
        <w:t>（六）质量管理体系文件</w:t>
      </w:r>
    </w:p>
    <w:p>
      <w:pPr>
        <w:spacing w:line="520" w:lineRule="exact"/>
        <w:ind w:firstLine="640" w:firstLineChars="200"/>
        <w:rPr>
          <w:rFonts w:eastAsia="仿宋_GB2312"/>
          <w:color w:val="auto"/>
          <w:szCs w:val="32"/>
        </w:rPr>
      </w:pPr>
      <w:r>
        <w:rPr>
          <w:rFonts w:eastAsia="仿宋_GB2312"/>
          <w:color w:val="auto"/>
          <w:szCs w:val="32"/>
        </w:rPr>
        <w:t>1.详述产品的生产工艺和步骤，提供生产工艺流程图。提交产品生产工艺概述、生产工艺过程中需要进行控制和测试的环节及相关证明性资料。确认关键工艺点，并对生产工艺的可控性、稳定性进行确认。</w:t>
      </w:r>
    </w:p>
    <w:p>
      <w:pPr>
        <w:spacing w:line="520" w:lineRule="exact"/>
        <w:ind w:firstLine="640" w:firstLineChars="200"/>
        <w:rPr>
          <w:rFonts w:eastAsia="仿宋_GB2312"/>
          <w:color w:val="auto"/>
          <w:szCs w:val="32"/>
        </w:rPr>
      </w:pPr>
      <w:r>
        <w:rPr>
          <w:rFonts w:eastAsia="仿宋_GB2312"/>
          <w:color w:val="auto"/>
          <w:szCs w:val="32"/>
        </w:rPr>
        <w:t>2.明确特殊过程和关键工序，提供特殊过程的确认资料以及关键工序的验证资料。对于可能影响终产品性能的内容，如清洗</w:t>
      </w:r>
      <w:r>
        <w:rPr>
          <w:rFonts w:hint="eastAsia" w:eastAsia="仿宋_GB2312"/>
          <w:color w:val="auto"/>
          <w:szCs w:val="32"/>
          <w:lang w:eastAsia="zh-CN"/>
        </w:rPr>
        <w:t>消毒</w:t>
      </w:r>
      <w:r>
        <w:rPr>
          <w:rFonts w:eastAsia="仿宋_GB2312"/>
          <w:color w:val="auto"/>
          <w:szCs w:val="32"/>
        </w:rPr>
        <w:t>工艺等，需提供详细的工艺验证资料。</w:t>
      </w:r>
    </w:p>
    <w:p>
      <w:pPr>
        <w:spacing w:line="520" w:lineRule="exact"/>
        <w:ind w:firstLine="640" w:firstLineChars="200"/>
        <w:rPr>
          <w:rFonts w:hint="eastAsia" w:eastAsia="仿宋_GB2312"/>
          <w:color w:val="auto"/>
          <w:szCs w:val="32"/>
        </w:rPr>
      </w:pPr>
      <w:r>
        <w:rPr>
          <w:rFonts w:eastAsia="仿宋_GB2312"/>
          <w:color w:val="auto"/>
          <w:szCs w:val="32"/>
        </w:rPr>
        <w:t>3.明确原材料及生产工艺中涉及的各种加工助剂的质量控制标准。</w:t>
      </w:r>
    </w:p>
    <w:p>
      <w:pPr>
        <w:pStyle w:val="14"/>
        <w:spacing w:line="520" w:lineRule="exact"/>
        <w:ind w:firstLine="640"/>
        <w:jc w:val="left"/>
        <w:outlineLvl w:val="0"/>
        <w:rPr>
          <w:rFonts w:eastAsia="黑体"/>
          <w:color w:val="auto"/>
        </w:rPr>
      </w:pPr>
      <w:bookmarkStart w:id="0" w:name="_Toc265839389"/>
      <w:r>
        <w:rPr>
          <w:rFonts w:hint="eastAsia" w:eastAsia="黑体"/>
          <w:color w:val="auto"/>
        </w:rPr>
        <w:t>三、</w:t>
      </w:r>
      <w:r>
        <w:rPr>
          <w:rFonts w:eastAsia="黑体"/>
          <w:color w:val="auto"/>
        </w:rPr>
        <w:t>参考文献</w:t>
      </w:r>
      <w:bookmarkEnd w:id="0"/>
    </w:p>
    <w:p>
      <w:pPr>
        <w:keepNext w:val="0"/>
        <w:keepLines w:val="0"/>
        <w:pageBreakBefore w:val="0"/>
        <w:widowControl w:val="0"/>
        <w:kinsoku/>
        <w:wordWrap/>
        <w:topLinePunct w:val="0"/>
        <w:bidi w:val="0"/>
        <w:adjustRightInd/>
        <w:snapToGrid/>
        <w:spacing w:line="520" w:lineRule="exact"/>
        <w:ind w:right="-102" w:rightChars="-32" w:firstLine="640" w:firstLineChars="200"/>
        <w:textAlignment w:val="auto"/>
        <w:rPr>
          <w:rFonts w:eastAsia="仿宋_GB2312"/>
          <w:color w:val="auto"/>
          <w:szCs w:val="32"/>
        </w:rPr>
      </w:pPr>
      <w:r>
        <w:rPr>
          <w:rFonts w:eastAsia="仿宋_GB2312"/>
          <w:color w:val="auto"/>
          <w:szCs w:val="32"/>
        </w:rPr>
        <w:t>[1]</w:t>
      </w:r>
      <w:r>
        <w:rPr>
          <w:rFonts w:eastAsia="仿宋_GB2312"/>
          <w:color w:val="auto"/>
          <w:sz w:val="32"/>
          <w:szCs w:val="32"/>
          <w:lang w:val="en"/>
        </w:rPr>
        <w:t>中华人民共和国国务院</w:t>
      </w:r>
      <w:r>
        <w:rPr>
          <w:rFonts w:hint="eastAsia" w:eastAsia="仿宋_GB2312"/>
          <w:color w:val="auto"/>
          <w:sz w:val="32"/>
          <w:szCs w:val="32"/>
          <w:lang w:val="en"/>
        </w:rPr>
        <w:t>.</w:t>
      </w:r>
      <w:r>
        <w:rPr>
          <w:rFonts w:eastAsia="仿宋_GB2312"/>
          <w:color w:val="auto"/>
          <w:sz w:val="32"/>
          <w:szCs w:val="32"/>
        </w:rPr>
        <w:t>医疗器械监督管理条例</w:t>
      </w:r>
      <w:r>
        <w:rPr>
          <w:rFonts w:hint="eastAsia" w:eastAsia="仿宋_GB2312"/>
          <w:color w:val="auto"/>
          <w:sz w:val="32"/>
          <w:szCs w:val="32"/>
        </w:rPr>
        <w:t>:</w:t>
      </w:r>
      <w:r>
        <w:rPr>
          <w:rFonts w:eastAsia="仿宋_GB2312"/>
          <w:color w:val="auto"/>
          <w:sz w:val="32"/>
          <w:szCs w:val="32"/>
          <w:lang w:val="en"/>
        </w:rPr>
        <w:t>中华人民共和国国务院令第739号</w:t>
      </w:r>
      <w:r>
        <w:rPr>
          <w:rFonts w:eastAsia="仿宋_GB2312"/>
          <w:color w:val="auto"/>
          <w:sz w:val="32"/>
          <w:szCs w:val="32"/>
        </w:rPr>
        <w:t>[Z].</w:t>
      </w:r>
    </w:p>
    <w:p>
      <w:pPr>
        <w:spacing w:line="520" w:lineRule="exact"/>
        <w:ind w:firstLine="640" w:firstLineChars="200"/>
        <w:rPr>
          <w:rFonts w:eastAsia="仿宋_GB2312"/>
          <w:color w:val="auto"/>
          <w:sz w:val="32"/>
          <w:szCs w:val="32"/>
        </w:rPr>
      </w:pPr>
      <w:r>
        <w:rPr>
          <w:rFonts w:eastAsia="仿宋_GB2312"/>
          <w:color w:val="auto"/>
          <w:szCs w:val="32"/>
        </w:rPr>
        <w:t>[2]</w:t>
      </w:r>
      <w:r>
        <w:rPr>
          <w:rFonts w:eastAsia="仿宋_GB2312"/>
          <w:color w:val="auto"/>
          <w:sz w:val="32"/>
          <w:szCs w:val="32"/>
        </w:rPr>
        <w:t>国家市场监督管理总局</w:t>
      </w:r>
      <w:r>
        <w:rPr>
          <w:rFonts w:hint="eastAsia" w:eastAsia="仿宋_GB2312"/>
          <w:color w:val="auto"/>
          <w:sz w:val="32"/>
          <w:szCs w:val="32"/>
        </w:rPr>
        <w:t>.</w:t>
      </w:r>
      <w:r>
        <w:rPr>
          <w:rFonts w:eastAsia="仿宋_GB2312"/>
          <w:color w:val="auto"/>
          <w:sz w:val="32"/>
          <w:szCs w:val="32"/>
        </w:rPr>
        <w:t>医疗器械注册与备案管理办法:国家市场监督管理总局令第47号[Z].</w:t>
      </w:r>
    </w:p>
    <w:p>
      <w:pPr>
        <w:spacing w:line="520" w:lineRule="exact"/>
        <w:ind w:firstLine="640" w:firstLineChars="200"/>
        <w:rPr>
          <w:rFonts w:eastAsia="仿宋_GB2312"/>
          <w:color w:val="auto"/>
          <w:szCs w:val="32"/>
        </w:rPr>
      </w:pPr>
      <w:r>
        <w:rPr>
          <w:rFonts w:eastAsia="仿宋_GB2312"/>
          <w:color w:val="auto"/>
          <w:szCs w:val="32"/>
        </w:rPr>
        <w:t>[3]国家食品药品监督管理局</w:t>
      </w:r>
      <w:r>
        <w:rPr>
          <w:rFonts w:hint="eastAsia" w:eastAsia="仿宋_GB2312"/>
          <w:color w:val="auto"/>
          <w:szCs w:val="32"/>
          <w:lang w:val="en-US" w:eastAsia="zh-CN"/>
        </w:rPr>
        <w:t>.</w:t>
      </w:r>
      <w:r>
        <w:rPr>
          <w:rFonts w:eastAsia="仿宋_GB2312"/>
          <w:color w:val="auto"/>
          <w:szCs w:val="32"/>
        </w:rPr>
        <w:t>医疗器械生产质量管理规范</w:t>
      </w:r>
      <w:r>
        <w:rPr>
          <w:rFonts w:hint="eastAsia" w:eastAsia="仿宋_GB2312"/>
          <w:color w:val="auto"/>
          <w:szCs w:val="32"/>
          <w:lang w:val="en-US" w:eastAsia="zh-CN"/>
        </w:rPr>
        <w:t>:</w:t>
      </w:r>
      <w:r>
        <w:rPr>
          <w:rFonts w:eastAsia="仿宋_GB2312"/>
          <w:color w:val="auto"/>
          <w:szCs w:val="32"/>
        </w:rPr>
        <w:t>国家食品药品监督管理总局2014年第64号[Z].</w:t>
      </w:r>
    </w:p>
    <w:p>
      <w:pPr>
        <w:spacing w:line="520" w:lineRule="exact"/>
        <w:ind w:firstLine="640" w:firstLineChars="200"/>
        <w:rPr>
          <w:rFonts w:eastAsia="仿宋_GB2312"/>
          <w:color w:val="auto"/>
          <w:szCs w:val="32"/>
        </w:rPr>
      </w:pPr>
      <w:r>
        <w:rPr>
          <w:rFonts w:eastAsia="仿宋_GB2312"/>
          <w:color w:val="auto"/>
          <w:szCs w:val="32"/>
        </w:rPr>
        <w:t>[4]国家药品监督管理局中华人民共和国国家卫生</w:t>
      </w:r>
      <w:r>
        <w:rPr>
          <w:rFonts w:hint="eastAsia" w:eastAsia="仿宋_GB2312"/>
          <w:color w:val="auto"/>
          <w:szCs w:val="32"/>
          <w:lang w:val="en-US" w:eastAsia="zh-CN"/>
        </w:rPr>
        <w:t>健康委员会.</w:t>
      </w:r>
      <w:r>
        <w:rPr>
          <w:rFonts w:eastAsia="仿宋_GB2312"/>
          <w:color w:val="auto"/>
          <w:szCs w:val="32"/>
        </w:rPr>
        <w:t>医疗器械临床试验质量管理规范</w:t>
      </w:r>
      <w:r>
        <w:rPr>
          <w:rFonts w:hint="eastAsia" w:eastAsia="仿宋_GB2312"/>
          <w:color w:val="auto"/>
          <w:szCs w:val="32"/>
          <w:lang w:val="en-US" w:eastAsia="zh-CN"/>
        </w:rPr>
        <w:t>:国家药监局 国家卫生健康委公告2022年第28号</w:t>
      </w:r>
      <w:r>
        <w:rPr>
          <w:rFonts w:eastAsia="仿宋_GB2312"/>
          <w:color w:val="auto"/>
          <w:szCs w:val="32"/>
        </w:rPr>
        <w:t>[Z].</w:t>
      </w:r>
    </w:p>
    <w:p>
      <w:pPr>
        <w:spacing w:line="520" w:lineRule="exact"/>
        <w:ind w:firstLine="640" w:firstLineChars="200"/>
        <w:rPr>
          <w:rFonts w:eastAsia="仿宋_GB2312"/>
          <w:color w:val="auto"/>
          <w:szCs w:val="32"/>
        </w:rPr>
      </w:pPr>
      <w:r>
        <w:rPr>
          <w:rFonts w:eastAsia="仿宋_GB2312"/>
          <w:color w:val="auto"/>
          <w:szCs w:val="32"/>
        </w:rPr>
        <w:t>[5]</w:t>
      </w:r>
      <w:r>
        <w:rPr>
          <w:rFonts w:hint="eastAsia" w:eastAsia="仿宋_GB2312"/>
          <w:color w:val="auto"/>
          <w:sz w:val="32"/>
          <w:szCs w:val="32"/>
        </w:rPr>
        <w:t>国家药品监督管理局.</w:t>
      </w:r>
      <w:r>
        <w:rPr>
          <w:rFonts w:eastAsia="仿宋_GB2312"/>
          <w:color w:val="auto"/>
          <w:sz w:val="32"/>
          <w:szCs w:val="32"/>
        </w:rPr>
        <w:t>医疗器械注册申报资料要求和批准证明文件格式</w:t>
      </w:r>
      <w:r>
        <w:rPr>
          <w:rFonts w:hint="eastAsia" w:eastAsia="仿宋_GB2312"/>
          <w:color w:val="auto"/>
          <w:sz w:val="32"/>
          <w:szCs w:val="32"/>
        </w:rPr>
        <w:t>:国家药监局公告2021年第121号</w:t>
      </w:r>
      <w:r>
        <w:rPr>
          <w:rFonts w:eastAsia="仿宋_GB2312"/>
          <w:color w:val="auto"/>
          <w:sz w:val="32"/>
          <w:szCs w:val="32"/>
        </w:rPr>
        <w:t>[Z].</w:t>
      </w:r>
    </w:p>
    <w:p>
      <w:pPr>
        <w:keepNext w:val="0"/>
        <w:keepLines w:val="0"/>
        <w:pageBreakBefore w:val="0"/>
        <w:widowControl w:val="0"/>
        <w:kinsoku/>
        <w:wordWrap/>
        <w:topLinePunct w:val="0"/>
        <w:bidi w:val="0"/>
        <w:adjustRightInd/>
        <w:snapToGrid/>
        <w:spacing w:line="520" w:lineRule="exact"/>
        <w:ind w:right="-102" w:rightChars="-32" w:firstLine="640" w:firstLineChars="200"/>
        <w:textAlignment w:val="auto"/>
        <w:rPr>
          <w:rFonts w:eastAsia="仿宋_GB2312"/>
          <w:color w:val="auto"/>
          <w:szCs w:val="32"/>
        </w:rPr>
      </w:pPr>
      <w:r>
        <w:rPr>
          <w:rFonts w:eastAsia="仿宋_GB2312"/>
          <w:color w:val="auto"/>
          <w:szCs w:val="32"/>
        </w:rPr>
        <w:t>[6]</w:t>
      </w:r>
      <w:r>
        <w:rPr>
          <w:rFonts w:hint="eastAsia" w:ascii="Times New Roman" w:hAnsi="Times New Roman" w:eastAsia="仿宋_GB2312" w:cs="仿宋_GB2312"/>
          <w:bCs/>
          <w:color w:val="auto"/>
          <w:sz w:val="32"/>
          <w:szCs w:val="32"/>
        </w:rPr>
        <w:t>国家药品监督管理局.医疗器械注册自检管理规定:国家药监局公告2021年第126号[Z].</w:t>
      </w:r>
    </w:p>
    <w:p>
      <w:pPr>
        <w:spacing w:line="520" w:lineRule="exact"/>
        <w:ind w:firstLine="640" w:firstLineChars="200"/>
        <w:rPr>
          <w:rFonts w:eastAsia="仿宋_GB2312"/>
          <w:color w:val="auto"/>
          <w:szCs w:val="32"/>
        </w:rPr>
      </w:pPr>
      <w:r>
        <w:rPr>
          <w:rFonts w:eastAsia="仿宋_GB2312"/>
          <w:color w:val="auto"/>
          <w:szCs w:val="32"/>
        </w:rPr>
        <w:t>[7]</w:t>
      </w:r>
      <w:r>
        <w:rPr>
          <w:rFonts w:hint="eastAsia" w:ascii="Times New Roman" w:hAnsi="Times New Roman" w:eastAsia="仿宋_GB2312" w:cs="Times New Roman"/>
          <w:color w:val="auto"/>
          <w:sz w:val="32"/>
          <w:szCs w:val="32"/>
          <w:highlight w:val="none"/>
        </w:rPr>
        <w:t>国家食品药品监督管理局</w:t>
      </w:r>
      <w:r>
        <w:rPr>
          <w:rFonts w:hint="eastAsia"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rPr>
        <w:t>医疗器械说明书和标签管理规定</w:t>
      </w:r>
      <w:r>
        <w:rPr>
          <w:rFonts w:hint="eastAsia" w:ascii="Times New Roman" w:hAnsi="Times New Roman" w:eastAsia="仿宋_GB2312" w:cs="Times New Roman"/>
          <w:color w:val="auto"/>
          <w:sz w:val="32"/>
          <w:szCs w:val="32"/>
          <w:highlight w:val="none"/>
          <w:lang w:val="en-US" w:eastAsia="zh-CN"/>
        </w:rPr>
        <w:t>:国家食品药品监督管理总局令第6号</w:t>
      </w:r>
      <w:r>
        <w:rPr>
          <w:rFonts w:hint="eastAsia" w:ascii="Times New Roman" w:hAnsi="Times New Roman" w:eastAsia="仿宋_GB2312" w:cs="Times New Roman"/>
          <w:color w:val="auto"/>
          <w:sz w:val="32"/>
          <w:szCs w:val="32"/>
          <w:highlight w:val="none"/>
        </w:rPr>
        <w:t>[Z].</w:t>
      </w:r>
    </w:p>
    <w:p>
      <w:pPr>
        <w:keepNext w:val="0"/>
        <w:keepLines w:val="0"/>
        <w:pageBreakBefore w:val="0"/>
        <w:widowControl w:val="0"/>
        <w:kinsoku/>
        <w:wordWrap/>
        <w:topLinePunct w:val="0"/>
        <w:bidi w:val="0"/>
        <w:adjustRightInd/>
        <w:snapToGrid/>
        <w:spacing w:line="520" w:lineRule="exact"/>
        <w:ind w:firstLine="640" w:firstLineChars="200"/>
        <w:textAlignment w:val="auto"/>
        <w:rPr>
          <w:rFonts w:eastAsia="仿宋_GB2312"/>
          <w:color w:val="auto"/>
          <w:szCs w:val="32"/>
        </w:rPr>
      </w:pPr>
      <w:r>
        <w:rPr>
          <w:rFonts w:eastAsia="仿宋_GB2312"/>
          <w:color w:val="auto"/>
          <w:szCs w:val="32"/>
        </w:rPr>
        <w:t>[8]</w:t>
      </w:r>
      <w:r>
        <w:rPr>
          <w:rFonts w:hint="eastAsia" w:eastAsia="仿宋_GB2312"/>
          <w:color w:val="auto"/>
          <w:sz w:val="32"/>
          <w:szCs w:val="32"/>
        </w:rPr>
        <w:t>国家食品药品监督管理局.</w:t>
      </w:r>
      <w:r>
        <w:rPr>
          <w:rFonts w:eastAsia="仿宋_GB2312"/>
          <w:color w:val="auto"/>
          <w:sz w:val="32"/>
          <w:szCs w:val="32"/>
        </w:rPr>
        <w:t>医疗器械分类规则</w:t>
      </w:r>
      <w:r>
        <w:rPr>
          <w:rFonts w:hint="eastAsia" w:eastAsia="仿宋_GB2312"/>
          <w:color w:val="auto"/>
          <w:sz w:val="32"/>
          <w:szCs w:val="32"/>
        </w:rPr>
        <w:t>:</w:t>
      </w:r>
      <w:r>
        <w:rPr>
          <w:rFonts w:eastAsia="仿宋_GB2312"/>
          <w:color w:val="auto"/>
          <w:sz w:val="32"/>
          <w:szCs w:val="32"/>
          <w:lang w:val="en"/>
        </w:rPr>
        <w:t>国家食品药品监督管理总局令第15号</w:t>
      </w:r>
      <w:r>
        <w:rPr>
          <w:rFonts w:eastAsia="仿宋_GB2312"/>
          <w:color w:val="auto"/>
          <w:sz w:val="32"/>
          <w:szCs w:val="32"/>
        </w:rPr>
        <w:t>[Z].</w:t>
      </w:r>
    </w:p>
    <w:p>
      <w:pPr>
        <w:keepNext w:val="0"/>
        <w:keepLines w:val="0"/>
        <w:pageBreakBefore w:val="0"/>
        <w:widowControl w:val="0"/>
        <w:kinsoku/>
        <w:wordWrap/>
        <w:topLinePunct w:val="0"/>
        <w:bidi w:val="0"/>
        <w:adjustRightInd/>
        <w:snapToGrid/>
        <w:spacing w:line="520" w:lineRule="exact"/>
        <w:ind w:firstLine="640" w:firstLineChars="200"/>
        <w:textAlignment w:val="auto"/>
        <w:rPr>
          <w:rFonts w:eastAsia="仿宋_GB2312"/>
          <w:color w:val="auto"/>
          <w:sz w:val="32"/>
          <w:szCs w:val="32"/>
        </w:rPr>
      </w:pPr>
      <w:r>
        <w:rPr>
          <w:rFonts w:eastAsia="仿宋_GB2312"/>
          <w:color w:val="auto"/>
          <w:szCs w:val="32"/>
        </w:rPr>
        <w:t>[9]</w:t>
      </w:r>
      <w:r>
        <w:rPr>
          <w:rFonts w:eastAsia="仿宋_GB2312"/>
          <w:color w:val="auto"/>
          <w:sz w:val="32"/>
          <w:szCs w:val="28"/>
          <w:highlight w:val="none"/>
        </w:rPr>
        <w:t>国家食品药品监督管理局</w:t>
      </w:r>
      <w:r>
        <w:rPr>
          <w:rFonts w:hint="eastAsia" w:eastAsia="仿宋_GB2312"/>
          <w:color w:val="auto"/>
          <w:sz w:val="32"/>
          <w:szCs w:val="32"/>
          <w:highlight w:val="none"/>
        </w:rPr>
        <w:t>.</w:t>
      </w:r>
      <w:r>
        <w:rPr>
          <w:rFonts w:eastAsia="仿宋_GB2312"/>
          <w:color w:val="auto"/>
          <w:sz w:val="32"/>
          <w:szCs w:val="32"/>
          <w:highlight w:val="none"/>
        </w:rPr>
        <w:t>医疗器械通用名称命名规则</w:t>
      </w:r>
      <w:r>
        <w:rPr>
          <w:rFonts w:hint="eastAsia" w:eastAsia="仿宋_GB2312"/>
          <w:color w:val="auto"/>
          <w:sz w:val="32"/>
          <w:szCs w:val="32"/>
          <w:highlight w:val="none"/>
        </w:rPr>
        <w:t>：</w:t>
      </w:r>
      <w:r>
        <w:rPr>
          <w:rFonts w:eastAsia="仿宋_GB2312"/>
          <w:color w:val="auto"/>
          <w:sz w:val="32"/>
          <w:szCs w:val="28"/>
          <w:highlight w:val="none"/>
        </w:rPr>
        <w:t>国家食品药品监督管理总局令第19号</w:t>
      </w:r>
      <w:r>
        <w:rPr>
          <w:rFonts w:eastAsia="仿宋_GB2312"/>
          <w:color w:val="auto"/>
          <w:sz w:val="32"/>
          <w:szCs w:val="32"/>
          <w:highlight w:val="none"/>
        </w:rPr>
        <w:t>[Z].</w:t>
      </w:r>
    </w:p>
    <w:p>
      <w:pPr>
        <w:keepNext w:val="0"/>
        <w:keepLines w:val="0"/>
        <w:pageBreakBefore w:val="0"/>
        <w:widowControl w:val="0"/>
        <w:kinsoku/>
        <w:wordWrap/>
        <w:topLinePunct w:val="0"/>
        <w:bidi w:val="0"/>
        <w:adjustRightInd/>
        <w:snapToGrid/>
        <w:spacing w:line="520" w:lineRule="exact"/>
        <w:ind w:right="-102" w:rightChars="-32" w:firstLine="640" w:firstLineChars="200"/>
        <w:textAlignment w:val="auto"/>
        <w:rPr>
          <w:rFonts w:eastAsia="仿宋_GB2312"/>
          <w:color w:val="auto"/>
          <w:szCs w:val="32"/>
        </w:rPr>
      </w:pPr>
      <w:r>
        <w:rPr>
          <w:rFonts w:eastAsia="仿宋_GB2312"/>
          <w:color w:val="auto"/>
          <w:szCs w:val="32"/>
        </w:rPr>
        <w:t>[10]</w:t>
      </w:r>
      <w:r>
        <w:rPr>
          <w:rFonts w:eastAsia="仿宋_GB2312"/>
          <w:color w:val="auto"/>
          <w:sz w:val="32"/>
          <w:szCs w:val="32"/>
          <w:lang w:val="en"/>
        </w:rPr>
        <w:t>国家食品药品监督管理局</w:t>
      </w:r>
      <w:r>
        <w:rPr>
          <w:rFonts w:eastAsia="仿宋_GB2312"/>
          <w:color w:val="auto"/>
          <w:sz w:val="32"/>
          <w:szCs w:val="32"/>
        </w:rPr>
        <w:t>.医疗器械分类目录</w:t>
      </w:r>
      <w:r>
        <w:rPr>
          <w:rFonts w:hint="eastAsia" w:eastAsia="仿宋_GB2312"/>
          <w:color w:val="auto"/>
          <w:sz w:val="32"/>
          <w:szCs w:val="32"/>
        </w:rPr>
        <w:t>:</w:t>
      </w:r>
      <w:r>
        <w:rPr>
          <w:rFonts w:eastAsia="仿宋_GB2312"/>
          <w:color w:val="auto"/>
          <w:sz w:val="32"/>
          <w:szCs w:val="32"/>
          <w:lang w:val="en"/>
        </w:rPr>
        <w:t>国家食品药品监督管理总局</w:t>
      </w:r>
      <w:r>
        <w:rPr>
          <w:rFonts w:hint="eastAsia" w:eastAsia="仿宋_GB2312"/>
          <w:color w:val="auto"/>
          <w:sz w:val="32"/>
          <w:szCs w:val="32"/>
          <w:lang w:val="en"/>
        </w:rPr>
        <w:t>公告</w:t>
      </w:r>
      <w:r>
        <w:rPr>
          <w:rFonts w:eastAsia="仿宋_GB2312"/>
          <w:color w:val="auto"/>
          <w:sz w:val="32"/>
          <w:szCs w:val="32"/>
          <w:lang w:val="en"/>
        </w:rPr>
        <w:t>2017年第104号</w:t>
      </w:r>
      <w:r>
        <w:rPr>
          <w:rFonts w:eastAsia="仿宋_GB2312"/>
          <w:color w:val="auto"/>
          <w:sz w:val="32"/>
          <w:szCs w:val="32"/>
        </w:rPr>
        <w:t>[Z].</w:t>
      </w:r>
    </w:p>
    <w:p>
      <w:pPr>
        <w:spacing w:line="520" w:lineRule="exact"/>
        <w:ind w:firstLine="640" w:firstLineChars="200"/>
        <w:rPr>
          <w:rFonts w:eastAsia="仿宋_GB2312"/>
          <w:color w:val="auto"/>
          <w:szCs w:val="32"/>
        </w:rPr>
      </w:pPr>
      <w:r>
        <w:rPr>
          <w:rFonts w:eastAsia="仿宋_GB2312"/>
          <w:color w:val="auto"/>
          <w:szCs w:val="32"/>
        </w:rPr>
        <w:t>[11]</w:t>
      </w:r>
      <w:r>
        <w:rPr>
          <w:rFonts w:eastAsia="仿宋_GB2312"/>
          <w:color w:val="auto"/>
          <w:sz w:val="32"/>
          <w:szCs w:val="32"/>
          <w:lang w:val="en"/>
        </w:rPr>
        <w:t>国家食品药品监督管理局</w:t>
      </w:r>
      <w:r>
        <w:rPr>
          <w:rFonts w:eastAsia="仿宋_GB2312"/>
          <w:color w:val="auto"/>
          <w:sz w:val="32"/>
          <w:szCs w:val="32"/>
        </w:rPr>
        <w:t>.医疗器械注册单元划分指导原则</w:t>
      </w:r>
      <w:r>
        <w:rPr>
          <w:rFonts w:hint="eastAsia" w:eastAsia="仿宋_GB2312"/>
          <w:color w:val="auto"/>
          <w:sz w:val="32"/>
          <w:szCs w:val="32"/>
        </w:rPr>
        <w:t>:总局通</w:t>
      </w:r>
      <w:r>
        <w:rPr>
          <w:rFonts w:eastAsia="仿宋_GB2312"/>
          <w:color w:val="auto"/>
          <w:sz w:val="32"/>
          <w:szCs w:val="32"/>
          <w:lang w:val="en"/>
        </w:rPr>
        <w:t>告2017年第187号</w:t>
      </w:r>
      <w:r>
        <w:rPr>
          <w:rFonts w:eastAsia="仿宋_GB2312"/>
          <w:color w:val="auto"/>
          <w:sz w:val="32"/>
          <w:szCs w:val="32"/>
        </w:rPr>
        <w:t>[Z].</w:t>
      </w:r>
    </w:p>
    <w:p>
      <w:pPr>
        <w:keepNext w:val="0"/>
        <w:keepLines w:val="0"/>
        <w:pageBreakBefore w:val="0"/>
        <w:widowControl/>
        <w:kinsoku/>
        <w:wordWrap/>
        <w:topLinePunct w:val="0"/>
        <w:bidi w:val="0"/>
        <w:adjustRightInd/>
        <w:snapToGrid/>
        <w:spacing w:line="520" w:lineRule="exact"/>
        <w:ind w:right="0" w:rightChars="0" w:firstLine="640" w:firstLineChars="200"/>
        <w:textAlignment w:val="auto"/>
        <w:rPr>
          <w:rFonts w:eastAsia="仿宋_GB2312"/>
          <w:color w:val="auto"/>
          <w:szCs w:val="32"/>
        </w:rPr>
      </w:pPr>
      <w:r>
        <w:rPr>
          <w:rFonts w:eastAsia="仿宋_GB2312"/>
          <w:color w:val="auto"/>
          <w:szCs w:val="32"/>
        </w:rPr>
        <w:t>[12]</w:t>
      </w:r>
      <w:r>
        <w:rPr>
          <w:rFonts w:hint="eastAsia" w:eastAsia="仿宋_GB2312"/>
          <w:color w:val="auto"/>
          <w:sz w:val="32"/>
          <w:szCs w:val="32"/>
        </w:rPr>
        <w:t>国家药品监督管理局</w:t>
      </w:r>
      <w:r>
        <w:rPr>
          <w:rFonts w:hint="eastAsia" w:eastAsia="仿宋_GB2312"/>
          <w:color w:val="auto"/>
          <w:sz w:val="32"/>
          <w:szCs w:val="32"/>
          <w:lang w:val="en-US" w:eastAsia="zh-CN"/>
        </w:rPr>
        <w:t>.</w:t>
      </w:r>
      <w:r>
        <w:rPr>
          <w:rFonts w:eastAsia="仿宋_GB2312"/>
          <w:color w:val="auto"/>
          <w:szCs w:val="32"/>
        </w:rPr>
        <w:t>医疗器械动物试验研究注册审查指导原则第一部分：决策原则（2021年修订版）</w:t>
      </w:r>
      <w:r>
        <w:rPr>
          <w:rFonts w:hint="eastAsia" w:eastAsia="仿宋_GB2312"/>
          <w:color w:val="auto"/>
          <w:szCs w:val="32"/>
          <w:lang w:val="en-US" w:eastAsia="zh-CN"/>
        </w:rPr>
        <w:t>:</w:t>
      </w:r>
      <w:r>
        <w:rPr>
          <w:rFonts w:eastAsia="仿宋_GB2312"/>
          <w:color w:val="auto"/>
          <w:szCs w:val="32"/>
        </w:rPr>
        <w:t>国家药监局2021年第75号通告[Z].</w:t>
      </w:r>
    </w:p>
    <w:p>
      <w:pPr>
        <w:spacing w:line="520" w:lineRule="exact"/>
        <w:ind w:firstLine="640" w:firstLineChars="200"/>
        <w:rPr>
          <w:rFonts w:eastAsia="仿宋_GB2312"/>
          <w:color w:val="auto"/>
          <w:szCs w:val="32"/>
        </w:rPr>
      </w:pPr>
      <w:r>
        <w:rPr>
          <w:rFonts w:eastAsia="仿宋_GB2312"/>
          <w:color w:val="auto"/>
          <w:szCs w:val="32"/>
        </w:rPr>
        <w:t>[1</w:t>
      </w:r>
      <w:r>
        <w:rPr>
          <w:rFonts w:hint="default" w:eastAsia="仿宋_GB2312"/>
          <w:color w:val="auto"/>
          <w:szCs w:val="32"/>
          <w:lang w:val="en-US"/>
        </w:rPr>
        <w:t>3</w:t>
      </w:r>
      <w:r>
        <w:rPr>
          <w:rFonts w:eastAsia="仿宋_GB2312"/>
          <w:color w:val="auto"/>
          <w:szCs w:val="32"/>
        </w:rPr>
        <w:t>]</w:t>
      </w:r>
      <w:r>
        <w:rPr>
          <w:rFonts w:hint="eastAsia" w:eastAsia="仿宋_GB2312"/>
          <w:color w:val="auto"/>
          <w:sz w:val="32"/>
          <w:szCs w:val="32"/>
        </w:rPr>
        <w:t>国家药品监督管理局</w:t>
      </w:r>
      <w:r>
        <w:rPr>
          <w:rFonts w:hint="eastAsia" w:eastAsia="仿宋_GB2312"/>
          <w:color w:val="auto"/>
          <w:sz w:val="32"/>
          <w:szCs w:val="32"/>
          <w:lang w:val="en-US" w:eastAsia="zh-CN"/>
        </w:rPr>
        <w:t>.</w:t>
      </w:r>
      <w:r>
        <w:rPr>
          <w:rFonts w:eastAsia="仿宋_GB2312"/>
          <w:color w:val="auto"/>
          <w:szCs w:val="32"/>
        </w:rPr>
        <w:t>医疗器械动物实验研究注册审查指导原则第二部分：试验设计、实施质量保证</w:t>
      </w:r>
      <w:r>
        <w:rPr>
          <w:rFonts w:hint="eastAsia" w:eastAsia="仿宋_GB2312"/>
          <w:color w:val="auto"/>
          <w:szCs w:val="32"/>
          <w:lang w:val="en-US" w:eastAsia="zh-CN"/>
        </w:rPr>
        <w:t>:</w:t>
      </w:r>
      <w:r>
        <w:rPr>
          <w:rFonts w:eastAsia="仿宋_GB2312"/>
          <w:color w:val="auto"/>
          <w:szCs w:val="32"/>
        </w:rPr>
        <w:t>国家药监局2021年第75号通告[Z].</w:t>
      </w:r>
    </w:p>
    <w:p>
      <w:pPr>
        <w:pStyle w:val="17"/>
        <w:keepNext w:val="0"/>
        <w:keepLines w:val="0"/>
        <w:pageBreakBefore w:val="0"/>
        <w:widowControl w:val="0"/>
        <w:kinsoku/>
        <w:wordWrap/>
        <w:overflowPunct w:val="0"/>
        <w:topLinePunct w:val="0"/>
        <w:autoSpaceDE w:val="0"/>
        <w:autoSpaceDN w:val="0"/>
        <w:bidi w:val="0"/>
        <w:adjustRightInd/>
        <w:snapToGrid/>
        <w:spacing w:line="520" w:lineRule="exact"/>
        <w:ind w:firstLine="640"/>
        <w:textAlignment w:val="auto"/>
        <w:outlineLvl w:val="2"/>
        <w:rPr>
          <w:rFonts w:ascii="Times New Roman" w:hAnsi="Times New Roman" w:eastAsia="仿宋_GB2312" w:cs="Times New Roman"/>
          <w:color w:val="auto"/>
          <w:sz w:val="32"/>
          <w:szCs w:val="32"/>
        </w:rPr>
      </w:pPr>
      <w:r>
        <w:rPr>
          <w:rFonts w:eastAsia="仿宋_GB2312"/>
          <w:color w:val="auto"/>
          <w:szCs w:val="32"/>
        </w:rPr>
        <w:t>[1</w:t>
      </w:r>
      <w:r>
        <w:rPr>
          <w:rFonts w:hint="default" w:eastAsia="仿宋_GB2312"/>
          <w:color w:val="auto"/>
          <w:szCs w:val="32"/>
          <w:lang w:val="en-US"/>
        </w:rPr>
        <w:t>4</w:t>
      </w:r>
      <w:r>
        <w:rPr>
          <w:rFonts w:eastAsia="仿宋_GB2312"/>
          <w:color w:val="auto"/>
          <w:szCs w:val="32"/>
        </w:rPr>
        <w:t>]</w:t>
      </w:r>
      <w:r>
        <w:rPr>
          <w:rFonts w:hint="eastAsia" w:ascii="Times New Roman" w:hAnsi="Times New Roman" w:eastAsia="仿宋_GB2312" w:cs="Times New Roman"/>
          <w:color w:val="auto"/>
          <w:sz w:val="32"/>
          <w:szCs w:val="32"/>
        </w:rPr>
        <w:t>国家药品监督管理局.</w:t>
      </w:r>
      <w:r>
        <w:rPr>
          <w:rFonts w:ascii="Times New Roman" w:hAnsi="Times New Roman" w:eastAsia="仿宋_GB2312" w:cs="Times New Roman"/>
          <w:color w:val="auto"/>
          <w:sz w:val="32"/>
          <w:szCs w:val="32"/>
        </w:rPr>
        <w:t>医疗器械临床评价技术指导原则</w:t>
      </w:r>
      <w:r>
        <w:rPr>
          <w:rFonts w:hint="eastAsia" w:ascii="Times New Roman" w:hAnsi="Times New Roman" w:eastAsia="仿宋_GB2312" w:cs="Times New Roman"/>
          <w:color w:val="auto"/>
          <w:sz w:val="32"/>
          <w:szCs w:val="32"/>
        </w:rPr>
        <w:t>:国家药监局通告2021年第73号</w:t>
      </w:r>
      <w:r>
        <w:rPr>
          <w:rFonts w:ascii="Times New Roman" w:hAnsi="Times New Roman" w:eastAsia="仿宋_GB2312" w:cs="Times New Roman"/>
          <w:color w:val="auto"/>
          <w:sz w:val="32"/>
          <w:szCs w:val="32"/>
        </w:rPr>
        <w:t>[Z].</w:t>
      </w:r>
    </w:p>
    <w:p>
      <w:pPr>
        <w:spacing w:line="520" w:lineRule="exact"/>
        <w:ind w:firstLine="640" w:firstLineChars="200"/>
        <w:rPr>
          <w:rFonts w:eastAsia="仿宋_GB2312"/>
          <w:color w:val="auto"/>
          <w:szCs w:val="32"/>
        </w:rPr>
      </w:pPr>
      <w:r>
        <w:rPr>
          <w:rFonts w:eastAsia="仿宋_GB2312"/>
          <w:color w:val="auto"/>
          <w:szCs w:val="32"/>
        </w:rPr>
        <w:t>[</w:t>
      </w:r>
      <w:r>
        <w:rPr>
          <w:rFonts w:hint="default" w:eastAsia="仿宋_GB2312"/>
          <w:color w:val="auto"/>
          <w:szCs w:val="32"/>
          <w:lang w:val="en-US"/>
        </w:rPr>
        <w:t>15</w:t>
      </w:r>
      <w:r>
        <w:rPr>
          <w:rFonts w:eastAsia="仿宋_GB2312"/>
          <w:color w:val="auto"/>
          <w:szCs w:val="32"/>
        </w:rPr>
        <w:t>]</w:t>
      </w:r>
      <w:r>
        <w:rPr>
          <w:rFonts w:hint="eastAsia" w:ascii="Times New Roman" w:hAnsi="Times New Roman" w:eastAsia="仿宋_GB2312" w:cs="Times New Roman"/>
          <w:color w:val="auto"/>
          <w:sz w:val="32"/>
          <w:szCs w:val="32"/>
        </w:rPr>
        <w:t>国家药品监督管理局.</w:t>
      </w:r>
      <w:r>
        <w:rPr>
          <w:rFonts w:eastAsia="仿宋_GB2312"/>
          <w:color w:val="auto"/>
          <w:szCs w:val="32"/>
        </w:rPr>
        <w:t>决策是否开展医疗器械临床试验技术指导原则</w:t>
      </w:r>
      <w:r>
        <w:rPr>
          <w:rFonts w:hint="eastAsia" w:eastAsia="仿宋_GB2312"/>
          <w:color w:val="auto"/>
          <w:szCs w:val="32"/>
          <w:lang w:val="en-US" w:eastAsia="zh-CN"/>
        </w:rPr>
        <w:t>:</w:t>
      </w:r>
      <w:r>
        <w:rPr>
          <w:rFonts w:hint="eastAsia" w:ascii="Times New Roman" w:hAnsi="Times New Roman" w:eastAsia="仿宋_GB2312" w:cs="Times New Roman"/>
          <w:color w:val="auto"/>
          <w:sz w:val="32"/>
          <w:szCs w:val="32"/>
        </w:rPr>
        <w:t>国家药监局通告2021年第73号</w:t>
      </w:r>
      <w:r>
        <w:rPr>
          <w:rFonts w:eastAsia="仿宋_GB2312"/>
          <w:color w:val="auto"/>
          <w:szCs w:val="32"/>
        </w:rPr>
        <w:t>[Z].</w:t>
      </w:r>
    </w:p>
    <w:p>
      <w:pPr>
        <w:spacing w:line="520" w:lineRule="exact"/>
        <w:ind w:firstLine="640" w:firstLineChars="200"/>
        <w:rPr>
          <w:rFonts w:eastAsia="仿宋_GB2312"/>
          <w:color w:val="auto"/>
          <w:szCs w:val="32"/>
        </w:rPr>
      </w:pPr>
      <w:r>
        <w:rPr>
          <w:rFonts w:eastAsia="仿宋_GB2312"/>
          <w:color w:val="auto"/>
          <w:szCs w:val="32"/>
        </w:rPr>
        <w:t>[</w:t>
      </w:r>
      <w:r>
        <w:rPr>
          <w:rFonts w:hint="default" w:eastAsia="仿宋_GB2312"/>
          <w:color w:val="auto"/>
          <w:szCs w:val="32"/>
          <w:lang w:val="en-US"/>
        </w:rPr>
        <w:t>16</w:t>
      </w:r>
      <w:r>
        <w:rPr>
          <w:rFonts w:eastAsia="仿宋_GB2312"/>
          <w:color w:val="auto"/>
          <w:szCs w:val="32"/>
        </w:rPr>
        <w:t>]</w:t>
      </w:r>
      <w:r>
        <w:rPr>
          <w:rFonts w:hint="eastAsia" w:ascii="Times New Roman" w:hAnsi="Times New Roman" w:eastAsia="仿宋_GB2312" w:cs="Times New Roman"/>
          <w:color w:val="auto"/>
          <w:sz w:val="32"/>
          <w:szCs w:val="32"/>
        </w:rPr>
        <w:t>国家药品监督管理局.</w:t>
      </w:r>
      <w:r>
        <w:rPr>
          <w:rFonts w:eastAsia="仿宋_GB2312"/>
          <w:color w:val="auto"/>
          <w:szCs w:val="32"/>
        </w:rPr>
        <w:t>医疗器械临床评价等同性论证技术指导原则</w:t>
      </w:r>
      <w:r>
        <w:rPr>
          <w:rFonts w:hint="eastAsia" w:eastAsia="仿宋_GB2312"/>
          <w:color w:val="auto"/>
          <w:szCs w:val="32"/>
          <w:lang w:val="en-US" w:eastAsia="zh-CN"/>
        </w:rPr>
        <w:t>:</w:t>
      </w:r>
      <w:r>
        <w:rPr>
          <w:rFonts w:hint="eastAsia" w:ascii="Times New Roman" w:hAnsi="Times New Roman" w:eastAsia="仿宋_GB2312" w:cs="Times New Roman"/>
          <w:color w:val="auto"/>
          <w:sz w:val="32"/>
          <w:szCs w:val="32"/>
        </w:rPr>
        <w:t>国家药监局通告2021年第73号</w:t>
      </w:r>
      <w:r>
        <w:rPr>
          <w:rFonts w:eastAsia="仿宋_GB2312"/>
          <w:color w:val="auto"/>
          <w:szCs w:val="32"/>
        </w:rPr>
        <w:t>[Z].</w:t>
      </w:r>
    </w:p>
    <w:p>
      <w:pPr>
        <w:spacing w:line="520" w:lineRule="exact"/>
        <w:ind w:firstLine="640" w:firstLineChars="200"/>
        <w:rPr>
          <w:rFonts w:eastAsia="仿宋_GB2312"/>
          <w:color w:val="auto"/>
          <w:szCs w:val="32"/>
        </w:rPr>
      </w:pPr>
      <w:r>
        <w:rPr>
          <w:rFonts w:eastAsia="仿宋_GB2312"/>
          <w:color w:val="auto"/>
          <w:szCs w:val="32"/>
        </w:rPr>
        <w:t>[</w:t>
      </w:r>
      <w:r>
        <w:rPr>
          <w:rFonts w:hint="default" w:eastAsia="仿宋_GB2312"/>
          <w:color w:val="auto"/>
          <w:szCs w:val="32"/>
          <w:lang w:val="en-US"/>
        </w:rPr>
        <w:t>17</w:t>
      </w:r>
      <w:r>
        <w:rPr>
          <w:rFonts w:eastAsia="仿宋_GB2312"/>
          <w:color w:val="auto"/>
          <w:szCs w:val="32"/>
        </w:rPr>
        <w:t>]</w:t>
      </w:r>
      <w:r>
        <w:rPr>
          <w:rFonts w:hint="eastAsia" w:ascii="Times New Roman" w:hAnsi="Times New Roman" w:eastAsia="仿宋_GB2312" w:cs="Times New Roman"/>
          <w:color w:val="auto"/>
          <w:sz w:val="32"/>
          <w:szCs w:val="32"/>
        </w:rPr>
        <w:t>国家药品监督管理局.</w:t>
      </w:r>
      <w:r>
        <w:rPr>
          <w:rFonts w:eastAsia="仿宋_GB2312"/>
          <w:color w:val="auto"/>
          <w:szCs w:val="32"/>
        </w:rPr>
        <w:t>医疗器械注册申报临床评价报告技术指导原则</w:t>
      </w:r>
      <w:r>
        <w:rPr>
          <w:rFonts w:hint="eastAsia" w:eastAsia="仿宋_GB2312"/>
          <w:color w:val="auto"/>
          <w:szCs w:val="32"/>
          <w:lang w:val="en-US" w:eastAsia="zh-CN"/>
        </w:rPr>
        <w:t>:</w:t>
      </w:r>
      <w:r>
        <w:rPr>
          <w:rFonts w:hint="eastAsia" w:ascii="Times New Roman" w:hAnsi="Times New Roman" w:eastAsia="仿宋_GB2312" w:cs="Times New Roman"/>
          <w:color w:val="auto"/>
          <w:sz w:val="32"/>
          <w:szCs w:val="32"/>
        </w:rPr>
        <w:t>国家药监局通告2021年第73号</w:t>
      </w:r>
      <w:r>
        <w:rPr>
          <w:rFonts w:eastAsia="仿宋_GB2312"/>
          <w:color w:val="auto"/>
          <w:szCs w:val="32"/>
        </w:rPr>
        <w:t>[Z].</w:t>
      </w:r>
    </w:p>
    <w:p>
      <w:pPr>
        <w:spacing w:line="520" w:lineRule="exact"/>
        <w:ind w:firstLine="640" w:firstLineChars="200"/>
        <w:outlineLvl w:val="0"/>
        <w:rPr>
          <w:rFonts w:hint="eastAsia" w:ascii="Times New Roman" w:hAnsi="Times New Roman" w:eastAsia="仿宋_GB2312" w:cs="仿宋_GB2312"/>
          <w:bCs/>
          <w:color w:val="auto"/>
          <w:sz w:val="32"/>
          <w:szCs w:val="32"/>
        </w:rPr>
      </w:pPr>
      <w:r>
        <w:rPr>
          <w:rFonts w:eastAsia="仿宋_GB2312"/>
          <w:color w:val="auto"/>
          <w:szCs w:val="32"/>
        </w:rPr>
        <w:t>[</w:t>
      </w:r>
      <w:r>
        <w:rPr>
          <w:rFonts w:hint="default" w:eastAsia="仿宋_GB2312"/>
          <w:color w:val="auto"/>
          <w:szCs w:val="32"/>
          <w:lang w:val="en-US"/>
        </w:rPr>
        <w:t>18</w:t>
      </w:r>
      <w:r>
        <w:rPr>
          <w:rFonts w:eastAsia="仿宋_GB2312"/>
          <w:color w:val="auto"/>
          <w:szCs w:val="32"/>
        </w:rPr>
        <w:t>]</w:t>
      </w:r>
      <w:r>
        <w:rPr>
          <w:rFonts w:hint="eastAsia" w:ascii="Times New Roman" w:hAnsi="Times New Roman" w:eastAsia="仿宋_GB2312" w:cs="仿宋_GB2312"/>
          <w:bCs/>
          <w:color w:val="auto"/>
          <w:sz w:val="32"/>
          <w:szCs w:val="32"/>
        </w:rPr>
        <w:t>GB/T 42061,医疗器械质量管理体系用于法规的要求[S].</w:t>
      </w:r>
    </w:p>
    <w:p>
      <w:pPr>
        <w:spacing w:line="520" w:lineRule="exact"/>
        <w:ind w:firstLine="640" w:firstLineChars="200"/>
        <w:rPr>
          <w:rFonts w:hint="eastAsia" w:ascii="Times New Roman" w:hAnsi="Times New Roman" w:eastAsia="仿宋_GB2312" w:cs="仿宋_GB2312"/>
          <w:bCs/>
          <w:color w:val="auto"/>
          <w:sz w:val="32"/>
          <w:szCs w:val="32"/>
        </w:rPr>
      </w:pPr>
      <w:r>
        <w:rPr>
          <w:rFonts w:hint="eastAsia" w:ascii="Times New Roman" w:hAnsi="Times New Roman" w:eastAsia="仿宋_GB2312" w:cs="仿宋_GB2312"/>
          <w:bCs/>
          <w:color w:val="auto"/>
          <w:sz w:val="32"/>
          <w:szCs w:val="32"/>
        </w:rPr>
        <w:t>[</w:t>
      </w:r>
      <w:r>
        <w:rPr>
          <w:rFonts w:hint="default" w:eastAsia="仿宋_GB2312" w:cs="仿宋_GB2312"/>
          <w:bCs/>
          <w:color w:val="auto"/>
          <w:sz w:val="32"/>
          <w:szCs w:val="32"/>
          <w:lang w:val="en-US"/>
        </w:rPr>
        <w:t>19</w:t>
      </w:r>
      <w:r>
        <w:rPr>
          <w:rFonts w:hint="eastAsia" w:ascii="Times New Roman" w:hAnsi="Times New Roman" w:eastAsia="仿宋_GB2312" w:cs="仿宋_GB2312"/>
          <w:bCs/>
          <w:color w:val="auto"/>
          <w:sz w:val="32"/>
          <w:szCs w:val="32"/>
        </w:rPr>
        <w:t>]</w:t>
      </w:r>
      <w:r>
        <w:rPr>
          <w:rFonts w:eastAsia="仿宋_GB2312"/>
          <w:color w:val="auto"/>
          <w:szCs w:val="32"/>
          <w:highlight w:val="none"/>
        </w:rPr>
        <w:t>GB/T 42062</w:t>
      </w:r>
      <w:r>
        <w:rPr>
          <w:rFonts w:hint="eastAsia" w:eastAsia="仿宋_GB2312"/>
          <w:color w:val="auto"/>
          <w:szCs w:val="32"/>
          <w:highlight w:val="none"/>
          <w:lang w:val="en-US" w:eastAsia="zh-CN"/>
        </w:rPr>
        <w:t>,</w:t>
      </w:r>
      <w:r>
        <w:rPr>
          <w:rFonts w:eastAsia="仿宋_GB2312"/>
          <w:color w:val="auto"/>
          <w:szCs w:val="32"/>
          <w:highlight w:val="none"/>
        </w:rPr>
        <w:t>医疗器械风险管理对医疗器械的应用</w:t>
      </w:r>
      <w:r>
        <w:rPr>
          <w:rFonts w:hint="eastAsia" w:ascii="Times New Roman" w:hAnsi="Times New Roman" w:eastAsia="仿宋_GB2312" w:cs="Times New Roman"/>
          <w:color w:val="auto"/>
          <w:sz w:val="32"/>
          <w:szCs w:val="32"/>
          <w:highlight w:val="none"/>
        </w:rPr>
        <w:t>[</w:t>
      </w:r>
      <w:r>
        <w:rPr>
          <w:rFonts w:hint="eastAsia" w:eastAsia="仿宋_GB2312" w:cs="Times New Roman"/>
          <w:color w:val="auto"/>
          <w:sz w:val="32"/>
          <w:szCs w:val="32"/>
          <w:highlight w:val="none"/>
          <w:lang w:val="en-US" w:eastAsia="zh-CN"/>
        </w:rPr>
        <w:t>S</w:t>
      </w:r>
      <w:r>
        <w:rPr>
          <w:rFonts w:hint="eastAsia" w:ascii="Times New Roman" w:hAnsi="Times New Roman" w:eastAsia="仿宋_GB2312" w:cs="Times New Roman"/>
          <w:color w:val="auto"/>
          <w:sz w:val="32"/>
          <w:szCs w:val="32"/>
          <w:highlight w:val="none"/>
        </w:rPr>
        <w:t>].</w:t>
      </w:r>
    </w:p>
    <w:p>
      <w:pPr>
        <w:spacing w:line="520" w:lineRule="exact"/>
        <w:ind w:firstLine="640" w:firstLineChars="200"/>
        <w:outlineLvl w:val="0"/>
        <w:rPr>
          <w:rFonts w:hint="eastAsia" w:ascii="Times New Roman" w:hAnsi="Times New Roman" w:eastAsia="仿宋_GB2312" w:cs="仿宋_GB2312"/>
          <w:bCs/>
          <w:color w:val="auto"/>
          <w:sz w:val="32"/>
          <w:szCs w:val="32"/>
        </w:rPr>
      </w:pPr>
      <w:r>
        <w:rPr>
          <w:rFonts w:eastAsia="仿宋_GB2312"/>
          <w:color w:val="auto"/>
          <w:szCs w:val="32"/>
          <w:highlight w:val="none"/>
        </w:rPr>
        <w:t>[</w:t>
      </w:r>
      <w:r>
        <w:rPr>
          <w:rFonts w:hint="default" w:eastAsia="仿宋_GB2312"/>
          <w:color w:val="auto"/>
          <w:szCs w:val="32"/>
          <w:highlight w:val="none"/>
          <w:lang w:val="en-US"/>
        </w:rPr>
        <w:t>20</w:t>
      </w:r>
      <w:r>
        <w:rPr>
          <w:rFonts w:eastAsia="仿宋_GB2312"/>
          <w:color w:val="auto"/>
          <w:szCs w:val="32"/>
          <w:highlight w:val="none"/>
        </w:rPr>
        <w:t>]</w:t>
      </w:r>
      <w:r>
        <w:rPr>
          <w:rFonts w:hint="eastAsia" w:ascii="Times New Roman" w:hAnsi="Times New Roman" w:eastAsia="仿宋_GB2312" w:cs="仿宋_GB2312"/>
          <w:bCs/>
          <w:color w:val="auto"/>
          <w:sz w:val="32"/>
          <w:szCs w:val="32"/>
        </w:rPr>
        <w:t>中华人民共和国药典[S].</w:t>
      </w:r>
    </w:p>
    <w:p>
      <w:pPr>
        <w:spacing w:line="240" w:lineRule="auto"/>
        <w:ind w:firstLine="0" w:firstLineChars="0"/>
        <w:outlineLvl w:val="9"/>
        <w:rPr>
          <w:rFonts w:hint="eastAsia" w:ascii="Times New Roman" w:hAnsi="Times New Roman" w:eastAsia="仿宋_GB2312" w:cs="仿宋_GB2312"/>
          <w:bCs/>
          <w:color w:val="auto"/>
          <w:sz w:val="32"/>
          <w:szCs w:val="32"/>
        </w:rPr>
      </w:pPr>
      <w:r>
        <w:rPr>
          <w:rFonts w:hint="eastAsia" w:ascii="Times New Roman" w:hAnsi="Times New Roman" w:eastAsia="仿宋_GB2312" w:cs="仿宋_GB2312"/>
          <w:bCs/>
          <w:color w:val="auto"/>
          <w:sz w:val="32"/>
          <w:szCs w:val="32"/>
        </w:rPr>
        <w:br w:type="page"/>
      </w:r>
    </w:p>
    <w:p>
      <w:pPr>
        <w:tabs>
          <w:tab w:val="left" w:pos="532"/>
        </w:tabs>
        <w:spacing w:line="560" w:lineRule="exact"/>
        <w:rPr>
          <w:rFonts w:ascii="黑体" w:hAnsi="黑体" w:eastAsia="黑体" w:cs="黑体"/>
          <w:bCs/>
          <w:color w:val="auto"/>
          <w:sz w:val="32"/>
          <w:szCs w:val="32"/>
        </w:rPr>
      </w:pPr>
      <w:r>
        <w:rPr>
          <w:rFonts w:hint="eastAsia" w:ascii="黑体" w:hAnsi="黑体" w:eastAsia="黑体" w:cs="黑体"/>
          <w:bCs/>
          <w:color w:val="auto"/>
          <w:sz w:val="32"/>
          <w:szCs w:val="32"/>
        </w:rPr>
        <w:t>附件</w:t>
      </w:r>
    </w:p>
    <w:p>
      <w:pPr>
        <w:pStyle w:val="13"/>
        <w:rPr>
          <w:rFonts w:hint="eastAsia"/>
          <w:color w:val="auto"/>
        </w:rPr>
      </w:pPr>
    </w:p>
    <w:p>
      <w:pPr>
        <w:spacing w:line="520" w:lineRule="exact"/>
        <w:jc w:val="center"/>
        <w:rPr>
          <w:rStyle w:val="21"/>
          <w:rFonts w:hint="eastAsia" w:ascii="方正小标宋简体" w:hAnsi="黑体" w:eastAsia="方正小标宋简体" w:cs="黑体"/>
          <w:bCs/>
          <w:color w:val="auto"/>
          <w:sz w:val="44"/>
          <w:szCs w:val="44"/>
        </w:rPr>
      </w:pPr>
      <w:r>
        <w:rPr>
          <w:rStyle w:val="21"/>
          <w:rFonts w:hint="eastAsia" w:ascii="方正小标宋简体" w:hAnsi="黑体" w:eastAsia="方正小标宋简体" w:cs="黑体"/>
          <w:bCs/>
          <w:color w:val="auto"/>
          <w:sz w:val="44"/>
          <w:szCs w:val="44"/>
        </w:rPr>
        <w:t>产品主要危险</w:t>
      </w:r>
    </w:p>
    <w:p>
      <w:pPr>
        <w:spacing w:line="520" w:lineRule="exact"/>
        <w:ind w:firstLine="880"/>
        <w:jc w:val="center"/>
        <w:rPr>
          <w:rFonts w:hint="eastAsia" w:ascii="方正小标宋简体" w:eastAsia="方正小标宋简体" w:cs="仿宋_GB2312"/>
          <w:bCs/>
          <w:color w:val="auto"/>
          <w:sz w:val="44"/>
          <w:szCs w:val="44"/>
        </w:rPr>
      </w:pPr>
    </w:p>
    <w:tbl>
      <w:tblPr>
        <w:tblStyle w:val="10"/>
        <w:tblW w:w="94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7"/>
        <w:gridCol w:w="1843"/>
        <w:gridCol w:w="3237"/>
        <w:gridCol w:w="26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tblHeader/>
          <w:jc w:val="center"/>
        </w:trPr>
        <w:tc>
          <w:tcPr>
            <w:tcW w:w="1707" w:type="dxa"/>
            <w:noWrap w:val="0"/>
            <w:vAlign w:val="center"/>
          </w:tcPr>
          <w:p>
            <w:pPr>
              <w:spacing w:line="400" w:lineRule="exact"/>
              <w:jc w:val="center"/>
              <w:rPr>
                <w:rFonts w:hint="eastAsia" w:ascii="仿宋_GB2312" w:hAnsi="黑体" w:eastAsia="仿宋_GB2312" w:cs="仿宋_GB2312"/>
                <w:b/>
                <w:bCs/>
                <w:color w:val="auto"/>
                <w:sz w:val="28"/>
                <w:szCs w:val="28"/>
              </w:rPr>
            </w:pPr>
            <w:r>
              <w:rPr>
                <w:rFonts w:hint="eastAsia" w:ascii="仿宋_GB2312" w:hAnsi="黑体" w:eastAsia="仿宋_GB2312" w:cs="仿宋_GB2312"/>
                <w:b/>
                <w:bCs/>
                <w:color w:val="auto"/>
                <w:sz w:val="28"/>
                <w:szCs w:val="28"/>
              </w:rPr>
              <w:t>危险</w:t>
            </w:r>
          </w:p>
        </w:tc>
        <w:tc>
          <w:tcPr>
            <w:tcW w:w="1843" w:type="dxa"/>
            <w:noWrap w:val="0"/>
            <w:vAlign w:val="center"/>
          </w:tcPr>
          <w:p>
            <w:pPr>
              <w:spacing w:line="400" w:lineRule="exact"/>
              <w:jc w:val="center"/>
              <w:rPr>
                <w:rFonts w:hint="eastAsia" w:ascii="仿宋_GB2312" w:hAnsi="黑体" w:eastAsia="仿宋_GB2312" w:cs="仿宋_GB2312"/>
                <w:b/>
                <w:bCs/>
                <w:color w:val="auto"/>
                <w:sz w:val="28"/>
                <w:szCs w:val="28"/>
              </w:rPr>
            </w:pPr>
            <w:r>
              <w:rPr>
                <w:rFonts w:hint="eastAsia" w:ascii="仿宋_GB2312" w:hAnsi="黑体" w:eastAsia="仿宋_GB2312" w:cs="仿宋_GB2312"/>
                <w:b/>
                <w:bCs/>
                <w:color w:val="auto"/>
                <w:sz w:val="28"/>
                <w:szCs w:val="28"/>
              </w:rPr>
              <w:t>可预见的事件序列</w:t>
            </w:r>
          </w:p>
        </w:tc>
        <w:tc>
          <w:tcPr>
            <w:tcW w:w="3237" w:type="dxa"/>
            <w:noWrap w:val="0"/>
            <w:vAlign w:val="center"/>
          </w:tcPr>
          <w:p>
            <w:pPr>
              <w:spacing w:line="400" w:lineRule="exact"/>
              <w:jc w:val="center"/>
              <w:rPr>
                <w:rFonts w:hint="eastAsia" w:ascii="仿宋_GB2312" w:hAnsi="黑体" w:eastAsia="仿宋_GB2312" w:cs="仿宋_GB2312"/>
                <w:b/>
                <w:bCs/>
                <w:color w:val="auto"/>
                <w:sz w:val="28"/>
                <w:szCs w:val="28"/>
              </w:rPr>
            </w:pPr>
            <w:r>
              <w:rPr>
                <w:rFonts w:hint="eastAsia" w:ascii="仿宋_GB2312" w:hAnsi="黑体" w:eastAsia="仿宋_GB2312" w:cs="仿宋_GB2312"/>
                <w:b/>
                <w:bCs/>
                <w:color w:val="auto"/>
                <w:sz w:val="28"/>
                <w:szCs w:val="28"/>
              </w:rPr>
              <w:t>危险的形成因素</w:t>
            </w:r>
          </w:p>
        </w:tc>
        <w:tc>
          <w:tcPr>
            <w:tcW w:w="2675" w:type="dxa"/>
            <w:noWrap w:val="0"/>
            <w:vAlign w:val="center"/>
          </w:tcPr>
          <w:p>
            <w:pPr>
              <w:spacing w:line="400" w:lineRule="exact"/>
              <w:jc w:val="center"/>
              <w:rPr>
                <w:rFonts w:hint="eastAsia" w:ascii="仿宋_GB2312" w:hAnsi="黑体" w:eastAsia="仿宋_GB2312" w:cs="仿宋_GB2312"/>
                <w:b/>
                <w:bCs/>
                <w:color w:val="auto"/>
                <w:sz w:val="28"/>
                <w:szCs w:val="28"/>
              </w:rPr>
            </w:pPr>
            <w:r>
              <w:rPr>
                <w:rFonts w:hint="eastAsia" w:ascii="仿宋_GB2312" w:hAnsi="黑体" w:eastAsia="仿宋_GB2312" w:cs="仿宋_GB2312"/>
                <w:b/>
                <w:bCs/>
                <w:color w:val="auto"/>
                <w:sz w:val="28"/>
                <w:szCs w:val="28"/>
              </w:rPr>
              <w:t>可能的后果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2" w:hRule="atLeast"/>
          <w:jc w:val="center"/>
        </w:trPr>
        <w:tc>
          <w:tcPr>
            <w:tcW w:w="1707" w:type="dxa"/>
            <w:vMerge w:val="restart"/>
            <w:noWrap w:val="0"/>
            <w:vAlign w:val="center"/>
          </w:tcPr>
          <w:p>
            <w:pPr>
              <w:spacing w:line="4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生物学危</w:t>
            </w:r>
            <w:r>
              <w:rPr>
                <w:rFonts w:hint="eastAsia" w:ascii="仿宋_GB2312" w:hAnsi="仿宋_GB2312" w:eastAsia="仿宋_GB2312" w:cs="仿宋_GB2312"/>
                <w:bCs/>
                <w:color w:val="auto"/>
                <w:sz w:val="28"/>
                <w:szCs w:val="28"/>
                <w:lang w:val="zh-CN"/>
              </w:rPr>
              <w:t>险</w:t>
            </w:r>
          </w:p>
        </w:tc>
        <w:tc>
          <w:tcPr>
            <w:tcW w:w="1843" w:type="dxa"/>
            <w:noWrap w:val="0"/>
            <w:vAlign w:val="center"/>
          </w:tcPr>
          <w:p>
            <w:pPr>
              <w:spacing w:line="4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生物污染</w:t>
            </w:r>
          </w:p>
        </w:tc>
        <w:tc>
          <w:tcPr>
            <w:tcW w:w="3237"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生产环境控制不好。包装破损或使用时不规范造成生物污染；产品没有达到无菌或微生物指标的要求</w:t>
            </w:r>
          </w:p>
        </w:tc>
        <w:tc>
          <w:tcPr>
            <w:tcW w:w="2675"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引起交叉感染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1707" w:type="dxa"/>
            <w:vMerge w:val="continue"/>
            <w:noWrap w:val="0"/>
            <w:vAlign w:val="center"/>
          </w:tcPr>
          <w:p>
            <w:pPr>
              <w:spacing w:line="400" w:lineRule="exact"/>
              <w:jc w:val="center"/>
              <w:rPr>
                <w:rFonts w:hint="eastAsia" w:ascii="仿宋_GB2312" w:hAnsi="仿宋_GB2312" w:eastAsia="仿宋_GB2312" w:cs="仿宋_GB2312"/>
                <w:bCs/>
                <w:color w:val="auto"/>
                <w:sz w:val="28"/>
                <w:szCs w:val="28"/>
              </w:rPr>
            </w:pPr>
          </w:p>
        </w:tc>
        <w:tc>
          <w:tcPr>
            <w:tcW w:w="1843" w:type="dxa"/>
            <w:noWrap w:val="0"/>
            <w:vAlign w:val="center"/>
          </w:tcPr>
          <w:p>
            <w:pPr>
              <w:spacing w:line="4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不正确的配方（化学成分）</w:t>
            </w:r>
          </w:p>
        </w:tc>
        <w:tc>
          <w:tcPr>
            <w:tcW w:w="3237"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未按照工艺要求配料</w:t>
            </w:r>
          </w:p>
        </w:tc>
        <w:tc>
          <w:tcPr>
            <w:tcW w:w="2675"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造成毒性危害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1707" w:type="dxa"/>
            <w:vMerge w:val="continue"/>
            <w:noWrap w:val="0"/>
            <w:vAlign w:val="center"/>
          </w:tcPr>
          <w:p>
            <w:pPr>
              <w:spacing w:line="400" w:lineRule="exact"/>
              <w:jc w:val="center"/>
              <w:rPr>
                <w:rFonts w:hint="eastAsia" w:ascii="仿宋_GB2312" w:hAnsi="仿宋_GB2312" w:eastAsia="仿宋_GB2312" w:cs="仿宋_GB2312"/>
                <w:bCs/>
                <w:color w:val="auto"/>
                <w:sz w:val="28"/>
                <w:szCs w:val="28"/>
              </w:rPr>
            </w:pPr>
          </w:p>
        </w:tc>
        <w:tc>
          <w:tcPr>
            <w:tcW w:w="1843" w:type="dxa"/>
            <w:noWrap w:val="0"/>
            <w:vAlign w:val="center"/>
          </w:tcPr>
          <w:p>
            <w:pPr>
              <w:spacing w:line="4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加工工艺</w:t>
            </w:r>
          </w:p>
        </w:tc>
        <w:tc>
          <w:tcPr>
            <w:tcW w:w="3237"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加工工艺控制不严格，后处理工艺控制不严格</w:t>
            </w:r>
          </w:p>
        </w:tc>
        <w:tc>
          <w:tcPr>
            <w:tcW w:w="2675"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引入有害物质，引起患者感染或造成毒性危害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jc w:val="center"/>
        </w:trPr>
        <w:tc>
          <w:tcPr>
            <w:tcW w:w="1707" w:type="dxa"/>
            <w:vMerge w:val="continue"/>
            <w:noWrap w:val="0"/>
            <w:vAlign w:val="center"/>
          </w:tcPr>
          <w:p>
            <w:pPr>
              <w:spacing w:line="400" w:lineRule="exact"/>
              <w:jc w:val="center"/>
              <w:rPr>
                <w:rFonts w:hint="eastAsia" w:ascii="仿宋_GB2312" w:hAnsi="仿宋_GB2312" w:eastAsia="仿宋_GB2312" w:cs="仿宋_GB2312"/>
                <w:bCs/>
                <w:color w:val="auto"/>
                <w:sz w:val="28"/>
                <w:szCs w:val="28"/>
              </w:rPr>
            </w:pPr>
          </w:p>
        </w:tc>
        <w:tc>
          <w:tcPr>
            <w:tcW w:w="1843" w:type="dxa"/>
            <w:vMerge w:val="restart"/>
            <w:noWrap w:val="0"/>
            <w:vAlign w:val="center"/>
          </w:tcPr>
          <w:p>
            <w:pPr>
              <w:spacing w:line="4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环境污染</w:t>
            </w:r>
          </w:p>
        </w:tc>
        <w:tc>
          <w:tcPr>
            <w:tcW w:w="3237"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生产环境污染产品，如外来的粉尘、微生物、其他杂质等</w:t>
            </w:r>
          </w:p>
        </w:tc>
        <w:tc>
          <w:tcPr>
            <w:tcW w:w="2675"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引起交叉感染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1707" w:type="dxa"/>
            <w:vMerge w:val="continue"/>
            <w:noWrap w:val="0"/>
            <w:vAlign w:val="center"/>
          </w:tcPr>
          <w:p>
            <w:pPr>
              <w:spacing w:line="400" w:lineRule="exact"/>
              <w:jc w:val="center"/>
              <w:rPr>
                <w:rFonts w:hint="eastAsia" w:ascii="仿宋_GB2312" w:hAnsi="仿宋_GB2312" w:eastAsia="仿宋_GB2312" w:cs="仿宋_GB2312"/>
                <w:bCs/>
                <w:color w:val="auto"/>
                <w:sz w:val="28"/>
                <w:szCs w:val="28"/>
              </w:rPr>
            </w:pPr>
          </w:p>
        </w:tc>
        <w:tc>
          <w:tcPr>
            <w:tcW w:w="1843" w:type="dxa"/>
            <w:vMerge w:val="continue"/>
            <w:noWrap w:val="0"/>
            <w:vAlign w:val="center"/>
          </w:tcPr>
          <w:p>
            <w:pPr>
              <w:spacing w:line="400" w:lineRule="exact"/>
              <w:jc w:val="center"/>
              <w:rPr>
                <w:rFonts w:hint="eastAsia" w:ascii="仿宋_GB2312" w:hAnsi="仿宋_GB2312" w:eastAsia="仿宋_GB2312" w:cs="仿宋_GB2312"/>
                <w:bCs/>
                <w:color w:val="auto"/>
                <w:sz w:val="28"/>
                <w:szCs w:val="28"/>
              </w:rPr>
            </w:pPr>
          </w:p>
        </w:tc>
        <w:tc>
          <w:tcPr>
            <w:tcW w:w="3237"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储存（如温度、湿度）或运行偏离预定的环境条件</w:t>
            </w:r>
          </w:p>
        </w:tc>
        <w:tc>
          <w:tcPr>
            <w:tcW w:w="2675"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产品老化、无菌有效期缩短或开封后性能不能达到使用要求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707" w:type="dxa"/>
            <w:vMerge w:val="continue"/>
            <w:noWrap w:val="0"/>
            <w:vAlign w:val="center"/>
          </w:tcPr>
          <w:p>
            <w:pPr>
              <w:spacing w:line="400" w:lineRule="exact"/>
              <w:jc w:val="center"/>
              <w:rPr>
                <w:rFonts w:hint="eastAsia" w:ascii="仿宋_GB2312" w:hAnsi="仿宋_GB2312" w:eastAsia="仿宋_GB2312" w:cs="仿宋_GB2312"/>
                <w:bCs/>
                <w:color w:val="auto"/>
                <w:sz w:val="28"/>
                <w:szCs w:val="28"/>
              </w:rPr>
            </w:pPr>
          </w:p>
        </w:tc>
        <w:tc>
          <w:tcPr>
            <w:tcW w:w="1843" w:type="dxa"/>
            <w:noWrap w:val="0"/>
            <w:vAlign w:val="center"/>
          </w:tcPr>
          <w:p>
            <w:pPr>
              <w:spacing w:line="4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生物相容性</w:t>
            </w:r>
          </w:p>
        </w:tc>
        <w:tc>
          <w:tcPr>
            <w:tcW w:w="3237"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采用不合格原材料</w:t>
            </w:r>
          </w:p>
        </w:tc>
        <w:tc>
          <w:tcPr>
            <w:tcW w:w="2675"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引起使用者接触部位的过敏或刺激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1707" w:type="dxa"/>
            <w:vMerge w:val="restart"/>
            <w:noWrap w:val="0"/>
            <w:vAlign w:val="center"/>
          </w:tcPr>
          <w:p>
            <w:pPr>
              <w:spacing w:line="4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操作危</w:t>
            </w:r>
            <w:r>
              <w:rPr>
                <w:rFonts w:hint="eastAsia" w:ascii="仿宋_GB2312" w:hAnsi="仿宋_GB2312" w:eastAsia="仿宋_GB2312" w:cs="仿宋_GB2312"/>
                <w:bCs/>
                <w:color w:val="auto"/>
                <w:sz w:val="28"/>
                <w:szCs w:val="28"/>
                <w:lang w:val="zh-CN"/>
              </w:rPr>
              <w:t>险</w:t>
            </w:r>
          </w:p>
        </w:tc>
        <w:tc>
          <w:tcPr>
            <w:tcW w:w="1843" w:type="dxa"/>
            <w:noWrap w:val="0"/>
            <w:vAlign w:val="center"/>
          </w:tcPr>
          <w:p>
            <w:pPr>
              <w:spacing w:line="4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由不熟练/未经培训的人员使用</w:t>
            </w:r>
          </w:p>
        </w:tc>
        <w:tc>
          <w:tcPr>
            <w:tcW w:w="3237"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操作不熟练、操作失误</w:t>
            </w:r>
          </w:p>
        </w:tc>
        <w:tc>
          <w:tcPr>
            <w:tcW w:w="2675"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无法保证使用的安全性，导致无法达到满意的使用效果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1707" w:type="dxa"/>
            <w:vMerge w:val="continue"/>
            <w:noWrap w:val="0"/>
            <w:vAlign w:val="center"/>
          </w:tcPr>
          <w:p>
            <w:pPr>
              <w:spacing w:line="400" w:lineRule="exact"/>
              <w:jc w:val="center"/>
              <w:rPr>
                <w:rFonts w:hint="eastAsia" w:ascii="仿宋_GB2312" w:hAnsi="仿宋_GB2312" w:eastAsia="仿宋_GB2312" w:cs="仿宋_GB2312"/>
                <w:bCs/>
                <w:color w:val="auto"/>
                <w:sz w:val="28"/>
                <w:szCs w:val="28"/>
              </w:rPr>
            </w:pPr>
          </w:p>
        </w:tc>
        <w:tc>
          <w:tcPr>
            <w:tcW w:w="1843" w:type="dxa"/>
            <w:noWrap w:val="0"/>
            <w:vAlign w:val="center"/>
          </w:tcPr>
          <w:p>
            <w:pPr>
              <w:spacing w:line="4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使用产品时未按照说明书中操作方法使用</w:t>
            </w:r>
          </w:p>
        </w:tc>
        <w:tc>
          <w:tcPr>
            <w:tcW w:w="3237" w:type="dxa"/>
            <w:noWrap w:val="0"/>
            <w:vAlign w:val="center"/>
          </w:tcPr>
          <w:p>
            <w:pPr>
              <w:spacing w:line="400" w:lineRule="exact"/>
              <w:jc w:val="left"/>
              <w:rPr>
                <w:rFonts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操作要点不突出</w:t>
            </w:r>
          </w:p>
        </w:tc>
        <w:tc>
          <w:tcPr>
            <w:tcW w:w="2675"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无法保证使用的安全性，导致无法达到满意的使用效果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9" w:hRule="atLeast"/>
          <w:jc w:val="center"/>
        </w:trPr>
        <w:tc>
          <w:tcPr>
            <w:tcW w:w="1707" w:type="dxa"/>
            <w:vMerge w:val="continue"/>
            <w:noWrap w:val="0"/>
            <w:vAlign w:val="center"/>
          </w:tcPr>
          <w:p>
            <w:pPr>
              <w:spacing w:line="400" w:lineRule="exact"/>
              <w:jc w:val="center"/>
              <w:rPr>
                <w:rFonts w:hint="eastAsia" w:ascii="仿宋_GB2312" w:hAnsi="仿宋_GB2312" w:eastAsia="仿宋_GB2312" w:cs="仿宋_GB2312"/>
                <w:bCs/>
                <w:color w:val="auto"/>
                <w:sz w:val="28"/>
                <w:szCs w:val="28"/>
              </w:rPr>
            </w:pPr>
          </w:p>
        </w:tc>
        <w:tc>
          <w:tcPr>
            <w:tcW w:w="1843" w:type="dxa"/>
            <w:vMerge w:val="restart"/>
            <w:noWrap w:val="0"/>
            <w:vAlign w:val="center"/>
          </w:tcPr>
          <w:p>
            <w:pPr>
              <w:spacing w:line="4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忽视说明书中禁忌证、警示信息等内容</w:t>
            </w:r>
          </w:p>
        </w:tc>
        <w:tc>
          <w:tcPr>
            <w:tcW w:w="3237" w:type="dxa"/>
            <w:noWrap w:val="0"/>
            <w:vAlign w:val="center"/>
          </w:tcPr>
          <w:p>
            <w:pPr>
              <w:spacing w:line="400" w:lineRule="exact"/>
              <w:jc w:val="left"/>
              <w:rPr>
                <w:rFonts w:hint="default" w:ascii="仿宋_GB2312" w:hAnsi="仿宋_GB2312" w:eastAsia="仿宋_GB2312" w:cs="仿宋_GB2312"/>
                <w:bCs/>
                <w:color w:val="auto"/>
                <w:sz w:val="28"/>
                <w:szCs w:val="28"/>
                <w:lang w:val="en-US"/>
              </w:rPr>
            </w:pPr>
            <w:r>
              <w:rPr>
                <w:rFonts w:hint="eastAsia" w:ascii="仿宋_GB2312" w:hAnsi="仿宋_GB2312" w:eastAsia="仿宋_GB2312" w:cs="仿宋_GB2312"/>
                <w:bCs/>
                <w:color w:val="auto"/>
                <w:sz w:val="28"/>
                <w:szCs w:val="28"/>
              </w:rPr>
              <w:t>使用过程中出现过敏或刺激；未在规定时间内使用</w:t>
            </w:r>
          </w:p>
        </w:tc>
        <w:tc>
          <w:tcPr>
            <w:tcW w:w="2675"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引起使用部位的过敏或刺激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1707" w:type="dxa"/>
            <w:vMerge w:val="continue"/>
            <w:noWrap w:val="0"/>
            <w:vAlign w:val="center"/>
          </w:tcPr>
          <w:p>
            <w:pPr>
              <w:spacing w:line="400" w:lineRule="exact"/>
              <w:jc w:val="center"/>
              <w:rPr>
                <w:rFonts w:hint="eastAsia" w:ascii="仿宋_GB2312" w:hAnsi="仿宋_GB2312" w:eastAsia="仿宋_GB2312" w:cs="仿宋_GB2312"/>
                <w:bCs/>
                <w:color w:val="auto"/>
                <w:sz w:val="28"/>
                <w:szCs w:val="28"/>
              </w:rPr>
            </w:pPr>
          </w:p>
        </w:tc>
        <w:tc>
          <w:tcPr>
            <w:tcW w:w="1843" w:type="dxa"/>
            <w:vMerge w:val="continue"/>
            <w:noWrap w:val="0"/>
            <w:vAlign w:val="center"/>
          </w:tcPr>
          <w:p>
            <w:pPr>
              <w:spacing w:line="400" w:lineRule="exact"/>
              <w:jc w:val="center"/>
              <w:rPr>
                <w:rFonts w:hint="eastAsia" w:ascii="仿宋_GB2312" w:hAnsi="仿宋_GB2312" w:eastAsia="仿宋_GB2312" w:cs="仿宋_GB2312"/>
                <w:bCs/>
                <w:color w:val="auto"/>
                <w:sz w:val="28"/>
                <w:szCs w:val="28"/>
              </w:rPr>
            </w:pPr>
          </w:p>
        </w:tc>
        <w:tc>
          <w:tcPr>
            <w:tcW w:w="3237"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未在限定环境下正确选用合适的产品</w:t>
            </w:r>
          </w:p>
        </w:tc>
        <w:tc>
          <w:tcPr>
            <w:tcW w:w="2675"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引起交叉感染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1707" w:type="dxa"/>
            <w:vMerge w:val="restart"/>
            <w:noWrap w:val="0"/>
            <w:vAlign w:val="center"/>
          </w:tcPr>
          <w:p>
            <w:pPr>
              <w:spacing w:line="4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信息危</w:t>
            </w:r>
            <w:r>
              <w:rPr>
                <w:rFonts w:hint="eastAsia" w:ascii="仿宋_GB2312" w:hAnsi="仿宋_GB2312" w:eastAsia="仿宋_GB2312" w:cs="仿宋_GB2312"/>
                <w:bCs/>
                <w:color w:val="auto"/>
                <w:sz w:val="28"/>
                <w:szCs w:val="28"/>
                <w:lang w:val="zh-CN"/>
              </w:rPr>
              <w:t>险</w:t>
            </w:r>
          </w:p>
          <w:p>
            <w:pPr>
              <w:spacing w:line="400" w:lineRule="exact"/>
              <w:jc w:val="center"/>
              <w:rPr>
                <w:rFonts w:hint="eastAsia" w:ascii="仿宋_GB2312" w:hAnsi="仿宋_GB2312" w:eastAsia="仿宋_GB2312" w:cs="仿宋_GB2312"/>
                <w:bCs/>
                <w:color w:val="auto"/>
                <w:sz w:val="28"/>
                <w:szCs w:val="28"/>
              </w:rPr>
            </w:pPr>
          </w:p>
        </w:tc>
        <w:tc>
          <w:tcPr>
            <w:tcW w:w="1843" w:type="dxa"/>
            <w:noWrap w:val="0"/>
            <w:vAlign w:val="center"/>
          </w:tcPr>
          <w:p>
            <w:pPr>
              <w:spacing w:line="4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不正确的标签</w:t>
            </w:r>
          </w:p>
        </w:tc>
        <w:tc>
          <w:tcPr>
            <w:tcW w:w="3237"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标记错误或不清晰、不全面，没有按照要求标记</w:t>
            </w:r>
          </w:p>
        </w:tc>
        <w:tc>
          <w:tcPr>
            <w:tcW w:w="2675"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错误使用；储存错误；产品辨别错误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5" w:hRule="atLeast"/>
          <w:jc w:val="center"/>
        </w:trPr>
        <w:tc>
          <w:tcPr>
            <w:tcW w:w="1707" w:type="dxa"/>
            <w:vMerge w:val="continue"/>
            <w:noWrap w:val="0"/>
            <w:vAlign w:val="center"/>
          </w:tcPr>
          <w:p>
            <w:pPr>
              <w:spacing w:line="400" w:lineRule="exact"/>
              <w:jc w:val="center"/>
              <w:rPr>
                <w:rFonts w:hint="eastAsia" w:ascii="仿宋_GB2312" w:hAnsi="仿宋_GB2312" w:eastAsia="仿宋_GB2312" w:cs="仿宋_GB2312"/>
                <w:bCs/>
                <w:color w:val="auto"/>
                <w:sz w:val="28"/>
                <w:szCs w:val="28"/>
              </w:rPr>
            </w:pPr>
          </w:p>
        </w:tc>
        <w:tc>
          <w:tcPr>
            <w:tcW w:w="1843" w:type="dxa"/>
            <w:noWrap w:val="0"/>
            <w:vAlign w:val="center"/>
          </w:tcPr>
          <w:p>
            <w:pPr>
              <w:spacing w:line="4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不正确的说明书；说明书上的注意事项、禁忌证不全</w:t>
            </w:r>
          </w:p>
        </w:tc>
        <w:tc>
          <w:tcPr>
            <w:tcW w:w="3237"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缺少详细的使用方法、必要的警告说明；使用前未检查产品包装状态；未标示使用后的处理方法（如一次性使用产品用后按医疗废物处理、开封后多次使用的产品应注明推荐开封后储存条件或使用时间、使用要求）；未正确区分一次性使用产品和开封后多次使用产品</w:t>
            </w:r>
          </w:p>
        </w:tc>
        <w:tc>
          <w:tcPr>
            <w:tcW w:w="2675"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错误操作；无法保证使用安全有效性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7" w:type="dxa"/>
            <w:vMerge w:val="restart"/>
            <w:noWrap w:val="0"/>
            <w:vAlign w:val="center"/>
          </w:tcPr>
          <w:p>
            <w:pPr>
              <w:spacing w:line="4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信息危</w:t>
            </w:r>
            <w:r>
              <w:rPr>
                <w:rFonts w:hint="eastAsia" w:ascii="仿宋_GB2312" w:hAnsi="仿宋_GB2312" w:eastAsia="仿宋_GB2312" w:cs="仿宋_GB2312"/>
                <w:bCs/>
                <w:color w:val="auto"/>
                <w:sz w:val="28"/>
                <w:szCs w:val="28"/>
                <w:lang w:val="zh-CN"/>
              </w:rPr>
              <w:t>险</w:t>
            </w:r>
          </w:p>
        </w:tc>
        <w:tc>
          <w:tcPr>
            <w:tcW w:w="1843" w:type="dxa"/>
            <w:noWrap w:val="0"/>
            <w:vAlign w:val="center"/>
          </w:tcPr>
          <w:p>
            <w:pPr>
              <w:spacing w:line="4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对医疗器械寿命终止缺少适当的决定</w:t>
            </w:r>
          </w:p>
        </w:tc>
        <w:tc>
          <w:tcPr>
            <w:tcW w:w="3237"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未标识产品有效期或</w:t>
            </w:r>
            <w:r>
              <w:rPr>
                <w:rFonts w:hint="eastAsia" w:ascii="仿宋_GB2312" w:hAnsi="仿宋_GB2312" w:eastAsia="仿宋_GB2312" w:cs="仿宋_GB2312"/>
                <w:bCs/>
                <w:color w:val="auto"/>
                <w:sz w:val="28"/>
                <w:szCs w:val="28"/>
                <w:lang w:eastAsia="zh-CN"/>
              </w:rPr>
              <w:t>标注一次性使用</w:t>
            </w:r>
          </w:p>
        </w:tc>
        <w:tc>
          <w:tcPr>
            <w:tcW w:w="2675"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使用超出有效期的产品，或因成分性能变化而导致无法达到满意的使用效果；或引起交叉感染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jc w:val="center"/>
        </w:trPr>
        <w:tc>
          <w:tcPr>
            <w:tcW w:w="1707" w:type="dxa"/>
            <w:vMerge w:val="continue"/>
            <w:noWrap w:val="0"/>
            <w:vAlign w:val="center"/>
          </w:tcPr>
          <w:p>
            <w:pPr>
              <w:spacing w:line="400" w:lineRule="exact"/>
              <w:jc w:val="center"/>
              <w:rPr>
                <w:rFonts w:hint="eastAsia" w:ascii="仿宋_GB2312" w:hAnsi="仿宋_GB2312" w:eastAsia="仿宋_GB2312" w:cs="仿宋_GB2312"/>
                <w:bCs/>
                <w:color w:val="auto"/>
                <w:sz w:val="28"/>
                <w:szCs w:val="28"/>
              </w:rPr>
            </w:pPr>
          </w:p>
        </w:tc>
        <w:tc>
          <w:tcPr>
            <w:tcW w:w="1843" w:type="dxa"/>
            <w:noWrap w:val="0"/>
            <w:vAlign w:val="center"/>
          </w:tcPr>
          <w:p>
            <w:pPr>
              <w:spacing w:line="4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不适当的产品包装（产品污染和／或降低性能）</w:t>
            </w:r>
          </w:p>
        </w:tc>
        <w:tc>
          <w:tcPr>
            <w:tcW w:w="3237"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生产、运输和储存过程中导致包装破损；包装封口不严密；包装材料选择不适当；使用前未检查产品包装密封状态</w:t>
            </w:r>
          </w:p>
        </w:tc>
        <w:tc>
          <w:tcPr>
            <w:tcW w:w="2675"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产品使用效果和有效期无法得到保证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07" w:type="dxa"/>
            <w:vMerge w:val="continue"/>
            <w:noWrap w:val="0"/>
            <w:vAlign w:val="center"/>
          </w:tcPr>
          <w:p>
            <w:pPr>
              <w:spacing w:line="400" w:lineRule="exact"/>
              <w:jc w:val="center"/>
              <w:rPr>
                <w:rFonts w:hint="eastAsia" w:ascii="仿宋_GB2312" w:hAnsi="仿宋_GB2312" w:eastAsia="仿宋_GB2312" w:cs="仿宋_GB2312"/>
                <w:bCs/>
                <w:color w:val="auto"/>
                <w:sz w:val="28"/>
                <w:szCs w:val="28"/>
              </w:rPr>
            </w:pPr>
          </w:p>
        </w:tc>
        <w:tc>
          <w:tcPr>
            <w:tcW w:w="1843" w:type="dxa"/>
            <w:noWrap w:val="0"/>
            <w:vAlign w:val="center"/>
          </w:tcPr>
          <w:p>
            <w:pPr>
              <w:spacing w:line="4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一次性使用产品重复使用时危害性警告不适当</w:t>
            </w:r>
          </w:p>
        </w:tc>
        <w:tc>
          <w:tcPr>
            <w:tcW w:w="3237"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一次性使用产品的标识不全或不易识别</w:t>
            </w:r>
          </w:p>
        </w:tc>
        <w:tc>
          <w:tcPr>
            <w:tcW w:w="2675"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引起交叉感染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07" w:type="dxa"/>
            <w:vMerge w:val="continue"/>
            <w:noWrap w:val="0"/>
            <w:vAlign w:val="center"/>
          </w:tcPr>
          <w:p>
            <w:pPr>
              <w:spacing w:line="400" w:lineRule="exact"/>
              <w:jc w:val="center"/>
              <w:rPr>
                <w:rFonts w:hint="eastAsia" w:ascii="仿宋_GB2312" w:hAnsi="仿宋_GB2312" w:eastAsia="仿宋_GB2312" w:cs="仿宋_GB2312"/>
                <w:bCs/>
                <w:color w:val="auto"/>
                <w:sz w:val="28"/>
                <w:szCs w:val="28"/>
              </w:rPr>
            </w:pPr>
          </w:p>
        </w:tc>
        <w:tc>
          <w:tcPr>
            <w:tcW w:w="1843" w:type="dxa"/>
            <w:noWrap w:val="0"/>
            <w:vAlign w:val="center"/>
          </w:tcPr>
          <w:p>
            <w:pPr>
              <w:spacing w:line="40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由于废物和/或医疗器械处置的污染</w:t>
            </w:r>
          </w:p>
        </w:tc>
        <w:tc>
          <w:tcPr>
            <w:tcW w:w="3237"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使用后的产品没有按照要求销毁</w:t>
            </w:r>
          </w:p>
        </w:tc>
        <w:tc>
          <w:tcPr>
            <w:tcW w:w="2675" w:type="dxa"/>
            <w:noWrap w:val="0"/>
            <w:vAlign w:val="center"/>
          </w:tcPr>
          <w:p>
            <w:pPr>
              <w:spacing w:line="400" w:lineRule="exact"/>
              <w:jc w:val="left"/>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造成环境污染或者交叉感染</w:t>
            </w:r>
          </w:p>
        </w:tc>
      </w:tr>
    </w:tbl>
    <w:p>
      <w:pPr>
        <w:pStyle w:val="13"/>
        <w:rPr>
          <w:rFonts w:hint="eastAsia"/>
          <w:color w:val="auto"/>
        </w:rPr>
      </w:pPr>
    </w:p>
    <w:sectPr>
      <w:footerReference r:id="rId3" w:type="default"/>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仿宋 Std R">
    <w:altName w:val="仿宋"/>
    <w:panose1 w:val="00000000000000000000"/>
    <w:charset w:val="86"/>
    <w:family w:val="roman"/>
    <w:pitch w:val="default"/>
    <w:sig w:usb0="00000000" w:usb1="00000000" w:usb2="00000016" w:usb3="00000000" w:csb0="00060007"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roman"/>
    <w:pitch w:val="default"/>
    <w:sig w:usb0="E7006EFF" w:usb1="D200FDFF" w:usb2="0A246029" w:usb3="0400200C" w:csb0="600001FF" w:csb1="DFFF0000"/>
  </w:font>
  <w:font w:name="Calibri Light">
    <w:altName w:val="Arial"/>
    <w:panose1 w:val="020F0302020204030204"/>
    <w:charset w:val="00"/>
    <w:family w:val="swiss"/>
    <w:pitch w:val="default"/>
    <w:sig w:usb0="00000000" w:usb1="00000000"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01007A87" w:usb1="80000000" w:usb2="00000008" w:usb3="00000000" w:csb0="200101FF" w:csb1="2028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script"/>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562"/>
      <w:jc w:val="right"/>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7</w:t>
    </w:r>
    <w:r>
      <w:rPr>
        <w:sz w:val="28"/>
        <w:szCs w:val="28"/>
      </w:rPr>
      <w:fldChar w:fldCharType="end"/>
    </w:r>
    <w:r>
      <w:rPr>
        <w:sz w:val="28"/>
        <w:szCs w:val="28"/>
      </w:rPr>
      <w:t xml:space="preserve"> —</w:t>
    </w:r>
  </w:p>
  <w:p>
    <w:pPr>
      <w:pStyle w:val="6"/>
    </w:pPr>
    <w:r>
      <mc:AlternateContent>
        <mc:Choice Requires="wps">
          <w:drawing>
            <wp:anchor distT="0" distB="0" distL="114300" distR="114300" simplePos="0" relativeHeight="251659264" behindDoc="0" locked="0" layoutInCell="1" allowOverlap="1">
              <wp:simplePos x="0" y="0"/>
              <wp:positionH relativeFrom="margin">
                <wp:posOffset>2615565</wp:posOffset>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2</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5.95pt;margin-top:0pt;height:144pt;width:144pt;mso-position-horizontal-relative:margin;mso-wrap-style:none;z-index:251659264;mso-width-relative:page;mso-height-relative:page;" filled="f" stroked="f" coordsize="21600,21600" o:gfxdata="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">
              <v:fill on="f" focussize="0,0"/>
              <v:stroke on="f" weight="0.5pt"/>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2</w:t>
                    </w:r>
                    <w:r>
                      <w:rPr>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774FC9"/>
    <w:multiLevelType w:val="singleLevel"/>
    <w:tmpl w:val="F9774FC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3ZDQwMmNiOWFlYzZjYTcwOWJiZGQ0YTA5ODBmZGUifQ=="/>
  </w:docVars>
  <w:rsids>
    <w:rsidRoot w:val="00787F7E"/>
    <w:rsid w:val="00047D12"/>
    <w:rsid w:val="0007686E"/>
    <w:rsid w:val="000C6CA4"/>
    <w:rsid w:val="000E5335"/>
    <w:rsid w:val="00145167"/>
    <w:rsid w:val="0015622E"/>
    <w:rsid w:val="001C3A87"/>
    <w:rsid w:val="001E0961"/>
    <w:rsid w:val="00242375"/>
    <w:rsid w:val="00244DF7"/>
    <w:rsid w:val="00277473"/>
    <w:rsid w:val="00291759"/>
    <w:rsid w:val="00294D2B"/>
    <w:rsid w:val="002B24A0"/>
    <w:rsid w:val="002F2978"/>
    <w:rsid w:val="0030368E"/>
    <w:rsid w:val="003137C1"/>
    <w:rsid w:val="00332DE8"/>
    <w:rsid w:val="003450A4"/>
    <w:rsid w:val="00355421"/>
    <w:rsid w:val="00365AB2"/>
    <w:rsid w:val="00410598"/>
    <w:rsid w:val="00435AC6"/>
    <w:rsid w:val="00440708"/>
    <w:rsid w:val="004410B9"/>
    <w:rsid w:val="004C4DBC"/>
    <w:rsid w:val="004E39ED"/>
    <w:rsid w:val="005041BA"/>
    <w:rsid w:val="00534F4C"/>
    <w:rsid w:val="005A1410"/>
    <w:rsid w:val="005A204F"/>
    <w:rsid w:val="006A1165"/>
    <w:rsid w:val="006C00CB"/>
    <w:rsid w:val="006E68A9"/>
    <w:rsid w:val="006E7148"/>
    <w:rsid w:val="00716619"/>
    <w:rsid w:val="00745098"/>
    <w:rsid w:val="007646FC"/>
    <w:rsid w:val="00787F7E"/>
    <w:rsid w:val="007904F6"/>
    <w:rsid w:val="007D341A"/>
    <w:rsid w:val="00815364"/>
    <w:rsid w:val="00821079"/>
    <w:rsid w:val="00845C30"/>
    <w:rsid w:val="00933041"/>
    <w:rsid w:val="00937F0E"/>
    <w:rsid w:val="009E2514"/>
    <w:rsid w:val="009F209D"/>
    <w:rsid w:val="00A23EC2"/>
    <w:rsid w:val="00A25C1A"/>
    <w:rsid w:val="00A73BFE"/>
    <w:rsid w:val="00B41578"/>
    <w:rsid w:val="00B66355"/>
    <w:rsid w:val="00B9118A"/>
    <w:rsid w:val="00BC2983"/>
    <w:rsid w:val="00BC7C84"/>
    <w:rsid w:val="00BD300F"/>
    <w:rsid w:val="00BE669C"/>
    <w:rsid w:val="00C0562D"/>
    <w:rsid w:val="00C25F69"/>
    <w:rsid w:val="00C40950"/>
    <w:rsid w:val="00C74CE1"/>
    <w:rsid w:val="00CB4CCD"/>
    <w:rsid w:val="00D32614"/>
    <w:rsid w:val="00D36F91"/>
    <w:rsid w:val="00D4450D"/>
    <w:rsid w:val="00DD740E"/>
    <w:rsid w:val="00DF7661"/>
    <w:rsid w:val="00E07E6A"/>
    <w:rsid w:val="00E11D78"/>
    <w:rsid w:val="00E72EF4"/>
    <w:rsid w:val="00EB1A04"/>
    <w:rsid w:val="00EC523A"/>
    <w:rsid w:val="00ED0226"/>
    <w:rsid w:val="00EE261B"/>
    <w:rsid w:val="00EE4EBB"/>
    <w:rsid w:val="00F31CB3"/>
    <w:rsid w:val="00F81D1A"/>
    <w:rsid w:val="00FB46B2"/>
    <w:rsid w:val="00FF0F38"/>
    <w:rsid w:val="02B0055B"/>
    <w:rsid w:val="07482A6C"/>
    <w:rsid w:val="074E0D1D"/>
    <w:rsid w:val="08C311EE"/>
    <w:rsid w:val="0980632C"/>
    <w:rsid w:val="09A243F6"/>
    <w:rsid w:val="09B17D33"/>
    <w:rsid w:val="0B0523A4"/>
    <w:rsid w:val="0BC10A71"/>
    <w:rsid w:val="0C154760"/>
    <w:rsid w:val="0C842065"/>
    <w:rsid w:val="0E07732B"/>
    <w:rsid w:val="0ED0402A"/>
    <w:rsid w:val="0F7D135B"/>
    <w:rsid w:val="105E4252"/>
    <w:rsid w:val="147851F7"/>
    <w:rsid w:val="14BE4AF2"/>
    <w:rsid w:val="162F0AED"/>
    <w:rsid w:val="16CE20BB"/>
    <w:rsid w:val="18B00F76"/>
    <w:rsid w:val="18BF18E7"/>
    <w:rsid w:val="1A9447AA"/>
    <w:rsid w:val="1A9B1157"/>
    <w:rsid w:val="1D3B4896"/>
    <w:rsid w:val="1D4A5A7E"/>
    <w:rsid w:val="1D754117"/>
    <w:rsid w:val="1D940090"/>
    <w:rsid w:val="1FE78CDC"/>
    <w:rsid w:val="1FFAAECE"/>
    <w:rsid w:val="21043987"/>
    <w:rsid w:val="22C329F8"/>
    <w:rsid w:val="26B046F1"/>
    <w:rsid w:val="270A0802"/>
    <w:rsid w:val="274A3B00"/>
    <w:rsid w:val="27740C51"/>
    <w:rsid w:val="27B43EBD"/>
    <w:rsid w:val="27D247A1"/>
    <w:rsid w:val="27D83DD4"/>
    <w:rsid w:val="29D238DE"/>
    <w:rsid w:val="2BF7E89E"/>
    <w:rsid w:val="2D25D25E"/>
    <w:rsid w:val="2D624479"/>
    <w:rsid w:val="2D6E3464"/>
    <w:rsid w:val="2D7139FF"/>
    <w:rsid w:val="2EED3D5B"/>
    <w:rsid w:val="2F157177"/>
    <w:rsid w:val="2F742AC2"/>
    <w:rsid w:val="2FDF3D04"/>
    <w:rsid w:val="303643A5"/>
    <w:rsid w:val="315D3C2E"/>
    <w:rsid w:val="35261465"/>
    <w:rsid w:val="36031F3C"/>
    <w:rsid w:val="363410F4"/>
    <w:rsid w:val="36F92C18"/>
    <w:rsid w:val="36FDBDD0"/>
    <w:rsid w:val="373B1045"/>
    <w:rsid w:val="376C7761"/>
    <w:rsid w:val="37FE09AE"/>
    <w:rsid w:val="3869460F"/>
    <w:rsid w:val="389810B6"/>
    <w:rsid w:val="38E928FC"/>
    <w:rsid w:val="397756C1"/>
    <w:rsid w:val="39A57438"/>
    <w:rsid w:val="3AFF6CD3"/>
    <w:rsid w:val="3B627EE8"/>
    <w:rsid w:val="3BDC3ECC"/>
    <w:rsid w:val="3BF97137"/>
    <w:rsid w:val="3D1406B1"/>
    <w:rsid w:val="3EE30952"/>
    <w:rsid w:val="3F076C92"/>
    <w:rsid w:val="3F356372"/>
    <w:rsid w:val="3F7794B3"/>
    <w:rsid w:val="3F976865"/>
    <w:rsid w:val="3FDF795A"/>
    <w:rsid w:val="3FF7229A"/>
    <w:rsid w:val="401443E4"/>
    <w:rsid w:val="40FF38C2"/>
    <w:rsid w:val="420A38B8"/>
    <w:rsid w:val="44332F67"/>
    <w:rsid w:val="44A42027"/>
    <w:rsid w:val="453214FB"/>
    <w:rsid w:val="45E462E4"/>
    <w:rsid w:val="48D33C44"/>
    <w:rsid w:val="4ACF234D"/>
    <w:rsid w:val="4B0F4BC7"/>
    <w:rsid w:val="4B270CDD"/>
    <w:rsid w:val="4D3FF2CE"/>
    <w:rsid w:val="501E5C4B"/>
    <w:rsid w:val="51166CB8"/>
    <w:rsid w:val="53CC1496"/>
    <w:rsid w:val="54206D85"/>
    <w:rsid w:val="54B49E52"/>
    <w:rsid w:val="54BC740F"/>
    <w:rsid w:val="54F7C7BC"/>
    <w:rsid w:val="551860CA"/>
    <w:rsid w:val="556020B6"/>
    <w:rsid w:val="5571021A"/>
    <w:rsid w:val="55A538D7"/>
    <w:rsid w:val="55DD5604"/>
    <w:rsid w:val="56080D35"/>
    <w:rsid w:val="57077157"/>
    <w:rsid w:val="575B7FBE"/>
    <w:rsid w:val="57CEFB12"/>
    <w:rsid w:val="57E3660A"/>
    <w:rsid w:val="5831F65F"/>
    <w:rsid w:val="583801E0"/>
    <w:rsid w:val="590A5402"/>
    <w:rsid w:val="5AB87D18"/>
    <w:rsid w:val="5B5B9848"/>
    <w:rsid w:val="5B746366"/>
    <w:rsid w:val="5C5FA106"/>
    <w:rsid w:val="5CFC0F9C"/>
    <w:rsid w:val="5DEE4CBA"/>
    <w:rsid w:val="5DFB68AA"/>
    <w:rsid w:val="5E47FDD4"/>
    <w:rsid w:val="5E501B8E"/>
    <w:rsid w:val="5F7D6383"/>
    <w:rsid w:val="5FF65025"/>
    <w:rsid w:val="61F0371C"/>
    <w:rsid w:val="64537F48"/>
    <w:rsid w:val="656A091E"/>
    <w:rsid w:val="65FD2EC4"/>
    <w:rsid w:val="676446AC"/>
    <w:rsid w:val="67E3044C"/>
    <w:rsid w:val="67EF440B"/>
    <w:rsid w:val="68741591"/>
    <w:rsid w:val="68A82635"/>
    <w:rsid w:val="68B94FD7"/>
    <w:rsid w:val="692825DD"/>
    <w:rsid w:val="697C2719"/>
    <w:rsid w:val="69B16AF0"/>
    <w:rsid w:val="6B700157"/>
    <w:rsid w:val="6B712486"/>
    <w:rsid w:val="6B737129"/>
    <w:rsid w:val="6BCF58E4"/>
    <w:rsid w:val="6C0E3851"/>
    <w:rsid w:val="6D3A2972"/>
    <w:rsid w:val="6DEF344E"/>
    <w:rsid w:val="6DFF6CA6"/>
    <w:rsid w:val="6E4A1C58"/>
    <w:rsid w:val="6E6CE610"/>
    <w:rsid w:val="6EC6469D"/>
    <w:rsid w:val="6F0469A1"/>
    <w:rsid w:val="6F3B7293"/>
    <w:rsid w:val="6F7D0247"/>
    <w:rsid w:val="6F882CC2"/>
    <w:rsid w:val="6FEFBAFF"/>
    <w:rsid w:val="707C3028"/>
    <w:rsid w:val="7092523D"/>
    <w:rsid w:val="717F022B"/>
    <w:rsid w:val="71897CD5"/>
    <w:rsid w:val="72FE3A55"/>
    <w:rsid w:val="7301434D"/>
    <w:rsid w:val="730C6338"/>
    <w:rsid w:val="73E44EE3"/>
    <w:rsid w:val="74FF5926"/>
    <w:rsid w:val="7535402C"/>
    <w:rsid w:val="75BF51B8"/>
    <w:rsid w:val="75E65232"/>
    <w:rsid w:val="763C05FD"/>
    <w:rsid w:val="774C75D7"/>
    <w:rsid w:val="77B7FFC6"/>
    <w:rsid w:val="77F7EF29"/>
    <w:rsid w:val="79FFFE18"/>
    <w:rsid w:val="7A7244BE"/>
    <w:rsid w:val="7A9FD688"/>
    <w:rsid w:val="7B9FC131"/>
    <w:rsid w:val="7BF3BC0A"/>
    <w:rsid w:val="7BFFE2AA"/>
    <w:rsid w:val="7C396013"/>
    <w:rsid w:val="7C63EEA7"/>
    <w:rsid w:val="7CA92514"/>
    <w:rsid w:val="7CEB8376"/>
    <w:rsid w:val="7CFED5D2"/>
    <w:rsid w:val="7D7B5CF5"/>
    <w:rsid w:val="7DAE60C5"/>
    <w:rsid w:val="7E5F3922"/>
    <w:rsid w:val="7E8509A1"/>
    <w:rsid w:val="7E9FDED7"/>
    <w:rsid w:val="7F39241B"/>
    <w:rsid w:val="7FA7ED77"/>
    <w:rsid w:val="7FAEEBC7"/>
    <w:rsid w:val="7FF9E5AE"/>
    <w:rsid w:val="7FFF5499"/>
    <w:rsid w:val="7FFF8758"/>
    <w:rsid w:val="7FFFA2A3"/>
    <w:rsid w:val="92FFB514"/>
    <w:rsid w:val="93EF9F95"/>
    <w:rsid w:val="9BAF5812"/>
    <w:rsid w:val="9F3D4C9C"/>
    <w:rsid w:val="ADB3E3A6"/>
    <w:rsid w:val="AED517E8"/>
    <w:rsid w:val="B0BB3A72"/>
    <w:rsid w:val="B66567A2"/>
    <w:rsid w:val="BBCFE27B"/>
    <w:rsid w:val="BBD77F22"/>
    <w:rsid w:val="BEF74440"/>
    <w:rsid w:val="BEFFC535"/>
    <w:rsid w:val="C3FB4699"/>
    <w:rsid w:val="C9FF4819"/>
    <w:rsid w:val="D51F67AA"/>
    <w:rsid w:val="D689B528"/>
    <w:rsid w:val="D796863D"/>
    <w:rsid w:val="DAFFE097"/>
    <w:rsid w:val="DDFF0478"/>
    <w:rsid w:val="DE99E9EE"/>
    <w:rsid w:val="DEF70035"/>
    <w:rsid w:val="DEFBF884"/>
    <w:rsid w:val="DF6D4349"/>
    <w:rsid w:val="DFFB75B0"/>
    <w:rsid w:val="DFFFE17D"/>
    <w:rsid w:val="E7F3F35C"/>
    <w:rsid w:val="E9D60905"/>
    <w:rsid w:val="EBFBFA75"/>
    <w:rsid w:val="ED776AC6"/>
    <w:rsid w:val="EEEFF0CB"/>
    <w:rsid w:val="EF9F915E"/>
    <w:rsid w:val="EFF7E683"/>
    <w:rsid w:val="EFF8B90A"/>
    <w:rsid w:val="EFFFA7B3"/>
    <w:rsid w:val="F3AF2F89"/>
    <w:rsid w:val="F4EB2529"/>
    <w:rsid w:val="F5D68048"/>
    <w:rsid w:val="F7FF0940"/>
    <w:rsid w:val="F9FCAF7D"/>
    <w:rsid w:val="FAFDC8A0"/>
    <w:rsid w:val="FB4FDFB7"/>
    <w:rsid w:val="FBB7C68F"/>
    <w:rsid w:val="FBFFE60E"/>
    <w:rsid w:val="FCEF2BCF"/>
    <w:rsid w:val="FD9FFF0F"/>
    <w:rsid w:val="FDF752B8"/>
    <w:rsid w:val="FE7731EF"/>
    <w:rsid w:val="FE7EFDA2"/>
    <w:rsid w:val="FE7F7FEB"/>
    <w:rsid w:val="FEFDB442"/>
    <w:rsid w:val="FF3A5BB7"/>
    <w:rsid w:val="FF7F9E8F"/>
    <w:rsid w:val="FFBFA421"/>
    <w:rsid w:val="FFCE4115"/>
    <w:rsid w:val="FFE7CB10"/>
    <w:rsid w:val="FFEA56A3"/>
    <w:rsid w:val="FFEFBBE2"/>
    <w:rsid w:val="FFFEEC1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Adobe 仿宋 Std R" w:cs="Times New Roman"/>
      <w:kern w:val="2"/>
      <w:sz w:val="32"/>
      <w:szCs w:val="24"/>
      <w:lang w:val="en-US" w:eastAsia="zh-CN" w:bidi="ar-SA"/>
    </w:rPr>
  </w:style>
  <w:style w:type="paragraph" w:styleId="2">
    <w:name w:val="heading 3"/>
    <w:basedOn w:val="1"/>
    <w:next w:val="1"/>
    <w:qFormat/>
    <w:uiPriority w:val="0"/>
    <w:pPr>
      <w:spacing w:line="520" w:lineRule="exact"/>
      <w:ind w:left="300" w:leftChars="300"/>
      <w:jc w:val="left"/>
      <w:outlineLvl w:val="2"/>
    </w:pPr>
    <w:rPr>
      <w:rFonts w:hint="eastAsia" w:ascii="宋体" w:hAnsi="宋体" w:eastAsia="仿宋"/>
      <w:kern w:val="0"/>
      <w:sz w:val="32"/>
      <w:szCs w:val="27"/>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8"/>
    <w:semiHidden/>
    <w:unhideWhenUsed/>
    <w:qFormat/>
    <w:uiPriority w:val="99"/>
    <w:pPr>
      <w:jc w:val="left"/>
    </w:pPr>
  </w:style>
  <w:style w:type="paragraph" w:styleId="4">
    <w:name w:val="Plain Text"/>
    <w:basedOn w:val="1"/>
    <w:unhideWhenUsed/>
    <w:qFormat/>
    <w:uiPriority w:val="99"/>
    <w:pPr>
      <w:autoSpaceDE w:val="0"/>
      <w:autoSpaceDN w:val="0"/>
      <w:jc w:val="left"/>
    </w:pPr>
    <w:rPr>
      <w:rFonts w:ascii="宋体" w:hAnsi="宋体" w:eastAsia="仿宋_GB2312"/>
      <w:kern w:val="0"/>
      <w:sz w:val="28"/>
      <w:szCs w:val="21"/>
    </w:rPr>
  </w:style>
  <w:style w:type="paragraph" w:styleId="5">
    <w:name w:val="Balloon Text"/>
    <w:basedOn w:val="1"/>
    <w:link w:val="16"/>
    <w:semiHidden/>
    <w:unhideWhenUsed/>
    <w:qFormat/>
    <w:uiPriority w:val="99"/>
    <w:rPr>
      <w:sz w:val="18"/>
      <w:szCs w:val="18"/>
    </w:rPr>
  </w:style>
  <w:style w:type="paragraph" w:styleId="6">
    <w:name w:val="footer"/>
    <w:basedOn w:val="1"/>
    <w:unhideWhenUsed/>
    <w:qFormat/>
    <w:uiPriority w:val="99"/>
    <w:pPr>
      <w:tabs>
        <w:tab w:val="center" w:pos="4153"/>
        <w:tab w:val="right" w:pos="8306"/>
      </w:tabs>
      <w:snapToGrid w:val="0"/>
      <w:jc w:val="left"/>
    </w:pPr>
    <w:rPr>
      <w:sz w:val="18"/>
    </w:rPr>
  </w:style>
  <w:style w:type="paragraph" w:styleId="7">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DejaVu Sans" w:hAnsi="DejaVu Sans"/>
      <w:sz w:val="18"/>
    </w:rPr>
  </w:style>
  <w:style w:type="paragraph" w:styleId="8">
    <w:name w:val="Subtitle"/>
    <w:basedOn w:val="1"/>
    <w:next w:val="1"/>
    <w:qFormat/>
    <w:uiPriority w:val="0"/>
    <w:pPr>
      <w:spacing w:before="120"/>
      <w:jc w:val="left"/>
      <w:outlineLvl w:val="1"/>
    </w:pPr>
    <w:rPr>
      <w:rFonts w:ascii="Calibri Light" w:hAnsi="Calibri Light" w:eastAsia="楷体_GB2312"/>
      <w:bCs/>
      <w:kern w:val="28"/>
      <w:sz w:val="32"/>
      <w:szCs w:val="32"/>
    </w:rPr>
  </w:style>
  <w:style w:type="paragraph" w:styleId="9">
    <w:name w:val="annotation subject"/>
    <w:basedOn w:val="3"/>
    <w:next w:val="3"/>
    <w:link w:val="19"/>
    <w:semiHidden/>
    <w:unhideWhenUsed/>
    <w:qFormat/>
    <w:uiPriority w:val="99"/>
    <w:rPr>
      <w:b/>
      <w:bCs/>
    </w:rPr>
  </w:style>
  <w:style w:type="character" w:styleId="12">
    <w:name w:val="annotation reference"/>
    <w:basedOn w:val="11"/>
    <w:semiHidden/>
    <w:unhideWhenUsed/>
    <w:qFormat/>
    <w:uiPriority w:val="99"/>
    <w:rPr>
      <w:sz w:val="21"/>
      <w:szCs w:val="21"/>
    </w:rPr>
  </w:style>
  <w:style w:type="paragraph" w:styleId="13">
    <w:name w:val="No Spacing"/>
    <w:qFormat/>
    <w:uiPriority w:val="0"/>
    <w:pPr>
      <w:adjustRightInd w:val="0"/>
      <w:snapToGrid w:val="0"/>
    </w:pPr>
    <w:rPr>
      <w:rFonts w:ascii="Tahoma" w:hAnsi="Tahoma" w:eastAsia="微软雅黑" w:cs="Times New Roman"/>
      <w:sz w:val="22"/>
      <w:szCs w:val="22"/>
      <w:lang w:val="en-US" w:eastAsia="zh-CN" w:bidi="ar-SA"/>
    </w:rPr>
  </w:style>
  <w:style w:type="paragraph" w:customStyle="1" w:styleId="14">
    <w:name w:val="列出段落1"/>
    <w:basedOn w:val="1"/>
    <w:link w:val="15"/>
    <w:qFormat/>
    <w:uiPriority w:val="34"/>
    <w:pPr>
      <w:ind w:firstLine="420" w:firstLineChars="200"/>
    </w:pPr>
    <w:rPr>
      <w:rFonts w:eastAsia="仿宋_GB2312"/>
      <w:szCs w:val="32"/>
    </w:rPr>
  </w:style>
  <w:style w:type="character" w:customStyle="1" w:styleId="15">
    <w:name w:val="列出段落 Char"/>
    <w:basedOn w:val="11"/>
    <w:link w:val="14"/>
    <w:qFormat/>
    <w:uiPriority w:val="34"/>
    <w:rPr>
      <w:rFonts w:ascii="Times New Roman" w:hAnsi="Times New Roman" w:eastAsia="仿宋_GB2312" w:cs="Times New Roman"/>
      <w:sz w:val="32"/>
      <w:szCs w:val="32"/>
    </w:rPr>
  </w:style>
  <w:style w:type="character" w:customStyle="1" w:styleId="16">
    <w:name w:val="批注框文本 字符"/>
    <w:basedOn w:val="11"/>
    <w:link w:val="5"/>
    <w:semiHidden/>
    <w:qFormat/>
    <w:uiPriority w:val="99"/>
    <w:rPr>
      <w:rFonts w:ascii="Times New Roman" w:hAnsi="Times New Roman" w:eastAsia="Adobe 仿宋 Std R" w:cs="Times New Roman"/>
      <w:kern w:val="2"/>
      <w:sz w:val="18"/>
      <w:szCs w:val="18"/>
    </w:rPr>
  </w:style>
  <w:style w:type="paragraph" w:styleId="17">
    <w:name w:val="List Paragraph"/>
    <w:basedOn w:val="1"/>
    <w:unhideWhenUsed/>
    <w:qFormat/>
    <w:uiPriority w:val="99"/>
    <w:pPr>
      <w:ind w:firstLine="420" w:firstLineChars="200"/>
    </w:pPr>
  </w:style>
  <w:style w:type="character" w:customStyle="1" w:styleId="18">
    <w:name w:val="批注文字 字符"/>
    <w:basedOn w:val="11"/>
    <w:link w:val="3"/>
    <w:semiHidden/>
    <w:qFormat/>
    <w:uiPriority w:val="99"/>
    <w:rPr>
      <w:rFonts w:ascii="Times New Roman" w:hAnsi="Times New Roman" w:eastAsia="Adobe 仿宋 Std R" w:cs="Times New Roman"/>
      <w:kern w:val="2"/>
      <w:sz w:val="32"/>
      <w:szCs w:val="24"/>
    </w:rPr>
  </w:style>
  <w:style w:type="character" w:customStyle="1" w:styleId="19">
    <w:name w:val="批注主题 字符"/>
    <w:basedOn w:val="18"/>
    <w:link w:val="9"/>
    <w:semiHidden/>
    <w:qFormat/>
    <w:uiPriority w:val="99"/>
    <w:rPr>
      <w:rFonts w:ascii="Times New Roman" w:hAnsi="Times New Roman" w:eastAsia="Adobe 仿宋 Std R" w:cs="Times New Roman"/>
      <w:b/>
      <w:bCs/>
      <w:kern w:val="2"/>
      <w:sz w:val="32"/>
      <w:szCs w:val="24"/>
    </w:rPr>
  </w:style>
  <w:style w:type="paragraph" w:customStyle="1" w:styleId="20">
    <w:name w:val="正文 New"/>
    <w:qFormat/>
    <w:uiPriority w:val="0"/>
    <w:pPr>
      <w:widowControl w:val="0"/>
      <w:jc w:val="both"/>
    </w:pPr>
    <w:rPr>
      <w:rFonts w:ascii="Times New Roman" w:hAnsi="Times New Roman" w:eastAsia="宋体" w:cstheme="minorBidi"/>
      <w:kern w:val="2"/>
      <w:sz w:val="21"/>
      <w:lang w:val="en-US" w:eastAsia="zh-CN" w:bidi="ar-SA"/>
    </w:rPr>
  </w:style>
  <w:style w:type="character" w:customStyle="1" w:styleId="21">
    <w:name w:val="f101"/>
    <w:qFormat/>
    <w:uiPriority w:val="0"/>
    <w:rPr>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599</Words>
  <Characters>600</Characters>
  <Lines>67</Lines>
  <Paragraphs>18</Paragraphs>
  <TotalTime>1</TotalTime>
  <ScaleCrop>false</ScaleCrop>
  <LinksUpToDate>false</LinksUpToDate>
  <CharactersWithSpaces>600</CharactersWithSpaces>
  <Application>WPS Office_11.8.2.11763_F1E327BC-269C-435d-A152-05C5408002CA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2022-01-14T21:16:00Z</dcterms:created>
  <dc:creator>董利华</dc:creator>
  <cp:lastModifiedBy>uos</cp:lastModifiedBy>
  <dcterms:modified xsi:type="dcterms:W3CDTF">2026-07-30T11:07:18Z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2052-11.8.2.11763</vt:lpwstr>
  </property>
  <property fmtid="{D5CDD505-2E9C-101B-9397-08002B2CF9AE}" pid="3" name="ICV">
    <vt:lpwstr>3C1459AC3E394BE48CD1E94481A29BF6</vt:lpwstr>
  </property>
  <property fmtid="{D5CDD505-2E9C-101B-9397-08002B2CF9AE}" pid="4" name="KSOTemplateDocerSaveRecord">
    <vt:lpwstr>eyJoZGlkIjoiMTRlYzYyNTAwZDE0MzZiYTQzYTAwOTI0MTAxODk1OTQiLCJ1c2VySWQiOiIzMjA1MzAxOTEifQ==</vt:lpwstr>
  </property>
</Properties>
</file>