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pacing w:line="520" w:lineRule="exact"/>
        <w:ind w:firstLine="0" w:firstLineChars="0"/>
        <w:jc w:val="center"/>
        <w:rPr>
          <w:rFonts w:hint="eastAsia" w:eastAsia="方正小标宋简体"/>
          <w:sz w:val="44"/>
          <w:szCs w:val="44"/>
          <w:highlight w:val="none"/>
        </w:rPr>
      </w:pPr>
      <w:r>
        <w:rPr>
          <w:rFonts w:hint="eastAsia" w:eastAsia="方正小标宋简体"/>
          <w:sz w:val="44"/>
          <w:szCs w:val="44"/>
          <w:highlight w:val="none"/>
        </w:rPr>
        <w:t>注射器辅助助推装置注册审查指导原则</w:t>
      </w:r>
    </w:p>
    <w:p>
      <w:pPr>
        <w:overflowPunct w:val="0"/>
        <w:spacing w:line="520" w:lineRule="exact"/>
        <w:ind w:firstLine="0" w:firstLineChars="0"/>
        <w:jc w:val="center"/>
        <w:rPr>
          <w:rFonts w:eastAsia="方正小标宋简体"/>
          <w:sz w:val="44"/>
          <w:szCs w:val="44"/>
          <w:highlight w:val="none"/>
        </w:rPr>
      </w:pPr>
      <w:r>
        <w:rPr>
          <w:rFonts w:hint="eastAsia" w:eastAsia="方正小标宋简体"/>
          <w:sz w:val="44"/>
          <w:szCs w:val="44"/>
          <w:highlight w:val="none"/>
        </w:rPr>
        <w:t>（征求意见稿）</w:t>
      </w:r>
    </w:p>
    <w:p>
      <w:pPr>
        <w:overflowPunct w:val="0"/>
        <w:spacing w:line="520" w:lineRule="exact"/>
        <w:ind w:firstLine="0" w:firstLineChars="0"/>
        <w:jc w:val="center"/>
        <w:rPr>
          <w:rFonts w:eastAsia="方正小标宋简体"/>
          <w:sz w:val="44"/>
          <w:szCs w:val="44"/>
          <w:highlight w:val="none"/>
        </w:rPr>
      </w:pPr>
    </w:p>
    <w:p>
      <w:pPr>
        <w:spacing w:line="530" w:lineRule="exact"/>
        <w:ind w:firstLine="640"/>
        <w:rPr>
          <w:szCs w:val="32"/>
          <w:highlight w:val="none"/>
        </w:rPr>
      </w:pPr>
      <w:r>
        <w:rPr>
          <w:rFonts w:hint="eastAsia"/>
          <w:szCs w:val="32"/>
          <w:highlight w:val="none"/>
        </w:rPr>
        <w:t>本指导原则旨在指导注册申请</w:t>
      </w:r>
      <w:bookmarkStart w:id="0" w:name="_GoBack"/>
      <w:bookmarkEnd w:id="0"/>
      <w:r>
        <w:rPr>
          <w:rFonts w:hint="eastAsia"/>
          <w:szCs w:val="32"/>
          <w:highlight w:val="none"/>
        </w:rPr>
        <w:t>人对注射器辅助助推装置注册申报资料的准备及撰写，同时也为技术审评部门审查注册申报资料提供参考。</w:t>
      </w:r>
    </w:p>
    <w:p>
      <w:pPr>
        <w:spacing w:line="530" w:lineRule="exact"/>
        <w:ind w:firstLine="640"/>
        <w:rPr>
          <w:szCs w:val="32"/>
          <w:highlight w:val="none"/>
        </w:rPr>
      </w:pPr>
      <w:r>
        <w:rPr>
          <w:rFonts w:hint="eastAsia"/>
          <w:szCs w:val="32"/>
          <w:highlight w:val="none"/>
        </w:rPr>
        <w:t>本指导原则是对注射器辅助助推装置的一般要求，申请人应依据产品的具体特性确定其中内容是否适用。若不适用，需具体阐述理由及相应的科学依据，并依据产品的具体特性对注册申报资料的内容进行充实和细化。</w:t>
      </w:r>
    </w:p>
    <w:p>
      <w:pPr>
        <w:spacing w:line="530" w:lineRule="exact"/>
        <w:ind w:firstLine="640"/>
        <w:rPr>
          <w:szCs w:val="32"/>
          <w:highlight w:val="none"/>
        </w:rPr>
      </w:pPr>
      <w:r>
        <w:rPr>
          <w:rFonts w:hint="eastAsia"/>
          <w:szCs w:val="32"/>
          <w:highlight w:val="none"/>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pPr>
        <w:spacing w:line="530" w:lineRule="exact"/>
        <w:ind w:firstLine="640"/>
        <w:rPr>
          <w:szCs w:val="32"/>
          <w:highlight w:val="none"/>
        </w:rPr>
      </w:pPr>
      <w:r>
        <w:rPr>
          <w:rFonts w:hint="eastAsia"/>
          <w:szCs w:val="32"/>
          <w:highlight w:val="none"/>
        </w:rPr>
        <w:t>本指导原则是在现行法规和标准体系以及当前认知水平下制定，随着法规和标准的不断完善，以及科学技术的不断发展，相关内容也将适时进行调整。</w:t>
      </w:r>
    </w:p>
    <w:p>
      <w:pPr>
        <w:spacing w:line="480" w:lineRule="exact"/>
        <w:ind w:right="-102" w:rightChars="-32" w:firstLine="640"/>
        <w:rPr>
          <w:rFonts w:eastAsia="黑体"/>
          <w:szCs w:val="32"/>
          <w:highlight w:val="none"/>
        </w:rPr>
      </w:pPr>
      <w:r>
        <w:rPr>
          <w:rFonts w:eastAsia="黑体"/>
          <w:szCs w:val="32"/>
          <w:highlight w:val="none"/>
        </w:rPr>
        <w:t>一、适用范围</w:t>
      </w:r>
    </w:p>
    <w:p>
      <w:pPr>
        <w:spacing w:line="530" w:lineRule="exact"/>
        <w:ind w:firstLine="640"/>
        <w:rPr>
          <w:szCs w:val="32"/>
          <w:highlight w:val="none"/>
        </w:rPr>
      </w:pPr>
      <w:r>
        <w:rPr>
          <w:rFonts w:hint="eastAsia"/>
          <w:szCs w:val="32"/>
          <w:highlight w:val="none"/>
        </w:rPr>
        <w:t>本指导原则适用于注射器辅助助推装置，该产品采用电机为动力源驱动注射器推杆的直线运动，通过设定的电机的旋转速度，辅助将医用</w:t>
      </w:r>
      <w:r>
        <w:rPr>
          <w:rFonts w:hint="eastAsia"/>
          <w:szCs w:val="32"/>
          <w:highlight w:val="none"/>
          <w:lang w:eastAsia="zh-CN"/>
        </w:rPr>
        <w:t>透明质酸钠复合溶液</w:t>
      </w:r>
      <w:r>
        <w:rPr>
          <w:rFonts w:hint="eastAsia"/>
          <w:szCs w:val="32"/>
          <w:highlight w:val="none"/>
        </w:rPr>
        <w:t>定量</w:t>
      </w:r>
      <w:r>
        <w:rPr>
          <w:rFonts w:hint="eastAsia"/>
          <w:szCs w:val="32"/>
          <w:highlight w:val="none"/>
          <w:lang w:eastAsia="zh-CN"/>
        </w:rPr>
        <w:t>或</w:t>
      </w:r>
      <w:r>
        <w:rPr>
          <w:rFonts w:hint="eastAsia"/>
          <w:szCs w:val="32"/>
          <w:highlight w:val="none"/>
        </w:rPr>
        <w:t>定速注射到面部真皮层，但</w:t>
      </w:r>
      <w:r>
        <w:rPr>
          <w:rFonts w:hint="eastAsia"/>
          <w:szCs w:val="32"/>
          <w:highlight w:val="none"/>
        </w:rPr>
        <w:t>不</w:t>
      </w:r>
      <w:r>
        <w:rPr>
          <w:rFonts w:hint="eastAsia"/>
          <w:szCs w:val="32"/>
          <w:highlight w:val="none"/>
          <w:lang w:val="en-US" w:eastAsia="zh-CN"/>
        </w:rPr>
        <w:t>与</w:t>
      </w:r>
      <w:r>
        <w:rPr>
          <w:rFonts w:hint="eastAsia"/>
          <w:szCs w:val="32"/>
          <w:highlight w:val="none"/>
        </w:rPr>
        <w:t>医用</w:t>
      </w:r>
      <w:r>
        <w:rPr>
          <w:rFonts w:hint="eastAsia"/>
          <w:szCs w:val="32"/>
          <w:highlight w:val="none"/>
          <w:lang w:eastAsia="zh-CN"/>
        </w:rPr>
        <w:t>透明质酸钠复合溶液</w:t>
      </w:r>
      <w:r>
        <w:rPr>
          <w:rFonts w:hint="eastAsia"/>
          <w:szCs w:val="32"/>
          <w:highlight w:val="none"/>
        </w:rPr>
        <w:t>直接接触。根据《医疗器械分类目录》，产品管理类别为</w:t>
      </w:r>
      <w:r>
        <w:rPr>
          <w:rFonts w:hint="eastAsia" w:ascii="华文中宋" w:hAnsi="华文中宋" w:eastAsia="华文中宋" w:cs="华文中宋"/>
          <w:szCs w:val="32"/>
          <w:highlight w:val="none"/>
        </w:rPr>
        <w:t>Ⅱ</w:t>
      </w:r>
      <w:r>
        <w:rPr>
          <w:rFonts w:hint="eastAsia"/>
          <w:szCs w:val="32"/>
          <w:highlight w:val="none"/>
        </w:rPr>
        <w:t>类，分类编码为</w:t>
      </w:r>
      <w:r>
        <w:rPr>
          <w:rFonts w:hint="eastAsia"/>
          <w:szCs w:val="32"/>
          <w:highlight w:val="none"/>
        </w:rPr>
        <w:t>14-01</w:t>
      </w:r>
      <w:r>
        <w:rPr>
          <w:rFonts w:hint="eastAsia"/>
          <w:szCs w:val="32"/>
          <w:highlight w:val="none"/>
        </w:rPr>
        <w:t>。</w:t>
      </w:r>
    </w:p>
    <w:p>
      <w:pPr>
        <w:spacing w:line="480" w:lineRule="exact"/>
        <w:ind w:right="-102" w:rightChars="-32" w:firstLine="640"/>
        <w:rPr>
          <w:rFonts w:eastAsia="黑体"/>
          <w:szCs w:val="32"/>
          <w:highlight w:val="none"/>
        </w:rPr>
      </w:pPr>
      <w:r>
        <w:rPr>
          <w:rFonts w:eastAsia="黑体"/>
          <w:szCs w:val="32"/>
          <w:highlight w:val="none"/>
        </w:rPr>
        <w:t>二、注册审查要点</w:t>
      </w:r>
    </w:p>
    <w:p>
      <w:pPr>
        <w:numPr>
          <w:ilvl w:val="0"/>
          <w:numId w:val="2"/>
        </w:numPr>
        <w:spacing w:line="480" w:lineRule="exact"/>
        <w:ind w:right="-102" w:rightChars="-32" w:firstLine="640"/>
        <w:rPr>
          <w:rFonts w:eastAsia="楷体_GB2312"/>
          <w:szCs w:val="32"/>
          <w:highlight w:val="none"/>
        </w:rPr>
      </w:pPr>
      <w:r>
        <w:rPr>
          <w:rFonts w:hint="eastAsia" w:eastAsia="楷体_GB2312"/>
          <w:szCs w:val="32"/>
          <w:highlight w:val="none"/>
        </w:rPr>
        <w:t>监管信息</w:t>
      </w:r>
    </w:p>
    <w:p>
      <w:pPr>
        <w:spacing w:line="530" w:lineRule="exact"/>
        <w:ind w:firstLine="640"/>
        <w:rPr>
          <w:szCs w:val="32"/>
          <w:highlight w:val="none"/>
        </w:rPr>
      </w:pPr>
      <w:r>
        <w:rPr>
          <w:rFonts w:hint="eastAsia"/>
          <w:szCs w:val="32"/>
          <w:highlight w:val="none"/>
        </w:rPr>
        <w:t>1.产品名称</w:t>
      </w:r>
    </w:p>
    <w:p>
      <w:pPr>
        <w:spacing w:line="530" w:lineRule="exact"/>
        <w:ind w:firstLine="640"/>
        <w:rPr>
          <w:szCs w:val="32"/>
          <w:highlight w:val="none"/>
        </w:rPr>
      </w:pPr>
      <w:r>
        <w:rPr>
          <w:rFonts w:hint="eastAsia"/>
          <w:szCs w:val="32"/>
          <w:highlight w:val="none"/>
        </w:rPr>
        <w:t>产品的命名应符合《医疗器械通用名称命名规则》</w:t>
      </w:r>
      <w:r>
        <w:rPr>
          <w:rFonts w:hint="eastAsia"/>
          <w:szCs w:val="32"/>
          <w:highlight w:val="none"/>
          <w:lang w:eastAsia="zh-CN"/>
        </w:rPr>
        <w:t>《医疗器械通用名称命名指导原则》</w:t>
      </w:r>
      <w:r>
        <w:rPr>
          <w:rFonts w:hint="eastAsia"/>
          <w:szCs w:val="32"/>
          <w:highlight w:val="none"/>
        </w:rPr>
        <w:t>《注输、护理和防护器械通用名称命名指导原则》和国家标准、行业标准、规范性文件中的通用名称要求。产品名称由一个核心词和不超过三个的特征词组成，如：注射器辅助推进枪、</w:t>
      </w:r>
      <w:r>
        <w:rPr>
          <w:rFonts w:hint="eastAsia"/>
          <w:szCs w:val="32"/>
          <w:highlight w:val="none"/>
        </w:rPr>
        <w:t>注射器辅助推进装置</w:t>
      </w:r>
      <w:r>
        <w:rPr>
          <w:rFonts w:hint="eastAsia"/>
          <w:szCs w:val="32"/>
          <w:highlight w:val="none"/>
        </w:rPr>
        <w:t>。</w:t>
      </w:r>
    </w:p>
    <w:p>
      <w:pPr>
        <w:spacing w:line="530" w:lineRule="exact"/>
        <w:ind w:firstLine="640"/>
        <w:rPr>
          <w:szCs w:val="32"/>
          <w:highlight w:val="none"/>
        </w:rPr>
      </w:pPr>
      <w:r>
        <w:rPr>
          <w:rFonts w:hint="eastAsia"/>
          <w:szCs w:val="32"/>
          <w:highlight w:val="none"/>
        </w:rPr>
        <w:t>2.注册单元划分</w:t>
      </w:r>
    </w:p>
    <w:p>
      <w:pPr>
        <w:spacing w:line="530" w:lineRule="exact"/>
        <w:ind w:firstLine="640"/>
        <w:rPr>
          <w:szCs w:val="32"/>
          <w:highlight w:val="none"/>
        </w:rPr>
      </w:pPr>
      <w:r>
        <w:rPr>
          <w:rFonts w:hint="eastAsia"/>
          <w:szCs w:val="32"/>
          <w:highlight w:val="none"/>
        </w:rPr>
        <w:t>注册单元划分应符合《医疗器械注册单元划分指导原则》的要求，着重考虑产品的技术原理、结构组成、性能指标和适用因素进行综合判定。</w:t>
      </w:r>
    </w:p>
    <w:p>
      <w:pPr>
        <w:spacing w:line="530" w:lineRule="exact"/>
        <w:ind w:firstLine="640"/>
        <w:rPr>
          <w:szCs w:val="32"/>
          <w:highlight w:val="none"/>
        </w:rPr>
      </w:pPr>
      <w:r>
        <w:rPr>
          <w:rFonts w:hint="eastAsia"/>
          <w:szCs w:val="32"/>
          <w:highlight w:val="none"/>
        </w:rPr>
        <w:t>立式和台式注射器辅助助推装置应划分为单独的注册单元。</w:t>
      </w:r>
    </w:p>
    <w:p>
      <w:pPr>
        <w:spacing w:line="530" w:lineRule="exact"/>
        <w:ind w:firstLine="640"/>
        <w:rPr>
          <w:szCs w:val="32"/>
          <w:highlight w:val="none"/>
        </w:rPr>
      </w:pPr>
      <w:r>
        <w:rPr>
          <w:rFonts w:hint="eastAsia"/>
          <w:szCs w:val="32"/>
          <w:highlight w:val="none"/>
        </w:rPr>
        <w:t>3.产品列表</w:t>
      </w:r>
    </w:p>
    <w:p>
      <w:pPr>
        <w:spacing w:line="530" w:lineRule="exact"/>
        <w:ind w:firstLine="640"/>
        <w:rPr>
          <w:szCs w:val="32"/>
          <w:highlight w:val="none"/>
        </w:rPr>
      </w:pPr>
      <w:r>
        <w:rPr>
          <w:szCs w:val="32"/>
          <w:highlight w:val="none"/>
        </w:rPr>
        <w:t>以表格形式列出拟申报产品的型号、规格、结构及组成、附件，以及每个型号规格的标识（如型号或部件的编号，器械唯一标识等）和描述说明（如尺寸、材质等）。</w:t>
      </w:r>
    </w:p>
    <w:p>
      <w:pPr>
        <w:spacing w:line="530" w:lineRule="exact"/>
        <w:ind w:firstLine="640"/>
        <w:rPr>
          <w:szCs w:val="32"/>
          <w:highlight w:val="none"/>
        </w:rPr>
      </w:pPr>
      <w:r>
        <w:rPr>
          <w:rFonts w:hint="eastAsia"/>
          <w:szCs w:val="32"/>
          <w:highlight w:val="none"/>
        </w:rPr>
        <w:t>4.其他监管信息</w:t>
      </w:r>
    </w:p>
    <w:p>
      <w:pPr>
        <w:spacing w:line="530" w:lineRule="exact"/>
        <w:ind w:firstLine="640"/>
        <w:rPr>
          <w:szCs w:val="32"/>
          <w:highlight w:val="none"/>
        </w:rPr>
      </w:pPr>
      <w:r>
        <w:rPr>
          <w:szCs w:val="32"/>
          <w:highlight w:val="none"/>
        </w:rPr>
        <w:t>应符合《关于公布医疗器械注册申报资料要求和批准证明文件格式的公告》要求。</w:t>
      </w:r>
    </w:p>
    <w:p>
      <w:pPr>
        <w:numPr>
          <w:ilvl w:val="0"/>
          <w:numId w:val="2"/>
        </w:numPr>
        <w:spacing w:line="480" w:lineRule="exact"/>
        <w:ind w:right="-102" w:rightChars="-32" w:firstLine="640"/>
        <w:rPr>
          <w:rFonts w:eastAsia="楷体_GB2312"/>
          <w:szCs w:val="32"/>
          <w:highlight w:val="none"/>
        </w:rPr>
      </w:pPr>
      <w:r>
        <w:rPr>
          <w:rFonts w:hint="eastAsia" w:eastAsia="楷体_GB2312"/>
          <w:szCs w:val="32"/>
          <w:highlight w:val="none"/>
        </w:rPr>
        <w:t>综述资料</w:t>
      </w:r>
    </w:p>
    <w:p>
      <w:pPr>
        <w:spacing w:line="530" w:lineRule="exact"/>
        <w:ind w:firstLine="640"/>
        <w:rPr>
          <w:szCs w:val="32"/>
          <w:highlight w:val="none"/>
        </w:rPr>
      </w:pPr>
      <w:r>
        <w:rPr>
          <w:rFonts w:hint="eastAsia"/>
          <w:szCs w:val="32"/>
          <w:highlight w:val="none"/>
        </w:rPr>
        <w:t>1.概述</w:t>
      </w:r>
    </w:p>
    <w:p>
      <w:pPr>
        <w:spacing w:line="530" w:lineRule="exact"/>
        <w:ind w:firstLine="640"/>
        <w:rPr>
          <w:szCs w:val="32"/>
          <w:highlight w:val="none"/>
        </w:rPr>
      </w:pPr>
      <w:r>
        <w:rPr>
          <w:rFonts w:hint="eastAsia"/>
          <w:szCs w:val="32"/>
          <w:highlight w:val="none"/>
        </w:rPr>
        <w:t>应描述申报产品的通用名称及其确定依据，描述产品的管理类别、分类编码。</w:t>
      </w:r>
    </w:p>
    <w:p>
      <w:pPr>
        <w:spacing w:line="530" w:lineRule="exact"/>
        <w:ind w:firstLine="640"/>
        <w:rPr>
          <w:szCs w:val="32"/>
          <w:highlight w:val="none"/>
        </w:rPr>
      </w:pPr>
      <w:r>
        <w:rPr>
          <w:rFonts w:hint="eastAsia"/>
          <w:szCs w:val="32"/>
          <w:highlight w:val="none"/>
        </w:rPr>
        <w:t>如适用，应描述有关申报产品的背景信息概述或特别细节，如：申报产品的历史概述、历次提交的信息，与其他经批准上市产品的关系等。</w:t>
      </w:r>
    </w:p>
    <w:p>
      <w:pPr>
        <w:spacing w:line="530" w:lineRule="exact"/>
        <w:ind w:firstLine="640"/>
        <w:rPr>
          <w:szCs w:val="32"/>
          <w:highlight w:val="none"/>
        </w:rPr>
      </w:pPr>
      <w:r>
        <w:rPr>
          <w:rFonts w:hint="eastAsia"/>
          <w:szCs w:val="32"/>
          <w:highlight w:val="none"/>
        </w:rPr>
        <w:t>2.产品描述</w:t>
      </w:r>
    </w:p>
    <w:p>
      <w:pPr>
        <w:spacing w:line="530" w:lineRule="exact"/>
        <w:ind w:firstLine="640"/>
        <w:rPr>
          <w:szCs w:val="32"/>
          <w:highlight w:val="none"/>
        </w:rPr>
      </w:pPr>
      <w:r>
        <w:rPr>
          <w:rFonts w:hint="eastAsia"/>
          <w:szCs w:val="32"/>
          <w:highlight w:val="none"/>
        </w:rPr>
        <w:t>（1）产品的结构组成。</w:t>
      </w:r>
    </w:p>
    <w:p>
      <w:pPr>
        <w:spacing w:line="530" w:lineRule="exact"/>
        <w:ind w:firstLine="640"/>
        <w:rPr>
          <w:szCs w:val="32"/>
          <w:highlight w:val="none"/>
        </w:rPr>
      </w:pPr>
      <w:r>
        <w:rPr>
          <w:rFonts w:hint="eastAsia"/>
          <w:szCs w:val="32"/>
          <w:highlight w:val="none"/>
        </w:rPr>
        <w:t>注射器辅助助推装置一般由主机、手柄、电源适配器</w:t>
      </w:r>
      <w:r>
        <w:rPr>
          <w:rFonts w:hint="eastAsia"/>
          <w:szCs w:val="32"/>
          <w:highlight w:val="none"/>
          <w:lang w:eastAsia="zh-CN"/>
        </w:rPr>
        <w:t>（如适用）</w:t>
      </w:r>
      <w:r>
        <w:rPr>
          <w:rFonts w:hint="eastAsia"/>
          <w:szCs w:val="32"/>
          <w:highlight w:val="none"/>
        </w:rPr>
        <w:t>、脚踏开关</w:t>
      </w:r>
      <w:r>
        <w:rPr>
          <w:rFonts w:hint="eastAsia"/>
          <w:szCs w:val="32"/>
          <w:highlight w:val="none"/>
          <w:lang w:eastAsia="zh-CN"/>
        </w:rPr>
        <w:t>（如适用）</w:t>
      </w:r>
      <w:r>
        <w:rPr>
          <w:rFonts w:hint="eastAsia"/>
          <w:szCs w:val="32"/>
          <w:highlight w:val="none"/>
        </w:rPr>
        <w:t>、集液瓶、一次性吸引管</w:t>
      </w:r>
      <w:r>
        <w:rPr>
          <w:rFonts w:hint="eastAsia"/>
          <w:szCs w:val="32"/>
          <w:highlight w:val="none"/>
          <w:lang w:eastAsia="zh-CN"/>
        </w:rPr>
        <w:t>（如适用）等</w:t>
      </w:r>
      <w:r>
        <w:rPr>
          <w:rFonts w:hint="eastAsia"/>
          <w:szCs w:val="32"/>
          <w:highlight w:val="none"/>
        </w:rPr>
        <w:t>组成。</w:t>
      </w:r>
    </w:p>
    <w:p>
      <w:pPr>
        <w:spacing w:line="530" w:lineRule="exact"/>
        <w:ind w:firstLine="640"/>
        <w:rPr>
          <w:rFonts w:hint="eastAsia" w:eastAsia="仿宋_GB2312"/>
          <w:szCs w:val="32"/>
          <w:highlight w:val="none"/>
          <w:lang w:eastAsia="zh-CN"/>
        </w:rPr>
      </w:pPr>
      <w:r>
        <w:rPr>
          <w:rFonts w:hint="eastAsia"/>
          <w:szCs w:val="32"/>
          <w:highlight w:val="none"/>
        </w:rPr>
        <w:t>申请人可以结合产品的结构组成对产品进行描述，提供产品主机实物图片</w:t>
      </w:r>
      <w:r>
        <w:rPr>
          <w:rFonts w:hint="eastAsia"/>
          <w:szCs w:val="32"/>
          <w:highlight w:val="none"/>
          <w:lang w:eastAsia="zh-CN"/>
        </w:rPr>
        <w:t>、注射器与主机或配件连接或组装的关系、进针方式</w:t>
      </w:r>
      <w:r>
        <w:rPr>
          <w:rFonts w:hint="eastAsia"/>
          <w:szCs w:val="32"/>
          <w:highlight w:val="none"/>
        </w:rPr>
        <w:t>，以及内部组件的拆解图或爆炸图，对这些图片进行详尽注释。注释的内容包括结构、尺寸、材料、重量等。</w:t>
      </w:r>
    </w:p>
    <w:p>
      <w:pPr>
        <w:spacing w:line="530" w:lineRule="exact"/>
        <w:ind w:firstLine="640"/>
        <w:rPr>
          <w:rFonts w:hint="eastAsia" w:eastAsia="仿宋_GB2312"/>
          <w:szCs w:val="32"/>
          <w:highlight w:val="none"/>
          <w:lang w:eastAsia="zh-CN"/>
        </w:rPr>
      </w:pPr>
      <w:r>
        <w:rPr>
          <w:rFonts w:hint="eastAsia"/>
          <w:szCs w:val="32"/>
          <w:highlight w:val="none"/>
        </w:rPr>
        <w:t>提供配合注射器辅助助推装置使用的无菌注射器的</w:t>
      </w:r>
      <w:r>
        <w:rPr>
          <w:rFonts w:hint="default"/>
          <w:szCs w:val="32"/>
          <w:highlight w:val="none"/>
          <w:lang w:val="en-US"/>
        </w:rPr>
        <w:t>具体</w:t>
      </w:r>
      <w:r>
        <w:rPr>
          <w:rFonts w:hint="eastAsia"/>
          <w:szCs w:val="32"/>
          <w:highlight w:val="none"/>
        </w:rPr>
        <w:t>信息，包括</w:t>
      </w:r>
      <w:r>
        <w:rPr>
          <w:rFonts w:hint="eastAsia"/>
          <w:highlight w:val="none"/>
          <w:lang w:val="en-US" w:eastAsia="zh-CN"/>
        </w:rPr>
        <w:t>注册证号、</w:t>
      </w:r>
      <w:r>
        <w:rPr>
          <w:rFonts w:hint="eastAsia"/>
          <w:szCs w:val="32"/>
          <w:highlight w:val="none"/>
        </w:rPr>
        <w:t>生产企业、规格型号信息，提供相应的实物图。</w:t>
      </w:r>
    </w:p>
    <w:p>
      <w:pPr>
        <w:spacing w:line="530" w:lineRule="exact"/>
        <w:ind w:firstLine="640"/>
        <w:rPr>
          <w:szCs w:val="32"/>
          <w:highlight w:val="none"/>
        </w:rPr>
      </w:pPr>
      <w:r>
        <w:rPr>
          <w:rFonts w:hint="eastAsia"/>
          <w:szCs w:val="32"/>
          <w:highlight w:val="none"/>
        </w:rPr>
        <w:t>（</w:t>
      </w:r>
      <w:r>
        <w:rPr>
          <w:rFonts w:hint="eastAsia"/>
          <w:szCs w:val="32"/>
          <w:highlight w:val="none"/>
          <w:lang w:val="en-US" w:eastAsia="zh-CN"/>
        </w:rPr>
        <w:t>2</w:t>
      </w:r>
      <w:r>
        <w:rPr>
          <w:rFonts w:hint="eastAsia"/>
          <w:szCs w:val="32"/>
          <w:highlight w:val="none"/>
        </w:rPr>
        <w:t>）</w:t>
      </w:r>
      <w:r>
        <w:rPr>
          <w:rFonts w:hint="eastAsia"/>
          <w:szCs w:val="32"/>
          <w:highlight w:val="none"/>
          <w:lang w:eastAsia="zh-CN"/>
        </w:rPr>
        <w:t>提供</w:t>
      </w:r>
      <w:r>
        <w:rPr>
          <w:rFonts w:hint="eastAsia"/>
          <w:szCs w:val="32"/>
          <w:highlight w:val="none"/>
        </w:rPr>
        <w:t>注射器辅助助推装置的用户界面，对产品的功能、性能和临床使用流程进行描述。</w:t>
      </w:r>
    </w:p>
    <w:p>
      <w:pPr>
        <w:spacing w:line="530" w:lineRule="exact"/>
        <w:ind w:firstLine="640"/>
        <w:rPr>
          <w:szCs w:val="32"/>
          <w:highlight w:val="none"/>
        </w:rPr>
      </w:pPr>
      <w:r>
        <w:rPr>
          <w:rFonts w:hint="eastAsia"/>
          <w:szCs w:val="32"/>
          <w:highlight w:val="none"/>
        </w:rPr>
        <w:t>列出产品具有的临床功能和各项性能，包括具体的性能指标。列出产品各项参数的默认值，包括注射速度、单针剂量等。</w:t>
      </w:r>
    </w:p>
    <w:p>
      <w:pPr>
        <w:spacing w:line="530" w:lineRule="exact"/>
        <w:ind w:firstLine="640"/>
        <w:rPr>
          <w:szCs w:val="32"/>
          <w:highlight w:val="none"/>
        </w:rPr>
      </w:pPr>
      <w:r>
        <w:rPr>
          <w:rFonts w:hint="eastAsia"/>
          <w:szCs w:val="32"/>
          <w:highlight w:val="none"/>
        </w:rPr>
        <w:t>（</w:t>
      </w:r>
      <w:r>
        <w:rPr>
          <w:rFonts w:hint="eastAsia"/>
          <w:szCs w:val="32"/>
          <w:highlight w:val="none"/>
          <w:lang w:val="en-US" w:eastAsia="zh-CN"/>
        </w:rPr>
        <w:t>3</w:t>
      </w:r>
      <w:r>
        <w:rPr>
          <w:rFonts w:hint="eastAsia"/>
          <w:szCs w:val="32"/>
          <w:highlight w:val="none"/>
        </w:rPr>
        <w:t>）提供产品的驱动原理图，驱动原理图应能体现产品的关键部件，包括电机、传动模块、负压模块等。结合驱动原理图，详细说明注射速度、剂量和压力等的控制、监测，以及各种报警原理</w:t>
      </w:r>
      <w:r>
        <w:rPr>
          <w:rFonts w:hint="eastAsia"/>
          <w:szCs w:val="32"/>
          <w:highlight w:val="none"/>
          <w:lang w:eastAsia="zh-CN"/>
        </w:rPr>
        <w:t>（如适用）</w:t>
      </w:r>
      <w:r>
        <w:rPr>
          <w:rFonts w:hint="eastAsia"/>
          <w:szCs w:val="32"/>
          <w:highlight w:val="none"/>
        </w:rPr>
        <w:t>。</w:t>
      </w:r>
    </w:p>
    <w:p>
      <w:pPr>
        <w:spacing w:line="530" w:lineRule="exact"/>
        <w:ind w:firstLine="640"/>
        <w:rPr>
          <w:szCs w:val="32"/>
          <w:highlight w:val="none"/>
        </w:rPr>
      </w:pPr>
      <w:r>
        <w:rPr>
          <w:rFonts w:hint="eastAsia"/>
          <w:szCs w:val="32"/>
          <w:highlight w:val="none"/>
        </w:rPr>
        <w:t>（</w:t>
      </w:r>
      <w:r>
        <w:rPr>
          <w:rFonts w:hint="eastAsia"/>
          <w:szCs w:val="32"/>
          <w:highlight w:val="none"/>
          <w:lang w:val="en-US" w:eastAsia="zh-CN"/>
        </w:rPr>
        <w:t>4</w:t>
      </w:r>
      <w:r>
        <w:rPr>
          <w:rFonts w:hint="eastAsia"/>
          <w:szCs w:val="32"/>
          <w:highlight w:val="none"/>
        </w:rPr>
        <w:t>）描述算法功能组件，包括所有计算步骤；详细描述调整</w:t>
      </w:r>
      <w:r>
        <w:rPr>
          <w:rFonts w:hint="eastAsia"/>
          <w:szCs w:val="32"/>
          <w:highlight w:val="none"/>
          <w:lang w:eastAsia="zh-CN"/>
        </w:rPr>
        <w:t>透明质酸钠复合溶液</w:t>
      </w:r>
      <w:r>
        <w:rPr>
          <w:rFonts w:hint="eastAsia"/>
          <w:szCs w:val="32"/>
          <w:highlight w:val="none"/>
        </w:rPr>
        <w:t>的控制算法；说明患者或医务人员无法修改的所有参数（固定参数）及其相应参数值；说明患者或医务人员可调整的所有参数；说明可能存在的输入、输出和干扰；说明算法的最小和最大</w:t>
      </w:r>
      <w:r>
        <w:rPr>
          <w:rFonts w:hint="eastAsia"/>
          <w:szCs w:val="32"/>
          <w:highlight w:val="none"/>
          <w:lang w:eastAsia="zh-CN"/>
        </w:rPr>
        <w:t>透明质酸钠复合溶液</w:t>
      </w:r>
      <w:r>
        <w:rPr>
          <w:rFonts w:hint="eastAsia"/>
          <w:szCs w:val="32"/>
          <w:highlight w:val="none"/>
        </w:rPr>
        <w:t>输送剂量的建议值和速度限值；描述</w:t>
      </w:r>
      <w:r>
        <w:rPr>
          <w:rFonts w:hint="eastAsia"/>
          <w:szCs w:val="32"/>
          <w:highlight w:val="none"/>
          <w:lang w:eastAsia="zh-CN"/>
        </w:rPr>
        <w:t>装置</w:t>
      </w:r>
      <w:r>
        <w:rPr>
          <w:rFonts w:hint="eastAsia"/>
          <w:szCs w:val="32"/>
          <w:highlight w:val="none"/>
        </w:rPr>
        <w:t>采取了哪些安全措施，确保</w:t>
      </w:r>
      <w:r>
        <w:rPr>
          <w:rFonts w:hint="eastAsia"/>
          <w:szCs w:val="32"/>
          <w:highlight w:val="none"/>
          <w:lang w:eastAsia="zh-CN"/>
        </w:rPr>
        <w:t>透明质酸钠复合溶液</w:t>
      </w:r>
      <w:r>
        <w:rPr>
          <w:rFonts w:hint="eastAsia"/>
          <w:szCs w:val="32"/>
          <w:highlight w:val="none"/>
        </w:rPr>
        <w:t>已输送正确剂量。</w:t>
      </w:r>
    </w:p>
    <w:p>
      <w:pPr>
        <w:spacing w:line="240" w:lineRule="auto"/>
        <w:ind w:left="0" w:leftChars="0" w:firstLine="0" w:firstLineChars="0"/>
        <w:jc w:val="center"/>
        <w:rPr>
          <w:highlight w:val="none"/>
        </w:rPr>
      </w:pPr>
      <w:r>
        <w:rPr>
          <w:highlight w:val="none"/>
        </w:rPr>
        <w:drawing>
          <wp:inline distT="0" distB="0" distL="114300" distR="114300">
            <wp:extent cx="5168265" cy="2313305"/>
            <wp:effectExtent l="0" t="0" r="13335" b="10795"/>
            <wp:docPr id="4" name="图片 1" descr="/home/zyn/桌面/微信图片_20260817094830_451_37.png微信图片_20260817094830_451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home/zyn/桌面/微信图片_20260817094830_451_37.png微信图片_20260817094830_451_37"/>
                    <pic:cNvPicPr>
                      <a:picLocks noChangeAspect="1"/>
                    </pic:cNvPicPr>
                  </pic:nvPicPr>
                  <pic:blipFill>
                    <a:blip r:embed="rId12"/>
                    <a:srcRect/>
                    <a:stretch>
                      <a:fillRect/>
                    </a:stretch>
                  </pic:blipFill>
                  <pic:spPr>
                    <a:xfrm>
                      <a:off x="0" y="0"/>
                      <a:ext cx="5168265" cy="2313305"/>
                    </a:xfrm>
                    <a:prstGeom prst="rect">
                      <a:avLst/>
                    </a:prstGeom>
                    <a:noFill/>
                    <a:ln>
                      <a:noFill/>
                    </a:ln>
                  </pic:spPr>
                </pic:pic>
              </a:graphicData>
            </a:graphic>
          </wp:inline>
        </w:drawing>
      </w:r>
    </w:p>
    <w:p>
      <w:pPr>
        <w:spacing w:line="240" w:lineRule="auto"/>
        <w:ind w:left="0" w:leftChars="0" w:firstLine="0" w:firstLineChars="0"/>
        <w:jc w:val="center"/>
        <w:rPr>
          <w:rFonts w:eastAsia="黑体"/>
          <w:sz w:val="28"/>
          <w:highlight w:val="none"/>
        </w:rPr>
      </w:pPr>
      <w:r>
        <w:rPr>
          <w:rFonts w:eastAsia="黑体"/>
          <w:sz w:val="28"/>
          <w:highlight w:val="none"/>
        </w:rPr>
        <w:t xml:space="preserve">图1 </w:t>
      </w:r>
      <w:r>
        <w:rPr>
          <w:rFonts w:hint="eastAsia" w:eastAsia="黑体"/>
          <w:sz w:val="28"/>
          <w:highlight w:val="none"/>
        </w:rPr>
        <w:t>注射器辅助助推装置</w:t>
      </w:r>
      <w:r>
        <w:rPr>
          <w:rFonts w:eastAsia="黑体"/>
          <w:sz w:val="28"/>
          <w:highlight w:val="none"/>
        </w:rPr>
        <w:t>示意图</w:t>
      </w:r>
    </w:p>
    <w:p>
      <w:pPr>
        <w:spacing w:line="530" w:lineRule="exact"/>
        <w:ind w:firstLine="640"/>
        <w:rPr>
          <w:szCs w:val="32"/>
          <w:highlight w:val="none"/>
        </w:rPr>
      </w:pPr>
      <w:r>
        <w:rPr>
          <w:rFonts w:hint="eastAsia"/>
          <w:szCs w:val="32"/>
          <w:highlight w:val="none"/>
        </w:rPr>
        <w:t>2.适用范围和禁忌证</w:t>
      </w:r>
    </w:p>
    <w:p>
      <w:pPr>
        <w:spacing w:line="530" w:lineRule="exact"/>
        <w:ind w:firstLine="640"/>
        <w:rPr>
          <w:szCs w:val="32"/>
          <w:highlight w:val="none"/>
        </w:rPr>
      </w:pPr>
      <w:r>
        <w:rPr>
          <w:rFonts w:hint="eastAsia"/>
          <w:szCs w:val="32"/>
          <w:highlight w:val="none"/>
        </w:rPr>
        <w:t>该类产品需明确预期与其配合使用的无菌注射器、产品预期注射的深度。例如，</w:t>
      </w:r>
      <w:r>
        <w:rPr>
          <w:rFonts w:hint="eastAsia"/>
          <w:szCs w:val="32"/>
          <w:highlight w:val="none"/>
        </w:rPr>
        <w:t>与配套注射器配合使用，</w:t>
      </w:r>
      <w:r>
        <w:rPr>
          <w:rFonts w:hint="eastAsia"/>
          <w:szCs w:val="32"/>
          <w:highlight w:val="none"/>
        </w:rPr>
        <w:t>用于患者面部真皮层浅层注射</w:t>
      </w:r>
      <w:r>
        <w:rPr>
          <w:rFonts w:hint="eastAsia"/>
          <w:szCs w:val="32"/>
          <w:highlight w:val="none"/>
        </w:rPr>
        <w:t>透明质酸钠复合溶液</w:t>
      </w:r>
      <w:r>
        <w:rPr>
          <w:rFonts w:hint="eastAsia"/>
          <w:szCs w:val="32"/>
          <w:highlight w:val="none"/>
        </w:rPr>
        <w:t>。申请人应根据产品的临床评价资料确定产品的适用范围。</w:t>
      </w:r>
    </w:p>
    <w:p>
      <w:pPr>
        <w:spacing w:line="530" w:lineRule="exact"/>
        <w:ind w:firstLine="640"/>
        <w:rPr>
          <w:szCs w:val="32"/>
          <w:highlight w:val="none"/>
        </w:rPr>
      </w:pPr>
      <w:r>
        <w:rPr>
          <w:rFonts w:hint="eastAsia"/>
          <w:szCs w:val="32"/>
          <w:highlight w:val="none"/>
        </w:rPr>
        <w:t>产品的禁忌证或使用限制至少包括：</w:t>
      </w:r>
    </w:p>
    <w:p>
      <w:pPr>
        <w:spacing w:line="530" w:lineRule="exact"/>
        <w:ind w:firstLine="640"/>
        <w:rPr>
          <w:szCs w:val="32"/>
          <w:highlight w:val="none"/>
        </w:rPr>
      </w:pPr>
      <w:r>
        <w:rPr>
          <w:rFonts w:hint="eastAsia"/>
          <w:szCs w:val="32"/>
          <w:highlight w:val="none"/>
        </w:rPr>
        <w:t>（1）妊娠、哺乳期妇女。</w:t>
      </w:r>
    </w:p>
    <w:p>
      <w:pPr>
        <w:spacing w:line="530" w:lineRule="exact"/>
        <w:ind w:firstLine="640"/>
        <w:rPr>
          <w:szCs w:val="32"/>
          <w:highlight w:val="none"/>
        </w:rPr>
      </w:pPr>
      <w:r>
        <w:rPr>
          <w:rFonts w:hint="eastAsia"/>
          <w:szCs w:val="32"/>
          <w:highlight w:val="none"/>
        </w:rPr>
        <w:t>（2）注射位置炎症和/或感染者。</w:t>
      </w:r>
    </w:p>
    <w:p>
      <w:pPr>
        <w:spacing w:line="530" w:lineRule="exact"/>
        <w:ind w:firstLine="640"/>
        <w:rPr>
          <w:szCs w:val="32"/>
          <w:highlight w:val="none"/>
        </w:rPr>
      </w:pPr>
      <w:r>
        <w:rPr>
          <w:rFonts w:hint="eastAsia"/>
          <w:szCs w:val="32"/>
          <w:highlight w:val="none"/>
        </w:rPr>
        <w:t>（3）有重要脏器严重疾病者。</w:t>
      </w:r>
    </w:p>
    <w:p>
      <w:pPr>
        <w:spacing w:line="530" w:lineRule="exact"/>
        <w:ind w:firstLine="640"/>
        <w:rPr>
          <w:szCs w:val="32"/>
          <w:highlight w:val="none"/>
        </w:rPr>
      </w:pPr>
      <w:r>
        <w:rPr>
          <w:rFonts w:hint="eastAsia"/>
          <w:szCs w:val="32"/>
          <w:highlight w:val="none"/>
        </w:rPr>
        <w:t>（4）自身免疫性疾病史者。</w:t>
      </w:r>
    </w:p>
    <w:p>
      <w:pPr>
        <w:spacing w:line="530" w:lineRule="exact"/>
        <w:ind w:firstLine="640"/>
        <w:rPr>
          <w:rFonts w:hint="eastAsia"/>
          <w:szCs w:val="32"/>
          <w:highlight w:val="none"/>
        </w:rPr>
      </w:pPr>
      <w:r>
        <w:rPr>
          <w:rFonts w:hint="eastAsia"/>
          <w:szCs w:val="32"/>
          <w:highlight w:val="none"/>
        </w:rPr>
        <w:t>（5）有癌变或癌前病变者。</w:t>
      </w:r>
    </w:p>
    <w:p>
      <w:pPr>
        <w:spacing w:line="530" w:lineRule="exact"/>
        <w:ind w:firstLine="640"/>
        <w:rPr>
          <w:rFonts w:hint="default" w:eastAsia="仿宋_GB2312"/>
          <w:szCs w:val="32"/>
          <w:highlight w:val="none"/>
          <w:lang w:val="en-US" w:eastAsia="zh-CN"/>
        </w:rPr>
      </w:pPr>
      <w:r>
        <w:rPr>
          <w:rFonts w:hint="eastAsia"/>
          <w:szCs w:val="32"/>
          <w:highlight w:val="none"/>
          <w:lang w:eastAsia="zh-CN"/>
        </w:rPr>
        <w:t>（</w:t>
      </w:r>
      <w:r>
        <w:rPr>
          <w:rFonts w:hint="eastAsia"/>
          <w:szCs w:val="32"/>
          <w:highlight w:val="none"/>
          <w:lang w:val="en-US" w:eastAsia="zh-CN"/>
        </w:rPr>
        <w:t>6</w:t>
      </w:r>
      <w:r>
        <w:rPr>
          <w:rFonts w:hint="eastAsia"/>
          <w:szCs w:val="32"/>
          <w:highlight w:val="none"/>
          <w:lang w:eastAsia="zh-CN"/>
        </w:rPr>
        <w:t>）凝血功能障碍</w:t>
      </w:r>
    </w:p>
    <w:p>
      <w:pPr>
        <w:numPr>
          <w:ilvl w:val="0"/>
          <w:numId w:val="2"/>
        </w:numPr>
        <w:spacing w:line="480" w:lineRule="exact"/>
        <w:ind w:right="-102" w:rightChars="-32" w:firstLine="640"/>
        <w:rPr>
          <w:rFonts w:eastAsia="楷体_GB2312"/>
          <w:szCs w:val="32"/>
          <w:highlight w:val="none"/>
        </w:rPr>
      </w:pPr>
      <w:r>
        <w:rPr>
          <w:rFonts w:hint="eastAsia" w:eastAsia="楷体_GB2312"/>
          <w:szCs w:val="32"/>
          <w:highlight w:val="none"/>
        </w:rPr>
        <w:t>非临床资料</w:t>
      </w:r>
    </w:p>
    <w:p>
      <w:pPr>
        <w:spacing w:line="530" w:lineRule="exact"/>
        <w:ind w:firstLine="640"/>
        <w:rPr>
          <w:szCs w:val="32"/>
          <w:highlight w:val="none"/>
        </w:rPr>
      </w:pPr>
      <w:r>
        <w:rPr>
          <w:rFonts w:hint="eastAsia"/>
          <w:szCs w:val="32"/>
          <w:highlight w:val="none"/>
        </w:rPr>
        <w:t>1.产品风险管理资料</w:t>
      </w:r>
    </w:p>
    <w:p>
      <w:pPr>
        <w:spacing w:line="530" w:lineRule="exact"/>
        <w:ind w:firstLine="640"/>
        <w:rPr>
          <w:szCs w:val="32"/>
          <w:highlight w:val="none"/>
        </w:rPr>
      </w:pPr>
      <w:r>
        <w:rPr>
          <w:rFonts w:hint="eastAsia"/>
          <w:szCs w:val="32"/>
          <w:highlight w:val="none"/>
        </w:rPr>
        <w:t>风险管理报告应符合GB/T 42062《医疗器械风险管理对医疗器械的应用》的有关要求，判断与产品有关的危险，估计和评价相关风险，控制这些风险并监视控制的有效性。审查要点包括：</w:t>
      </w:r>
    </w:p>
    <w:p>
      <w:pPr>
        <w:spacing w:line="530" w:lineRule="exact"/>
        <w:ind w:firstLine="640"/>
        <w:rPr>
          <w:szCs w:val="32"/>
          <w:highlight w:val="none"/>
        </w:rPr>
      </w:pPr>
      <w:r>
        <w:rPr>
          <w:rFonts w:hint="eastAsia"/>
          <w:szCs w:val="32"/>
          <w:highlight w:val="none"/>
        </w:rPr>
        <w:t>（1）与安全性有关特征的判定可参考YY/T 1437。</w:t>
      </w:r>
    </w:p>
    <w:p>
      <w:pPr>
        <w:spacing w:line="530" w:lineRule="exact"/>
        <w:ind w:firstLine="640"/>
        <w:rPr>
          <w:szCs w:val="32"/>
          <w:highlight w:val="none"/>
        </w:rPr>
      </w:pPr>
      <w:r>
        <w:rPr>
          <w:rFonts w:hint="eastAsia"/>
          <w:szCs w:val="32"/>
          <w:highlight w:val="none"/>
        </w:rPr>
        <w:t>（2）危险、可预见的事件序列和危险情况判断可参考GB/T 42062的附录C。</w:t>
      </w:r>
    </w:p>
    <w:p>
      <w:pPr>
        <w:spacing w:line="530" w:lineRule="exact"/>
        <w:ind w:firstLine="640"/>
        <w:rPr>
          <w:szCs w:val="32"/>
          <w:highlight w:val="none"/>
        </w:rPr>
      </w:pPr>
      <w:r>
        <w:rPr>
          <w:rFonts w:hint="eastAsia"/>
          <w:szCs w:val="32"/>
          <w:highlight w:val="none"/>
        </w:rPr>
        <w:t>（3）风险控制的方案与实施、综合剩余风险的可接受性评价及生产和生产后监视相关方法可参考YY/T 1437。</w:t>
      </w:r>
    </w:p>
    <w:p>
      <w:pPr>
        <w:spacing w:line="530" w:lineRule="exact"/>
        <w:ind w:firstLine="640"/>
        <w:rPr>
          <w:szCs w:val="32"/>
          <w:highlight w:val="none"/>
        </w:rPr>
      </w:pPr>
      <w:r>
        <w:rPr>
          <w:rFonts w:hint="eastAsia"/>
          <w:szCs w:val="32"/>
          <w:highlight w:val="none"/>
        </w:rPr>
        <w:t>（4）风险可接收准则，降低风险的措施及采取措施后风险的可接收程度，是否有新的风险产生。</w:t>
      </w:r>
    </w:p>
    <w:p>
      <w:pPr>
        <w:spacing w:line="530" w:lineRule="exact"/>
        <w:ind w:firstLine="640"/>
        <w:rPr>
          <w:szCs w:val="32"/>
          <w:highlight w:val="none"/>
        </w:rPr>
      </w:pPr>
      <w:r>
        <w:rPr>
          <w:rFonts w:hint="eastAsia"/>
          <w:szCs w:val="32"/>
          <w:highlight w:val="none"/>
        </w:rPr>
        <w:t>（5）市场上已上市同类产品的不良事件分析总结。审查时可参考不良事件历史记录，重点关注由于潜在设计缺陷导致的抱怨和不良事件，以及相应的风险控制措施。</w:t>
      </w:r>
    </w:p>
    <w:p>
      <w:pPr>
        <w:spacing w:line="530" w:lineRule="exact"/>
        <w:ind w:firstLine="640"/>
        <w:rPr>
          <w:szCs w:val="32"/>
          <w:highlight w:val="none"/>
        </w:rPr>
      </w:pPr>
      <w:r>
        <w:rPr>
          <w:rFonts w:hint="eastAsia"/>
          <w:szCs w:val="32"/>
          <w:highlight w:val="none"/>
        </w:rPr>
        <w:t>以下依据GB/T 42062的附录E（表E.1）列举了注射器辅助助推装置产品的部分危害因素，至少从以下方面考虑（见表1），同时应根据产品的特殊功能审查其危害因素（如报警、无线功能）。</w:t>
      </w:r>
    </w:p>
    <w:p>
      <w:pPr>
        <w:spacing w:line="520" w:lineRule="exact"/>
        <w:ind w:firstLine="560"/>
        <w:jc w:val="center"/>
        <w:rPr>
          <w:rFonts w:ascii="黑体" w:hAnsi="黑体" w:eastAsia="黑体"/>
          <w:kern w:val="0"/>
          <w:sz w:val="28"/>
          <w:highlight w:val="none"/>
        </w:rPr>
      </w:pPr>
      <w:r>
        <w:rPr>
          <w:rFonts w:hint="eastAsia" w:ascii="黑体" w:hAnsi="黑体" w:eastAsia="黑体"/>
          <w:kern w:val="0"/>
          <w:sz w:val="28"/>
          <w:highlight w:val="none"/>
        </w:rPr>
        <w:t>表1</w:t>
      </w:r>
      <w:r>
        <w:rPr>
          <w:rFonts w:ascii="黑体" w:hAnsi="黑体" w:eastAsia="黑体"/>
          <w:kern w:val="0"/>
          <w:sz w:val="28"/>
          <w:highlight w:val="none"/>
        </w:rPr>
        <w:t xml:space="preserve">  </w:t>
      </w:r>
      <w:r>
        <w:rPr>
          <w:rFonts w:hint="eastAsia" w:ascii="黑体" w:hAnsi="黑体" w:eastAsia="黑体"/>
          <w:kern w:val="0"/>
          <w:sz w:val="28"/>
          <w:highlight w:val="none"/>
        </w:rPr>
        <w:t>危害类型及形成因素</w:t>
      </w:r>
    </w:p>
    <w:tbl>
      <w:tblPr>
        <w:tblStyle w:val="14"/>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5"/>
        <w:gridCol w:w="1434"/>
        <w:gridCol w:w="6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2249" w:type="dxa"/>
            <w:gridSpan w:val="2"/>
            <w:shd w:val="clear" w:color="auto" w:fill="FFFFFF"/>
            <w:vAlign w:val="center"/>
          </w:tcPr>
          <w:p>
            <w:pPr>
              <w:widowControl/>
              <w:spacing w:line="520" w:lineRule="exact"/>
              <w:ind w:firstLine="0" w:firstLineChars="0"/>
              <w:jc w:val="center"/>
              <w:rPr>
                <w:rFonts w:ascii="黑体" w:hAnsi="黑体" w:eastAsia="黑体"/>
                <w:kern w:val="0"/>
                <w:sz w:val="28"/>
                <w:szCs w:val="28"/>
                <w:highlight w:val="none"/>
              </w:rPr>
            </w:pPr>
            <w:r>
              <w:rPr>
                <w:rFonts w:ascii="黑体" w:hAnsi="黑体" w:eastAsia="黑体"/>
                <w:kern w:val="0"/>
                <w:sz w:val="28"/>
                <w:szCs w:val="28"/>
                <w:highlight w:val="none"/>
              </w:rPr>
              <w:t>危害类型</w:t>
            </w:r>
          </w:p>
        </w:tc>
        <w:tc>
          <w:tcPr>
            <w:tcW w:w="6599" w:type="dxa"/>
            <w:shd w:val="clear" w:color="auto" w:fill="FFFFFF"/>
            <w:vAlign w:val="center"/>
          </w:tcPr>
          <w:p>
            <w:pPr>
              <w:widowControl/>
              <w:spacing w:line="520" w:lineRule="exact"/>
              <w:ind w:firstLine="0" w:firstLineChars="0"/>
              <w:jc w:val="center"/>
              <w:rPr>
                <w:rFonts w:ascii="黑体" w:hAnsi="黑体" w:eastAsia="黑体"/>
                <w:kern w:val="0"/>
                <w:sz w:val="28"/>
                <w:szCs w:val="28"/>
                <w:highlight w:val="none"/>
              </w:rPr>
            </w:pPr>
            <w:r>
              <w:rPr>
                <w:rFonts w:ascii="黑体" w:hAnsi="黑体" w:eastAsia="黑体"/>
                <w:kern w:val="0"/>
                <w:sz w:val="28"/>
                <w:szCs w:val="28"/>
                <w:highlight w:val="none"/>
              </w:rPr>
              <w:t>形成因素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9" w:hRule="atLeast"/>
          <w:jc w:val="center"/>
        </w:trPr>
        <w:tc>
          <w:tcPr>
            <w:tcW w:w="815" w:type="dxa"/>
            <w:vMerge w:val="restart"/>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能</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量</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危</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害</w:t>
            </w:r>
          </w:p>
        </w:tc>
        <w:tc>
          <w:tcPr>
            <w:tcW w:w="1434" w:type="dxa"/>
            <w:vMerge w:val="restart"/>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电能</w:t>
            </w:r>
          </w:p>
        </w:tc>
        <w:tc>
          <w:tcPr>
            <w:tcW w:w="6599" w:type="dxa"/>
            <w:vAlign w:val="center"/>
          </w:tcPr>
          <w:p>
            <w:pPr>
              <w:widowControl/>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可触及金属部分、外壳、应用部分等与带电部分隔离/保护不够，电介质强度不够，可能对使用者或患者造成电击危害。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9"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widowControl/>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产品外壳、应用部分绝缘/隔离不够，可能引起过量漏电流伤害使用者或患者。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7"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widowControl/>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产品保护接地失效，或绝缘介质年久老化，绝缘性能下降，导致使用者或患者误接触带电部分。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7"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widowControl/>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电源/电池故障，产品不能正常工作，延误患者治疗。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7"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热能</w:t>
            </w: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电机</w:t>
            </w:r>
            <w:r>
              <w:rPr>
                <w:rFonts w:hint="eastAsia" w:ascii="仿宋" w:hAnsi="仿宋" w:eastAsia="仿宋" w:cs="仿宋"/>
                <w:kern w:val="0"/>
                <w:sz w:val="28"/>
                <w:szCs w:val="28"/>
                <w:highlight w:val="none"/>
                <w:lang w:val="en-US" w:eastAsia="zh-CN"/>
              </w:rPr>
              <w:t>/气泵</w:t>
            </w:r>
            <w:r>
              <w:rPr>
                <w:rFonts w:hint="eastAsia" w:ascii="仿宋" w:hAnsi="仿宋" w:eastAsia="仿宋" w:cs="仿宋"/>
                <w:kern w:val="0"/>
                <w:sz w:val="28"/>
                <w:szCs w:val="28"/>
                <w:highlight w:val="none"/>
              </w:rPr>
              <w:t>故障引起产品外壳温度升高可能引起使用者或患者烫伤。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3"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restart"/>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机械能</w:t>
            </w:r>
          </w:p>
        </w:tc>
        <w:tc>
          <w:tcPr>
            <w:tcW w:w="6599" w:type="dxa"/>
            <w:vAlign w:val="center"/>
          </w:tcPr>
          <w:p>
            <w:pPr>
              <w:widowControl/>
              <w:spacing w:line="520" w:lineRule="exact"/>
              <w:ind w:firstLine="0" w:firstLineChars="0"/>
              <w:rPr>
                <w:rFonts w:ascii="仿宋" w:hAnsi="仿宋" w:eastAsia="仿宋" w:cs="仿宋"/>
                <w:kern w:val="0"/>
                <w:sz w:val="28"/>
                <w:szCs w:val="28"/>
                <w:highlight w:val="none"/>
              </w:rPr>
            </w:pPr>
            <w:r>
              <w:rPr>
                <w:rFonts w:hint="eastAsia" w:ascii="仿宋" w:hAnsi="仿宋" w:eastAsia="仿宋" w:cs="仿宋"/>
                <w:kern w:val="0"/>
                <w:sz w:val="28"/>
                <w:szCs w:val="28"/>
                <w:highlight w:val="none"/>
              </w:rPr>
              <w:t>废液瓶阻塞管路，可能导致仪器无负压不能正常进行操作。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5"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widowControl/>
              <w:spacing w:line="520" w:lineRule="exact"/>
              <w:ind w:firstLine="0" w:firstLineChars="0"/>
              <w:rPr>
                <w:rFonts w:ascii="仿宋" w:hAnsi="仿宋" w:eastAsia="仿宋" w:cs="仿宋"/>
                <w:kern w:val="0"/>
                <w:sz w:val="28"/>
                <w:szCs w:val="28"/>
                <w:highlight w:val="none"/>
              </w:rPr>
            </w:pPr>
            <w:r>
              <w:rPr>
                <w:rFonts w:hint="eastAsia" w:ascii="仿宋" w:hAnsi="仿宋" w:eastAsia="仿宋" w:cs="仿宋"/>
                <w:kern w:val="0"/>
                <w:sz w:val="28"/>
                <w:szCs w:val="28"/>
                <w:highlight w:val="none"/>
              </w:rPr>
              <w:t>固定设备的支撑装置强度不足，设备面、角、边粗糙，都可能对使用者或患者造成机械损伤。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5"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widowControl/>
              <w:spacing w:line="520" w:lineRule="exact"/>
              <w:ind w:firstLine="0" w:firstLineChars="0"/>
              <w:rPr>
                <w:rFonts w:ascii="仿宋" w:hAnsi="仿宋" w:eastAsia="仿宋" w:cs="仿宋"/>
                <w:kern w:val="0"/>
                <w:sz w:val="28"/>
                <w:szCs w:val="28"/>
                <w:highlight w:val="none"/>
              </w:rPr>
            </w:pPr>
            <w:r>
              <w:rPr>
                <w:rFonts w:hint="eastAsia" w:ascii="仿宋" w:hAnsi="仿宋" w:eastAsia="仿宋" w:cs="仿宋"/>
                <w:kern w:val="0"/>
                <w:sz w:val="28"/>
                <w:szCs w:val="28"/>
                <w:highlight w:val="none"/>
              </w:rPr>
              <w:t>负压源压力过低，可能导致医用无菌注射针</w:t>
            </w:r>
            <w:r>
              <w:rPr>
                <w:rFonts w:hint="eastAsia" w:ascii="仿宋" w:hAnsi="仿宋" w:eastAsia="仿宋" w:cs="仿宋"/>
                <w:kern w:val="0"/>
                <w:sz w:val="28"/>
                <w:szCs w:val="28"/>
                <w:highlight w:val="none"/>
                <w:lang w:eastAsia="zh-CN"/>
              </w:rPr>
              <w:t>不能</w:t>
            </w:r>
            <w:r>
              <w:rPr>
                <w:rFonts w:hint="eastAsia" w:ascii="仿宋" w:hAnsi="仿宋" w:eastAsia="仿宋" w:cs="仿宋"/>
                <w:kern w:val="0"/>
                <w:sz w:val="28"/>
                <w:szCs w:val="28"/>
                <w:highlight w:val="none"/>
              </w:rPr>
              <w:t>透过人体皮肤层，不能达到治疗效果。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75"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restart"/>
            <w:tcBorders>
              <w:top w:val="nil"/>
            </w:tcBorders>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电磁能</w:t>
            </w:r>
          </w:p>
        </w:tc>
        <w:tc>
          <w:tcPr>
            <w:tcW w:w="6599" w:type="dxa"/>
            <w:vAlign w:val="center"/>
          </w:tcPr>
          <w:p>
            <w:pPr>
              <w:widowControl/>
              <w:spacing w:line="520" w:lineRule="exact"/>
              <w:ind w:firstLine="0" w:firstLineChars="0"/>
              <w:rPr>
                <w:rFonts w:ascii="仿宋" w:hAnsi="仿宋" w:eastAsia="仿宋" w:cs="仿宋"/>
                <w:kern w:val="0"/>
                <w:sz w:val="28"/>
                <w:szCs w:val="28"/>
                <w:highlight w:val="none"/>
              </w:rPr>
            </w:pPr>
            <w:r>
              <w:rPr>
                <w:rFonts w:hint="eastAsia" w:ascii="仿宋" w:hAnsi="仿宋" w:eastAsia="仿宋" w:cs="仿宋"/>
                <w:kern w:val="0"/>
                <w:sz w:val="28"/>
                <w:szCs w:val="28"/>
                <w:highlight w:val="none"/>
              </w:rPr>
              <w:t>对环境的电磁干扰超标，干扰其他设备正常工作。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7"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tcBorders>
              <w:top w:val="nil"/>
            </w:tcBorders>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widowControl/>
              <w:spacing w:line="520" w:lineRule="exact"/>
              <w:ind w:firstLine="0" w:firstLineChars="0"/>
              <w:rPr>
                <w:rFonts w:ascii="仿宋" w:hAnsi="仿宋" w:eastAsia="仿宋" w:cs="仿宋"/>
                <w:kern w:val="0"/>
                <w:sz w:val="28"/>
                <w:szCs w:val="28"/>
                <w:highlight w:val="none"/>
              </w:rPr>
            </w:pPr>
            <w:r>
              <w:rPr>
                <w:rFonts w:hint="eastAsia" w:ascii="仿宋" w:hAnsi="仿宋" w:eastAsia="仿宋" w:cs="仿宋"/>
                <w:kern w:val="0"/>
                <w:sz w:val="28"/>
                <w:szCs w:val="28"/>
                <w:highlight w:val="none"/>
              </w:rPr>
              <w:t>抗电磁干扰能力差，产品不能正常工作。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5"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声能</w:t>
            </w:r>
          </w:p>
        </w:tc>
        <w:tc>
          <w:tcPr>
            <w:tcW w:w="6599" w:type="dxa"/>
            <w:vAlign w:val="center"/>
          </w:tcPr>
          <w:p>
            <w:pPr>
              <w:widowControl/>
              <w:spacing w:line="520" w:lineRule="exact"/>
              <w:ind w:firstLine="0" w:firstLineChars="0"/>
              <w:rPr>
                <w:rFonts w:ascii="仿宋" w:hAnsi="仿宋" w:eastAsia="仿宋" w:cs="仿宋"/>
                <w:kern w:val="0"/>
                <w:sz w:val="28"/>
                <w:szCs w:val="28"/>
                <w:highlight w:val="none"/>
              </w:rPr>
            </w:pPr>
            <w:r>
              <w:rPr>
                <w:rFonts w:hint="eastAsia" w:ascii="仿宋" w:hAnsi="仿宋" w:eastAsia="仿宋" w:cs="仿宋"/>
                <w:kern w:val="0"/>
                <w:sz w:val="28"/>
                <w:szCs w:val="28"/>
                <w:highlight w:val="none"/>
              </w:rPr>
              <w:t>产品工作噪声过大，可能造成噪声污染。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9" w:hRule="atLeast"/>
          <w:jc w:val="center"/>
        </w:trPr>
        <w:tc>
          <w:tcPr>
            <w:tcW w:w="815" w:type="dxa"/>
            <w:vMerge w:val="restart"/>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生</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物</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学</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和</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化</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学</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危</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害</w:t>
            </w:r>
          </w:p>
        </w:tc>
        <w:tc>
          <w:tcPr>
            <w:tcW w:w="1434" w:type="dxa"/>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化学危害</w:t>
            </w:r>
          </w:p>
        </w:tc>
        <w:tc>
          <w:tcPr>
            <w:tcW w:w="6599" w:type="dxa"/>
            <w:vAlign w:val="center"/>
          </w:tcPr>
          <w:p>
            <w:pPr>
              <w:widowControl/>
              <w:spacing w:line="520" w:lineRule="exact"/>
              <w:ind w:firstLine="0" w:firstLineChars="0"/>
              <w:jc w:val="left"/>
              <w:rPr>
                <w:rFonts w:ascii="仿宋" w:hAnsi="仿宋" w:eastAsia="仿宋" w:cs="仿宋"/>
                <w:color w:val="000000"/>
                <w:kern w:val="0"/>
                <w:sz w:val="28"/>
                <w:szCs w:val="28"/>
                <w:highlight w:val="none"/>
              </w:rPr>
            </w:pPr>
            <w:r>
              <w:rPr>
                <w:rFonts w:hint="eastAsia" w:ascii="仿宋" w:hAnsi="仿宋" w:eastAsia="仿宋" w:cs="仿宋"/>
                <w:sz w:val="28"/>
                <w:szCs w:val="28"/>
                <w:highlight w:val="none"/>
              </w:rPr>
              <w:t>产品清洁或消毒不完全，可能会使操作者、患者皮肤感染，细菌、病毒等进入患者体内。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36"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restart"/>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生物相容性</w:t>
            </w:r>
          </w:p>
        </w:tc>
        <w:tc>
          <w:tcPr>
            <w:tcW w:w="6599" w:type="dxa"/>
            <w:vAlign w:val="center"/>
          </w:tcPr>
          <w:p>
            <w:pPr>
              <w:widowControl/>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配套使用的</w:t>
            </w:r>
            <w:r>
              <w:rPr>
                <w:rFonts w:hint="eastAsia" w:ascii="仿宋" w:hAnsi="仿宋" w:eastAsia="仿宋" w:cs="仿宋"/>
                <w:sz w:val="28"/>
                <w:szCs w:val="28"/>
                <w:highlight w:val="none"/>
              </w:rPr>
              <w:t>无菌注射器</w:t>
            </w:r>
            <w:r>
              <w:rPr>
                <w:rFonts w:hint="eastAsia" w:ascii="仿宋" w:hAnsi="仿宋" w:eastAsia="仿宋" w:cs="仿宋"/>
                <w:kern w:val="0"/>
                <w:sz w:val="28"/>
                <w:szCs w:val="28"/>
                <w:highlight w:val="none"/>
              </w:rPr>
              <w:t>不符合生物相容性要求，导致对患者的生物学危害。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22"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sz w:val="28"/>
                <w:szCs w:val="28"/>
                <w:highlight w:val="none"/>
              </w:rPr>
            </w:pPr>
          </w:p>
        </w:tc>
        <w:tc>
          <w:tcPr>
            <w:tcW w:w="6599" w:type="dxa"/>
            <w:vAlign w:val="center"/>
          </w:tcPr>
          <w:p>
            <w:pPr>
              <w:widowControl/>
              <w:spacing w:line="520" w:lineRule="exact"/>
              <w:ind w:firstLine="0" w:firstLineChars="0"/>
              <w:jc w:val="left"/>
              <w:rPr>
                <w:rFonts w:ascii="仿宋" w:hAnsi="仿宋" w:eastAsia="仿宋" w:cs="仿宋"/>
                <w:sz w:val="28"/>
                <w:szCs w:val="28"/>
                <w:highlight w:val="none"/>
              </w:rPr>
            </w:pPr>
            <w:r>
              <w:rPr>
                <w:rFonts w:hint="eastAsia" w:ascii="仿宋" w:hAnsi="仿宋" w:eastAsia="仿宋" w:cs="仿宋"/>
                <w:kern w:val="0"/>
                <w:sz w:val="28"/>
                <w:szCs w:val="28"/>
                <w:highlight w:val="none"/>
              </w:rPr>
              <w:t>配套使用的</w:t>
            </w:r>
            <w:r>
              <w:rPr>
                <w:rFonts w:hint="eastAsia" w:ascii="仿宋" w:hAnsi="仿宋" w:eastAsia="仿宋" w:cs="仿宋"/>
                <w:sz w:val="28"/>
                <w:szCs w:val="28"/>
                <w:highlight w:val="none"/>
              </w:rPr>
              <w:t>无菌注射器</w:t>
            </w:r>
            <w:r>
              <w:rPr>
                <w:rFonts w:hint="eastAsia" w:ascii="仿宋" w:hAnsi="仿宋" w:eastAsia="仿宋" w:cs="仿宋"/>
                <w:kern w:val="0"/>
                <w:sz w:val="28"/>
                <w:szCs w:val="28"/>
                <w:highlight w:val="none"/>
              </w:rPr>
              <w:t>有交叉使用或重复使用现象，导致对患者的生物学危害。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9" w:hRule="atLeast"/>
          <w:jc w:val="center"/>
        </w:trPr>
        <w:tc>
          <w:tcPr>
            <w:tcW w:w="815" w:type="dxa"/>
            <w:vMerge w:val="restart"/>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操</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作</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危</w:t>
            </w:r>
          </w:p>
          <w:p>
            <w:pPr>
              <w:widowControl/>
              <w:spacing w:line="520" w:lineRule="exact"/>
              <w:ind w:firstLine="0" w:firstLineChars="0"/>
              <w:jc w:val="center"/>
              <w:rPr>
                <w:rFonts w:ascii="仿宋" w:hAnsi="仿宋" w:eastAsia="仿宋" w:cs="仿宋"/>
                <w:color w:val="000000"/>
                <w:kern w:val="0"/>
                <w:sz w:val="28"/>
                <w:szCs w:val="28"/>
                <w:highlight w:val="none"/>
              </w:rPr>
            </w:pPr>
            <w:r>
              <w:rPr>
                <w:rFonts w:hint="eastAsia" w:ascii="仿宋" w:hAnsi="仿宋" w:eastAsia="仿宋" w:cs="仿宋"/>
                <w:kern w:val="0"/>
                <w:sz w:val="28"/>
                <w:szCs w:val="28"/>
                <w:highlight w:val="none"/>
              </w:rPr>
              <w:t>害</w:t>
            </w:r>
          </w:p>
        </w:tc>
        <w:tc>
          <w:tcPr>
            <w:tcW w:w="1434" w:type="dxa"/>
            <w:vMerge w:val="restart"/>
            <w:vAlign w:val="center"/>
          </w:tcPr>
          <w:p>
            <w:pPr>
              <w:widowControl/>
              <w:spacing w:line="520" w:lineRule="exact"/>
              <w:ind w:firstLine="0" w:firstLineChars="0"/>
              <w:jc w:val="center"/>
              <w:rPr>
                <w:rFonts w:ascii="仿宋" w:hAnsi="仿宋" w:eastAsia="仿宋" w:cs="仿宋"/>
                <w:color w:val="000000"/>
                <w:kern w:val="0"/>
                <w:sz w:val="28"/>
                <w:szCs w:val="28"/>
                <w:highlight w:val="none"/>
              </w:rPr>
            </w:pPr>
            <w:r>
              <w:rPr>
                <w:rFonts w:hint="eastAsia" w:ascii="仿宋" w:hAnsi="仿宋" w:eastAsia="仿宋" w:cs="仿宋"/>
                <w:kern w:val="0"/>
                <w:sz w:val="28"/>
                <w:szCs w:val="28"/>
                <w:highlight w:val="none"/>
              </w:rPr>
              <w:t>操作错误</w:t>
            </w: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选择的</w:t>
            </w:r>
            <w:r>
              <w:rPr>
                <w:rFonts w:hint="eastAsia" w:ascii="仿宋" w:hAnsi="仿宋" w:eastAsia="仿宋" w:cs="仿宋"/>
                <w:sz w:val="28"/>
                <w:szCs w:val="28"/>
                <w:highlight w:val="none"/>
              </w:rPr>
              <w:t>无菌注射器</w:t>
            </w:r>
            <w:r>
              <w:rPr>
                <w:rFonts w:hint="eastAsia" w:ascii="仿宋" w:hAnsi="仿宋" w:eastAsia="仿宋" w:cs="仿宋"/>
                <w:kern w:val="0"/>
                <w:sz w:val="28"/>
                <w:szCs w:val="28"/>
                <w:highlight w:val="none"/>
              </w:rPr>
              <w:t>品牌和类型与装置定标参数不匹配，导致剂量不准。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0"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widowControl/>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脚踏开关未正确使用，导致过量注射。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8"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widowControl/>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注射模式启动后未按要求关闭操作键，导致错误注射。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5"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对日常使用维护、校准规定的不明确、不适当，导致设备偏离正常使用状态。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9"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注射量或</w:t>
            </w:r>
            <w:r>
              <w:rPr>
                <w:rFonts w:hint="eastAsia" w:ascii="仿宋" w:hAnsi="仿宋" w:eastAsia="仿宋" w:cs="仿宋"/>
                <w:sz w:val="28"/>
                <w:szCs w:val="28"/>
                <w:highlight w:val="none"/>
              </w:rPr>
              <w:t>无菌注射器</w:t>
            </w:r>
            <w:r>
              <w:rPr>
                <w:rFonts w:hint="eastAsia" w:ascii="仿宋" w:hAnsi="仿宋" w:eastAsia="仿宋" w:cs="仿宋"/>
                <w:kern w:val="0"/>
                <w:sz w:val="28"/>
                <w:szCs w:val="28"/>
                <w:highlight w:val="none"/>
              </w:rPr>
              <w:t>种类选择错误，导致患者发生超/欠剂量危害。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6"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lang w:eastAsia="zh-CN"/>
              </w:rPr>
              <w:t>不</w:t>
            </w:r>
            <w:r>
              <w:rPr>
                <w:rFonts w:hint="eastAsia" w:ascii="仿宋" w:hAnsi="仿宋" w:eastAsia="仿宋" w:cs="仿宋"/>
                <w:kern w:val="0"/>
                <w:sz w:val="28"/>
                <w:szCs w:val="28"/>
                <w:highlight w:val="none"/>
              </w:rPr>
              <w:t>按规定条件使用，可能导致设备损坏或不能正常工作。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6"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Align w:val="center"/>
          </w:tcPr>
          <w:p>
            <w:pPr>
              <w:widowControl/>
              <w:spacing w:line="520" w:lineRule="exact"/>
              <w:ind w:firstLine="0" w:firstLineChars="0"/>
              <w:jc w:val="center"/>
              <w:rPr>
                <w:rFonts w:ascii="仿宋" w:hAnsi="仿宋" w:eastAsia="仿宋" w:cs="仿宋"/>
                <w:color w:val="000000"/>
                <w:kern w:val="0"/>
                <w:sz w:val="28"/>
                <w:szCs w:val="28"/>
                <w:highlight w:val="none"/>
              </w:rPr>
            </w:pPr>
            <w:r>
              <w:rPr>
                <w:rFonts w:hint="eastAsia" w:ascii="仿宋" w:hAnsi="仿宋" w:eastAsia="仿宋" w:cs="仿宋"/>
                <w:kern w:val="0"/>
                <w:sz w:val="28"/>
                <w:szCs w:val="28"/>
                <w:highlight w:val="none"/>
              </w:rPr>
              <w:t>功能的丧失或变坏</w:t>
            </w: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设备使用寿命规定不明确，设备主要</w:t>
            </w:r>
            <w:r>
              <w:rPr>
                <w:rFonts w:hint="eastAsia" w:ascii="仿宋" w:hAnsi="仿宋" w:eastAsia="仿宋" w:cs="仿宋"/>
                <w:kern w:val="0"/>
                <w:sz w:val="28"/>
                <w:szCs w:val="28"/>
                <w:highlight w:val="none"/>
                <w:lang w:val="en-US" w:eastAsia="zh-CN"/>
              </w:rPr>
              <w:t>元</w:t>
            </w:r>
            <w:r>
              <w:rPr>
                <w:rFonts w:hint="eastAsia" w:ascii="仿宋" w:hAnsi="仿宋" w:eastAsia="仿宋" w:cs="仿宋"/>
                <w:kern w:val="0"/>
                <w:sz w:val="28"/>
                <w:szCs w:val="28"/>
                <w:highlight w:val="none"/>
              </w:rPr>
              <w:t>件失效可能导致产品失控给患者造成危害。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6"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Align w:val="center"/>
          </w:tcPr>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错误的数据转换</w:t>
            </w: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注射器辅助助推装置速度与时间计算错误，导致注射</w:t>
            </w:r>
            <w:r>
              <w:rPr>
                <w:rFonts w:hint="eastAsia" w:ascii="仿宋" w:hAnsi="仿宋" w:eastAsia="仿宋" w:cs="仿宋"/>
                <w:kern w:val="0"/>
                <w:sz w:val="28"/>
                <w:szCs w:val="28"/>
                <w:highlight w:val="none"/>
                <w:lang w:eastAsia="zh-CN"/>
              </w:rPr>
              <w:t>透明质酸钠复合溶液</w:t>
            </w:r>
            <w:r>
              <w:rPr>
                <w:rFonts w:hint="eastAsia" w:ascii="仿宋" w:hAnsi="仿宋" w:eastAsia="仿宋" w:cs="仿宋"/>
                <w:kern w:val="0"/>
                <w:sz w:val="28"/>
                <w:szCs w:val="28"/>
                <w:highlight w:val="none"/>
              </w:rPr>
              <w:t>剂量不准。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59" w:hRule="atLeast"/>
          <w:jc w:val="center"/>
        </w:trPr>
        <w:tc>
          <w:tcPr>
            <w:tcW w:w="815" w:type="dxa"/>
            <w:vMerge w:val="restart"/>
            <w:vAlign w:val="center"/>
          </w:tcPr>
          <w:p>
            <w:pPr>
              <w:widowControl/>
              <w:spacing w:line="520" w:lineRule="exact"/>
              <w:ind w:firstLine="560"/>
              <w:jc w:val="center"/>
              <w:rPr>
                <w:rFonts w:ascii="仿宋" w:hAnsi="仿宋" w:eastAsia="仿宋" w:cs="仿宋"/>
                <w:color w:val="000000"/>
                <w:kern w:val="0"/>
                <w:sz w:val="28"/>
                <w:szCs w:val="28"/>
                <w:highlight w:val="none"/>
              </w:rPr>
            </w:pPr>
          </w:p>
          <w:p>
            <w:pPr>
              <w:widowControl/>
              <w:spacing w:line="520" w:lineRule="exact"/>
              <w:ind w:firstLine="560"/>
              <w:jc w:val="center"/>
              <w:rPr>
                <w:rFonts w:ascii="仿宋" w:hAnsi="仿宋" w:eastAsia="仿宋" w:cs="仿宋"/>
                <w:color w:val="000000"/>
                <w:kern w:val="0"/>
                <w:sz w:val="28"/>
                <w:szCs w:val="28"/>
                <w:highlight w:val="none"/>
              </w:rPr>
            </w:pP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信</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息</w:t>
            </w:r>
          </w:p>
          <w:p>
            <w:pPr>
              <w:widowControl/>
              <w:spacing w:line="520" w:lineRule="exact"/>
              <w:ind w:firstLine="0" w:firstLineChars="0"/>
              <w:jc w:val="center"/>
              <w:rPr>
                <w:rFonts w:ascii="仿宋" w:hAnsi="仿宋" w:eastAsia="仿宋" w:cs="仿宋"/>
                <w:kern w:val="0"/>
                <w:sz w:val="28"/>
                <w:szCs w:val="28"/>
                <w:highlight w:val="none"/>
              </w:rPr>
            </w:pPr>
            <w:r>
              <w:rPr>
                <w:rFonts w:hint="eastAsia" w:ascii="仿宋" w:hAnsi="仿宋" w:eastAsia="仿宋" w:cs="仿宋"/>
                <w:kern w:val="0"/>
                <w:sz w:val="28"/>
                <w:szCs w:val="28"/>
                <w:highlight w:val="none"/>
              </w:rPr>
              <w:t>危</w:t>
            </w:r>
          </w:p>
          <w:p>
            <w:pPr>
              <w:widowControl/>
              <w:spacing w:line="520" w:lineRule="exact"/>
              <w:ind w:firstLine="0" w:firstLineChars="0"/>
              <w:jc w:val="center"/>
              <w:rPr>
                <w:rFonts w:ascii="仿宋" w:hAnsi="仿宋" w:eastAsia="仿宋" w:cs="仿宋"/>
                <w:color w:val="000000"/>
                <w:kern w:val="0"/>
                <w:sz w:val="28"/>
                <w:szCs w:val="28"/>
                <w:highlight w:val="none"/>
              </w:rPr>
            </w:pPr>
            <w:r>
              <w:rPr>
                <w:rFonts w:hint="eastAsia" w:ascii="仿宋" w:hAnsi="仿宋" w:eastAsia="仿宋" w:cs="仿宋"/>
                <w:kern w:val="0"/>
                <w:sz w:val="28"/>
                <w:szCs w:val="28"/>
                <w:highlight w:val="none"/>
              </w:rPr>
              <w:t>害</w:t>
            </w:r>
          </w:p>
          <w:p>
            <w:pPr>
              <w:widowControl/>
              <w:spacing w:line="520" w:lineRule="exact"/>
              <w:ind w:firstLine="560"/>
              <w:jc w:val="center"/>
              <w:rPr>
                <w:rFonts w:ascii="仿宋" w:hAnsi="仿宋" w:eastAsia="仿宋" w:cs="仿宋"/>
                <w:color w:val="000000"/>
                <w:kern w:val="0"/>
                <w:sz w:val="28"/>
                <w:szCs w:val="28"/>
                <w:highlight w:val="none"/>
              </w:rPr>
            </w:pPr>
          </w:p>
          <w:p>
            <w:pPr>
              <w:widowControl/>
              <w:spacing w:line="520" w:lineRule="exact"/>
              <w:ind w:firstLine="560"/>
              <w:jc w:val="center"/>
              <w:rPr>
                <w:rFonts w:ascii="仿宋" w:hAnsi="仿宋" w:eastAsia="仿宋" w:cs="仿宋"/>
                <w:color w:val="000000"/>
                <w:kern w:val="0"/>
                <w:sz w:val="28"/>
                <w:szCs w:val="28"/>
                <w:highlight w:val="none"/>
              </w:rPr>
            </w:pPr>
          </w:p>
          <w:p>
            <w:pPr>
              <w:widowControl/>
              <w:spacing w:line="520" w:lineRule="exact"/>
              <w:ind w:firstLine="560"/>
              <w:jc w:val="center"/>
              <w:rPr>
                <w:rFonts w:ascii="仿宋" w:hAnsi="仿宋" w:eastAsia="仿宋" w:cs="仿宋"/>
                <w:color w:val="000000"/>
                <w:kern w:val="0"/>
                <w:sz w:val="28"/>
                <w:szCs w:val="28"/>
                <w:highlight w:val="none"/>
              </w:rPr>
            </w:pPr>
          </w:p>
        </w:tc>
        <w:tc>
          <w:tcPr>
            <w:tcW w:w="1434" w:type="dxa"/>
            <w:vAlign w:val="center"/>
          </w:tcPr>
          <w:p>
            <w:pPr>
              <w:widowControl/>
              <w:spacing w:line="520" w:lineRule="exact"/>
              <w:ind w:firstLine="0" w:firstLineChars="0"/>
              <w:jc w:val="center"/>
              <w:rPr>
                <w:rFonts w:ascii="仿宋" w:hAnsi="仿宋" w:eastAsia="仿宋" w:cs="仿宋"/>
                <w:color w:val="000000"/>
                <w:kern w:val="0"/>
                <w:sz w:val="28"/>
                <w:szCs w:val="28"/>
                <w:highlight w:val="none"/>
              </w:rPr>
            </w:pPr>
            <w:r>
              <w:rPr>
                <w:rFonts w:hint="eastAsia" w:ascii="仿宋" w:hAnsi="仿宋" w:eastAsia="仿宋" w:cs="仿宋"/>
                <w:sz w:val="28"/>
                <w:szCs w:val="28"/>
                <w:highlight w:val="none"/>
              </w:rPr>
              <w:t>不适当的标记</w:t>
            </w: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sz w:val="28"/>
                <w:szCs w:val="28"/>
                <w:highlight w:val="none"/>
              </w:rPr>
              <w:t>标记缺少或不正确，标记的位置不正确，不能被正确地识别，不能永久贴牢和清楚易认等。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09"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Align w:val="center"/>
          </w:tcPr>
          <w:p>
            <w:pPr>
              <w:widowControl/>
              <w:spacing w:line="520" w:lineRule="exact"/>
              <w:ind w:firstLine="0" w:firstLineChars="0"/>
              <w:jc w:val="center"/>
              <w:rPr>
                <w:rFonts w:ascii="仿宋" w:hAnsi="仿宋" w:eastAsia="仿宋" w:cs="仿宋"/>
                <w:color w:val="000000"/>
                <w:kern w:val="0"/>
                <w:sz w:val="28"/>
                <w:szCs w:val="28"/>
                <w:highlight w:val="none"/>
              </w:rPr>
            </w:pPr>
            <w:r>
              <w:rPr>
                <w:rFonts w:hint="eastAsia" w:ascii="仿宋" w:hAnsi="仿宋" w:eastAsia="仿宋" w:cs="仿宋"/>
                <w:sz w:val="28"/>
                <w:szCs w:val="28"/>
                <w:highlight w:val="none"/>
              </w:rPr>
              <w:t>不完整的说明书</w:t>
            </w: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sz w:val="28"/>
                <w:szCs w:val="28"/>
                <w:highlight w:val="none"/>
              </w:rPr>
              <w:t>说明书中对产品性能特征、预期用途、使用限制等描述不规范、不完整，导致产品的非预期或超范围使用。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restart"/>
            <w:vAlign w:val="center"/>
          </w:tcPr>
          <w:p>
            <w:pPr>
              <w:widowControl/>
              <w:spacing w:line="520" w:lineRule="exact"/>
              <w:ind w:firstLine="0" w:firstLineChars="0"/>
              <w:jc w:val="center"/>
              <w:rPr>
                <w:rFonts w:ascii="仿宋" w:hAnsi="仿宋" w:eastAsia="仿宋" w:cs="仿宋"/>
                <w:color w:val="000000"/>
                <w:kern w:val="0"/>
                <w:sz w:val="28"/>
                <w:szCs w:val="28"/>
                <w:highlight w:val="none"/>
              </w:rPr>
            </w:pPr>
            <w:r>
              <w:rPr>
                <w:rFonts w:hint="eastAsia" w:ascii="仿宋" w:hAnsi="仿宋" w:eastAsia="仿宋" w:cs="仿宋"/>
                <w:sz w:val="28"/>
                <w:szCs w:val="28"/>
                <w:highlight w:val="none"/>
              </w:rPr>
              <w:t>不适当的操作说明</w:t>
            </w: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和设备一起使用的附件规范不适当，选用的附件规格、尺寸不符，导致剂量及速度不准。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4"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sz w:val="28"/>
                <w:szCs w:val="28"/>
                <w:highlight w:val="none"/>
              </w:rPr>
            </w:pP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设备日常维护方法、校准周期和校准方法规定不明确，导致产品偏离正常工作状态。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3"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sz w:val="28"/>
                <w:szCs w:val="28"/>
                <w:highlight w:val="none"/>
              </w:rPr>
            </w:pP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过于复杂的操作说明。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07" w:hRule="atLeast"/>
          <w:jc w:val="center"/>
        </w:trPr>
        <w:tc>
          <w:tcPr>
            <w:tcW w:w="815" w:type="dxa"/>
            <w:vMerge w:val="continue"/>
            <w:vAlign w:val="center"/>
          </w:tcPr>
          <w:p>
            <w:pPr>
              <w:widowControl/>
              <w:spacing w:line="520" w:lineRule="exact"/>
              <w:ind w:firstLine="560"/>
              <w:jc w:val="center"/>
              <w:rPr>
                <w:rFonts w:ascii="仿宋" w:hAnsi="仿宋" w:eastAsia="仿宋" w:cs="仿宋"/>
                <w:color w:val="000000"/>
                <w:kern w:val="0"/>
                <w:sz w:val="28"/>
                <w:szCs w:val="28"/>
                <w:highlight w:val="none"/>
              </w:rPr>
            </w:pPr>
          </w:p>
        </w:tc>
        <w:tc>
          <w:tcPr>
            <w:tcW w:w="1434" w:type="dxa"/>
            <w:vMerge w:val="continue"/>
            <w:vAlign w:val="center"/>
          </w:tcPr>
          <w:p>
            <w:pPr>
              <w:widowControl/>
              <w:spacing w:line="520" w:lineRule="exact"/>
              <w:ind w:firstLine="560"/>
              <w:jc w:val="center"/>
              <w:rPr>
                <w:rFonts w:ascii="仿宋" w:hAnsi="仿宋" w:eastAsia="仿宋" w:cs="仿宋"/>
                <w:sz w:val="28"/>
                <w:szCs w:val="28"/>
                <w:highlight w:val="none"/>
              </w:rPr>
            </w:pPr>
          </w:p>
        </w:tc>
        <w:tc>
          <w:tcPr>
            <w:tcW w:w="6599" w:type="dxa"/>
            <w:vAlign w:val="center"/>
          </w:tcPr>
          <w:p>
            <w:pPr>
              <w:spacing w:line="520" w:lineRule="exact"/>
              <w:ind w:firstLine="0" w:firstLineChars="0"/>
              <w:jc w:val="left"/>
              <w:rPr>
                <w:rFonts w:ascii="仿宋" w:hAnsi="仿宋" w:eastAsia="仿宋" w:cs="仿宋"/>
                <w:kern w:val="0"/>
                <w:sz w:val="28"/>
                <w:szCs w:val="28"/>
                <w:highlight w:val="none"/>
              </w:rPr>
            </w:pPr>
            <w:r>
              <w:rPr>
                <w:rFonts w:hint="eastAsia" w:ascii="仿宋" w:hAnsi="仿宋" w:eastAsia="仿宋" w:cs="仿宋"/>
                <w:kern w:val="0"/>
                <w:sz w:val="28"/>
                <w:szCs w:val="28"/>
                <w:highlight w:val="none"/>
              </w:rPr>
              <w:t>运输、储存环境条件规定不明确，可能导致设备损坏或不能正常工作。</w:t>
            </w:r>
          </w:p>
        </w:tc>
      </w:tr>
    </w:tbl>
    <w:p>
      <w:pPr>
        <w:spacing w:line="530" w:lineRule="exact"/>
        <w:ind w:firstLine="640"/>
        <w:rPr>
          <w:szCs w:val="32"/>
          <w:highlight w:val="none"/>
        </w:rPr>
      </w:pPr>
      <w:r>
        <w:rPr>
          <w:rFonts w:hint="eastAsia"/>
          <w:szCs w:val="32"/>
          <w:highlight w:val="none"/>
        </w:rPr>
        <w:t>2.医疗器械安全和性能基本原则清单</w:t>
      </w:r>
    </w:p>
    <w:p>
      <w:pPr>
        <w:spacing w:line="530" w:lineRule="exact"/>
        <w:ind w:firstLine="640"/>
        <w:rPr>
          <w:szCs w:val="32"/>
          <w:highlight w:val="none"/>
        </w:rPr>
      </w:pPr>
      <w:r>
        <w:rPr>
          <w:rFonts w:hint="eastAsia"/>
          <w:szCs w:val="32"/>
          <w:highlight w:val="none"/>
        </w:rPr>
        <w:t>应根据产品特征提交《医疗器械安全和性能基本原则清单》。</w:t>
      </w:r>
    </w:p>
    <w:p>
      <w:pPr>
        <w:spacing w:line="530" w:lineRule="exact"/>
        <w:ind w:firstLine="640"/>
        <w:rPr>
          <w:szCs w:val="32"/>
          <w:highlight w:val="none"/>
        </w:rPr>
      </w:pPr>
      <w:r>
        <w:rPr>
          <w:rFonts w:hint="eastAsia"/>
          <w:szCs w:val="32"/>
          <w:highlight w:val="none"/>
        </w:rPr>
        <w:t>3.产品技术要求</w:t>
      </w:r>
    </w:p>
    <w:p>
      <w:pPr>
        <w:spacing w:line="530" w:lineRule="exact"/>
        <w:ind w:firstLine="640"/>
        <w:rPr>
          <w:szCs w:val="32"/>
          <w:highlight w:val="none"/>
        </w:rPr>
      </w:pPr>
      <w:r>
        <w:rPr>
          <w:rFonts w:hint="eastAsia"/>
          <w:szCs w:val="32"/>
          <w:highlight w:val="none"/>
        </w:rPr>
        <w:t>注册申请人应按照《医疗器械产品技术要求编写指导原则》编写产品技术要求，结合申报产品的特点设置条款。</w:t>
      </w:r>
    </w:p>
    <w:p>
      <w:pPr>
        <w:spacing w:line="530" w:lineRule="exact"/>
        <w:ind w:firstLine="640"/>
        <w:rPr>
          <w:szCs w:val="32"/>
          <w:highlight w:val="none"/>
        </w:rPr>
      </w:pPr>
      <w:r>
        <w:rPr>
          <w:rFonts w:hint="eastAsia"/>
          <w:szCs w:val="32"/>
          <w:highlight w:val="none"/>
        </w:rPr>
        <w:t>3.1产品型号/规格及其划分说明</w:t>
      </w:r>
    </w:p>
    <w:p>
      <w:pPr>
        <w:spacing w:line="530" w:lineRule="exact"/>
        <w:ind w:firstLine="640"/>
        <w:rPr>
          <w:szCs w:val="32"/>
          <w:highlight w:val="none"/>
        </w:rPr>
      </w:pPr>
      <w:r>
        <w:rPr>
          <w:rFonts w:hint="eastAsia"/>
          <w:szCs w:val="32"/>
          <w:highlight w:val="none"/>
        </w:rPr>
        <w:t>申请人需给出产品型号，明确各型号主机的全部区别。应提供主机的图示，体现主要部件和接口信息。以上内容可体现在产品技术要求附录中。若含有内部电池，应给出电池的类型、容量、电压。</w:t>
      </w:r>
    </w:p>
    <w:p>
      <w:pPr>
        <w:spacing w:line="530" w:lineRule="exact"/>
        <w:ind w:firstLine="640"/>
        <w:rPr>
          <w:szCs w:val="32"/>
          <w:highlight w:val="none"/>
        </w:rPr>
      </w:pPr>
      <w:r>
        <w:rPr>
          <w:rFonts w:hint="eastAsia"/>
          <w:szCs w:val="32"/>
          <w:highlight w:val="none"/>
        </w:rPr>
        <w:t>需要明确软件组件的名称、软件发布版本、软件完整版本命名规则。</w:t>
      </w:r>
    </w:p>
    <w:p>
      <w:pPr>
        <w:spacing w:line="530" w:lineRule="exact"/>
        <w:ind w:firstLine="640"/>
        <w:rPr>
          <w:szCs w:val="32"/>
          <w:highlight w:val="none"/>
        </w:rPr>
      </w:pPr>
      <w:r>
        <w:rPr>
          <w:rFonts w:hint="eastAsia"/>
          <w:szCs w:val="32"/>
          <w:highlight w:val="none"/>
        </w:rPr>
        <w:t>3.2主要性能指标要求</w:t>
      </w:r>
    </w:p>
    <w:p>
      <w:pPr>
        <w:spacing w:line="530" w:lineRule="exact"/>
        <w:ind w:firstLine="640"/>
        <w:rPr>
          <w:szCs w:val="32"/>
          <w:highlight w:val="none"/>
        </w:rPr>
      </w:pPr>
      <w:r>
        <w:rPr>
          <w:rFonts w:hint="eastAsia"/>
          <w:szCs w:val="32"/>
          <w:highlight w:val="none"/>
        </w:rPr>
        <w:t>不同的注射器辅助助推装置其结构设计要求会有所区别。本指导原则列出此类产品可能涉及的重要性能参数，注册申请人可根据自身产品的技术特点制定性能指标的具体要求。</w:t>
      </w:r>
    </w:p>
    <w:p>
      <w:pPr>
        <w:spacing w:line="530" w:lineRule="exact"/>
        <w:ind w:firstLine="640"/>
        <w:rPr>
          <w:szCs w:val="32"/>
          <w:highlight w:val="none"/>
        </w:rPr>
      </w:pPr>
      <w:r>
        <w:rPr>
          <w:szCs w:val="32"/>
          <w:highlight w:val="none"/>
        </w:rPr>
        <w:t>3.2.</w:t>
      </w:r>
      <w:r>
        <w:rPr>
          <w:rFonts w:hint="eastAsia"/>
          <w:szCs w:val="32"/>
          <w:highlight w:val="none"/>
          <w:lang w:val="en-US" w:eastAsia="zh-CN"/>
        </w:rPr>
        <w:t>1</w:t>
      </w:r>
      <w:r>
        <w:rPr>
          <w:szCs w:val="32"/>
          <w:highlight w:val="none"/>
        </w:rPr>
        <w:t>噪声：装置的噪声不大于6</w:t>
      </w:r>
      <w:r>
        <w:rPr>
          <w:rFonts w:hint="eastAsia"/>
          <w:szCs w:val="32"/>
          <w:highlight w:val="none"/>
        </w:rPr>
        <w:t>5</w:t>
      </w:r>
      <w:r>
        <w:rPr>
          <w:szCs w:val="32"/>
          <w:highlight w:val="none"/>
        </w:rPr>
        <w:t>dB。</w:t>
      </w:r>
    </w:p>
    <w:p>
      <w:pPr>
        <w:spacing w:line="530" w:lineRule="exact"/>
        <w:ind w:firstLine="640"/>
        <w:rPr>
          <w:szCs w:val="32"/>
          <w:highlight w:val="none"/>
        </w:rPr>
      </w:pPr>
      <w:r>
        <w:rPr>
          <w:szCs w:val="32"/>
          <w:highlight w:val="none"/>
        </w:rPr>
        <w:t>3.2.</w:t>
      </w:r>
      <w:r>
        <w:rPr>
          <w:rFonts w:hint="eastAsia"/>
          <w:szCs w:val="32"/>
          <w:highlight w:val="none"/>
          <w:lang w:val="en-US" w:eastAsia="zh-CN"/>
        </w:rPr>
        <w:t>2</w:t>
      </w:r>
      <w:r>
        <w:rPr>
          <w:rFonts w:hint="eastAsia"/>
          <w:szCs w:val="32"/>
          <w:highlight w:val="none"/>
        </w:rPr>
        <w:t>若</w:t>
      </w:r>
      <w:r>
        <w:rPr>
          <w:szCs w:val="32"/>
          <w:highlight w:val="none"/>
        </w:rPr>
        <w:t>采用电池供电的产品应明确续航时间等</w:t>
      </w:r>
      <w:r>
        <w:rPr>
          <w:rFonts w:hint="eastAsia"/>
          <w:szCs w:val="32"/>
          <w:highlight w:val="none"/>
        </w:rPr>
        <w:t>。</w:t>
      </w:r>
    </w:p>
    <w:p>
      <w:pPr>
        <w:spacing w:line="530" w:lineRule="exact"/>
        <w:ind w:firstLine="640"/>
        <w:rPr>
          <w:szCs w:val="32"/>
          <w:highlight w:val="none"/>
        </w:rPr>
      </w:pPr>
      <w:r>
        <w:rPr>
          <w:szCs w:val="32"/>
          <w:highlight w:val="none"/>
        </w:rPr>
        <w:t>3.2.</w:t>
      </w:r>
      <w:r>
        <w:rPr>
          <w:rFonts w:hint="eastAsia"/>
          <w:szCs w:val="32"/>
          <w:highlight w:val="none"/>
          <w:lang w:val="en-US" w:eastAsia="zh-CN"/>
        </w:rPr>
        <w:t>3</w:t>
      </w:r>
      <w:r>
        <w:rPr>
          <w:rFonts w:hint="eastAsia"/>
          <w:szCs w:val="32"/>
          <w:highlight w:val="none"/>
        </w:rPr>
        <w:t>无菌注射器类型与预设值参数（如：针数范围、单针注入量等）。</w:t>
      </w:r>
    </w:p>
    <w:p>
      <w:pPr>
        <w:spacing w:line="530" w:lineRule="exact"/>
        <w:ind w:firstLine="640"/>
        <w:rPr>
          <w:szCs w:val="32"/>
          <w:highlight w:val="none"/>
        </w:rPr>
      </w:pPr>
      <w:r>
        <w:rPr>
          <w:szCs w:val="32"/>
          <w:highlight w:val="none"/>
        </w:rPr>
        <w:t>3.2.</w:t>
      </w:r>
      <w:r>
        <w:rPr>
          <w:rFonts w:hint="eastAsia"/>
          <w:szCs w:val="32"/>
          <w:highlight w:val="none"/>
          <w:lang w:val="en-US" w:eastAsia="zh-CN"/>
        </w:rPr>
        <w:t>4</w:t>
      </w:r>
      <w:r>
        <w:rPr>
          <w:rFonts w:hint="eastAsia"/>
          <w:szCs w:val="32"/>
          <w:highlight w:val="none"/>
        </w:rPr>
        <w:t>单</w:t>
      </w:r>
      <w:r>
        <w:rPr>
          <w:rFonts w:hint="eastAsia"/>
          <w:szCs w:val="32"/>
          <w:highlight w:val="none"/>
          <w:lang w:eastAsia="zh-CN"/>
        </w:rPr>
        <w:t>次</w:t>
      </w:r>
      <w:r>
        <w:rPr>
          <w:rFonts w:hint="eastAsia"/>
          <w:szCs w:val="32"/>
          <w:highlight w:val="none"/>
        </w:rPr>
        <w:t>注射量准确度</w:t>
      </w:r>
      <w:r>
        <w:rPr>
          <w:rFonts w:hint="eastAsia"/>
          <w:szCs w:val="32"/>
          <w:highlight w:val="none"/>
        </w:rPr>
        <w:t>。</w:t>
      </w:r>
    </w:p>
    <w:p>
      <w:pPr>
        <w:spacing w:line="530" w:lineRule="exact"/>
        <w:ind w:firstLine="640"/>
        <w:rPr>
          <w:rFonts w:hint="eastAsia"/>
          <w:szCs w:val="32"/>
          <w:highlight w:val="none"/>
        </w:rPr>
      </w:pPr>
      <w:r>
        <w:rPr>
          <w:szCs w:val="32"/>
          <w:highlight w:val="none"/>
        </w:rPr>
        <w:t>3.2.</w:t>
      </w:r>
      <w:r>
        <w:rPr>
          <w:rFonts w:hint="eastAsia"/>
          <w:szCs w:val="32"/>
          <w:highlight w:val="none"/>
          <w:lang w:val="en-US" w:eastAsia="zh-CN"/>
        </w:rPr>
        <w:t>5</w:t>
      </w:r>
      <w:r>
        <w:rPr>
          <w:rFonts w:hint="eastAsia"/>
          <w:szCs w:val="32"/>
          <w:highlight w:val="none"/>
        </w:rPr>
        <w:t>预置注射速度与准确度。</w:t>
      </w:r>
    </w:p>
    <w:p>
      <w:pPr>
        <w:spacing w:line="530" w:lineRule="exact"/>
        <w:ind w:firstLine="640"/>
        <w:rPr>
          <w:rFonts w:hint="default" w:eastAsia="仿宋_GB2312"/>
          <w:szCs w:val="32"/>
          <w:highlight w:val="none"/>
          <w:lang w:val="en-US" w:eastAsia="zh-CN"/>
        </w:rPr>
      </w:pPr>
      <w:r>
        <w:rPr>
          <w:rFonts w:hint="eastAsia"/>
          <w:szCs w:val="32"/>
          <w:highlight w:val="none"/>
          <w:lang w:val="en-US" w:eastAsia="zh-CN"/>
        </w:rPr>
        <w:t>3.2.6输注总量设置范围：明确最小和最大的输注量，并应能在注射过程中随时反映当前的注射量。</w:t>
      </w:r>
    </w:p>
    <w:p>
      <w:pPr>
        <w:spacing w:line="530" w:lineRule="exact"/>
        <w:ind w:firstLine="640"/>
        <w:rPr>
          <w:szCs w:val="32"/>
          <w:highlight w:val="none"/>
        </w:rPr>
      </w:pPr>
      <w:r>
        <w:rPr>
          <w:szCs w:val="32"/>
          <w:highlight w:val="none"/>
        </w:rPr>
        <w:t>3.2.</w:t>
      </w:r>
      <w:r>
        <w:rPr>
          <w:rFonts w:hint="eastAsia"/>
          <w:szCs w:val="32"/>
          <w:highlight w:val="none"/>
          <w:lang w:val="en-US" w:eastAsia="zh-CN"/>
        </w:rPr>
        <w:t>7</w:t>
      </w:r>
      <w:r>
        <w:rPr>
          <w:rFonts w:hint="eastAsia"/>
          <w:szCs w:val="32"/>
          <w:highlight w:val="none"/>
        </w:rPr>
        <w:t>负压强度和暂停时间，具有多档位应明确对应值</w:t>
      </w:r>
    </w:p>
    <w:p>
      <w:pPr>
        <w:spacing w:line="530" w:lineRule="exact"/>
        <w:ind w:firstLine="640"/>
        <w:rPr>
          <w:szCs w:val="32"/>
          <w:highlight w:val="none"/>
        </w:rPr>
      </w:pPr>
      <w:r>
        <w:rPr>
          <w:rFonts w:hint="eastAsia"/>
          <w:szCs w:val="32"/>
          <w:highlight w:val="none"/>
        </w:rPr>
        <w:t>3.2.</w:t>
      </w:r>
      <w:r>
        <w:rPr>
          <w:rFonts w:hint="eastAsia"/>
          <w:szCs w:val="32"/>
          <w:highlight w:val="none"/>
          <w:lang w:val="en-US" w:eastAsia="zh-CN"/>
        </w:rPr>
        <w:t>8</w:t>
      </w:r>
      <w:r>
        <w:rPr>
          <w:rFonts w:hint="eastAsia"/>
          <w:szCs w:val="32"/>
          <w:highlight w:val="none"/>
        </w:rPr>
        <w:t>（如适用）监测、报警性能：阻塞报警性能、其他报警清单和报警性能。</w:t>
      </w:r>
    </w:p>
    <w:p>
      <w:pPr>
        <w:spacing w:line="530" w:lineRule="exact"/>
        <w:ind w:firstLine="640"/>
        <w:rPr>
          <w:szCs w:val="32"/>
          <w:highlight w:val="none"/>
        </w:rPr>
      </w:pPr>
      <w:r>
        <w:rPr>
          <w:rFonts w:hint="eastAsia"/>
          <w:szCs w:val="32"/>
          <w:highlight w:val="none"/>
        </w:rPr>
        <w:t>3.2.</w:t>
      </w:r>
      <w:r>
        <w:rPr>
          <w:rFonts w:hint="eastAsia"/>
          <w:szCs w:val="32"/>
          <w:highlight w:val="none"/>
          <w:lang w:val="en-US" w:eastAsia="zh-CN"/>
        </w:rPr>
        <w:t>9</w:t>
      </w:r>
      <w:r>
        <w:rPr>
          <w:rFonts w:hint="eastAsia"/>
          <w:szCs w:val="32"/>
          <w:highlight w:val="none"/>
        </w:rPr>
        <w:t>除以上性能指标外还应给出产品的软件性能和网络</w:t>
      </w:r>
      <w:r>
        <w:rPr>
          <w:rFonts w:hint="eastAsia"/>
          <w:szCs w:val="32"/>
          <w:highlight w:val="none"/>
          <w:lang w:eastAsia="zh-CN"/>
        </w:rPr>
        <w:t>安全</w:t>
      </w:r>
      <w:r>
        <w:rPr>
          <w:rFonts w:hint="eastAsia"/>
          <w:szCs w:val="32"/>
          <w:highlight w:val="none"/>
        </w:rPr>
        <w:t>要求，如软件功能、使用限制、接口、访问控制等。</w:t>
      </w:r>
    </w:p>
    <w:p>
      <w:pPr>
        <w:spacing w:line="530" w:lineRule="exact"/>
        <w:ind w:firstLine="640"/>
        <w:rPr>
          <w:rFonts w:hint="eastAsia"/>
          <w:szCs w:val="32"/>
          <w:highlight w:val="none"/>
        </w:rPr>
      </w:pPr>
      <w:r>
        <w:rPr>
          <w:rFonts w:hint="eastAsia"/>
          <w:szCs w:val="32"/>
          <w:highlight w:val="none"/>
        </w:rPr>
        <w:t>3.2.1</w:t>
      </w:r>
      <w:r>
        <w:rPr>
          <w:rFonts w:hint="eastAsia"/>
          <w:szCs w:val="32"/>
          <w:highlight w:val="none"/>
          <w:lang w:val="en-US" w:eastAsia="zh-CN"/>
        </w:rPr>
        <w:t>0</w:t>
      </w:r>
      <w:r>
        <w:rPr>
          <w:rFonts w:hint="eastAsia"/>
          <w:szCs w:val="32"/>
          <w:highlight w:val="none"/>
        </w:rPr>
        <w:t>若产品含有脚踏开关，应给出脚踏开关的要求，可参考YY/T 1057。</w:t>
      </w:r>
    </w:p>
    <w:p>
      <w:pPr>
        <w:spacing w:line="530" w:lineRule="exact"/>
        <w:ind w:firstLine="640"/>
        <w:rPr>
          <w:rFonts w:hint="eastAsia"/>
          <w:szCs w:val="32"/>
          <w:highlight w:val="none"/>
        </w:rPr>
      </w:pPr>
      <w:r>
        <w:rPr>
          <w:rFonts w:hint="eastAsia"/>
          <w:szCs w:val="32"/>
          <w:highlight w:val="none"/>
        </w:rPr>
        <w:t>3.</w:t>
      </w:r>
      <w:r>
        <w:rPr>
          <w:rFonts w:hint="eastAsia"/>
          <w:szCs w:val="32"/>
          <w:highlight w:val="none"/>
          <w:lang w:val="en-US" w:eastAsia="zh-CN"/>
        </w:rPr>
        <w:t>2</w:t>
      </w:r>
      <w:r>
        <w:rPr>
          <w:rFonts w:hint="eastAsia"/>
          <w:szCs w:val="32"/>
          <w:highlight w:val="none"/>
        </w:rPr>
        <w:t>.1</w:t>
      </w:r>
      <w:r>
        <w:rPr>
          <w:rFonts w:hint="eastAsia"/>
          <w:szCs w:val="32"/>
          <w:highlight w:val="none"/>
          <w:lang w:val="en-US" w:eastAsia="zh-CN"/>
        </w:rPr>
        <w:t>1</w:t>
      </w:r>
      <w:r>
        <w:rPr>
          <w:rFonts w:hint="eastAsia"/>
          <w:szCs w:val="32"/>
          <w:highlight w:val="none"/>
        </w:rPr>
        <w:t>推荐使用</w:t>
      </w:r>
      <w:r>
        <w:rPr>
          <w:rFonts w:hint="eastAsia"/>
          <w:szCs w:val="32"/>
          <w:highlight w:val="none"/>
          <w:lang w:eastAsia="zh-CN"/>
        </w:rPr>
        <w:t>注射器</w:t>
      </w:r>
      <w:r>
        <w:rPr>
          <w:rFonts w:hint="eastAsia"/>
          <w:szCs w:val="32"/>
          <w:highlight w:val="none"/>
        </w:rPr>
        <w:t>的清单，明确生产厂家、规格型号。</w:t>
      </w:r>
    </w:p>
    <w:p>
      <w:pPr>
        <w:spacing w:line="530" w:lineRule="exact"/>
        <w:ind w:firstLine="640"/>
        <w:rPr>
          <w:rFonts w:hint="eastAsia"/>
          <w:szCs w:val="32"/>
          <w:highlight w:val="none"/>
        </w:rPr>
      </w:pPr>
      <w:r>
        <w:rPr>
          <w:rFonts w:hint="eastAsia"/>
          <w:szCs w:val="32"/>
          <w:highlight w:val="none"/>
        </w:rPr>
        <w:t>安全性应满足GB 9706.1《医用电气设备 第一部分：安全通用要求》、</w:t>
      </w:r>
      <w:r>
        <w:rPr>
          <w:rFonts w:hint="eastAsia"/>
          <w:szCs w:val="32"/>
          <w:highlight w:val="none"/>
          <w:lang w:val="en-US" w:eastAsia="zh-CN"/>
        </w:rPr>
        <w:t>YY</w:t>
      </w:r>
      <w:r>
        <w:rPr>
          <w:rFonts w:hint="eastAsia"/>
          <w:szCs w:val="32"/>
          <w:highlight w:val="none"/>
        </w:rPr>
        <w:t xml:space="preserve"> 9706.102《医用电气设备 第1-2部分：基本安全和基本性能的通用要求 并列标准：电磁兼容 要求和试验》的要求、YY 9706.108-2021《医用电气设备 第1-8部分：基本安全和基本性能的通用要求 并列标准：通用要求,医用电气设备和医用电气系统中报警系统的测试和指南》（如适用）。</w:t>
      </w:r>
    </w:p>
    <w:p>
      <w:pPr>
        <w:spacing w:line="530" w:lineRule="exact"/>
        <w:ind w:firstLine="640"/>
        <w:rPr>
          <w:rFonts w:hint="eastAsia"/>
          <w:szCs w:val="32"/>
          <w:highlight w:val="none"/>
        </w:rPr>
      </w:pPr>
      <w:r>
        <w:rPr>
          <w:rFonts w:hint="eastAsia"/>
          <w:szCs w:val="32"/>
          <w:highlight w:val="none"/>
        </w:rPr>
        <w:t>3.</w:t>
      </w:r>
      <w:r>
        <w:rPr>
          <w:rFonts w:hint="eastAsia"/>
          <w:szCs w:val="32"/>
          <w:highlight w:val="none"/>
          <w:lang w:val="en-US" w:eastAsia="zh-CN"/>
        </w:rPr>
        <w:t>3</w:t>
      </w:r>
      <w:r>
        <w:rPr>
          <w:rFonts w:hint="eastAsia"/>
          <w:szCs w:val="32"/>
          <w:highlight w:val="none"/>
        </w:rPr>
        <w:t>检验方法</w:t>
      </w:r>
    </w:p>
    <w:p>
      <w:pPr>
        <w:spacing w:line="530" w:lineRule="exact"/>
        <w:ind w:firstLine="640"/>
        <w:rPr>
          <w:rFonts w:hint="eastAsia"/>
          <w:szCs w:val="32"/>
          <w:highlight w:val="none"/>
        </w:rPr>
      </w:pPr>
      <w:r>
        <w:rPr>
          <w:rFonts w:hint="eastAsia"/>
          <w:szCs w:val="32"/>
          <w:highlight w:val="none"/>
        </w:rPr>
        <w:t>申请人应根据产品技术特点</w:t>
      </w:r>
      <w:r>
        <w:rPr>
          <w:rFonts w:hint="eastAsia"/>
          <w:szCs w:val="32"/>
          <w:highlight w:val="none"/>
          <w:lang w:eastAsia="zh-CN"/>
        </w:rPr>
        <w:t>，</w:t>
      </w:r>
      <w:r>
        <w:rPr>
          <w:rFonts w:hint="eastAsia"/>
          <w:szCs w:val="32"/>
          <w:highlight w:val="none"/>
        </w:rPr>
        <w:t>参考相关标准制定产品性能指标的试验条件</w:t>
      </w:r>
      <w:r>
        <w:rPr>
          <w:rFonts w:hint="eastAsia"/>
          <w:szCs w:val="32"/>
          <w:highlight w:val="none"/>
          <w:lang w:eastAsia="zh-CN"/>
        </w:rPr>
        <w:t>和</w:t>
      </w:r>
      <w:r>
        <w:rPr>
          <w:rFonts w:hint="eastAsia"/>
          <w:szCs w:val="32"/>
          <w:highlight w:val="none"/>
        </w:rPr>
        <w:t>检验方法。如直接引用标准，需注明引用标准的编号、年代号及条款号。</w:t>
      </w:r>
    </w:p>
    <w:p>
      <w:pPr>
        <w:spacing w:line="530" w:lineRule="exact"/>
        <w:ind w:firstLine="640"/>
        <w:rPr>
          <w:szCs w:val="32"/>
          <w:highlight w:val="none"/>
        </w:rPr>
      </w:pPr>
      <w:r>
        <w:rPr>
          <w:rFonts w:hint="eastAsia"/>
          <w:szCs w:val="32"/>
          <w:highlight w:val="none"/>
        </w:rPr>
        <w:t>3.</w:t>
      </w:r>
      <w:r>
        <w:rPr>
          <w:rFonts w:hint="eastAsia"/>
          <w:szCs w:val="32"/>
          <w:highlight w:val="none"/>
          <w:lang w:val="en-US" w:eastAsia="zh-CN"/>
        </w:rPr>
        <w:t>4</w:t>
      </w:r>
      <w:r>
        <w:rPr>
          <w:rFonts w:hint="eastAsia"/>
          <w:szCs w:val="32"/>
          <w:highlight w:val="none"/>
        </w:rPr>
        <w:t>检验典型性产品确定原则及注意事项</w:t>
      </w:r>
    </w:p>
    <w:p>
      <w:pPr>
        <w:spacing w:line="530" w:lineRule="exact"/>
        <w:ind w:firstLine="640"/>
        <w:rPr>
          <w:szCs w:val="32"/>
          <w:highlight w:val="none"/>
        </w:rPr>
      </w:pPr>
      <w:r>
        <w:rPr>
          <w:rFonts w:hint="eastAsia"/>
          <w:szCs w:val="32"/>
          <w:highlight w:val="none"/>
        </w:rPr>
        <w:t>同一注册单元内所检验的产品应为能够代表本注册单元内其他产品安全性和有效性的典型产品。原则上需选择结构最复杂、性能指标覆盖最多的型号作为典型产品进行检验。若性能指标不能互相覆盖，则应同时选择不同型号进行检验。电磁兼容方面的典型性产品应充分考虑注册单元内不同型号之间电磁兼容特点和差异。应给出检验产品具有典型性的理由。</w:t>
      </w:r>
    </w:p>
    <w:p>
      <w:pPr>
        <w:spacing w:line="530" w:lineRule="exact"/>
        <w:ind w:firstLine="640"/>
        <w:rPr>
          <w:szCs w:val="32"/>
          <w:highlight w:val="none"/>
        </w:rPr>
      </w:pPr>
      <w:r>
        <w:rPr>
          <w:rFonts w:hint="eastAsia"/>
          <w:szCs w:val="32"/>
          <w:highlight w:val="none"/>
        </w:rPr>
        <w:t>检验报告需要注明产品组成、型号规格或配置，样品描述应与产品技术要求的部件名称、型号等信息保持一致。电磁兼容检验报告中应包含产品的基本性能描述。</w:t>
      </w:r>
      <w:r>
        <w:rPr>
          <w:rFonts w:hint="eastAsia"/>
          <w:szCs w:val="32"/>
          <w:highlight w:val="none"/>
        </w:rPr>
        <w:tab/>
      </w:r>
    </w:p>
    <w:p>
      <w:pPr>
        <w:spacing w:line="530" w:lineRule="exact"/>
        <w:ind w:firstLine="640"/>
        <w:rPr>
          <w:szCs w:val="32"/>
          <w:highlight w:val="none"/>
        </w:rPr>
      </w:pPr>
      <w:r>
        <w:rPr>
          <w:rFonts w:hint="eastAsia"/>
          <w:szCs w:val="32"/>
          <w:highlight w:val="none"/>
        </w:rPr>
        <w:t>4.研究资料</w:t>
      </w:r>
    </w:p>
    <w:p>
      <w:pPr>
        <w:spacing w:line="530" w:lineRule="exact"/>
        <w:ind w:firstLine="640"/>
        <w:rPr>
          <w:szCs w:val="32"/>
          <w:highlight w:val="none"/>
        </w:rPr>
      </w:pPr>
      <w:r>
        <w:rPr>
          <w:rFonts w:hint="eastAsia"/>
          <w:szCs w:val="32"/>
          <w:highlight w:val="none"/>
        </w:rPr>
        <w:t>根据所申报的产品，提供适用的研究资料。</w:t>
      </w:r>
    </w:p>
    <w:p>
      <w:pPr>
        <w:spacing w:line="530" w:lineRule="exact"/>
        <w:ind w:firstLine="640"/>
        <w:rPr>
          <w:szCs w:val="32"/>
          <w:highlight w:val="none"/>
        </w:rPr>
      </w:pPr>
      <w:r>
        <w:rPr>
          <w:rFonts w:hint="eastAsia"/>
          <w:szCs w:val="32"/>
          <w:highlight w:val="none"/>
        </w:rPr>
        <w:t>4.1化学和物理性能研究</w:t>
      </w:r>
    </w:p>
    <w:p>
      <w:pPr>
        <w:spacing w:line="530" w:lineRule="exact"/>
        <w:ind w:firstLine="640"/>
        <w:rPr>
          <w:szCs w:val="32"/>
          <w:highlight w:val="none"/>
        </w:rPr>
      </w:pPr>
      <w:r>
        <w:rPr>
          <w:rFonts w:hint="eastAsia"/>
          <w:color w:val="000000"/>
          <w:szCs w:val="32"/>
          <w:highlight w:val="none"/>
          <w:lang w:val="en-US" w:eastAsia="zh-CN"/>
        </w:rPr>
        <w:t>1.</w:t>
      </w:r>
      <w:r>
        <w:rPr>
          <w:rFonts w:hint="eastAsia"/>
          <w:szCs w:val="32"/>
          <w:highlight w:val="none"/>
        </w:rPr>
        <w:t>提供产品性能研究资料以及产品技术要求的研究和编制说明，包括功能性、安全性指标（如电气安全与电磁兼容）的确定依据，所采用的标准或方法、采用的原因及理论基础。指标的确定依据应明确、具体，并应描述其所考虑的实际临床应用出发点，以及相关指标和临床使用的关联性。</w:t>
      </w:r>
    </w:p>
    <w:p>
      <w:pPr>
        <w:spacing w:line="530" w:lineRule="exact"/>
        <w:ind w:firstLine="640"/>
        <w:rPr>
          <w:szCs w:val="32"/>
          <w:highlight w:val="none"/>
        </w:rPr>
      </w:pPr>
      <w:r>
        <w:rPr>
          <w:rFonts w:hint="eastAsia"/>
          <w:szCs w:val="32"/>
          <w:highlight w:val="none"/>
        </w:rPr>
        <w:t>适用的国家标准、行业标准中，如果有不适用的条款，也应将不适用的条款及理由予以说明。如，脚踏开关可参考YY/T 1057。应关注标准中是否给出了具体的数值，对于未给出具体要求的，注册申请人应说明申报产品功能性能指标确定的依据。</w:t>
      </w:r>
    </w:p>
    <w:p>
      <w:pPr>
        <w:spacing w:line="530" w:lineRule="exact"/>
        <w:ind w:firstLine="640"/>
        <w:rPr>
          <w:rFonts w:hint="eastAsia"/>
          <w:szCs w:val="32"/>
          <w:highlight w:val="none"/>
          <w:lang w:eastAsia="zh-CN"/>
        </w:rPr>
      </w:pPr>
      <w:r>
        <w:rPr>
          <w:rFonts w:hint="eastAsia"/>
          <w:szCs w:val="32"/>
          <w:highlight w:val="none"/>
        </w:rPr>
        <w:t>建议申请人开展以下相关研究，提交相应研究资料，包括研究方案和研究报告。研究方案应包括研究目的、可接受标准、试验过程等</w:t>
      </w:r>
      <w:r>
        <w:rPr>
          <w:rFonts w:hint="eastAsia"/>
          <w:szCs w:val="32"/>
          <w:highlight w:val="none"/>
          <w:lang w:eastAsia="zh-CN"/>
        </w:rPr>
        <w:t>：</w:t>
      </w:r>
    </w:p>
    <w:p>
      <w:pPr>
        <w:spacing w:line="530" w:lineRule="exact"/>
        <w:ind w:firstLine="640"/>
        <w:rPr>
          <w:rFonts w:hint="eastAsia" w:eastAsia="仿宋_GB2312"/>
          <w:szCs w:val="32"/>
          <w:highlight w:val="none"/>
          <w:lang w:eastAsia="zh-CN"/>
        </w:rPr>
      </w:pPr>
      <w:r>
        <w:rPr>
          <w:rFonts w:hint="eastAsia"/>
          <w:szCs w:val="32"/>
          <w:highlight w:val="none"/>
        </w:rPr>
        <w:t>产品的注射准确性是临床应用的重要指标。申请人应说明包括单针、输注剂量调节范围和误差等输注参数</w:t>
      </w:r>
      <w:r>
        <w:rPr>
          <w:rFonts w:hint="eastAsia"/>
          <w:szCs w:val="32"/>
          <w:highlight w:val="none"/>
          <w:lang w:eastAsia="zh-CN"/>
        </w:rPr>
        <w:t>；</w:t>
      </w:r>
    </w:p>
    <w:p>
      <w:pPr>
        <w:spacing w:line="530" w:lineRule="exact"/>
        <w:ind w:firstLine="640"/>
        <w:rPr>
          <w:rFonts w:hint="eastAsia" w:eastAsia="仿宋_GB2312"/>
          <w:szCs w:val="32"/>
          <w:highlight w:val="none"/>
          <w:lang w:val="en-US" w:eastAsia="zh-CN"/>
        </w:rPr>
      </w:pPr>
      <w:r>
        <w:rPr>
          <w:rFonts w:hint="eastAsia"/>
          <w:szCs w:val="32"/>
          <w:highlight w:val="none"/>
        </w:rPr>
        <w:t>申请人应针对整个输注调节范围和误差进行验证，除了验证中速，还要验证调节范围的两端值</w:t>
      </w:r>
      <w:r>
        <w:rPr>
          <w:rFonts w:hint="eastAsia"/>
          <w:szCs w:val="32"/>
          <w:highlight w:val="none"/>
          <w:lang w:eastAsia="zh-CN"/>
        </w:rPr>
        <w:t>；</w:t>
      </w:r>
    </w:p>
    <w:p>
      <w:pPr>
        <w:spacing w:line="530" w:lineRule="exact"/>
        <w:ind w:firstLine="640"/>
        <w:rPr>
          <w:rFonts w:hint="eastAsia"/>
          <w:szCs w:val="32"/>
          <w:highlight w:val="none"/>
          <w:lang w:eastAsia="zh-CN"/>
        </w:rPr>
      </w:pPr>
      <w:r>
        <w:rPr>
          <w:rFonts w:hint="eastAsia"/>
          <w:szCs w:val="32"/>
          <w:highlight w:val="none"/>
        </w:rPr>
        <w:t>如适用，</w:t>
      </w:r>
      <w:r>
        <w:rPr>
          <w:rFonts w:hint="eastAsia"/>
          <w:szCs w:val="32"/>
          <w:highlight w:val="none"/>
        </w:rPr>
        <w:t>产品阻塞报警阈值及其所需的最长时间</w:t>
      </w:r>
      <w:r>
        <w:rPr>
          <w:rFonts w:hint="eastAsia"/>
          <w:szCs w:val="32"/>
          <w:highlight w:val="none"/>
          <w:lang w:eastAsia="zh-CN"/>
        </w:rPr>
        <w:t>；</w:t>
      </w:r>
    </w:p>
    <w:p>
      <w:pPr>
        <w:spacing w:line="530" w:lineRule="exact"/>
        <w:ind w:firstLine="640"/>
        <w:rPr>
          <w:rFonts w:hint="eastAsia"/>
          <w:szCs w:val="32"/>
          <w:highlight w:val="none"/>
          <w:lang w:eastAsia="zh-CN"/>
        </w:rPr>
      </w:pPr>
      <w:r>
        <w:rPr>
          <w:rFonts w:hint="eastAsia"/>
          <w:szCs w:val="32"/>
          <w:highlight w:val="none"/>
        </w:rPr>
        <w:t>申请人需</w:t>
      </w:r>
      <w:r>
        <w:rPr>
          <w:rFonts w:hint="eastAsia"/>
          <w:szCs w:val="32"/>
          <w:highlight w:val="none"/>
          <w:lang w:eastAsia="zh-CN"/>
        </w:rPr>
        <w:t>考虑</w:t>
      </w:r>
      <w:r>
        <w:rPr>
          <w:rFonts w:hint="eastAsia"/>
          <w:szCs w:val="32"/>
          <w:highlight w:val="none"/>
        </w:rPr>
        <w:t>内部电池</w:t>
      </w:r>
      <w:r>
        <w:rPr>
          <w:rFonts w:hint="eastAsia"/>
          <w:szCs w:val="32"/>
          <w:highlight w:val="none"/>
          <w:lang w:eastAsia="zh-CN"/>
        </w:rPr>
        <w:t>低电量工作、网电源中断后自动切换</w:t>
      </w:r>
      <w:r>
        <w:rPr>
          <w:rFonts w:hint="eastAsia"/>
          <w:szCs w:val="32"/>
          <w:highlight w:val="none"/>
        </w:rPr>
        <w:t>内部电池</w:t>
      </w:r>
      <w:r>
        <w:rPr>
          <w:rFonts w:hint="eastAsia"/>
          <w:szCs w:val="32"/>
          <w:highlight w:val="none"/>
          <w:lang w:eastAsia="zh-CN"/>
        </w:rPr>
        <w:t>等情况下，如何避免过流或欠流，提供</w:t>
      </w:r>
      <w:r>
        <w:rPr>
          <w:rFonts w:hint="eastAsia"/>
          <w:szCs w:val="32"/>
          <w:highlight w:val="none"/>
        </w:rPr>
        <w:t>维持规定的精确度</w:t>
      </w:r>
      <w:r>
        <w:rPr>
          <w:rFonts w:hint="eastAsia"/>
          <w:szCs w:val="32"/>
          <w:highlight w:val="none"/>
          <w:lang w:eastAsia="zh-CN"/>
        </w:rPr>
        <w:t>的研究资料。</w:t>
      </w:r>
    </w:p>
    <w:p>
      <w:pPr>
        <w:spacing w:line="530" w:lineRule="exact"/>
        <w:ind w:firstLine="640"/>
        <w:rPr>
          <w:rFonts w:hint="eastAsia" w:eastAsia="仿宋_GB2312"/>
          <w:szCs w:val="32"/>
          <w:highlight w:val="none"/>
          <w:lang w:eastAsia="zh-CN"/>
        </w:rPr>
      </w:pPr>
      <w:r>
        <w:rPr>
          <w:rFonts w:hint="eastAsia"/>
          <w:szCs w:val="32"/>
          <w:highlight w:val="none"/>
        </w:rPr>
        <w:t>如适用，失去控制器时，确保装置正常运行或触发报警等情况的研究</w:t>
      </w:r>
      <w:r>
        <w:rPr>
          <w:rFonts w:hint="eastAsia"/>
          <w:szCs w:val="32"/>
          <w:highlight w:val="none"/>
          <w:lang w:eastAsia="zh-CN"/>
        </w:rPr>
        <w:t>；</w:t>
      </w:r>
    </w:p>
    <w:p>
      <w:pPr>
        <w:spacing w:line="530" w:lineRule="exact"/>
        <w:ind w:firstLine="640"/>
        <w:rPr>
          <w:rFonts w:hint="eastAsia"/>
          <w:sz w:val="32"/>
          <w:szCs w:val="32"/>
          <w:highlight w:val="none"/>
          <w:lang w:val="en-US" w:eastAsia="zh-CN"/>
        </w:rPr>
      </w:pPr>
      <w:r>
        <w:rPr>
          <w:rFonts w:hint="eastAsia"/>
          <w:sz w:val="32"/>
          <w:szCs w:val="32"/>
          <w:highlight w:val="none"/>
          <w:lang w:eastAsia="zh-CN"/>
        </w:rPr>
        <w:t>如适用，</w:t>
      </w:r>
      <w:r>
        <w:rPr>
          <w:rFonts w:hint="eastAsia" w:eastAsia="仿宋_GB2312"/>
          <w:sz w:val="32"/>
          <w:szCs w:val="32"/>
          <w:highlight w:val="none"/>
        </w:rPr>
        <w:t>燃爆风险研究，</w:t>
      </w:r>
      <w:r>
        <w:rPr>
          <w:rFonts w:hint="eastAsia"/>
          <w:sz w:val="32"/>
          <w:szCs w:val="32"/>
          <w:highlight w:val="none"/>
          <w:lang w:eastAsia="zh-CN"/>
        </w:rPr>
        <w:t>采用电池供电</w:t>
      </w:r>
      <w:r>
        <w:rPr>
          <w:rFonts w:hint="eastAsia" w:eastAsia="仿宋_GB2312"/>
          <w:sz w:val="32"/>
          <w:szCs w:val="32"/>
          <w:highlight w:val="none"/>
        </w:rPr>
        <w:t>可能导致燃爆风险，申请人</w:t>
      </w:r>
      <w:r>
        <w:rPr>
          <w:rFonts w:hint="eastAsia" w:eastAsia="仿宋_GB2312"/>
          <w:sz w:val="32"/>
          <w:szCs w:val="32"/>
          <w:highlight w:val="none"/>
          <w:lang w:val="en-US" w:eastAsia="zh-CN"/>
        </w:rPr>
        <w:t>需</w:t>
      </w:r>
      <w:r>
        <w:rPr>
          <w:rFonts w:hint="eastAsia" w:eastAsia="仿宋_GB2312"/>
          <w:sz w:val="32"/>
          <w:szCs w:val="32"/>
          <w:highlight w:val="none"/>
        </w:rPr>
        <w:t>说明如何采取措施</w:t>
      </w:r>
      <w:r>
        <w:rPr>
          <w:rFonts w:hint="eastAsia" w:eastAsia="仿宋_GB2312"/>
          <w:sz w:val="32"/>
          <w:szCs w:val="32"/>
          <w:highlight w:val="none"/>
          <w:lang w:val="en-US" w:eastAsia="zh-CN"/>
        </w:rPr>
        <w:t>防止燃爆</w:t>
      </w:r>
      <w:r>
        <w:rPr>
          <w:rFonts w:hint="eastAsia"/>
          <w:sz w:val="32"/>
          <w:szCs w:val="32"/>
          <w:highlight w:val="none"/>
          <w:lang w:val="en-US" w:eastAsia="zh-CN"/>
        </w:rPr>
        <w:t>；</w:t>
      </w:r>
    </w:p>
    <w:p>
      <w:pPr>
        <w:spacing w:line="530" w:lineRule="exact"/>
        <w:ind w:firstLine="640"/>
        <w:rPr>
          <w:rFonts w:hint="eastAsia"/>
          <w:sz w:val="32"/>
          <w:szCs w:val="32"/>
          <w:highlight w:val="none"/>
          <w:lang w:val="en-US" w:eastAsia="zh-CN"/>
        </w:rPr>
      </w:pPr>
      <w:r>
        <w:rPr>
          <w:rFonts w:hint="eastAsia"/>
          <w:sz w:val="32"/>
          <w:szCs w:val="32"/>
          <w:highlight w:val="none"/>
          <w:lang w:val="en-US" w:eastAsia="zh-CN"/>
        </w:rPr>
        <w:t>申请人应结合产品的具体设计明确产品的气路传输方式、内部连接处的细节图，并说明防止污血逆流设计，使用中注意事项。说明空气进气口是否有过滤装置，明确过滤装置的更换周期及维护要求。</w:t>
      </w:r>
    </w:p>
    <w:p>
      <w:pPr>
        <w:spacing w:line="530" w:lineRule="exact"/>
        <w:ind w:firstLine="640"/>
        <w:rPr>
          <w:rFonts w:hint="eastAsia"/>
          <w:szCs w:val="32"/>
          <w:highlight w:val="none"/>
        </w:rPr>
      </w:pPr>
      <w:r>
        <w:rPr>
          <w:rFonts w:hint="eastAsia"/>
          <w:sz w:val="32"/>
          <w:szCs w:val="32"/>
          <w:highlight w:val="none"/>
          <w:lang w:val="en-US" w:eastAsia="zh-CN"/>
        </w:rPr>
        <w:t>2.</w:t>
      </w:r>
      <w:r>
        <w:rPr>
          <w:rFonts w:eastAsia="仿宋_GB2312"/>
          <w:sz w:val="32"/>
          <w:szCs w:val="32"/>
          <w:highlight w:val="none"/>
        </w:rPr>
        <w:t>联合使用</w:t>
      </w:r>
    </w:p>
    <w:p>
      <w:pPr>
        <w:spacing w:line="530" w:lineRule="exact"/>
        <w:ind w:firstLine="640"/>
        <w:rPr>
          <w:rFonts w:hint="eastAsia" w:eastAsia="仿宋_GB2312"/>
          <w:szCs w:val="32"/>
          <w:highlight w:val="none"/>
          <w:lang w:eastAsia="zh-CN"/>
        </w:rPr>
      </w:pPr>
      <w:r>
        <w:rPr>
          <w:rFonts w:hint="eastAsia"/>
          <w:szCs w:val="32"/>
          <w:highlight w:val="none"/>
          <w:lang w:eastAsia="zh-CN"/>
        </w:rPr>
        <w:t>需</w:t>
      </w:r>
      <w:r>
        <w:rPr>
          <w:rFonts w:hint="eastAsia"/>
          <w:szCs w:val="32"/>
          <w:highlight w:val="none"/>
        </w:rPr>
        <w:t>明确可配合使用的无菌注射器，并对所有可能的</w:t>
      </w:r>
      <w:r>
        <w:rPr>
          <w:rFonts w:hint="eastAsia"/>
          <w:szCs w:val="32"/>
          <w:highlight w:val="none"/>
          <w:lang w:eastAsia="zh-CN"/>
        </w:rPr>
        <w:t>生</w:t>
      </w:r>
      <w:r>
        <w:rPr>
          <w:rFonts w:hint="eastAsia"/>
          <w:szCs w:val="32"/>
          <w:highlight w:val="none"/>
        </w:rPr>
        <w:t>产厂家、规格型号</w:t>
      </w:r>
      <w:r>
        <w:rPr>
          <w:rFonts w:hint="eastAsia"/>
          <w:szCs w:val="32"/>
          <w:highlight w:val="none"/>
          <w:lang w:eastAsia="zh-CN"/>
        </w:rPr>
        <w:t>，明确尺寸要求，并至少</w:t>
      </w:r>
      <w:r>
        <w:rPr>
          <w:rFonts w:hint="eastAsia"/>
          <w:szCs w:val="32"/>
          <w:highlight w:val="none"/>
        </w:rPr>
        <w:t>开展</w:t>
      </w:r>
      <w:r>
        <w:rPr>
          <w:rFonts w:hint="eastAsia"/>
          <w:szCs w:val="32"/>
          <w:highlight w:val="none"/>
          <w:lang w:eastAsia="zh-CN"/>
        </w:rPr>
        <w:t>注射量和注射速度联合验证</w:t>
      </w:r>
      <w:r>
        <w:rPr>
          <w:rFonts w:hint="eastAsia"/>
          <w:szCs w:val="32"/>
          <w:highlight w:val="none"/>
        </w:rPr>
        <w:t>研究</w:t>
      </w:r>
      <w:r>
        <w:rPr>
          <w:rFonts w:hint="eastAsia"/>
          <w:szCs w:val="32"/>
          <w:highlight w:val="none"/>
          <w:lang w:eastAsia="zh-CN"/>
        </w:rPr>
        <w:t>。</w:t>
      </w:r>
    </w:p>
    <w:p>
      <w:pPr>
        <w:spacing w:line="530" w:lineRule="exact"/>
        <w:ind w:firstLine="640"/>
        <w:rPr>
          <w:szCs w:val="32"/>
          <w:highlight w:val="none"/>
        </w:rPr>
      </w:pPr>
      <w:r>
        <w:rPr>
          <w:rFonts w:hint="eastAsia"/>
          <w:szCs w:val="32"/>
          <w:highlight w:val="none"/>
        </w:rPr>
        <w:t>4.2软件研究</w:t>
      </w:r>
    </w:p>
    <w:p>
      <w:pPr>
        <w:spacing w:line="530" w:lineRule="exact"/>
        <w:ind w:firstLine="640"/>
        <w:rPr>
          <w:szCs w:val="32"/>
          <w:highlight w:val="none"/>
        </w:rPr>
      </w:pPr>
      <w:r>
        <w:rPr>
          <w:rFonts w:hint="eastAsia"/>
          <w:szCs w:val="32"/>
          <w:highlight w:val="none"/>
        </w:rPr>
        <w:t>申请人需按照</w:t>
      </w:r>
      <w:r>
        <w:rPr>
          <w:rFonts w:hint="eastAsia"/>
          <w:szCs w:val="32"/>
          <w:highlight w:val="none"/>
        </w:rPr>
        <w:t>《医疗器械软件注册技术审查指导原则（2022年修订版）》</w:t>
      </w:r>
      <w:r>
        <w:rPr>
          <w:rFonts w:hint="eastAsia"/>
          <w:szCs w:val="32"/>
          <w:highlight w:val="none"/>
        </w:rPr>
        <w:t>的要求提供相应的软件研究资料。同时，出具关于软件版本命名规则的说明，明确软件版本的全部字段及字段含义，确定软件的完整版本和发布版本。</w:t>
      </w:r>
    </w:p>
    <w:p>
      <w:pPr>
        <w:spacing w:line="530" w:lineRule="exact"/>
        <w:ind w:firstLine="640"/>
        <w:rPr>
          <w:szCs w:val="32"/>
          <w:highlight w:val="none"/>
        </w:rPr>
      </w:pPr>
      <w:r>
        <w:rPr>
          <w:rFonts w:hint="eastAsia"/>
          <w:szCs w:val="32"/>
          <w:highlight w:val="none"/>
        </w:rPr>
        <w:t>若有存储媒介或含有网络连接功能以进行电子数据交换或远程控制功能，则申请人需按照《医疗器械网络安全注册技术审查指导原则</w:t>
      </w:r>
      <w:r>
        <w:rPr>
          <w:rFonts w:hint="eastAsia"/>
          <w:szCs w:val="32"/>
          <w:highlight w:val="none"/>
        </w:rPr>
        <w:t>（2022年修订版）</w:t>
      </w:r>
      <w:r>
        <w:rPr>
          <w:rFonts w:hint="eastAsia"/>
          <w:szCs w:val="32"/>
          <w:highlight w:val="none"/>
        </w:rPr>
        <w:t>》的要求提供相应的研究资料并在</w:t>
      </w:r>
      <w:r>
        <w:rPr>
          <w:rFonts w:hint="eastAsia"/>
          <w:szCs w:val="32"/>
          <w:highlight w:val="none"/>
        </w:rPr>
        <w:t>产品技术要求</w:t>
      </w:r>
      <w:r>
        <w:rPr>
          <w:rFonts w:hint="eastAsia"/>
          <w:szCs w:val="32"/>
          <w:highlight w:val="none"/>
        </w:rPr>
        <w:t>中增加数据接口、用户访问控制等信息。</w:t>
      </w:r>
    </w:p>
    <w:p>
      <w:pPr>
        <w:spacing w:line="530" w:lineRule="exact"/>
        <w:ind w:firstLine="640"/>
        <w:rPr>
          <w:szCs w:val="32"/>
          <w:highlight w:val="none"/>
        </w:rPr>
      </w:pPr>
      <w:r>
        <w:rPr>
          <w:rFonts w:hint="eastAsia"/>
          <w:szCs w:val="32"/>
          <w:highlight w:val="none"/>
        </w:rPr>
        <w:t>4.3生物学特性研究</w:t>
      </w:r>
    </w:p>
    <w:p>
      <w:pPr>
        <w:spacing w:line="530" w:lineRule="exact"/>
        <w:ind w:firstLine="640"/>
        <w:rPr>
          <w:szCs w:val="32"/>
          <w:highlight w:val="none"/>
        </w:rPr>
      </w:pPr>
      <w:r>
        <w:rPr>
          <w:rFonts w:hint="eastAsia"/>
          <w:szCs w:val="32"/>
          <w:highlight w:val="none"/>
        </w:rPr>
        <w:t>注射器辅助助推装置中含吸引管路等附件，产品使用过程中吸引管路会与患者的皮肤间接接触。</w:t>
      </w:r>
      <w:r>
        <w:rPr>
          <w:rFonts w:hint="eastAsia"/>
          <w:szCs w:val="32"/>
          <w:highlight w:val="none"/>
          <w:lang w:eastAsia="zh-CN"/>
        </w:rPr>
        <w:t>如进行生物学试验，</w:t>
      </w:r>
      <w:r>
        <w:rPr>
          <w:rFonts w:hint="eastAsia"/>
          <w:szCs w:val="32"/>
          <w:highlight w:val="none"/>
        </w:rPr>
        <w:t>按照GB/T 16886.1要求，至少应提供细胞毒性、迟发型超敏反应、皮肤刺激的相关验证资料。</w:t>
      </w:r>
    </w:p>
    <w:p>
      <w:pPr>
        <w:spacing w:line="530" w:lineRule="exact"/>
        <w:ind w:firstLine="640"/>
        <w:rPr>
          <w:szCs w:val="32"/>
          <w:highlight w:val="none"/>
        </w:rPr>
      </w:pPr>
      <w:r>
        <w:rPr>
          <w:rFonts w:hint="eastAsia"/>
          <w:szCs w:val="32"/>
          <w:highlight w:val="none"/>
        </w:rPr>
        <w:t>4.4清洁、消毒、灭菌研究</w:t>
      </w:r>
    </w:p>
    <w:p>
      <w:pPr>
        <w:spacing w:line="530" w:lineRule="exact"/>
        <w:ind w:firstLine="640"/>
        <w:rPr>
          <w:szCs w:val="32"/>
          <w:highlight w:val="none"/>
        </w:rPr>
      </w:pPr>
      <w:r>
        <w:rPr>
          <w:rFonts w:hint="eastAsia"/>
          <w:szCs w:val="32"/>
          <w:highlight w:val="none"/>
        </w:rPr>
        <w:t>一般情况下，注射器辅助助推装置与人体表面皮肤接触，无需灭菌，由使用者常规擦拭或低水平消毒，可不提供消毒灭菌研究资料。若主机及配件涉及终端用户消毒/灭菌，制造商应当明确推荐的消毒/灭菌工艺（方法和参数）以及所推荐方法确定的依据及验证的相关研究资料。</w:t>
      </w:r>
    </w:p>
    <w:p>
      <w:pPr>
        <w:spacing w:line="530" w:lineRule="exact"/>
        <w:ind w:firstLine="640"/>
        <w:rPr>
          <w:szCs w:val="32"/>
          <w:highlight w:val="none"/>
        </w:rPr>
      </w:pPr>
      <w:r>
        <w:rPr>
          <w:rFonts w:hint="eastAsia"/>
          <w:szCs w:val="32"/>
          <w:highlight w:val="none"/>
        </w:rPr>
        <w:t>4.5稳定性研究</w:t>
      </w:r>
    </w:p>
    <w:p>
      <w:pPr>
        <w:spacing w:line="530" w:lineRule="exact"/>
        <w:ind w:firstLine="640"/>
        <w:rPr>
          <w:szCs w:val="32"/>
          <w:highlight w:val="none"/>
        </w:rPr>
      </w:pPr>
      <w:r>
        <w:rPr>
          <w:rFonts w:hint="eastAsia"/>
          <w:szCs w:val="32"/>
          <w:highlight w:val="none"/>
        </w:rPr>
        <w:t>使用期限一般主要取决于使用过程中部件、元器件的损耗、老化等，注册申请人应按照声称的使用期限对设备进行老化/疲劳试验，也可对影响设备使用期限的关键部件进行老化/疲劳试验，例如设备中不可更换（或更换成本高）的部件，并提供相应的研究资料。研究资料应能证明上述部件按照所声称的使用期限，经过老化/疲劳试验后，产品性能和安全仍符合预期的要求。使用期限也可基于已有数据进行合理的推断、分析、计算得出，但应提供详细的说明及支持性资料。可参考《有源医疗器械使用期限技术审查指导原则》的要求。</w:t>
      </w:r>
    </w:p>
    <w:p>
      <w:pPr>
        <w:spacing w:line="530" w:lineRule="exact"/>
        <w:ind w:firstLine="640"/>
        <w:rPr>
          <w:highlight w:val="none"/>
        </w:rPr>
      </w:pPr>
      <w:r>
        <w:rPr>
          <w:rFonts w:hint="eastAsia"/>
          <w:szCs w:val="32"/>
          <w:highlight w:val="none"/>
        </w:rPr>
        <w:t>注册申请人对包装和产品进行模拟试验，模拟在贮存和运输过程中，遇到极端情况时，例如环境（温湿度、气压等）变化、跌落、振动、加速度等，产品不会发生性能、功能改变，包装系统具有保护产品的能力。经过模拟试验后，观察包装外观是否有不可接受的异常现象，对产品进行性能测试，证明运输和环境测试后产品能够保持其完整性和功能性。环境试验可参考GB/T14710的要求。</w:t>
      </w:r>
    </w:p>
    <w:p>
      <w:pPr>
        <w:spacing w:line="530" w:lineRule="exact"/>
        <w:ind w:firstLine="640"/>
        <w:rPr>
          <w:szCs w:val="32"/>
          <w:highlight w:val="none"/>
        </w:rPr>
      </w:pPr>
      <w:r>
        <w:rPr>
          <w:rFonts w:hint="eastAsia"/>
          <w:szCs w:val="32"/>
          <w:highlight w:val="none"/>
        </w:rPr>
        <w:t>5.可用性工程研究</w:t>
      </w:r>
    </w:p>
    <w:p>
      <w:pPr>
        <w:spacing w:line="530" w:lineRule="exact"/>
        <w:ind w:firstLine="640"/>
        <w:rPr>
          <w:szCs w:val="32"/>
          <w:highlight w:val="none"/>
        </w:rPr>
      </w:pPr>
      <w:r>
        <w:rPr>
          <w:rFonts w:hint="eastAsia"/>
          <w:szCs w:val="32"/>
          <w:highlight w:val="none"/>
        </w:rPr>
        <w:t>应参照《医疗器械可用性工程注册审查指导原则》及其应用说明要求提交使用错误评估报告。</w:t>
      </w:r>
    </w:p>
    <w:p>
      <w:pPr>
        <w:numPr>
          <w:ilvl w:val="0"/>
          <w:numId w:val="2"/>
        </w:numPr>
        <w:spacing w:line="480" w:lineRule="exact"/>
        <w:ind w:right="-102" w:rightChars="-32" w:firstLine="640"/>
        <w:rPr>
          <w:rFonts w:hint="eastAsia" w:eastAsia="楷体_GB2312"/>
          <w:szCs w:val="32"/>
          <w:highlight w:val="none"/>
        </w:rPr>
      </w:pPr>
      <w:r>
        <w:rPr>
          <w:rFonts w:hint="eastAsia" w:eastAsia="楷体_GB2312"/>
          <w:szCs w:val="32"/>
          <w:highlight w:val="none"/>
        </w:rPr>
        <w:t>临床评价资料</w:t>
      </w:r>
    </w:p>
    <w:p>
      <w:pPr>
        <w:spacing w:line="530" w:lineRule="exact"/>
        <w:ind w:firstLine="640"/>
        <w:rPr>
          <w:rFonts w:hint="eastAsia"/>
          <w:szCs w:val="32"/>
          <w:highlight w:val="none"/>
        </w:rPr>
      </w:pPr>
      <w:r>
        <w:rPr>
          <w:rFonts w:hint="eastAsia"/>
          <w:szCs w:val="32"/>
          <w:highlight w:val="none"/>
        </w:rPr>
        <w:t>注射器辅助助推装置一般可采取同品种对比的路径开展临床评价。按照《医疗器械临床评价等同性论证技术指导原则》进行与境内已上市同品种产品的对比、分析、评价，并提交符合《医疗器械注册申报临床评价报告技术指导原则》要求的临床评价报告。</w:t>
      </w:r>
    </w:p>
    <w:p>
      <w:pPr>
        <w:spacing w:line="530" w:lineRule="exact"/>
        <w:ind w:firstLine="640"/>
        <w:rPr>
          <w:szCs w:val="32"/>
          <w:highlight w:val="none"/>
        </w:rPr>
      </w:pPr>
      <w:r>
        <w:rPr>
          <w:rFonts w:hint="eastAsia"/>
          <w:szCs w:val="32"/>
          <w:highlight w:val="none"/>
        </w:rPr>
        <w:t>技术特征重点关注工作原理、结构组成、关键性能的等同性。产品性能应重点关注单次注射量准确度</w:t>
      </w:r>
      <w:r>
        <w:rPr>
          <w:rFonts w:hint="eastAsia"/>
          <w:szCs w:val="32"/>
          <w:highlight w:val="none"/>
          <w:lang w:eastAsia="zh-CN"/>
        </w:rPr>
        <w:t>、</w:t>
      </w:r>
      <w:r>
        <w:rPr>
          <w:rFonts w:hint="eastAsia"/>
          <w:szCs w:val="32"/>
          <w:highlight w:val="none"/>
        </w:rPr>
        <w:t>预置注射速度与准确度等是否与同品种产品基本等同。</w:t>
      </w:r>
    </w:p>
    <w:p>
      <w:pPr>
        <w:numPr>
          <w:ilvl w:val="0"/>
          <w:numId w:val="2"/>
        </w:numPr>
        <w:spacing w:line="480" w:lineRule="exact"/>
        <w:ind w:right="-102" w:rightChars="-32" w:firstLine="640"/>
        <w:rPr>
          <w:rFonts w:eastAsia="楷体_GB2312"/>
          <w:szCs w:val="32"/>
          <w:highlight w:val="none"/>
        </w:rPr>
      </w:pPr>
      <w:r>
        <w:rPr>
          <w:rFonts w:hint="eastAsia" w:eastAsia="楷体_GB2312"/>
          <w:szCs w:val="32"/>
          <w:highlight w:val="none"/>
        </w:rPr>
        <w:t>产品说明书和标签样稿</w:t>
      </w:r>
    </w:p>
    <w:p>
      <w:pPr>
        <w:spacing w:line="530" w:lineRule="exact"/>
        <w:ind w:firstLine="640"/>
        <w:rPr>
          <w:szCs w:val="32"/>
          <w:highlight w:val="none"/>
        </w:rPr>
      </w:pPr>
      <w:r>
        <w:rPr>
          <w:rFonts w:hint="eastAsia"/>
          <w:szCs w:val="32"/>
          <w:highlight w:val="none"/>
        </w:rPr>
        <w:t>产品的说明书、标签应当符合《医疗器械说明书和标签管理规定》及其他适用标准中有关说明书和标签的要求的规定。一次性使用附件应明确货架有效期。</w:t>
      </w:r>
    </w:p>
    <w:p>
      <w:pPr>
        <w:spacing w:line="530" w:lineRule="exact"/>
        <w:ind w:firstLine="640"/>
        <w:rPr>
          <w:szCs w:val="32"/>
          <w:highlight w:val="none"/>
        </w:rPr>
      </w:pPr>
      <w:r>
        <w:rPr>
          <w:rFonts w:hint="eastAsia"/>
          <w:szCs w:val="32"/>
          <w:highlight w:val="none"/>
        </w:rPr>
        <w:t>包含以下内容：</w:t>
      </w:r>
    </w:p>
    <w:p>
      <w:pPr>
        <w:spacing w:line="530" w:lineRule="exact"/>
        <w:ind w:firstLine="640"/>
        <w:rPr>
          <w:szCs w:val="32"/>
          <w:highlight w:val="none"/>
        </w:rPr>
      </w:pPr>
      <w:r>
        <w:rPr>
          <w:rFonts w:hint="eastAsia"/>
          <w:szCs w:val="32"/>
          <w:highlight w:val="none"/>
        </w:rPr>
        <w:t>1.预期用途，包括环境条件。</w:t>
      </w:r>
    </w:p>
    <w:p>
      <w:pPr>
        <w:spacing w:line="530" w:lineRule="exact"/>
        <w:ind w:firstLine="640"/>
        <w:rPr>
          <w:szCs w:val="32"/>
          <w:highlight w:val="none"/>
        </w:rPr>
      </w:pPr>
      <w:r>
        <w:rPr>
          <w:rFonts w:hint="eastAsia"/>
          <w:szCs w:val="32"/>
          <w:highlight w:val="none"/>
        </w:rPr>
        <w:t>2.使用不合适的无菌注射器可能造成的后果警告。</w:t>
      </w:r>
    </w:p>
    <w:p>
      <w:pPr>
        <w:spacing w:line="530" w:lineRule="exact"/>
        <w:ind w:firstLine="640"/>
        <w:rPr>
          <w:szCs w:val="32"/>
          <w:highlight w:val="none"/>
        </w:rPr>
      </w:pPr>
      <w:r>
        <w:rPr>
          <w:rFonts w:hint="eastAsia"/>
          <w:szCs w:val="32"/>
          <w:highlight w:val="none"/>
        </w:rPr>
        <w:t>3.更换无菌注射器、管路的说明。可以明确推荐用户仔细阅读</w:t>
      </w:r>
      <w:r>
        <w:rPr>
          <w:rFonts w:hint="eastAsia"/>
          <w:szCs w:val="32"/>
          <w:highlight w:val="none"/>
        </w:rPr>
        <w:t>无菌注射器</w:t>
      </w:r>
      <w:r>
        <w:rPr>
          <w:rFonts w:hint="eastAsia"/>
          <w:szCs w:val="32"/>
          <w:highlight w:val="none"/>
          <w:lang w:eastAsia="zh-CN"/>
        </w:rPr>
        <w:t>和</w:t>
      </w:r>
      <w:r>
        <w:rPr>
          <w:rFonts w:hint="eastAsia"/>
          <w:szCs w:val="32"/>
          <w:highlight w:val="none"/>
        </w:rPr>
        <w:t>管路的说明书。</w:t>
      </w:r>
    </w:p>
    <w:p>
      <w:pPr>
        <w:spacing w:line="530" w:lineRule="exact"/>
        <w:ind w:firstLine="640"/>
        <w:rPr>
          <w:szCs w:val="32"/>
          <w:highlight w:val="none"/>
        </w:rPr>
      </w:pPr>
      <w:r>
        <w:rPr>
          <w:rFonts w:hint="eastAsia"/>
          <w:szCs w:val="32"/>
          <w:highlight w:val="none"/>
        </w:rPr>
        <w:t>4.单针注射范围及误差。</w:t>
      </w:r>
    </w:p>
    <w:p>
      <w:pPr>
        <w:spacing w:line="530" w:lineRule="exact"/>
        <w:ind w:firstLine="640"/>
        <w:rPr>
          <w:szCs w:val="32"/>
          <w:highlight w:val="none"/>
        </w:rPr>
      </w:pPr>
      <w:r>
        <w:rPr>
          <w:rFonts w:hint="eastAsia"/>
          <w:szCs w:val="32"/>
          <w:highlight w:val="none"/>
        </w:rPr>
        <w:t>5.负压强度和多档位的暂停时间。</w:t>
      </w:r>
    </w:p>
    <w:p>
      <w:pPr>
        <w:spacing w:line="530" w:lineRule="exact"/>
        <w:ind w:firstLine="640"/>
        <w:rPr>
          <w:szCs w:val="32"/>
          <w:highlight w:val="none"/>
        </w:rPr>
      </w:pPr>
      <w:r>
        <w:rPr>
          <w:rFonts w:hint="eastAsia"/>
          <w:szCs w:val="32"/>
          <w:highlight w:val="none"/>
        </w:rPr>
        <w:t>6.如适用，各种报警的清单、运行环境的说明及报警处理措施。</w:t>
      </w:r>
    </w:p>
    <w:p>
      <w:pPr>
        <w:spacing w:line="530" w:lineRule="exact"/>
        <w:ind w:firstLine="640"/>
        <w:rPr>
          <w:szCs w:val="32"/>
          <w:highlight w:val="none"/>
        </w:rPr>
      </w:pPr>
      <w:r>
        <w:rPr>
          <w:rFonts w:hint="eastAsia"/>
          <w:szCs w:val="32"/>
          <w:highlight w:val="none"/>
        </w:rPr>
        <w:t>7.在某些情况下可能无法维持规定的精度的警告以及这些情况的具体说明。</w:t>
      </w:r>
    </w:p>
    <w:p>
      <w:pPr>
        <w:spacing w:line="530" w:lineRule="exact"/>
        <w:ind w:firstLine="640"/>
        <w:rPr>
          <w:szCs w:val="32"/>
          <w:highlight w:val="none"/>
        </w:rPr>
      </w:pPr>
      <w:r>
        <w:rPr>
          <w:rFonts w:hint="eastAsia"/>
          <w:szCs w:val="32"/>
          <w:highlight w:val="none"/>
        </w:rPr>
        <w:t>8.可配合注射器辅助助推装置一起使用的无菌注射器的信息</w:t>
      </w:r>
      <w:r>
        <w:rPr>
          <w:rFonts w:hint="eastAsia"/>
          <w:szCs w:val="32"/>
          <w:highlight w:val="none"/>
          <w:lang w:eastAsia="zh-CN"/>
        </w:rPr>
        <w:t>，</w:t>
      </w:r>
      <w:r>
        <w:rPr>
          <w:rFonts w:hint="eastAsia"/>
          <w:szCs w:val="32"/>
          <w:highlight w:val="none"/>
          <w:lang w:eastAsia="zh-CN"/>
        </w:rPr>
        <w:t>如需明确生产厂家、规格型号等要求，以及正确安装输注管路的方法</w:t>
      </w:r>
      <w:r>
        <w:rPr>
          <w:rFonts w:hint="eastAsia"/>
          <w:szCs w:val="32"/>
          <w:highlight w:val="none"/>
        </w:rPr>
        <w:t>。</w:t>
      </w:r>
    </w:p>
    <w:p>
      <w:pPr>
        <w:spacing w:line="530" w:lineRule="exact"/>
        <w:ind w:firstLine="640"/>
        <w:rPr>
          <w:szCs w:val="32"/>
          <w:highlight w:val="none"/>
        </w:rPr>
      </w:pPr>
      <w:r>
        <w:rPr>
          <w:rFonts w:hint="eastAsia"/>
          <w:szCs w:val="32"/>
          <w:highlight w:val="none"/>
        </w:rPr>
        <w:t>9.注射速度范围及精确度的工作条件，如环境温度。</w:t>
      </w:r>
    </w:p>
    <w:p>
      <w:pPr>
        <w:spacing w:line="530" w:lineRule="exact"/>
        <w:ind w:firstLine="640"/>
        <w:rPr>
          <w:szCs w:val="32"/>
          <w:highlight w:val="none"/>
        </w:rPr>
      </w:pPr>
      <w:r>
        <w:rPr>
          <w:rFonts w:hint="eastAsia"/>
          <w:szCs w:val="32"/>
          <w:highlight w:val="none"/>
        </w:rPr>
        <w:t>10.当注射器辅助助推装置程序出错时，或输注管路阻塞等导致药液过流或欠流时，提供防止患者受伤害的方法。</w:t>
      </w:r>
    </w:p>
    <w:p>
      <w:pPr>
        <w:numPr>
          <w:ilvl w:val="0"/>
          <w:numId w:val="2"/>
        </w:numPr>
        <w:spacing w:line="480" w:lineRule="exact"/>
        <w:ind w:right="-102" w:rightChars="-32" w:firstLine="640"/>
        <w:rPr>
          <w:rFonts w:eastAsia="楷体_GB2312"/>
          <w:szCs w:val="32"/>
          <w:highlight w:val="none"/>
        </w:rPr>
      </w:pPr>
      <w:r>
        <w:rPr>
          <w:rFonts w:hint="eastAsia" w:eastAsia="楷体_GB2312"/>
          <w:szCs w:val="32"/>
          <w:highlight w:val="none"/>
        </w:rPr>
        <w:t>质量管理体系文件</w:t>
      </w:r>
    </w:p>
    <w:p>
      <w:pPr>
        <w:spacing w:line="530" w:lineRule="exact"/>
        <w:ind w:firstLine="640"/>
        <w:rPr>
          <w:szCs w:val="32"/>
          <w:highlight w:val="none"/>
        </w:rPr>
      </w:pPr>
      <w:r>
        <w:rPr>
          <w:rFonts w:hint="eastAsia"/>
          <w:szCs w:val="32"/>
          <w:highlight w:val="none"/>
        </w:rPr>
        <w:t>1.生产工艺过程及过程控制点</w:t>
      </w:r>
    </w:p>
    <w:p>
      <w:pPr>
        <w:spacing w:line="530" w:lineRule="exact"/>
        <w:ind w:firstLine="640"/>
        <w:rPr>
          <w:szCs w:val="32"/>
          <w:highlight w:val="none"/>
        </w:rPr>
      </w:pPr>
      <w:r>
        <w:rPr>
          <w:rFonts w:hint="eastAsia"/>
          <w:szCs w:val="32"/>
          <w:highlight w:val="none"/>
        </w:rPr>
        <w:t>应当根据</w:t>
      </w:r>
      <w:r>
        <w:rPr>
          <w:rFonts w:hint="eastAsia"/>
          <w:highlight w:val="none"/>
        </w:rPr>
        <w:t>注射器辅助助推装置</w:t>
      </w:r>
      <w:r>
        <w:rPr>
          <w:rFonts w:hint="eastAsia"/>
          <w:szCs w:val="32"/>
          <w:highlight w:val="none"/>
        </w:rPr>
        <w:t>的实际情况，可以流程图的形式对生产工艺过程进行详细描述，明确产品生产的工艺过程，以及各关键工艺的控制点。注明关键工艺和特殊过程，说明过程控制点及控制标准。</w:t>
      </w:r>
    </w:p>
    <w:p>
      <w:pPr>
        <w:spacing w:line="530" w:lineRule="exact"/>
        <w:ind w:firstLine="640"/>
        <w:rPr>
          <w:szCs w:val="32"/>
          <w:highlight w:val="none"/>
        </w:rPr>
      </w:pPr>
      <w:r>
        <w:rPr>
          <w:rFonts w:hint="eastAsia"/>
          <w:szCs w:val="32"/>
          <w:highlight w:val="none"/>
        </w:rPr>
        <w:t>2.研发和生产场地</w:t>
      </w:r>
    </w:p>
    <w:p>
      <w:pPr>
        <w:spacing w:line="530" w:lineRule="exact"/>
        <w:ind w:firstLine="640"/>
        <w:rPr>
          <w:bCs/>
          <w:szCs w:val="32"/>
          <w:highlight w:val="none"/>
        </w:rPr>
      </w:pPr>
      <w:r>
        <w:rPr>
          <w:rFonts w:hint="eastAsia"/>
          <w:szCs w:val="32"/>
          <w:highlight w:val="none"/>
        </w:rPr>
        <w:t>注册申请人应当对与注射器辅助助推装置有关的研制场地和生产场地情况进行概述，如地址、位置、面积、生产环境条件、生产设备、工艺装备、监视和测量装置、人员等。</w:t>
      </w:r>
    </w:p>
    <w:p>
      <w:pPr>
        <w:spacing w:line="520" w:lineRule="exact"/>
        <w:ind w:firstLine="640"/>
        <w:outlineLvl w:val="0"/>
        <w:rPr>
          <w:szCs w:val="32"/>
          <w:highlight w:val="none"/>
        </w:rPr>
      </w:pPr>
      <w:r>
        <w:rPr>
          <w:rFonts w:eastAsia="黑体"/>
          <w:bCs/>
          <w:szCs w:val="32"/>
          <w:highlight w:val="none"/>
        </w:rPr>
        <w:t>三、参考文献</w:t>
      </w:r>
    </w:p>
    <w:p>
      <w:pPr>
        <w:spacing w:line="520" w:lineRule="exact"/>
        <w:ind w:right="-102" w:rightChars="-32" w:firstLine="640"/>
        <w:rPr>
          <w:szCs w:val="32"/>
          <w:highlight w:val="none"/>
        </w:rPr>
      </w:pPr>
      <w:r>
        <w:rPr>
          <w:rFonts w:hint="eastAsia"/>
          <w:szCs w:val="32"/>
          <w:highlight w:val="none"/>
        </w:rPr>
        <w:t xml:space="preserve">[1]GB/T 42062-2022,医疗器械 风险管理对医疗器械的应用[S]. </w:t>
      </w:r>
    </w:p>
    <w:p>
      <w:pPr>
        <w:spacing w:line="520" w:lineRule="exact"/>
        <w:ind w:right="-102" w:rightChars="-32" w:firstLine="640"/>
        <w:rPr>
          <w:szCs w:val="32"/>
          <w:highlight w:val="none"/>
        </w:rPr>
      </w:pPr>
      <w:r>
        <w:rPr>
          <w:rFonts w:hint="eastAsia"/>
          <w:szCs w:val="32"/>
          <w:highlight w:val="none"/>
        </w:rPr>
        <w:t xml:space="preserve">[2]GB 9706.1-2020,医用电气设备 第1部分：基本安全和基本性能的通用要求[S]. </w:t>
      </w:r>
    </w:p>
    <w:p>
      <w:pPr>
        <w:spacing w:line="520" w:lineRule="exact"/>
        <w:ind w:right="-102" w:rightChars="-32" w:firstLine="640"/>
        <w:rPr>
          <w:szCs w:val="32"/>
          <w:highlight w:val="none"/>
        </w:rPr>
      </w:pPr>
      <w:r>
        <w:rPr>
          <w:rFonts w:hint="eastAsia"/>
          <w:szCs w:val="32"/>
          <w:highlight w:val="none"/>
        </w:rPr>
        <w:t>[3]GB/T 16886.1-20</w:t>
      </w:r>
      <w:r>
        <w:rPr>
          <w:rFonts w:hint="eastAsia"/>
          <w:szCs w:val="32"/>
          <w:highlight w:val="none"/>
          <w:lang w:val="en-US" w:eastAsia="zh-CN"/>
        </w:rPr>
        <w:t>22</w:t>
      </w:r>
      <w:r>
        <w:rPr>
          <w:rFonts w:hint="eastAsia"/>
          <w:szCs w:val="32"/>
          <w:highlight w:val="none"/>
        </w:rPr>
        <w:t xml:space="preserve">,医疗器械生物学评价 第1部分：风险管理过程中的评价与试验[S]. </w:t>
      </w:r>
    </w:p>
    <w:p>
      <w:pPr>
        <w:spacing w:line="520" w:lineRule="exact"/>
        <w:ind w:right="-102" w:rightChars="-32" w:firstLine="640"/>
        <w:rPr>
          <w:szCs w:val="32"/>
          <w:highlight w:val="none"/>
        </w:rPr>
      </w:pPr>
      <w:r>
        <w:rPr>
          <w:rFonts w:hint="eastAsia"/>
          <w:szCs w:val="32"/>
          <w:highlight w:val="none"/>
        </w:rPr>
        <w:t xml:space="preserve">[4]YY/T 1057-2016,医用脚踏开关通用技术要求[S]. </w:t>
      </w:r>
    </w:p>
    <w:p>
      <w:pPr>
        <w:spacing w:line="520" w:lineRule="exact"/>
        <w:ind w:right="-102" w:rightChars="-32" w:firstLine="640"/>
        <w:rPr>
          <w:szCs w:val="32"/>
          <w:highlight w:val="none"/>
        </w:rPr>
      </w:pPr>
      <w:r>
        <w:rPr>
          <w:rFonts w:hint="eastAsia"/>
          <w:szCs w:val="32"/>
          <w:highlight w:val="none"/>
        </w:rPr>
        <w:t xml:space="preserve">[5]GB/T 14710-2009,医用电器环境要求及试验方法[S]. </w:t>
      </w:r>
    </w:p>
    <w:p>
      <w:pPr>
        <w:spacing w:line="520" w:lineRule="exact"/>
        <w:ind w:right="-102" w:rightChars="-32" w:firstLine="640"/>
        <w:rPr>
          <w:szCs w:val="32"/>
          <w:highlight w:val="none"/>
        </w:rPr>
      </w:pPr>
      <w:r>
        <w:rPr>
          <w:rFonts w:hint="eastAsia"/>
          <w:szCs w:val="32"/>
          <w:highlight w:val="none"/>
        </w:rPr>
        <w:t xml:space="preserve">[6]国家市场监管总局.医疗器械注册与备案管理办法:国家市场监管总局令第47号[Z]. </w:t>
      </w:r>
    </w:p>
    <w:p>
      <w:pPr>
        <w:spacing w:line="520" w:lineRule="exact"/>
        <w:ind w:right="-102" w:rightChars="-32" w:firstLine="640"/>
        <w:rPr>
          <w:szCs w:val="32"/>
          <w:highlight w:val="none"/>
        </w:rPr>
      </w:pPr>
      <w:r>
        <w:rPr>
          <w:rFonts w:hint="eastAsia"/>
          <w:szCs w:val="32"/>
          <w:highlight w:val="none"/>
        </w:rPr>
        <w:t xml:space="preserve">[7]国家药品监督管理局.关于公布医疗器械注册申报资料要求和批准证明文件格式的公告:国家药品监督管理局公告2021年第121号[Z]. </w:t>
      </w:r>
    </w:p>
    <w:p>
      <w:pPr>
        <w:spacing w:line="520" w:lineRule="exact"/>
        <w:ind w:right="-102" w:rightChars="-32" w:firstLine="640"/>
        <w:rPr>
          <w:szCs w:val="32"/>
          <w:highlight w:val="none"/>
        </w:rPr>
      </w:pPr>
      <w:r>
        <w:rPr>
          <w:rFonts w:hint="eastAsia"/>
          <w:szCs w:val="32"/>
          <w:highlight w:val="none"/>
        </w:rPr>
        <w:t>[8]国家食品药品监督管理局.医疗器械分类目录:国家食品药品监督管理总局公告2017年第104号[Z].</w:t>
      </w:r>
    </w:p>
    <w:p>
      <w:pPr>
        <w:spacing w:line="520" w:lineRule="exact"/>
        <w:ind w:right="-102" w:rightChars="-32" w:firstLine="640"/>
        <w:rPr>
          <w:szCs w:val="32"/>
          <w:highlight w:val="none"/>
        </w:rPr>
      </w:pPr>
      <w:r>
        <w:rPr>
          <w:rFonts w:hint="eastAsia"/>
          <w:szCs w:val="32"/>
          <w:highlight w:val="none"/>
        </w:rPr>
        <w:t xml:space="preserve">[9]原国家食品药品监督管理总局.医疗器械通用名称命名规则:原国家食品药品监督管理总局令第19号[Z]. </w:t>
      </w:r>
    </w:p>
    <w:p>
      <w:pPr>
        <w:spacing w:line="520" w:lineRule="exact"/>
        <w:ind w:right="-102" w:rightChars="-32" w:firstLine="640"/>
        <w:rPr>
          <w:szCs w:val="32"/>
          <w:highlight w:val="none"/>
        </w:rPr>
      </w:pPr>
      <w:r>
        <w:rPr>
          <w:rFonts w:hint="eastAsia"/>
          <w:szCs w:val="32"/>
          <w:highlight w:val="none"/>
        </w:rPr>
        <w:t xml:space="preserve">[10]原国家食品药品监督管理总局.关于发布医疗器械注册单元划分指导原则的通告:原国家食品药品监督管理总局2017年第187号[Z]. </w:t>
      </w:r>
    </w:p>
    <w:p>
      <w:pPr>
        <w:spacing w:line="520" w:lineRule="exact"/>
        <w:ind w:right="-102" w:rightChars="-32" w:firstLine="640"/>
        <w:rPr>
          <w:szCs w:val="32"/>
          <w:highlight w:val="none"/>
        </w:rPr>
      </w:pPr>
      <w:r>
        <w:rPr>
          <w:rFonts w:hint="eastAsia"/>
          <w:szCs w:val="32"/>
          <w:highlight w:val="none"/>
        </w:rPr>
        <w:t>[11]原国家食品药品监督管理总局.医疗器械说明书和标签管理规定:原国家食品药品监督管理总局令第6号[Z].</w:t>
      </w:r>
    </w:p>
    <w:p>
      <w:pPr>
        <w:spacing w:line="520" w:lineRule="exact"/>
        <w:ind w:right="-102" w:rightChars="-32" w:firstLine="640"/>
        <w:rPr>
          <w:szCs w:val="32"/>
          <w:highlight w:val="none"/>
        </w:rPr>
      </w:pPr>
      <w:r>
        <w:rPr>
          <w:rFonts w:hint="eastAsia"/>
          <w:szCs w:val="32"/>
          <w:highlight w:val="none"/>
        </w:rPr>
        <w:t>[12]国家药品监督管理局.免于临床评价医疗器械目录：国家药监局通告2025年第19号[Z].</w:t>
      </w:r>
    </w:p>
    <w:p>
      <w:pPr>
        <w:spacing w:line="520" w:lineRule="exact"/>
        <w:ind w:firstLine="640"/>
        <w:rPr>
          <w:szCs w:val="32"/>
          <w:highlight w:val="none"/>
        </w:rPr>
      </w:pPr>
      <w:r>
        <w:rPr>
          <w:szCs w:val="32"/>
          <w:highlight w:val="none"/>
        </w:rPr>
        <w:t>[1</w:t>
      </w:r>
      <w:r>
        <w:rPr>
          <w:rFonts w:hint="eastAsia"/>
          <w:szCs w:val="32"/>
          <w:highlight w:val="none"/>
        </w:rPr>
        <w:t>3</w:t>
      </w:r>
      <w:r>
        <w:rPr>
          <w:szCs w:val="32"/>
          <w:highlight w:val="none"/>
        </w:rPr>
        <w:t>]</w:t>
      </w:r>
      <w:r>
        <w:rPr>
          <w:rFonts w:hint="eastAsia"/>
          <w:szCs w:val="32"/>
          <w:highlight w:val="none"/>
        </w:rPr>
        <w:t>国家药监局器审中心医疗器械可用性工程注册审查指导原则：</w:t>
      </w:r>
      <w:r>
        <w:rPr>
          <w:rFonts w:hint="eastAsia"/>
          <w:kern w:val="0"/>
          <w:szCs w:val="32"/>
          <w:highlight w:val="none"/>
        </w:rPr>
        <w:t>国家药监局器审中心</w:t>
      </w:r>
      <w:r>
        <w:rPr>
          <w:rFonts w:hint="eastAsia"/>
          <w:szCs w:val="32"/>
          <w:highlight w:val="none"/>
        </w:rPr>
        <w:t>通告2024年第13号</w:t>
      </w:r>
      <w:r>
        <w:rPr>
          <w:szCs w:val="32"/>
          <w:highlight w:val="none"/>
        </w:rPr>
        <w:t>[Z].</w:t>
      </w:r>
    </w:p>
    <w:p>
      <w:pPr>
        <w:spacing w:line="520" w:lineRule="exact"/>
        <w:ind w:firstLine="640"/>
        <w:rPr>
          <w:szCs w:val="32"/>
          <w:highlight w:val="none"/>
        </w:rPr>
      </w:pPr>
      <w:r>
        <w:rPr>
          <w:szCs w:val="32"/>
          <w:highlight w:val="none"/>
        </w:rPr>
        <w:t>[</w:t>
      </w:r>
      <w:r>
        <w:rPr>
          <w:rFonts w:hint="eastAsia"/>
          <w:szCs w:val="32"/>
          <w:highlight w:val="none"/>
        </w:rPr>
        <w:t>14</w:t>
      </w:r>
      <w:r>
        <w:rPr>
          <w:szCs w:val="32"/>
          <w:highlight w:val="none"/>
        </w:rPr>
        <w:t>]</w:t>
      </w:r>
      <w:r>
        <w:rPr>
          <w:rFonts w:hint="eastAsia"/>
          <w:kern w:val="0"/>
          <w:szCs w:val="32"/>
          <w:highlight w:val="none"/>
        </w:rPr>
        <w:t>国家药品监督管理局医疗器械审评中心</w:t>
      </w:r>
      <w:r>
        <w:rPr>
          <w:kern w:val="0"/>
          <w:szCs w:val="32"/>
          <w:highlight w:val="none"/>
        </w:rPr>
        <w:t>.</w:t>
      </w:r>
      <w:r>
        <w:rPr>
          <w:rFonts w:hint="eastAsia"/>
          <w:kern w:val="0"/>
          <w:szCs w:val="32"/>
          <w:highlight w:val="none"/>
        </w:rPr>
        <w:t>医疗器械软件注册审查指导原则</w:t>
      </w:r>
      <w:r>
        <w:rPr>
          <w:kern w:val="0"/>
          <w:szCs w:val="32"/>
          <w:highlight w:val="none"/>
        </w:rPr>
        <w:t>(2022</w:t>
      </w:r>
      <w:r>
        <w:rPr>
          <w:rFonts w:hint="eastAsia"/>
          <w:kern w:val="0"/>
          <w:szCs w:val="32"/>
          <w:highlight w:val="none"/>
        </w:rPr>
        <w:t>年修订版</w:t>
      </w:r>
      <w:r>
        <w:rPr>
          <w:kern w:val="0"/>
          <w:szCs w:val="32"/>
          <w:highlight w:val="none"/>
        </w:rPr>
        <w:t>):</w:t>
      </w:r>
      <w:r>
        <w:rPr>
          <w:rFonts w:hint="eastAsia"/>
          <w:kern w:val="0"/>
          <w:szCs w:val="32"/>
          <w:highlight w:val="none"/>
        </w:rPr>
        <w:t>国家药监局器审中心通告</w:t>
      </w:r>
      <w:r>
        <w:rPr>
          <w:kern w:val="0"/>
          <w:szCs w:val="32"/>
          <w:highlight w:val="none"/>
        </w:rPr>
        <w:t>2022</w:t>
      </w:r>
      <w:r>
        <w:rPr>
          <w:rFonts w:hint="eastAsia"/>
          <w:kern w:val="0"/>
          <w:szCs w:val="32"/>
          <w:highlight w:val="none"/>
        </w:rPr>
        <w:t>年第</w:t>
      </w:r>
      <w:r>
        <w:rPr>
          <w:kern w:val="0"/>
          <w:szCs w:val="32"/>
          <w:highlight w:val="none"/>
        </w:rPr>
        <w:t>9</w:t>
      </w:r>
      <w:r>
        <w:rPr>
          <w:rFonts w:hint="eastAsia"/>
          <w:kern w:val="0"/>
          <w:szCs w:val="32"/>
          <w:highlight w:val="none"/>
        </w:rPr>
        <w:t>号</w:t>
      </w:r>
      <w:r>
        <w:rPr>
          <w:szCs w:val="32"/>
          <w:highlight w:val="none"/>
        </w:rPr>
        <w:t>[Z].</w:t>
      </w:r>
    </w:p>
    <w:p>
      <w:pPr>
        <w:spacing w:line="520" w:lineRule="exact"/>
        <w:ind w:firstLine="640"/>
        <w:rPr>
          <w:szCs w:val="32"/>
          <w:highlight w:val="none"/>
        </w:rPr>
      </w:pPr>
      <w:r>
        <w:rPr>
          <w:szCs w:val="32"/>
          <w:highlight w:val="none"/>
        </w:rPr>
        <w:t>[</w:t>
      </w:r>
      <w:r>
        <w:rPr>
          <w:rFonts w:hint="eastAsia"/>
          <w:szCs w:val="32"/>
          <w:highlight w:val="none"/>
        </w:rPr>
        <w:t>15</w:t>
      </w:r>
      <w:r>
        <w:rPr>
          <w:szCs w:val="32"/>
          <w:highlight w:val="none"/>
        </w:rPr>
        <w:t>]</w:t>
      </w:r>
      <w:r>
        <w:rPr>
          <w:rFonts w:hint="eastAsia"/>
          <w:kern w:val="0"/>
          <w:szCs w:val="32"/>
          <w:highlight w:val="none"/>
        </w:rPr>
        <w:t>国家药品监督管理局医疗器械审评中心</w:t>
      </w:r>
      <w:r>
        <w:rPr>
          <w:kern w:val="0"/>
          <w:szCs w:val="32"/>
          <w:highlight w:val="none"/>
        </w:rPr>
        <w:t>.</w:t>
      </w:r>
      <w:r>
        <w:rPr>
          <w:rFonts w:hint="eastAsia"/>
          <w:kern w:val="0"/>
          <w:szCs w:val="32"/>
          <w:highlight w:val="none"/>
        </w:rPr>
        <w:t>医疗器械网络安全注册审查指导原则（2022年修订版）</w:t>
      </w:r>
      <w:r>
        <w:rPr>
          <w:kern w:val="0"/>
          <w:szCs w:val="32"/>
          <w:highlight w:val="none"/>
        </w:rPr>
        <w:t>:</w:t>
      </w:r>
      <w:r>
        <w:rPr>
          <w:rFonts w:hint="eastAsia"/>
          <w:kern w:val="0"/>
          <w:szCs w:val="32"/>
          <w:highlight w:val="none"/>
        </w:rPr>
        <w:t>国家药监局器审中心通告2022年第7号</w:t>
      </w:r>
      <w:r>
        <w:rPr>
          <w:szCs w:val="32"/>
          <w:highlight w:val="none"/>
        </w:rPr>
        <w:t>[Z].</w:t>
      </w:r>
    </w:p>
    <w:p>
      <w:pPr>
        <w:spacing w:line="520" w:lineRule="exact"/>
        <w:ind w:firstLine="640"/>
        <w:rPr>
          <w:highlight w:val="none"/>
        </w:rPr>
      </w:pPr>
      <w:r>
        <w:rPr>
          <w:szCs w:val="32"/>
          <w:highlight w:val="none"/>
        </w:rPr>
        <w:t>[</w:t>
      </w:r>
      <w:r>
        <w:rPr>
          <w:rFonts w:hint="eastAsia"/>
          <w:szCs w:val="32"/>
          <w:highlight w:val="none"/>
        </w:rPr>
        <w:t>16</w:t>
      </w:r>
      <w:r>
        <w:rPr>
          <w:szCs w:val="32"/>
          <w:highlight w:val="none"/>
        </w:rPr>
        <w:t>]</w:t>
      </w:r>
      <w:r>
        <w:rPr>
          <w:rFonts w:hint="eastAsia"/>
          <w:szCs w:val="32"/>
          <w:highlight w:val="none"/>
        </w:rPr>
        <w:t>YY 9706.102,</w:t>
      </w:r>
      <w:r>
        <w:rPr>
          <w:rFonts w:hint="eastAsia"/>
          <w:szCs w:val="32"/>
          <w:highlight w:val="none"/>
          <w:lang w:val="en-US" w:eastAsia="zh-CN"/>
        </w:rPr>
        <w:t>医</w:t>
      </w:r>
      <w:r>
        <w:rPr>
          <w:rFonts w:hint="eastAsia"/>
          <w:szCs w:val="32"/>
          <w:highlight w:val="none"/>
        </w:rPr>
        <w:t>用电气设备 第1-2部分：基本安全和基本性能的通用要求 并列标准：电磁兼容 要求和试验[S].</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2098" w:left="1588" w:header="851" w:footer="195" w:gutter="0"/>
      <w:lnNumType w:countBy="1" w:restart="continuous"/>
      <w:cols w:space="720"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panose1 w:val="02000000000000000000"/>
    <w:charset w:val="86"/>
    <w:family w:val="script"/>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方正小标宋简体">
    <w:panose1 w:val="02000000000000000000"/>
    <w:charset w:val="86"/>
    <w:family w:val="script"/>
    <w:pitch w:val="default"/>
    <w:sig w:usb0="A00002BF" w:usb1="184F6CFA" w:usb2="00000012" w:usb3="00000000" w:csb0="00040001"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560"/>
      <w:jc w:val="right"/>
    </w:pPr>
    <w:r>
      <w:rPr>
        <w:rStyle w:val="16"/>
        <w:sz w:val="28"/>
        <w:szCs w:val="28"/>
      </w:rPr>
      <w:t xml:space="preserve">— </w:t>
    </w:r>
    <w:sdt>
      <w:sdtPr>
        <w:id w:val="-1"/>
      </w:sdtPr>
      <w:sdtContent>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3</w:t>
        </w:r>
        <w:r>
          <w:rPr>
            <w:sz w:val="28"/>
            <w:szCs w:val="28"/>
          </w:rPr>
          <w:fldChar w:fldCharType="end"/>
        </w:r>
        <w:r>
          <w:t xml:space="preserve"> </w:t>
        </w:r>
        <w:r>
          <w:rPr>
            <w:rStyle w:val="16"/>
            <w:sz w:val="28"/>
            <w:szCs w:val="28"/>
          </w:rPr>
          <w:t>—</w:t>
        </w:r>
      </w:sdtContent>
    </w:sdt>
  </w:p>
  <w:p>
    <w:pPr>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numPr>
        <w:ilvl w:val="0"/>
        <w:numId w:val="1"/>
      </w:numPr>
      <w:tabs>
        <w:tab w:val="left" w:pos="284"/>
      </w:tabs>
      <w:ind w:left="709" w:hanging="720" w:firstLineChars="0"/>
    </w:pPr>
    <w:sdt>
      <w:sdtPr>
        <w:id w:val="1553503087"/>
      </w:sdtPr>
      <w:sdtEndPr>
        <w:rPr>
          <w:sz w:val="28"/>
          <w:szCs w:val="28"/>
        </w:rPr>
      </w:sdtEndPr>
      <w:sdtContent>
        <w: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sz w:val="28"/>
            <w:szCs w:val="28"/>
          </w:rPr>
          <w:t xml:space="preserve"> —</w:t>
        </w:r>
      </w:sdtContent>
    </w:sdt>
  </w:p>
  <w:p>
    <w:pPr>
      <w:ind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C4BDF4"/>
    <w:multiLevelType w:val="singleLevel"/>
    <w:tmpl w:val="27C4BDF4"/>
    <w:lvl w:ilvl="0" w:tentative="0">
      <w:start w:val="1"/>
      <w:numFmt w:val="chineseCounting"/>
      <w:suff w:val="nothing"/>
      <w:lvlText w:val="（%1）"/>
      <w:lvlJc w:val="left"/>
      <w:rPr>
        <w:rFonts w:hint="eastAsia"/>
      </w:rPr>
    </w:lvl>
  </w:abstractNum>
  <w:abstractNum w:abstractNumId="1">
    <w:nsid w:val="30376CCE"/>
    <w:multiLevelType w:val="multilevel"/>
    <w:tmpl w:val="30376CCE"/>
    <w:lvl w:ilvl="0" w:tentative="0">
      <w:start w:val="2023"/>
      <w:numFmt w:val="bullet"/>
      <w:lvlText w:val="—"/>
      <w:lvlJc w:val="left"/>
      <w:pPr>
        <w:ind w:left="720" w:hanging="360"/>
      </w:pPr>
      <w:rPr>
        <w:rFonts w:hint="default" w:ascii="Times New Roman" w:hAnsi="Times New Roman" w:eastAsia="仿宋_GB2312" w:cs="Times New Roman"/>
        <w:sz w:val="28"/>
        <w:szCs w:val="28"/>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evenAndOddHeaders w:val="1"/>
  <w:drawingGridHorizontalSpacing w:val="160"/>
  <w:drawingGridVerticalSpacing w:val="435"/>
  <w:displayHorizontalDrawingGridEvery w:val="1"/>
  <w:displayVerticalDrawingGridEvery w:val="1"/>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NiZmJiZjkwMjhlMzQwYmJhNDUwYTc4Y2ZjMGIzYTMifQ=="/>
  </w:docVars>
  <w:rsids>
    <w:rsidRoot w:val="00E72051"/>
    <w:rsid w:val="00001473"/>
    <w:rsid w:val="00002589"/>
    <w:rsid w:val="00002B57"/>
    <w:rsid w:val="00003A23"/>
    <w:rsid w:val="00003BAE"/>
    <w:rsid w:val="0000451C"/>
    <w:rsid w:val="00004D55"/>
    <w:rsid w:val="0000511A"/>
    <w:rsid w:val="00005304"/>
    <w:rsid w:val="00006EBB"/>
    <w:rsid w:val="000071F2"/>
    <w:rsid w:val="000118CC"/>
    <w:rsid w:val="00011AA3"/>
    <w:rsid w:val="000127BB"/>
    <w:rsid w:val="000129EF"/>
    <w:rsid w:val="00013D0F"/>
    <w:rsid w:val="00013EC0"/>
    <w:rsid w:val="00014343"/>
    <w:rsid w:val="00014DB6"/>
    <w:rsid w:val="00015060"/>
    <w:rsid w:val="00015912"/>
    <w:rsid w:val="00015B09"/>
    <w:rsid w:val="000165C3"/>
    <w:rsid w:val="00017576"/>
    <w:rsid w:val="00020E92"/>
    <w:rsid w:val="00021221"/>
    <w:rsid w:val="00021742"/>
    <w:rsid w:val="00021B8C"/>
    <w:rsid w:val="00021D1D"/>
    <w:rsid w:val="0002206E"/>
    <w:rsid w:val="000220C0"/>
    <w:rsid w:val="000220C3"/>
    <w:rsid w:val="00022DA8"/>
    <w:rsid w:val="00023469"/>
    <w:rsid w:val="00024239"/>
    <w:rsid w:val="00024457"/>
    <w:rsid w:val="00024BFC"/>
    <w:rsid w:val="000265B0"/>
    <w:rsid w:val="000265BC"/>
    <w:rsid w:val="00027351"/>
    <w:rsid w:val="00027798"/>
    <w:rsid w:val="00031694"/>
    <w:rsid w:val="0003198F"/>
    <w:rsid w:val="000321C2"/>
    <w:rsid w:val="00032464"/>
    <w:rsid w:val="000332C6"/>
    <w:rsid w:val="000336CB"/>
    <w:rsid w:val="00033D8D"/>
    <w:rsid w:val="00034BE4"/>
    <w:rsid w:val="00034CA9"/>
    <w:rsid w:val="00036806"/>
    <w:rsid w:val="00040B20"/>
    <w:rsid w:val="00040C0F"/>
    <w:rsid w:val="00041E46"/>
    <w:rsid w:val="00041EB6"/>
    <w:rsid w:val="00042217"/>
    <w:rsid w:val="000425E8"/>
    <w:rsid w:val="000433E9"/>
    <w:rsid w:val="00043782"/>
    <w:rsid w:val="00050282"/>
    <w:rsid w:val="00050549"/>
    <w:rsid w:val="0005231C"/>
    <w:rsid w:val="00053A80"/>
    <w:rsid w:val="00053DE6"/>
    <w:rsid w:val="00054399"/>
    <w:rsid w:val="0005492A"/>
    <w:rsid w:val="00055B9C"/>
    <w:rsid w:val="000606E9"/>
    <w:rsid w:val="000623BD"/>
    <w:rsid w:val="000629B5"/>
    <w:rsid w:val="0006337B"/>
    <w:rsid w:val="000638D9"/>
    <w:rsid w:val="00063DE4"/>
    <w:rsid w:val="000643F9"/>
    <w:rsid w:val="00065FB2"/>
    <w:rsid w:val="00072B7B"/>
    <w:rsid w:val="00072FE4"/>
    <w:rsid w:val="00073234"/>
    <w:rsid w:val="00073ED5"/>
    <w:rsid w:val="00076015"/>
    <w:rsid w:val="00076328"/>
    <w:rsid w:val="0007639E"/>
    <w:rsid w:val="00076D46"/>
    <w:rsid w:val="00080647"/>
    <w:rsid w:val="000819EC"/>
    <w:rsid w:val="000822CD"/>
    <w:rsid w:val="00082B16"/>
    <w:rsid w:val="000830A3"/>
    <w:rsid w:val="000840DD"/>
    <w:rsid w:val="000845A0"/>
    <w:rsid w:val="00084794"/>
    <w:rsid w:val="00085835"/>
    <w:rsid w:val="00085A84"/>
    <w:rsid w:val="0008733B"/>
    <w:rsid w:val="00091AD0"/>
    <w:rsid w:val="000943AF"/>
    <w:rsid w:val="00094B53"/>
    <w:rsid w:val="000954FF"/>
    <w:rsid w:val="000968EE"/>
    <w:rsid w:val="00096D32"/>
    <w:rsid w:val="00097195"/>
    <w:rsid w:val="000A1017"/>
    <w:rsid w:val="000A499D"/>
    <w:rsid w:val="000A4EF9"/>
    <w:rsid w:val="000A5A90"/>
    <w:rsid w:val="000A6C77"/>
    <w:rsid w:val="000A73DE"/>
    <w:rsid w:val="000A73EE"/>
    <w:rsid w:val="000A7D0D"/>
    <w:rsid w:val="000B0752"/>
    <w:rsid w:val="000B0DE3"/>
    <w:rsid w:val="000B0FD4"/>
    <w:rsid w:val="000B192C"/>
    <w:rsid w:val="000B1B7E"/>
    <w:rsid w:val="000B2204"/>
    <w:rsid w:val="000B28EF"/>
    <w:rsid w:val="000B3D81"/>
    <w:rsid w:val="000B5D12"/>
    <w:rsid w:val="000B7A85"/>
    <w:rsid w:val="000C003E"/>
    <w:rsid w:val="000C19A9"/>
    <w:rsid w:val="000C36AC"/>
    <w:rsid w:val="000C3DE1"/>
    <w:rsid w:val="000C43A4"/>
    <w:rsid w:val="000C45D5"/>
    <w:rsid w:val="000C4604"/>
    <w:rsid w:val="000C4A53"/>
    <w:rsid w:val="000C5789"/>
    <w:rsid w:val="000C6B9A"/>
    <w:rsid w:val="000C7196"/>
    <w:rsid w:val="000C7862"/>
    <w:rsid w:val="000D0273"/>
    <w:rsid w:val="000D0501"/>
    <w:rsid w:val="000D16EB"/>
    <w:rsid w:val="000D3621"/>
    <w:rsid w:val="000D37A7"/>
    <w:rsid w:val="000D5BC0"/>
    <w:rsid w:val="000D5D01"/>
    <w:rsid w:val="000D675C"/>
    <w:rsid w:val="000D6D12"/>
    <w:rsid w:val="000D7886"/>
    <w:rsid w:val="000E3355"/>
    <w:rsid w:val="000E3498"/>
    <w:rsid w:val="000E3C3E"/>
    <w:rsid w:val="000E47CD"/>
    <w:rsid w:val="000E4BBF"/>
    <w:rsid w:val="000E5117"/>
    <w:rsid w:val="000E56A2"/>
    <w:rsid w:val="000E586F"/>
    <w:rsid w:val="000E5BD2"/>
    <w:rsid w:val="000E6526"/>
    <w:rsid w:val="000E775B"/>
    <w:rsid w:val="000F0245"/>
    <w:rsid w:val="000F06E8"/>
    <w:rsid w:val="000F0D66"/>
    <w:rsid w:val="000F1675"/>
    <w:rsid w:val="000F16CE"/>
    <w:rsid w:val="000F1773"/>
    <w:rsid w:val="000F2029"/>
    <w:rsid w:val="000F22B0"/>
    <w:rsid w:val="000F296E"/>
    <w:rsid w:val="000F4092"/>
    <w:rsid w:val="000F5176"/>
    <w:rsid w:val="000F5D2B"/>
    <w:rsid w:val="000F6E75"/>
    <w:rsid w:val="000F7DB7"/>
    <w:rsid w:val="0010000A"/>
    <w:rsid w:val="001001A6"/>
    <w:rsid w:val="00101212"/>
    <w:rsid w:val="001020CA"/>
    <w:rsid w:val="00102410"/>
    <w:rsid w:val="0010295C"/>
    <w:rsid w:val="00104B90"/>
    <w:rsid w:val="0010534C"/>
    <w:rsid w:val="00105CFF"/>
    <w:rsid w:val="001075BF"/>
    <w:rsid w:val="00107CD3"/>
    <w:rsid w:val="00107D03"/>
    <w:rsid w:val="001100E8"/>
    <w:rsid w:val="0011175D"/>
    <w:rsid w:val="0011270A"/>
    <w:rsid w:val="00112749"/>
    <w:rsid w:val="00112E20"/>
    <w:rsid w:val="0011359D"/>
    <w:rsid w:val="001136DA"/>
    <w:rsid w:val="00113F04"/>
    <w:rsid w:val="001150A2"/>
    <w:rsid w:val="001166BD"/>
    <w:rsid w:val="00117AE0"/>
    <w:rsid w:val="001202E9"/>
    <w:rsid w:val="00120657"/>
    <w:rsid w:val="00120DDA"/>
    <w:rsid w:val="001225F8"/>
    <w:rsid w:val="001226FF"/>
    <w:rsid w:val="00122BA3"/>
    <w:rsid w:val="00122D9F"/>
    <w:rsid w:val="00124883"/>
    <w:rsid w:val="001248EB"/>
    <w:rsid w:val="0012492A"/>
    <w:rsid w:val="00124CDC"/>
    <w:rsid w:val="00126AB0"/>
    <w:rsid w:val="00126DB5"/>
    <w:rsid w:val="00127623"/>
    <w:rsid w:val="00130864"/>
    <w:rsid w:val="00131FF0"/>
    <w:rsid w:val="00134B42"/>
    <w:rsid w:val="00135373"/>
    <w:rsid w:val="00140DC9"/>
    <w:rsid w:val="001427DB"/>
    <w:rsid w:val="00142F1F"/>
    <w:rsid w:val="00143F8C"/>
    <w:rsid w:val="00146DA2"/>
    <w:rsid w:val="0015160F"/>
    <w:rsid w:val="001539C3"/>
    <w:rsid w:val="00153FA4"/>
    <w:rsid w:val="00154004"/>
    <w:rsid w:val="00155B47"/>
    <w:rsid w:val="00156E7D"/>
    <w:rsid w:val="001570CA"/>
    <w:rsid w:val="001571A2"/>
    <w:rsid w:val="00160435"/>
    <w:rsid w:val="00162575"/>
    <w:rsid w:val="00162FD7"/>
    <w:rsid w:val="00164E81"/>
    <w:rsid w:val="00164FCD"/>
    <w:rsid w:val="00165A87"/>
    <w:rsid w:val="001660A3"/>
    <w:rsid w:val="001664D9"/>
    <w:rsid w:val="0016671E"/>
    <w:rsid w:val="001678DE"/>
    <w:rsid w:val="00167E56"/>
    <w:rsid w:val="0017078B"/>
    <w:rsid w:val="00171374"/>
    <w:rsid w:val="001714D9"/>
    <w:rsid w:val="00171645"/>
    <w:rsid w:val="0017180E"/>
    <w:rsid w:val="001722FB"/>
    <w:rsid w:val="0017290D"/>
    <w:rsid w:val="00173C65"/>
    <w:rsid w:val="0017470C"/>
    <w:rsid w:val="001757D3"/>
    <w:rsid w:val="00175988"/>
    <w:rsid w:val="00175FB9"/>
    <w:rsid w:val="001775CB"/>
    <w:rsid w:val="0017779D"/>
    <w:rsid w:val="0017782A"/>
    <w:rsid w:val="00181646"/>
    <w:rsid w:val="001829BA"/>
    <w:rsid w:val="00182FCA"/>
    <w:rsid w:val="00183EAA"/>
    <w:rsid w:val="00184587"/>
    <w:rsid w:val="00184975"/>
    <w:rsid w:val="0018503C"/>
    <w:rsid w:val="001869C7"/>
    <w:rsid w:val="001879F1"/>
    <w:rsid w:val="00187BBA"/>
    <w:rsid w:val="0019036D"/>
    <w:rsid w:val="00190480"/>
    <w:rsid w:val="00192BBE"/>
    <w:rsid w:val="001934EB"/>
    <w:rsid w:val="0019622D"/>
    <w:rsid w:val="00196626"/>
    <w:rsid w:val="0019739E"/>
    <w:rsid w:val="00197BB6"/>
    <w:rsid w:val="00197F70"/>
    <w:rsid w:val="001A032B"/>
    <w:rsid w:val="001A086E"/>
    <w:rsid w:val="001A1F5E"/>
    <w:rsid w:val="001A23DF"/>
    <w:rsid w:val="001A303E"/>
    <w:rsid w:val="001B0440"/>
    <w:rsid w:val="001B0EB0"/>
    <w:rsid w:val="001B13CD"/>
    <w:rsid w:val="001B1459"/>
    <w:rsid w:val="001B1657"/>
    <w:rsid w:val="001B1D12"/>
    <w:rsid w:val="001B24E7"/>
    <w:rsid w:val="001B3ADE"/>
    <w:rsid w:val="001B45B1"/>
    <w:rsid w:val="001B4B18"/>
    <w:rsid w:val="001B5420"/>
    <w:rsid w:val="001B5E23"/>
    <w:rsid w:val="001B5E6C"/>
    <w:rsid w:val="001C27D2"/>
    <w:rsid w:val="001C3A2A"/>
    <w:rsid w:val="001C414C"/>
    <w:rsid w:val="001C4BBA"/>
    <w:rsid w:val="001C6050"/>
    <w:rsid w:val="001C60D8"/>
    <w:rsid w:val="001C6626"/>
    <w:rsid w:val="001C74DC"/>
    <w:rsid w:val="001D00E8"/>
    <w:rsid w:val="001D2018"/>
    <w:rsid w:val="001D2444"/>
    <w:rsid w:val="001D283A"/>
    <w:rsid w:val="001D2860"/>
    <w:rsid w:val="001D2A3B"/>
    <w:rsid w:val="001D2D14"/>
    <w:rsid w:val="001D3322"/>
    <w:rsid w:val="001D50F1"/>
    <w:rsid w:val="001D586F"/>
    <w:rsid w:val="001D725C"/>
    <w:rsid w:val="001E0167"/>
    <w:rsid w:val="001E0866"/>
    <w:rsid w:val="001E1BE1"/>
    <w:rsid w:val="001E1C08"/>
    <w:rsid w:val="001E277B"/>
    <w:rsid w:val="001E33B2"/>
    <w:rsid w:val="001E4A4F"/>
    <w:rsid w:val="001E5371"/>
    <w:rsid w:val="001E5610"/>
    <w:rsid w:val="001E5845"/>
    <w:rsid w:val="001F0474"/>
    <w:rsid w:val="001F0E37"/>
    <w:rsid w:val="001F114D"/>
    <w:rsid w:val="001F2701"/>
    <w:rsid w:val="001F2B52"/>
    <w:rsid w:val="001F2B78"/>
    <w:rsid w:val="001F38A9"/>
    <w:rsid w:val="001F4B8F"/>
    <w:rsid w:val="001F5267"/>
    <w:rsid w:val="001F7E54"/>
    <w:rsid w:val="002001A3"/>
    <w:rsid w:val="0020158F"/>
    <w:rsid w:val="00201D40"/>
    <w:rsid w:val="002022FB"/>
    <w:rsid w:val="00202441"/>
    <w:rsid w:val="00202964"/>
    <w:rsid w:val="00202CDF"/>
    <w:rsid w:val="002041D4"/>
    <w:rsid w:val="00204F12"/>
    <w:rsid w:val="002053BE"/>
    <w:rsid w:val="002068D5"/>
    <w:rsid w:val="00206F4F"/>
    <w:rsid w:val="0021098B"/>
    <w:rsid w:val="0021144F"/>
    <w:rsid w:val="00211A6C"/>
    <w:rsid w:val="002121DC"/>
    <w:rsid w:val="00212358"/>
    <w:rsid w:val="002134D0"/>
    <w:rsid w:val="0021351C"/>
    <w:rsid w:val="00213D8D"/>
    <w:rsid w:val="00214DC4"/>
    <w:rsid w:val="00214E35"/>
    <w:rsid w:val="002150EF"/>
    <w:rsid w:val="0021612A"/>
    <w:rsid w:val="0021738B"/>
    <w:rsid w:val="0021799B"/>
    <w:rsid w:val="00217D6A"/>
    <w:rsid w:val="00220797"/>
    <w:rsid w:val="00220998"/>
    <w:rsid w:val="00221866"/>
    <w:rsid w:val="002228D3"/>
    <w:rsid w:val="00222ACA"/>
    <w:rsid w:val="002233B6"/>
    <w:rsid w:val="002244EF"/>
    <w:rsid w:val="00225DD2"/>
    <w:rsid w:val="00227527"/>
    <w:rsid w:val="00227EC2"/>
    <w:rsid w:val="0023028B"/>
    <w:rsid w:val="00230468"/>
    <w:rsid w:val="002313A1"/>
    <w:rsid w:val="0023153B"/>
    <w:rsid w:val="00231FCC"/>
    <w:rsid w:val="002321F0"/>
    <w:rsid w:val="00232D24"/>
    <w:rsid w:val="00233053"/>
    <w:rsid w:val="00234C67"/>
    <w:rsid w:val="0023666F"/>
    <w:rsid w:val="00236C08"/>
    <w:rsid w:val="00241044"/>
    <w:rsid w:val="00241D77"/>
    <w:rsid w:val="0024264C"/>
    <w:rsid w:val="0024377D"/>
    <w:rsid w:val="0024467F"/>
    <w:rsid w:val="002455C7"/>
    <w:rsid w:val="00246B76"/>
    <w:rsid w:val="00247303"/>
    <w:rsid w:val="00247448"/>
    <w:rsid w:val="00247FE2"/>
    <w:rsid w:val="00250027"/>
    <w:rsid w:val="002521AB"/>
    <w:rsid w:val="00253B7A"/>
    <w:rsid w:val="002541A6"/>
    <w:rsid w:val="00254A85"/>
    <w:rsid w:val="00255762"/>
    <w:rsid w:val="00255D16"/>
    <w:rsid w:val="00256FDD"/>
    <w:rsid w:val="00257956"/>
    <w:rsid w:val="00260293"/>
    <w:rsid w:val="00260D3E"/>
    <w:rsid w:val="00262D2A"/>
    <w:rsid w:val="00263071"/>
    <w:rsid w:val="00263469"/>
    <w:rsid w:val="00263BCB"/>
    <w:rsid w:val="00265EEE"/>
    <w:rsid w:val="00266138"/>
    <w:rsid w:val="00267BB8"/>
    <w:rsid w:val="00270B06"/>
    <w:rsid w:val="0027212A"/>
    <w:rsid w:val="00273558"/>
    <w:rsid w:val="00273987"/>
    <w:rsid w:val="0027430D"/>
    <w:rsid w:val="0027460C"/>
    <w:rsid w:val="00276043"/>
    <w:rsid w:val="00276347"/>
    <w:rsid w:val="002765CF"/>
    <w:rsid w:val="00276E6A"/>
    <w:rsid w:val="002776DA"/>
    <w:rsid w:val="00280918"/>
    <w:rsid w:val="00280BC6"/>
    <w:rsid w:val="00280CF7"/>
    <w:rsid w:val="00281C23"/>
    <w:rsid w:val="002823FC"/>
    <w:rsid w:val="0028272E"/>
    <w:rsid w:val="00282979"/>
    <w:rsid w:val="00283ECB"/>
    <w:rsid w:val="002854D2"/>
    <w:rsid w:val="002854EB"/>
    <w:rsid w:val="002869DC"/>
    <w:rsid w:val="00286AF2"/>
    <w:rsid w:val="002872E0"/>
    <w:rsid w:val="00290C55"/>
    <w:rsid w:val="002913E0"/>
    <w:rsid w:val="00293669"/>
    <w:rsid w:val="00293BD1"/>
    <w:rsid w:val="00295560"/>
    <w:rsid w:val="00295726"/>
    <w:rsid w:val="00296E7A"/>
    <w:rsid w:val="002973EA"/>
    <w:rsid w:val="00297C90"/>
    <w:rsid w:val="002A111B"/>
    <w:rsid w:val="002A16E9"/>
    <w:rsid w:val="002A1C37"/>
    <w:rsid w:val="002A1DEF"/>
    <w:rsid w:val="002A1E64"/>
    <w:rsid w:val="002A2C9C"/>
    <w:rsid w:val="002A311E"/>
    <w:rsid w:val="002A38D9"/>
    <w:rsid w:val="002A7804"/>
    <w:rsid w:val="002B0715"/>
    <w:rsid w:val="002B1A06"/>
    <w:rsid w:val="002B3CC8"/>
    <w:rsid w:val="002B41E8"/>
    <w:rsid w:val="002B4698"/>
    <w:rsid w:val="002B4D84"/>
    <w:rsid w:val="002B5ADC"/>
    <w:rsid w:val="002B6389"/>
    <w:rsid w:val="002B6CDA"/>
    <w:rsid w:val="002B71A8"/>
    <w:rsid w:val="002C0598"/>
    <w:rsid w:val="002C07D2"/>
    <w:rsid w:val="002C12A2"/>
    <w:rsid w:val="002C19A5"/>
    <w:rsid w:val="002C2791"/>
    <w:rsid w:val="002C35D5"/>
    <w:rsid w:val="002C566D"/>
    <w:rsid w:val="002C70AC"/>
    <w:rsid w:val="002C7BD2"/>
    <w:rsid w:val="002C7EE2"/>
    <w:rsid w:val="002D1678"/>
    <w:rsid w:val="002D177B"/>
    <w:rsid w:val="002D3B32"/>
    <w:rsid w:val="002D49D7"/>
    <w:rsid w:val="002D627D"/>
    <w:rsid w:val="002D632F"/>
    <w:rsid w:val="002D6F65"/>
    <w:rsid w:val="002D7073"/>
    <w:rsid w:val="002E0893"/>
    <w:rsid w:val="002E1A5B"/>
    <w:rsid w:val="002E1D7C"/>
    <w:rsid w:val="002E1E25"/>
    <w:rsid w:val="002E3E8C"/>
    <w:rsid w:val="002E4332"/>
    <w:rsid w:val="002E5151"/>
    <w:rsid w:val="002E5614"/>
    <w:rsid w:val="002E61A4"/>
    <w:rsid w:val="002E721B"/>
    <w:rsid w:val="002F04E0"/>
    <w:rsid w:val="002F085A"/>
    <w:rsid w:val="002F08FB"/>
    <w:rsid w:val="002F0B50"/>
    <w:rsid w:val="002F2A42"/>
    <w:rsid w:val="002F3320"/>
    <w:rsid w:val="002F33DF"/>
    <w:rsid w:val="002F3F87"/>
    <w:rsid w:val="002F4F91"/>
    <w:rsid w:val="002F6999"/>
    <w:rsid w:val="002F6B2F"/>
    <w:rsid w:val="003012EF"/>
    <w:rsid w:val="003038D4"/>
    <w:rsid w:val="003047EB"/>
    <w:rsid w:val="00305866"/>
    <w:rsid w:val="0030592D"/>
    <w:rsid w:val="00305A86"/>
    <w:rsid w:val="00310104"/>
    <w:rsid w:val="0031051F"/>
    <w:rsid w:val="00310897"/>
    <w:rsid w:val="00310E02"/>
    <w:rsid w:val="00311AC7"/>
    <w:rsid w:val="003125DF"/>
    <w:rsid w:val="00313061"/>
    <w:rsid w:val="003130E2"/>
    <w:rsid w:val="003131A3"/>
    <w:rsid w:val="003133CB"/>
    <w:rsid w:val="00314081"/>
    <w:rsid w:val="003141A0"/>
    <w:rsid w:val="00314272"/>
    <w:rsid w:val="00315E57"/>
    <w:rsid w:val="003177CD"/>
    <w:rsid w:val="00320545"/>
    <w:rsid w:val="00320883"/>
    <w:rsid w:val="003215FD"/>
    <w:rsid w:val="00322226"/>
    <w:rsid w:val="00322799"/>
    <w:rsid w:val="00322B70"/>
    <w:rsid w:val="0032330A"/>
    <w:rsid w:val="00324A7D"/>
    <w:rsid w:val="00325CB5"/>
    <w:rsid w:val="003262C5"/>
    <w:rsid w:val="003262F2"/>
    <w:rsid w:val="0032639B"/>
    <w:rsid w:val="003263F4"/>
    <w:rsid w:val="00326C74"/>
    <w:rsid w:val="003276A9"/>
    <w:rsid w:val="003276EE"/>
    <w:rsid w:val="003277C8"/>
    <w:rsid w:val="003278A6"/>
    <w:rsid w:val="00327CFF"/>
    <w:rsid w:val="0033173E"/>
    <w:rsid w:val="00331C6F"/>
    <w:rsid w:val="0033335C"/>
    <w:rsid w:val="00333E2F"/>
    <w:rsid w:val="00334FC1"/>
    <w:rsid w:val="00336975"/>
    <w:rsid w:val="0033702C"/>
    <w:rsid w:val="00337897"/>
    <w:rsid w:val="0034157A"/>
    <w:rsid w:val="00343680"/>
    <w:rsid w:val="00345EE6"/>
    <w:rsid w:val="003461CF"/>
    <w:rsid w:val="00346A78"/>
    <w:rsid w:val="00347BD3"/>
    <w:rsid w:val="00347C13"/>
    <w:rsid w:val="00351086"/>
    <w:rsid w:val="003541DF"/>
    <w:rsid w:val="00356CE3"/>
    <w:rsid w:val="00357582"/>
    <w:rsid w:val="003604EA"/>
    <w:rsid w:val="00360872"/>
    <w:rsid w:val="00360E62"/>
    <w:rsid w:val="00360FAF"/>
    <w:rsid w:val="00361A5C"/>
    <w:rsid w:val="0036425F"/>
    <w:rsid w:val="00364699"/>
    <w:rsid w:val="003649D9"/>
    <w:rsid w:val="00364F36"/>
    <w:rsid w:val="00365FFF"/>
    <w:rsid w:val="003660D0"/>
    <w:rsid w:val="00370310"/>
    <w:rsid w:val="003707B2"/>
    <w:rsid w:val="00371BD3"/>
    <w:rsid w:val="00372028"/>
    <w:rsid w:val="0037202F"/>
    <w:rsid w:val="00373E85"/>
    <w:rsid w:val="00373F7D"/>
    <w:rsid w:val="003750D3"/>
    <w:rsid w:val="00375C01"/>
    <w:rsid w:val="00376F16"/>
    <w:rsid w:val="00377AAF"/>
    <w:rsid w:val="003814E4"/>
    <w:rsid w:val="00382D92"/>
    <w:rsid w:val="00383CEC"/>
    <w:rsid w:val="00384A54"/>
    <w:rsid w:val="00384F8D"/>
    <w:rsid w:val="00385079"/>
    <w:rsid w:val="00387755"/>
    <w:rsid w:val="00390E6B"/>
    <w:rsid w:val="003921D9"/>
    <w:rsid w:val="0039286C"/>
    <w:rsid w:val="00393F19"/>
    <w:rsid w:val="0039466A"/>
    <w:rsid w:val="003953CE"/>
    <w:rsid w:val="003968E4"/>
    <w:rsid w:val="00397261"/>
    <w:rsid w:val="003A0457"/>
    <w:rsid w:val="003A08CF"/>
    <w:rsid w:val="003A1222"/>
    <w:rsid w:val="003A1996"/>
    <w:rsid w:val="003A1BE9"/>
    <w:rsid w:val="003A35F8"/>
    <w:rsid w:val="003A3776"/>
    <w:rsid w:val="003A3BC6"/>
    <w:rsid w:val="003A5417"/>
    <w:rsid w:val="003A5BD0"/>
    <w:rsid w:val="003A5C71"/>
    <w:rsid w:val="003B056C"/>
    <w:rsid w:val="003B0FA5"/>
    <w:rsid w:val="003B1B95"/>
    <w:rsid w:val="003B28F4"/>
    <w:rsid w:val="003B3728"/>
    <w:rsid w:val="003B3A68"/>
    <w:rsid w:val="003B3B45"/>
    <w:rsid w:val="003B3EE2"/>
    <w:rsid w:val="003B3F35"/>
    <w:rsid w:val="003B4DA7"/>
    <w:rsid w:val="003B518B"/>
    <w:rsid w:val="003B56A8"/>
    <w:rsid w:val="003C00D2"/>
    <w:rsid w:val="003C23B0"/>
    <w:rsid w:val="003C23C2"/>
    <w:rsid w:val="003C292E"/>
    <w:rsid w:val="003C57D8"/>
    <w:rsid w:val="003C59DD"/>
    <w:rsid w:val="003C6881"/>
    <w:rsid w:val="003C6A7F"/>
    <w:rsid w:val="003C6BA5"/>
    <w:rsid w:val="003C7AD0"/>
    <w:rsid w:val="003C7AD9"/>
    <w:rsid w:val="003D017A"/>
    <w:rsid w:val="003D0826"/>
    <w:rsid w:val="003D0863"/>
    <w:rsid w:val="003D43A4"/>
    <w:rsid w:val="003D4F8D"/>
    <w:rsid w:val="003D58F0"/>
    <w:rsid w:val="003D716D"/>
    <w:rsid w:val="003D71F4"/>
    <w:rsid w:val="003D7A5B"/>
    <w:rsid w:val="003D7C83"/>
    <w:rsid w:val="003D7EAA"/>
    <w:rsid w:val="003D7FF7"/>
    <w:rsid w:val="003E07CD"/>
    <w:rsid w:val="003E0B83"/>
    <w:rsid w:val="003E10EA"/>
    <w:rsid w:val="003E1E95"/>
    <w:rsid w:val="003E3EE1"/>
    <w:rsid w:val="003E47E1"/>
    <w:rsid w:val="003E580E"/>
    <w:rsid w:val="003E723F"/>
    <w:rsid w:val="003F010F"/>
    <w:rsid w:val="003F0168"/>
    <w:rsid w:val="003F1211"/>
    <w:rsid w:val="003F1A11"/>
    <w:rsid w:val="003F2B7F"/>
    <w:rsid w:val="003F2B8A"/>
    <w:rsid w:val="003F3DAE"/>
    <w:rsid w:val="003F5174"/>
    <w:rsid w:val="003F66F3"/>
    <w:rsid w:val="003F6ED0"/>
    <w:rsid w:val="003F745B"/>
    <w:rsid w:val="003F7837"/>
    <w:rsid w:val="003F7E13"/>
    <w:rsid w:val="004012AD"/>
    <w:rsid w:val="004015E6"/>
    <w:rsid w:val="0040417F"/>
    <w:rsid w:val="00404CAD"/>
    <w:rsid w:val="004051C9"/>
    <w:rsid w:val="00405E33"/>
    <w:rsid w:val="004060E7"/>
    <w:rsid w:val="0040763A"/>
    <w:rsid w:val="004100E5"/>
    <w:rsid w:val="004123AA"/>
    <w:rsid w:val="0041333E"/>
    <w:rsid w:val="00413BCB"/>
    <w:rsid w:val="0041413E"/>
    <w:rsid w:val="004147CF"/>
    <w:rsid w:val="00415216"/>
    <w:rsid w:val="0041576B"/>
    <w:rsid w:val="00415AE2"/>
    <w:rsid w:val="00415E11"/>
    <w:rsid w:val="0041601E"/>
    <w:rsid w:val="00417ACD"/>
    <w:rsid w:val="0042505F"/>
    <w:rsid w:val="004257E8"/>
    <w:rsid w:val="00425A46"/>
    <w:rsid w:val="00426423"/>
    <w:rsid w:val="004270CD"/>
    <w:rsid w:val="00427524"/>
    <w:rsid w:val="00427FAE"/>
    <w:rsid w:val="00430F60"/>
    <w:rsid w:val="004310B4"/>
    <w:rsid w:val="00431654"/>
    <w:rsid w:val="00431D16"/>
    <w:rsid w:val="0043240B"/>
    <w:rsid w:val="0043249C"/>
    <w:rsid w:val="004328F0"/>
    <w:rsid w:val="00434801"/>
    <w:rsid w:val="00434FE0"/>
    <w:rsid w:val="00435259"/>
    <w:rsid w:val="00436B9D"/>
    <w:rsid w:val="004400A7"/>
    <w:rsid w:val="00440BCB"/>
    <w:rsid w:val="00441C8E"/>
    <w:rsid w:val="0044218A"/>
    <w:rsid w:val="00442CC9"/>
    <w:rsid w:val="00442F0B"/>
    <w:rsid w:val="00442FE7"/>
    <w:rsid w:val="004456A0"/>
    <w:rsid w:val="004458B8"/>
    <w:rsid w:val="004468C1"/>
    <w:rsid w:val="00446BEB"/>
    <w:rsid w:val="00447D43"/>
    <w:rsid w:val="00447FF2"/>
    <w:rsid w:val="004505FD"/>
    <w:rsid w:val="00450985"/>
    <w:rsid w:val="00450B0B"/>
    <w:rsid w:val="00451055"/>
    <w:rsid w:val="00451744"/>
    <w:rsid w:val="00452155"/>
    <w:rsid w:val="00452CF0"/>
    <w:rsid w:val="00453187"/>
    <w:rsid w:val="00453D71"/>
    <w:rsid w:val="0045517F"/>
    <w:rsid w:val="0045547A"/>
    <w:rsid w:val="00457062"/>
    <w:rsid w:val="0045763F"/>
    <w:rsid w:val="004607BC"/>
    <w:rsid w:val="0046163C"/>
    <w:rsid w:val="004618F0"/>
    <w:rsid w:val="00462D01"/>
    <w:rsid w:val="004630C7"/>
    <w:rsid w:val="00463624"/>
    <w:rsid w:val="00463716"/>
    <w:rsid w:val="00463E51"/>
    <w:rsid w:val="0046462D"/>
    <w:rsid w:val="004660C6"/>
    <w:rsid w:val="004675CA"/>
    <w:rsid w:val="00467A35"/>
    <w:rsid w:val="0047185B"/>
    <w:rsid w:val="00472CE3"/>
    <w:rsid w:val="004739DD"/>
    <w:rsid w:val="00473D9C"/>
    <w:rsid w:val="00474C21"/>
    <w:rsid w:val="00474FB0"/>
    <w:rsid w:val="0047524E"/>
    <w:rsid w:val="004753B5"/>
    <w:rsid w:val="00477402"/>
    <w:rsid w:val="00477B81"/>
    <w:rsid w:val="00477C86"/>
    <w:rsid w:val="0048049D"/>
    <w:rsid w:val="0048085E"/>
    <w:rsid w:val="00481366"/>
    <w:rsid w:val="0048180A"/>
    <w:rsid w:val="00482D0C"/>
    <w:rsid w:val="004831CB"/>
    <w:rsid w:val="00483370"/>
    <w:rsid w:val="00484BF4"/>
    <w:rsid w:val="00485680"/>
    <w:rsid w:val="00485DD5"/>
    <w:rsid w:val="004864B9"/>
    <w:rsid w:val="004867C1"/>
    <w:rsid w:val="004867E7"/>
    <w:rsid w:val="0048784D"/>
    <w:rsid w:val="004878C5"/>
    <w:rsid w:val="004900C9"/>
    <w:rsid w:val="00490312"/>
    <w:rsid w:val="004906F3"/>
    <w:rsid w:val="00490A91"/>
    <w:rsid w:val="00491EC9"/>
    <w:rsid w:val="00492C75"/>
    <w:rsid w:val="004930C2"/>
    <w:rsid w:val="004939A8"/>
    <w:rsid w:val="004948FB"/>
    <w:rsid w:val="00494CAD"/>
    <w:rsid w:val="00495425"/>
    <w:rsid w:val="00495D40"/>
    <w:rsid w:val="00496C08"/>
    <w:rsid w:val="004978C9"/>
    <w:rsid w:val="004A03C3"/>
    <w:rsid w:val="004A1AD7"/>
    <w:rsid w:val="004A205C"/>
    <w:rsid w:val="004A238C"/>
    <w:rsid w:val="004A2926"/>
    <w:rsid w:val="004A2C50"/>
    <w:rsid w:val="004A3649"/>
    <w:rsid w:val="004A5586"/>
    <w:rsid w:val="004A5CA2"/>
    <w:rsid w:val="004A6E44"/>
    <w:rsid w:val="004A79A0"/>
    <w:rsid w:val="004B04FD"/>
    <w:rsid w:val="004B0DF9"/>
    <w:rsid w:val="004B55FC"/>
    <w:rsid w:val="004B7EDC"/>
    <w:rsid w:val="004B7F30"/>
    <w:rsid w:val="004C0C18"/>
    <w:rsid w:val="004C0FA2"/>
    <w:rsid w:val="004C102E"/>
    <w:rsid w:val="004C1193"/>
    <w:rsid w:val="004C1418"/>
    <w:rsid w:val="004C1A12"/>
    <w:rsid w:val="004C4E22"/>
    <w:rsid w:val="004C4FF6"/>
    <w:rsid w:val="004C6357"/>
    <w:rsid w:val="004D0185"/>
    <w:rsid w:val="004D0636"/>
    <w:rsid w:val="004D1A15"/>
    <w:rsid w:val="004D21D6"/>
    <w:rsid w:val="004D2D80"/>
    <w:rsid w:val="004D5512"/>
    <w:rsid w:val="004D5B7B"/>
    <w:rsid w:val="004D5EAB"/>
    <w:rsid w:val="004D642E"/>
    <w:rsid w:val="004D6D54"/>
    <w:rsid w:val="004D6E9B"/>
    <w:rsid w:val="004E0F00"/>
    <w:rsid w:val="004E107B"/>
    <w:rsid w:val="004E36A1"/>
    <w:rsid w:val="004E4DC5"/>
    <w:rsid w:val="004E62DF"/>
    <w:rsid w:val="004E786C"/>
    <w:rsid w:val="004F0010"/>
    <w:rsid w:val="004F18FE"/>
    <w:rsid w:val="004F1D7D"/>
    <w:rsid w:val="004F29CA"/>
    <w:rsid w:val="004F3320"/>
    <w:rsid w:val="004F3677"/>
    <w:rsid w:val="004F36D4"/>
    <w:rsid w:val="004F4386"/>
    <w:rsid w:val="004F5D71"/>
    <w:rsid w:val="005006BA"/>
    <w:rsid w:val="00500F7E"/>
    <w:rsid w:val="005041ED"/>
    <w:rsid w:val="00504404"/>
    <w:rsid w:val="00505023"/>
    <w:rsid w:val="00507311"/>
    <w:rsid w:val="005079CD"/>
    <w:rsid w:val="005123ED"/>
    <w:rsid w:val="00512EDD"/>
    <w:rsid w:val="00514830"/>
    <w:rsid w:val="00514C3A"/>
    <w:rsid w:val="0051604C"/>
    <w:rsid w:val="005168C6"/>
    <w:rsid w:val="005207D2"/>
    <w:rsid w:val="00521357"/>
    <w:rsid w:val="005215B0"/>
    <w:rsid w:val="00521B1D"/>
    <w:rsid w:val="00522F44"/>
    <w:rsid w:val="005241F3"/>
    <w:rsid w:val="00524255"/>
    <w:rsid w:val="005248E3"/>
    <w:rsid w:val="00524F16"/>
    <w:rsid w:val="00524F96"/>
    <w:rsid w:val="00525654"/>
    <w:rsid w:val="0052580C"/>
    <w:rsid w:val="00525A7D"/>
    <w:rsid w:val="00525F16"/>
    <w:rsid w:val="00526E2D"/>
    <w:rsid w:val="00527D48"/>
    <w:rsid w:val="00527FA2"/>
    <w:rsid w:val="0053028E"/>
    <w:rsid w:val="00530A73"/>
    <w:rsid w:val="0053156E"/>
    <w:rsid w:val="00532985"/>
    <w:rsid w:val="005340B1"/>
    <w:rsid w:val="005344CF"/>
    <w:rsid w:val="00534D02"/>
    <w:rsid w:val="00534E9E"/>
    <w:rsid w:val="0053520F"/>
    <w:rsid w:val="005353BB"/>
    <w:rsid w:val="0053563C"/>
    <w:rsid w:val="00537367"/>
    <w:rsid w:val="00540C95"/>
    <w:rsid w:val="00541351"/>
    <w:rsid w:val="0054190D"/>
    <w:rsid w:val="00543A03"/>
    <w:rsid w:val="00543F5B"/>
    <w:rsid w:val="0054431D"/>
    <w:rsid w:val="0054464C"/>
    <w:rsid w:val="0054465A"/>
    <w:rsid w:val="00545A37"/>
    <w:rsid w:val="00546F52"/>
    <w:rsid w:val="0054728A"/>
    <w:rsid w:val="0055031F"/>
    <w:rsid w:val="00551153"/>
    <w:rsid w:val="005531B7"/>
    <w:rsid w:val="00553341"/>
    <w:rsid w:val="00553FE0"/>
    <w:rsid w:val="00554124"/>
    <w:rsid w:val="005543DB"/>
    <w:rsid w:val="0055544D"/>
    <w:rsid w:val="00555ECC"/>
    <w:rsid w:val="00555FE7"/>
    <w:rsid w:val="00556421"/>
    <w:rsid w:val="00556442"/>
    <w:rsid w:val="00556725"/>
    <w:rsid w:val="005568FA"/>
    <w:rsid w:val="00557338"/>
    <w:rsid w:val="00560B84"/>
    <w:rsid w:val="00560CEF"/>
    <w:rsid w:val="00560D69"/>
    <w:rsid w:val="00561BDA"/>
    <w:rsid w:val="00563029"/>
    <w:rsid w:val="00566E53"/>
    <w:rsid w:val="0056724D"/>
    <w:rsid w:val="00567265"/>
    <w:rsid w:val="005676BD"/>
    <w:rsid w:val="00570937"/>
    <w:rsid w:val="005714B8"/>
    <w:rsid w:val="00571727"/>
    <w:rsid w:val="00573716"/>
    <w:rsid w:val="005740C1"/>
    <w:rsid w:val="0057476C"/>
    <w:rsid w:val="005748FE"/>
    <w:rsid w:val="0057508A"/>
    <w:rsid w:val="0057514C"/>
    <w:rsid w:val="00576354"/>
    <w:rsid w:val="00576D93"/>
    <w:rsid w:val="0057721E"/>
    <w:rsid w:val="00577D6B"/>
    <w:rsid w:val="005805FC"/>
    <w:rsid w:val="00581E44"/>
    <w:rsid w:val="005825D0"/>
    <w:rsid w:val="005842AD"/>
    <w:rsid w:val="005851B1"/>
    <w:rsid w:val="005859E8"/>
    <w:rsid w:val="005876A6"/>
    <w:rsid w:val="00587AAE"/>
    <w:rsid w:val="00587FA6"/>
    <w:rsid w:val="00590083"/>
    <w:rsid w:val="0059061A"/>
    <w:rsid w:val="0059546B"/>
    <w:rsid w:val="00595AC9"/>
    <w:rsid w:val="00596C59"/>
    <w:rsid w:val="00596DE3"/>
    <w:rsid w:val="00597560"/>
    <w:rsid w:val="005A2004"/>
    <w:rsid w:val="005A23E0"/>
    <w:rsid w:val="005A2F31"/>
    <w:rsid w:val="005A2FDC"/>
    <w:rsid w:val="005A36D5"/>
    <w:rsid w:val="005A3B08"/>
    <w:rsid w:val="005A56F2"/>
    <w:rsid w:val="005A6A3C"/>
    <w:rsid w:val="005B0F07"/>
    <w:rsid w:val="005B0FF1"/>
    <w:rsid w:val="005B149C"/>
    <w:rsid w:val="005B58D7"/>
    <w:rsid w:val="005B6575"/>
    <w:rsid w:val="005C0D35"/>
    <w:rsid w:val="005C18A2"/>
    <w:rsid w:val="005C2EC0"/>
    <w:rsid w:val="005C31CA"/>
    <w:rsid w:val="005C417D"/>
    <w:rsid w:val="005C4834"/>
    <w:rsid w:val="005C4977"/>
    <w:rsid w:val="005C4F53"/>
    <w:rsid w:val="005C5309"/>
    <w:rsid w:val="005C5FC7"/>
    <w:rsid w:val="005C6416"/>
    <w:rsid w:val="005C7622"/>
    <w:rsid w:val="005C7B2A"/>
    <w:rsid w:val="005C7BD2"/>
    <w:rsid w:val="005D065C"/>
    <w:rsid w:val="005D0774"/>
    <w:rsid w:val="005D0E53"/>
    <w:rsid w:val="005D36FA"/>
    <w:rsid w:val="005D3E5C"/>
    <w:rsid w:val="005D4F68"/>
    <w:rsid w:val="005D5E99"/>
    <w:rsid w:val="005D6247"/>
    <w:rsid w:val="005D6B5B"/>
    <w:rsid w:val="005D7109"/>
    <w:rsid w:val="005D7E2C"/>
    <w:rsid w:val="005E03C0"/>
    <w:rsid w:val="005E042F"/>
    <w:rsid w:val="005E1436"/>
    <w:rsid w:val="005E225E"/>
    <w:rsid w:val="005E24DA"/>
    <w:rsid w:val="005E2B25"/>
    <w:rsid w:val="005E3476"/>
    <w:rsid w:val="005E3B08"/>
    <w:rsid w:val="005E446A"/>
    <w:rsid w:val="005E4945"/>
    <w:rsid w:val="005E6500"/>
    <w:rsid w:val="005E6D63"/>
    <w:rsid w:val="005E6F0D"/>
    <w:rsid w:val="005E75AF"/>
    <w:rsid w:val="005F20E5"/>
    <w:rsid w:val="005F2756"/>
    <w:rsid w:val="005F2D88"/>
    <w:rsid w:val="005F3F0C"/>
    <w:rsid w:val="005F3F84"/>
    <w:rsid w:val="005F42E7"/>
    <w:rsid w:val="005F4D5B"/>
    <w:rsid w:val="005F4F3D"/>
    <w:rsid w:val="005F5029"/>
    <w:rsid w:val="005F5F86"/>
    <w:rsid w:val="005F62AA"/>
    <w:rsid w:val="005F6381"/>
    <w:rsid w:val="005F6750"/>
    <w:rsid w:val="0060023A"/>
    <w:rsid w:val="00600E75"/>
    <w:rsid w:val="006017AD"/>
    <w:rsid w:val="006018F2"/>
    <w:rsid w:val="00602936"/>
    <w:rsid w:val="0060306F"/>
    <w:rsid w:val="00603472"/>
    <w:rsid w:val="006038D8"/>
    <w:rsid w:val="0060391E"/>
    <w:rsid w:val="006048B2"/>
    <w:rsid w:val="00604BFC"/>
    <w:rsid w:val="006066EA"/>
    <w:rsid w:val="00606F07"/>
    <w:rsid w:val="006071EB"/>
    <w:rsid w:val="006100EB"/>
    <w:rsid w:val="00610319"/>
    <w:rsid w:val="0061066E"/>
    <w:rsid w:val="00611234"/>
    <w:rsid w:val="00612405"/>
    <w:rsid w:val="00612A71"/>
    <w:rsid w:val="00614799"/>
    <w:rsid w:val="0061515A"/>
    <w:rsid w:val="00615208"/>
    <w:rsid w:val="006154B5"/>
    <w:rsid w:val="00616D74"/>
    <w:rsid w:val="006209CD"/>
    <w:rsid w:val="006219FB"/>
    <w:rsid w:val="00622D32"/>
    <w:rsid w:val="00622DD4"/>
    <w:rsid w:val="00623467"/>
    <w:rsid w:val="0062442B"/>
    <w:rsid w:val="00626391"/>
    <w:rsid w:val="0063043D"/>
    <w:rsid w:val="00631155"/>
    <w:rsid w:val="0063175D"/>
    <w:rsid w:val="0063300C"/>
    <w:rsid w:val="00633301"/>
    <w:rsid w:val="006336CC"/>
    <w:rsid w:val="00633A9F"/>
    <w:rsid w:val="006340C3"/>
    <w:rsid w:val="00634139"/>
    <w:rsid w:val="00636314"/>
    <w:rsid w:val="006366A6"/>
    <w:rsid w:val="00636824"/>
    <w:rsid w:val="00636CBB"/>
    <w:rsid w:val="0064008A"/>
    <w:rsid w:val="00642D02"/>
    <w:rsid w:val="00643836"/>
    <w:rsid w:val="00644D2D"/>
    <w:rsid w:val="006462B7"/>
    <w:rsid w:val="00650570"/>
    <w:rsid w:val="00650845"/>
    <w:rsid w:val="0065206F"/>
    <w:rsid w:val="00652B5C"/>
    <w:rsid w:val="00653242"/>
    <w:rsid w:val="006543DC"/>
    <w:rsid w:val="006549D2"/>
    <w:rsid w:val="00655127"/>
    <w:rsid w:val="0065749B"/>
    <w:rsid w:val="006575BA"/>
    <w:rsid w:val="00657B60"/>
    <w:rsid w:val="00661BDC"/>
    <w:rsid w:val="0066418E"/>
    <w:rsid w:val="006649D8"/>
    <w:rsid w:val="00664D98"/>
    <w:rsid w:val="00665349"/>
    <w:rsid w:val="006653F6"/>
    <w:rsid w:val="006655CE"/>
    <w:rsid w:val="00665783"/>
    <w:rsid w:val="00671278"/>
    <w:rsid w:val="006716CB"/>
    <w:rsid w:val="0067180E"/>
    <w:rsid w:val="00671945"/>
    <w:rsid w:val="00671EB4"/>
    <w:rsid w:val="00672721"/>
    <w:rsid w:val="00673405"/>
    <w:rsid w:val="00674020"/>
    <w:rsid w:val="00674989"/>
    <w:rsid w:val="00676B18"/>
    <w:rsid w:val="00676DDD"/>
    <w:rsid w:val="00677F11"/>
    <w:rsid w:val="0068047C"/>
    <w:rsid w:val="00680E98"/>
    <w:rsid w:val="00681A4E"/>
    <w:rsid w:val="00681A53"/>
    <w:rsid w:val="00682718"/>
    <w:rsid w:val="00682B31"/>
    <w:rsid w:val="00682F32"/>
    <w:rsid w:val="00682FAC"/>
    <w:rsid w:val="00683F61"/>
    <w:rsid w:val="00686658"/>
    <w:rsid w:val="00686C29"/>
    <w:rsid w:val="00686D2F"/>
    <w:rsid w:val="00690295"/>
    <w:rsid w:val="006915CF"/>
    <w:rsid w:val="006924B1"/>
    <w:rsid w:val="006936D6"/>
    <w:rsid w:val="00694BE4"/>
    <w:rsid w:val="00694F6E"/>
    <w:rsid w:val="0069521E"/>
    <w:rsid w:val="0069562D"/>
    <w:rsid w:val="00695AD7"/>
    <w:rsid w:val="006970F4"/>
    <w:rsid w:val="006974A2"/>
    <w:rsid w:val="006A06D6"/>
    <w:rsid w:val="006A0F06"/>
    <w:rsid w:val="006A208F"/>
    <w:rsid w:val="006A20C2"/>
    <w:rsid w:val="006A24BF"/>
    <w:rsid w:val="006A2BA4"/>
    <w:rsid w:val="006A3DD6"/>
    <w:rsid w:val="006A4582"/>
    <w:rsid w:val="006A4ADE"/>
    <w:rsid w:val="006A4ED9"/>
    <w:rsid w:val="006A5430"/>
    <w:rsid w:val="006A5905"/>
    <w:rsid w:val="006A5ACE"/>
    <w:rsid w:val="006A68C1"/>
    <w:rsid w:val="006A6DEA"/>
    <w:rsid w:val="006A78FA"/>
    <w:rsid w:val="006A7FAD"/>
    <w:rsid w:val="006B06E3"/>
    <w:rsid w:val="006B079E"/>
    <w:rsid w:val="006B0A55"/>
    <w:rsid w:val="006B0CC0"/>
    <w:rsid w:val="006B0FBA"/>
    <w:rsid w:val="006B131F"/>
    <w:rsid w:val="006B19D4"/>
    <w:rsid w:val="006B3717"/>
    <w:rsid w:val="006B3812"/>
    <w:rsid w:val="006B3E0C"/>
    <w:rsid w:val="006B48C7"/>
    <w:rsid w:val="006B50AE"/>
    <w:rsid w:val="006B5A48"/>
    <w:rsid w:val="006B67EB"/>
    <w:rsid w:val="006B67EF"/>
    <w:rsid w:val="006B7DFC"/>
    <w:rsid w:val="006C0162"/>
    <w:rsid w:val="006C1CC3"/>
    <w:rsid w:val="006C2450"/>
    <w:rsid w:val="006C2DA1"/>
    <w:rsid w:val="006C304B"/>
    <w:rsid w:val="006C35EA"/>
    <w:rsid w:val="006C396E"/>
    <w:rsid w:val="006C42DC"/>
    <w:rsid w:val="006C4715"/>
    <w:rsid w:val="006C4C20"/>
    <w:rsid w:val="006C4D47"/>
    <w:rsid w:val="006C5EC5"/>
    <w:rsid w:val="006C6F35"/>
    <w:rsid w:val="006C7B84"/>
    <w:rsid w:val="006D20B6"/>
    <w:rsid w:val="006D20C6"/>
    <w:rsid w:val="006D2190"/>
    <w:rsid w:val="006D343C"/>
    <w:rsid w:val="006D3955"/>
    <w:rsid w:val="006D48F1"/>
    <w:rsid w:val="006D589E"/>
    <w:rsid w:val="006D5B86"/>
    <w:rsid w:val="006D6301"/>
    <w:rsid w:val="006D67F2"/>
    <w:rsid w:val="006E0E16"/>
    <w:rsid w:val="006E3379"/>
    <w:rsid w:val="006E3D80"/>
    <w:rsid w:val="006E45D9"/>
    <w:rsid w:val="006E4D45"/>
    <w:rsid w:val="006E5290"/>
    <w:rsid w:val="006E5A6C"/>
    <w:rsid w:val="006E5AA5"/>
    <w:rsid w:val="006E5C6F"/>
    <w:rsid w:val="006E66E0"/>
    <w:rsid w:val="006E7E1C"/>
    <w:rsid w:val="006F0291"/>
    <w:rsid w:val="006F1945"/>
    <w:rsid w:val="006F1AFE"/>
    <w:rsid w:val="006F3E63"/>
    <w:rsid w:val="006F5375"/>
    <w:rsid w:val="006F5D17"/>
    <w:rsid w:val="006F6F71"/>
    <w:rsid w:val="006F71F1"/>
    <w:rsid w:val="006F7E50"/>
    <w:rsid w:val="007001CB"/>
    <w:rsid w:val="007009BC"/>
    <w:rsid w:val="00700ABF"/>
    <w:rsid w:val="007014FB"/>
    <w:rsid w:val="00701664"/>
    <w:rsid w:val="00702466"/>
    <w:rsid w:val="00704123"/>
    <w:rsid w:val="007044D4"/>
    <w:rsid w:val="00704DF0"/>
    <w:rsid w:val="00705E33"/>
    <w:rsid w:val="007106BA"/>
    <w:rsid w:val="00710855"/>
    <w:rsid w:val="00710B54"/>
    <w:rsid w:val="00710CFA"/>
    <w:rsid w:val="00712108"/>
    <w:rsid w:val="00712299"/>
    <w:rsid w:val="00712A4B"/>
    <w:rsid w:val="007130BC"/>
    <w:rsid w:val="00713755"/>
    <w:rsid w:val="0071424E"/>
    <w:rsid w:val="00715F00"/>
    <w:rsid w:val="007174DD"/>
    <w:rsid w:val="007179B5"/>
    <w:rsid w:val="007221B9"/>
    <w:rsid w:val="00722602"/>
    <w:rsid w:val="00722A35"/>
    <w:rsid w:val="00723684"/>
    <w:rsid w:val="00723D5C"/>
    <w:rsid w:val="0072454E"/>
    <w:rsid w:val="00724DDE"/>
    <w:rsid w:val="007261D7"/>
    <w:rsid w:val="007270FB"/>
    <w:rsid w:val="00727AA7"/>
    <w:rsid w:val="00730B6F"/>
    <w:rsid w:val="00732438"/>
    <w:rsid w:val="00732CEC"/>
    <w:rsid w:val="0073427A"/>
    <w:rsid w:val="00734404"/>
    <w:rsid w:val="0073455F"/>
    <w:rsid w:val="00734C60"/>
    <w:rsid w:val="00734F92"/>
    <w:rsid w:val="00736641"/>
    <w:rsid w:val="0073782B"/>
    <w:rsid w:val="00741DE4"/>
    <w:rsid w:val="00742295"/>
    <w:rsid w:val="00742EA3"/>
    <w:rsid w:val="00743A7F"/>
    <w:rsid w:val="00743C5B"/>
    <w:rsid w:val="00744BE8"/>
    <w:rsid w:val="0074540A"/>
    <w:rsid w:val="00745E09"/>
    <w:rsid w:val="0074655D"/>
    <w:rsid w:val="00746930"/>
    <w:rsid w:val="0074772E"/>
    <w:rsid w:val="00750B9F"/>
    <w:rsid w:val="0075263E"/>
    <w:rsid w:val="007533CC"/>
    <w:rsid w:val="00754A1B"/>
    <w:rsid w:val="00754AD5"/>
    <w:rsid w:val="00755178"/>
    <w:rsid w:val="007553ED"/>
    <w:rsid w:val="00761354"/>
    <w:rsid w:val="0076187B"/>
    <w:rsid w:val="00762E98"/>
    <w:rsid w:val="007638EB"/>
    <w:rsid w:val="00766559"/>
    <w:rsid w:val="007666BA"/>
    <w:rsid w:val="0077049A"/>
    <w:rsid w:val="00771C90"/>
    <w:rsid w:val="007723CE"/>
    <w:rsid w:val="007737E0"/>
    <w:rsid w:val="00773C72"/>
    <w:rsid w:val="00774A6C"/>
    <w:rsid w:val="00774B9F"/>
    <w:rsid w:val="00774C88"/>
    <w:rsid w:val="00774CEF"/>
    <w:rsid w:val="007757BA"/>
    <w:rsid w:val="00777DD5"/>
    <w:rsid w:val="00777E71"/>
    <w:rsid w:val="0078077D"/>
    <w:rsid w:val="00780B68"/>
    <w:rsid w:val="00780B6C"/>
    <w:rsid w:val="00780CAE"/>
    <w:rsid w:val="00780E9B"/>
    <w:rsid w:val="00781164"/>
    <w:rsid w:val="00782851"/>
    <w:rsid w:val="00782856"/>
    <w:rsid w:val="007836ED"/>
    <w:rsid w:val="00785EA1"/>
    <w:rsid w:val="00786046"/>
    <w:rsid w:val="007863CC"/>
    <w:rsid w:val="00786A84"/>
    <w:rsid w:val="00786BD3"/>
    <w:rsid w:val="007879FA"/>
    <w:rsid w:val="0079034F"/>
    <w:rsid w:val="007909D0"/>
    <w:rsid w:val="007917FB"/>
    <w:rsid w:val="00791953"/>
    <w:rsid w:val="00791D1D"/>
    <w:rsid w:val="007921AD"/>
    <w:rsid w:val="00792F44"/>
    <w:rsid w:val="0079324E"/>
    <w:rsid w:val="007949DA"/>
    <w:rsid w:val="00796054"/>
    <w:rsid w:val="007964C6"/>
    <w:rsid w:val="00796578"/>
    <w:rsid w:val="0079675C"/>
    <w:rsid w:val="00797165"/>
    <w:rsid w:val="0079761E"/>
    <w:rsid w:val="00797881"/>
    <w:rsid w:val="00797F0E"/>
    <w:rsid w:val="007A084D"/>
    <w:rsid w:val="007A3AD0"/>
    <w:rsid w:val="007A41A4"/>
    <w:rsid w:val="007A452D"/>
    <w:rsid w:val="007A4E3A"/>
    <w:rsid w:val="007A657F"/>
    <w:rsid w:val="007A685F"/>
    <w:rsid w:val="007A71F0"/>
    <w:rsid w:val="007A78B1"/>
    <w:rsid w:val="007B172B"/>
    <w:rsid w:val="007B2FE0"/>
    <w:rsid w:val="007B3432"/>
    <w:rsid w:val="007B3BB6"/>
    <w:rsid w:val="007B464B"/>
    <w:rsid w:val="007B58B1"/>
    <w:rsid w:val="007B6633"/>
    <w:rsid w:val="007B6BEB"/>
    <w:rsid w:val="007B6C43"/>
    <w:rsid w:val="007B724C"/>
    <w:rsid w:val="007B7D0C"/>
    <w:rsid w:val="007B7FAD"/>
    <w:rsid w:val="007C2898"/>
    <w:rsid w:val="007C4603"/>
    <w:rsid w:val="007C5FEB"/>
    <w:rsid w:val="007D071F"/>
    <w:rsid w:val="007D094B"/>
    <w:rsid w:val="007D203B"/>
    <w:rsid w:val="007D336D"/>
    <w:rsid w:val="007D3E0D"/>
    <w:rsid w:val="007D487F"/>
    <w:rsid w:val="007D5719"/>
    <w:rsid w:val="007D5A5A"/>
    <w:rsid w:val="007D636F"/>
    <w:rsid w:val="007D664C"/>
    <w:rsid w:val="007E152F"/>
    <w:rsid w:val="007E2A50"/>
    <w:rsid w:val="007E3337"/>
    <w:rsid w:val="007E4008"/>
    <w:rsid w:val="007E446F"/>
    <w:rsid w:val="007E5C69"/>
    <w:rsid w:val="007E5E30"/>
    <w:rsid w:val="007E6A9E"/>
    <w:rsid w:val="007E7CE9"/>
    <w:rsid w:val="007F1FB3"/>
    <w:rsid w:val="007F25C8"/>
    <w:rsid w:val="007F3748"/>
    <w:rsid w:val="007F3D40"/>
    <w:rsid w:val="007F551A"/>
    <w:rsid w:val="007F78DE"/>
    <w:rsid w:val="007F7CBB"/>
    <w:rsid w:val="007F7D9D"/>
    <w:rsid w:val="00800CA9"/>
    <w:rsid w:val="00802103"/>
    <w:rsid w:val="00804007"/>
    <w:rsid w:val="00804065"/>
    <w:rsid w:val="0080483F"/>
    <w:rsid w:val="008057A3"/>
    <w:rsid w:val="00806656"/>
    <w:rsid w:val="00807296"/>
    <w:rsid w:val="008075B7"/>
    <w:rsid w:val="00807A9F"/>
    <w:rsid w:val="008104BA"/>
    <w:rsid w:val="00810DCF"/>
    <w:rsid w:val="008116A1"/>
    <w:rsid w:val="00811DD3"/>
    <w:rsid w:val="008141BC"/>
    <w:rsid w:val="008143B8"/>
    <w:rsid w:val="00816478"/>
    <w:rsid w:val="00816BE4"/>
    <w:rsid w:val="0081767E"/>
    <w:rsid w:val="00817FD4"/>
    <w:rsid w:val="00820B0B"/>
    <w:rsid w:val="00821204"/>
    <w:rsid w:val="00821ADD"/>
    <w:rsid w:val="008230F2"/>
    <w:rsid w:val="00823458"/>
    <w:rsid w:val="008244FC"/>
    <w:rsid w:val="008255F6"/>
    <w:rsid w:val="008258BD"/>
    <w:rsid w:val="00826EB2"/>
    <w:rsid w:val="00827860"/>
    <w:rsid w:val="00832081"/>
    <w:rsid w:val="00832BEB"/>
    <w:rsid w:val="00832D5D"/>
    <w:rsid w:val="0083534D"/>
    <w:rsid w:val="00837546"/>
    <w:rsid w:val="00837CE2"/>
    <w:rsid w:val="00841551"/>
    <w:rsid w:val="008418E4"/>
    <w:rsid w:val="00841EB0"/>
    <w:rsid w:val="00842279"/>
    <w:rsid w:val="00843008"/>
    <w:rsid w:val="008431D4"/>
    <w:rsid w:val="008435F3"/>
    <w:rsid w:val="00843722"/>
    <w:rsid w:val="008442F1"/>
    <w:rsid w:val="00844584"/>
    <w:rsid w:val="00844C1C"/>
    <w:rsid w:val="0084774C"/>
    <w:rsid w:val="008477F0"/>
    <w:rsid w:val="008506A0"/>
    <w:rsid w:val="0085124D"/>
    <w:rsid w:val="00852883"/>
    <w:rsid w:val="008529A4"/>
    <w:rsid w:val="008530B1"/>
    <w:rsid w:val="008565C6"/>
    <w:rsid w:val="008568B6"/>
    <w:rsid w:val="0085767E"/>
    <w:rsid w:val="0086049C"/>
    <w:rsid w:val="00862399"/>
    <w:rsid w:val="00863B0B"/>
    <w:rsid w:val="00864035"/>
    <w:rsid w:val="008647B7"/>
    <w:rsid w:val="00865863"/>
    <w:rsid w:val="008666BE"/>
    <w:rsid w:val="008675D8"/>
    <w:rsid w:val="00870BA1"/>
    <w:rsid w:val="0087188F"/>
    <w:rsid w:val="00871A3B"/>
    <w:rsid w:val="00872E1D"/>
    <w:rsid w:val="008730FC"/>
    <w:rsid w:val="0087401C"/>
    <w:rsid w:val="0087592B"/>
    <w:rsid w:val="00875E3D"/>
    <w:rsid w:val="00876858"/>
    <w:rsid w:val="00876D50"/>
    <w:rsid w:val="00876DBF"/>
    <w:rsid w:val="00877522"/>
    <w:rsid w:val="0087771F"/>
    <w:rsid w:val="008808A6"/>
    <w:rsid w:val="0088173C"/>
    <w:rsid w:val="00882333"/>
    <w:rsid w:val="00882723"/>
    <w:rsid w:val="00882A58"/>
    <w:rsid w:val="00882C22"/>
    <w:rsid w:val="00883868"/>
    <w:rsid w:val="00884347"/>
    <w:rsid w:val="00884631"/>
    <w:rsid w:val="0088685D"/>
    <w:rsid w:val="0088755B"/>
    <w:rsid w:val="00891D4F"/>
    <w:rsid w:val="008923BE"/>
    <w:rsid w:val="00893361"/>
    <w:rsid w:val="00894F10"/>
    <w:rsid w:val="00895BCA"/>
    <w:rsid w:val="00895F4A"/>
    <w:rsid w:val="008962AE"/>
    <w:rsid w:val="00896628"/>
    <w:rsid w:val="008A0809"/>
    <w:rsid w:val="008A08E1"/>
    <w:rsid w:val="008A1342"/>
    <w:rsid w:val="008A1B9A"/>
    <w:rsid w:val="008A242B"/>
    <w:rsid w:val="008A3AE0"/>
    <w:rsid w:val="008A3E11"/>
    <w:rsid w:val="008A62A9"/>
    <w:rsid w:val="008A68CC"/>
    <w:rsid w:val="008A7942"/>
    <w:rsid w:val="008B0169"/>
    <w:rsid w:val="008B03E9"/>
    <w:rsid w:val="008B1207"/>
    <w:rsid w:val="008B1B0A"/>
    <w:rsid w:val="008B1CF0"/>
    <w:rsid w:val="008B4375"/>
    <w:rsid w:val="008C216D"/>
    <w:rsid w:val="008C2587"/>
    <w:rsid w:val="008C2620"/>
    <w:rsid w:val="008C3907"/>
    <w:rsid w:val="008C431A"/>
    <w:rsid w:val="008C5E06"/>
    <w:rsid w:val="008C672D"/>
    <w:rsid w:val="008C7115"/>
    <w:rsid w:val="008D1344"/>
    <w:rsid w:val="008D23FF"/>
    <w:rsid w:val="008D36D0"/>
    <w:rsid w:val="008D3F20"/>
    <w:rsid w:val="008D42B7"/>
    <w:rsid w:val="008D5100"/>
    <w:rsid w:val="008D5598"/>
    <w:rsid w:val="008D602A"/>
    <w:rsid w:val="008D66FC"/>
    <w:rsid w:val="008D6B94"/>
    <w:rsid w:val="008D7BD6"/>
    <w:rsid w:val="008E064F"/>
    <w:rsid w:val="008E1E56"/>
    <w:rsid w:val="008E2888"/>
    <w:rsid w:val="008E4029"/>
    <w:rsid w:val="008E5527"/>
    <w:rsid w:val="008E59E3"/>
    <w:rsid w:val="008E5EB9"/>
    <w:rsid w:val="008E6232"/>
    <w:rsid w:val="008E6F13"/>
    <w:rsid w:val="008E6F17"/>
    <w:rsid w:val="008E7CB5"/>
    <w:rsid w:val="008F00A5"/>
    <w:rsid w:val="008F0191"/>
    <w:rsid w:val="008F02D3"/>
    <w:rsid w:val="008F0376"/>
    <w:rsid w:val="008F12D4"/>
    <w:rsid w:val="008F253C"/>
    <w:rsid w:val="008F3286"/>
    <w:rsid w:val="008F3E3F"/>
    <w:rsid w:val="008F4228"/>
    <w:rsid w:val="008F546D"/>
    <w:rsid w:val="008F7B30"/>
    <w:rsid w:val="008F7D6E"/>
    <w:rsid w:val="00900985"/>
    <w:rsid w:val="009010A3"/>
    <w:rsid w:val="00901239"/>
    <w:rsid w:val="00904194"/>
    <w:rsid w:val="009056B0"/>
    <w:rsid w:val="0090592F"/>
    <w:rsid w:val="00905ED8"/>
    <w:rsid w:val="009068A3"/>
    <w:rsid w:val="00906E49"/>
    <w:rsid w:val="009113CA"/>
    <w:rsid w:val="00911876"/>
    <w:rsid w:val="00911DA1"/>
    <w:rsid w:val="00912D74"/>
    <w:rsid w:val="009136E3"/>
    <w:rsid w:val="009137FC"/>
    <w:rsid w:val="009163A7"/>
    <w:rsid w:val="009163AD"/>
    <w:rsid w:val="00916492"/>
    <w:rsid w:val="00916A80"/>
    <w:rsid w:val="00917467"/>
    <w:rsid w:val="0091753E"/>
    <w:rsid w:val="00920598"/>
    <w:rsid w:val="00920CBA"/>
    <w:rsid w:val="00921015"/>
    <w:rsid w:val="009226EB"/>
    <w:rsid w:val="009232B1"/>
    <w:rsid w:val="00923E1B"/>
    <w:rsid w:val="0092449B"/>
    <w:rsid w:val="00924541"/>
    <w:rsid w:val="009245E6"/>
    <w:rsid w:val="00924C42"/>
    <w:rsid w:val="00925B84"/>
    <w:rsid w:val="00925CE7"/>
    <w:rsid w:val="00926A1C"/>
    <w:rsid w:val="00926EE1"/>
    <w:rsid w:val="0092740A"/>
    <w:rsid w:val="00927872"/>
    <w:rsid w:val="00927CA8"/>
    <w:rsid w:val="00930638"/>
    <w:rsid w:val="00930F89"/>
    <w:rsid w:val="0093157E"/>
    <w:rsid w:val="009318E3"/>
    <w:rsid w:val="00931939"/>
    <w:rsid w:val="009319D7"/>
    <w:rsid w:val="00931AA9"/>
    <w:rsid w:val="00931C72"/>
    <w:rsid w:val="00932D1A"/>
    <w:rsid w:val="00933525"/>
    <w:rsid w:val="00934A6D"/>
    <w:rsid w:val="00935E17"/>
    <w:rsid w:val="0093687A"/>
    <w:rsid w:val="00937BF0"/>
    <w:rsid w:val="009400FD"/>
    <w:rsid w:val="00940FDE"/>
    <w:rsid w:val="00941053"/>
    <w:rsid w:val="0094211D"/>
    <w:rsid w:val="009428CA"/>
    <w:rsid w:val="0094317A"/>
    <w:rsid w:val="00943575"/>
    <w:rsid w:val="009436A5"/>
    <w:rsid w:val="00944301"/>
    <w:rsid w:val="0094433F"/>
    <w:rsid w:val="00947180"/>
    <w:rsid w:val="00947B39"/>
    <w:rsid w:val="00947F55"/>
    <w:rsid w:val="00950557"/>
    <w:rsid w:val="009529DF"/>
    <w:rsid w:val="00952CC7"/>
    <w:rsid w:val="009534D8"/>
    <w:rsid w:val="0095468A"/>
    <w:rsid w:val="009547A7"/>
    <w:rsid w:val="00956D66"/>
    <w:rsid w:val="0095728F"/>
    <w:rsid w:val="00957596"/>
    <w:rsid w:val="0096007E"/>
    <w:rsid w:val="0096027A"/>
    <w:rsid w:val="0096114F"/>
    <w:rsid w:val="0096273C"/>
    <w:rsid w:val="0096345D"/>
    <w:rsid w:val="00964BF2"/>
    <w:rsid w:val="00966298"/>
    <w:rsid w:val="009665CA"/>
    <w:rsid w:val="0096661C"/>
    <w:rsid w:val="00966B8C"/>
    <w:rsid w:val="00966D21"/>
    <w:rsid w:val="00967AA7"/>
    <w:rsid w:val="00967B7D"/>
    <w:rsid w:val="0097373F"/>
    <w:rsid w:val="00974366"/>
    <w:rsid w:val="00974F07"/>
    <w:rsid w:val="00975AA1"/>
    <w:rsid w:val="009768E9"/>
    <w:rsid w:val="00976B7D"/>
    <w:rsid w:val="00981800"/>
    <w:rsid w:val="00981948"/>
    <w:rsid w:val="00981C55"/>
    <w:rsid w:val="00982392"/>
    <w:rsid w:val="00983CDB"/>
    <w:rsid w:val="00983FDF"/>
    <w:rsid w:val="0098422F"/>
    <w:rsid w:val="0098482D"/>
    <w:rsid w:val="00984BF3"/>
    <w:rsid w:val="009850D3"/>
    <w:rsid w:val="00985691"/>
    <w:rsid w:val="0098611C"/>
    <w:rsid w:val="00986A6F"/>
    <w:rsid w:val="00991728"/>
    <w:rsid w:val="00992893"/>
    <w:rsid w:val="00992B7E"/>
    <w:rsid w:val="009931CD"/>
    <w:rsid w:val="0099416C"/>
    <w:rsid w:val="00994999"/>
    <w:rsid w:val="00994C1D"/>
    <w:rsid w:val="00994D9D"/>
    <w:rsid w:val="009950F4"/>
    <w:rsid w:val="00996BAA"/>
    <w:rsid w:val="00996E76"/>
    <w:rsid w:val="00996FBF"/>
    <w:rsid w:val="009A1259"/>
    <w:rsid w:val="009A13B6"/>
    <w:rsid w:val="009A1C42"/>
    <w:rsid w:val="009A2470"/>
    <w:rsid w:val="009A2EE6"/>
    <w:rsid w:val="009A36BA"/>
    <w:rsid w:val="009A43E9"/>
    <w:rsid w:val="009A4AFE"/>
    <w:rsid w:val="009A4BA3"/>
    <w:rsid w:val="009A5111"/>
    <w:rsid w:val="009B175A"/>
    <w:rsid w:val="009B18A5"/>
    <w:rsid w:val="009B29F4"/>
    <w:rsid w:val="009B3294"/>
    <w:rsid w:val="009B415D"/>
    <w:rsid w:val="009B4DAB"/>
    <w:rsid w:val="009B5329"/>
    <w:rsid w:val="009B56AD"/>
    <w:rsid w:val="009B60E7"/>
    <w:rsid w:val="009B772C"/>
    <w:rsid w:val="009C02F1"/>
    <w:rsid w:val="009C0625"/>
    <w:rsid w:val="009C1874"/>
    <w:rsid w:val="009C1C1F"/>
    <w:rsid w:val="009C2153"/>
    <w:rsid w:val="009C31F3"/>
    <w:rsid w:val="009C3DD1"/>
    <w:rsid w:val="009C4EBD"/>
    <w:rsid w:val="009C502F"/>
    <w:rsid w:val="009C62A2"/>
    <w:rsid w:val="009C645E"/>
    <w:rsid w:val="009C7374"/>
    <w:rsid w:val="009C78F8"/>
    <w:rsid w:val="009D00E6"/>
    <w:rsid w:val="009D0A05"/>
    <w:rsid w:val="009D0FC7"/>
    <w:rsid w:val="009D155B"/>
    <w:rsid w:val="009D2443"/>
    <w:rsid w:val="009D24CE"/>
    <w:rsid w:val="009D4165"/>
    <w:rsid w:val="009D4E3D"/>
    <w:rsid w:val="009D5B18"/>
    <w:rsid w:val="009D5C4F"/>
    <w:rsid w:val="009D5E7D"/>
    <w:rsid w:val="009D6A62"/>
    <w:rsid w:val="009D75E5"/>
    <w:rsid w:val="009D769A"/>
    <w:rsid w:val="009E08D4"/>
    <w:rsid w:val="009E0ADB"/>
    <w:rsid w:val="009E1528"/>
    <w:rsid w:val="009E1FF2"/>
    <w:rsid w:val="009E2273"/>
    <w:rsid w:val="009E2832"/>
    <w:rsid w:val="009E4E98"/>
    <w:rsid w:val="009E515C"/>
    <w:rsid w:val="009E63FA"/>
    <w:rsid w:val="009E6894"/>
    <w:rsid w:val="009E7EA6"/>
    <w:rsid w:val="009F111B"/>
    <w:rsid w:val="009F163C"/>
    <w:rsid w:val="009F1ECA"/>
    <w:rsid w:val="009F2D6B"/>
    <w:rsid w:val="009F2FF8"/>
    <w:rsid w:val="009F3C2E"/>
    <w:rsid w:val="009F3FB8"/>
    <w:rsid w:val="009F5CB7"/>
    <w:rsid w:val="009F680B"/>
    <w:rsid w:val="009F75CD"/>
    <w:rsid w:val="009F788A"/>
    <w:rsid w:val="00A00013"/>
    <w:rsid w:val="00A00A0B"/>
    <w:rsid w:val="00A01128"/>
    <w:rsid w:val="00A01A22"/>
    <w:rsid w:val="00A020E8"/>
    <w:rsid w:val="00A0227E"/>
    <w:rsid w:val="00A02751"/>
    <w:rsid w:val="00A03E79"/>
    <w:rsid w:val="00A047B9"/>
    <w:rsid w:val="00A05934"/>
    <w:rsid w:val="00A05AD8"/>
    <w:rsid w:val="00A0776A"/>
    <w:rsid w:val="00A10A3C"/>
    <w:rsid w:val="00A121F6"/>
    <w:rsid w:val="00A13A74"/>
    <w:rsid w:val="00A15AB7"/>
    <w:rsid w:val="00A1695A"/>
    <w:rsid w:val="00A173B1"/>
    <w:rsid w:val="00A176B3"/>
    <w:rsid w:val="00A17A6C"/>
    <w:rsid w:val="00A2033A"/>
    <w:rsid w:val="00A20A73"/>
    <w:rsid w:val="00A20AED"/>
    <w:rsid w:val="00A20D5C"/>
    <w:rsid w:val="00A21E0B"/>
    <w:rsid w:val="00A24CA2"/>
    <w:rsid w:val="00A25793"/>
    <w:rsid w:val="00A25ABF"/>
    <w:rsid w:val="00A25B18"/>
    <w:rsid w:val="00A26DC2"/>
    <w:rsid w:val="00A30866"/>
    <w:rsid w:val="00A31444"/>
    <w:rsid w:val="00A3190B"/>
    <w:rsid w:val="00A31C65"/>
    <w:rsid w:val="00A328A3"/>
    <w:rsid w:val="00A33B0A"/>
    <w:rsid w:val="00A33D5B"/>
    <w:rsid w:val="00A33D9C"/>
    <w:rsid w:val="00A347B1"/>
    <w:rsid w:val="00A34831"/>
    <w:rsid w:val="00A348D1"/>
    <w:rsid w:val="00A367A7"/>
    <w:rsid w:val="00A36CBB"/>
    <w:rsid w:val="00A36E3C"/>
    <w:rsid w:val="00A36EFB"/>
    <w:rsid w:val="00A40295"/>
    <w:rsid w:val="00A40959"/>
    <w:rsid w:val="00A41850"/>
    <w:rsid w:val="00A4216A"/>
    <w:rsid w:val="00A43121"/>
    <w:rsid w:val="00A43336"/>
    <w:rsid w:val="00A44AED"/>
    <w:rsid w:val="00A45C04"/>
    <w:rsid w:val="00A463A4"/>
    <w:rsid w:val="00A50304"/>
    <w:rsid w:val="00A508AA"/>
    <w:rsid w:val="00A50DD0"/>
    <w:rsid w:val="00A51FCC"/>
    <w:rsid w:val="00A5526C"/>
    <w:rsid w:val="00A55FC8"/>
    <w:rsid w:val="00A564D5"/>
    <w:rsid w:val="00A5703E"/>
    <w:rsid w:val="00A61FEC"/>
    <w:rsid w:val="00A62358"/>
    <w:rsid w:val="00A62AAB"/>
    <w:rsid w:val="00A62BBD"/>
    <w:rsid w:val="00A633D8"/>
    <w:rsid w:val="00A63779"/>
    <w:rsid w:val="00A63F68"/>
    <w:rsid w:val="00A64B0F"/>
    <w:rsid w:val="00A65DB6"/>
    <w:rsid w:val="00A67FF9"/>
    <w:rsid w:val="00A71021"/>
    <w:rsid w:val="00A72D81"/>
    <w:rsid w:val="00A72E09"/>
    <w:rsid w:val="00A7338F"/>
    <w:rsid w:val="00A7447E"/>
    <w:rsid w:val="00A74726"/>
    <w:rsid w:val="00A747F2"/>
    <w:rsid w:val="00A755B6"/>
    <w:rsid w:val="00A756AC"/>
    <w:rsid w:val="00A76B2D"/>
    <w:rsid w:val="00A76F58"/>
    <w:rsid w:val="00A77E7B"/>
    <w:rsid w:val="00A805DF"/>
    <w:rsid w:val="00A80CED"/>
    <w:rsid w:val="00A82070"/>
    <w:rsid w:val="00A82904"/>
    <w:rsid w:val="00A82AA3"/>
    <w:rsid w:val="00A82C45"/>
    <w:rsid w:val="00A82D54"/>
    <w:rsid w:val="00A84513"/>
    <w:rsid w:val="00A85FE9"/>
    <w:rsid w:val="00A867A2"/>
    <w:rsid w:val="00A9013E"/>
    <w:rsid w:val="00A9084F"/>
    <w:rsid w:val="00A914A9"/>
    <w:rsid w:val="00A91743"/>
    <w:rsid w:val="00A91D27"/>
    <w:rsid w:val="00A91F47"/>
    <w:rsid w:val="00A92463"/>
    <w:rsid w:val="00A92AFC"/>
    <w:rsid w:val="00A92B6A"/>
    <w:rsid w:val="00A92D4B"/>
    <w:rsid w:val="00A93E4C"/>
    <w:rsid w:val="00A9485E"/>
    <w:rsid w:val="00A94EAE"/>
    <w:rsid w:val="00AA13FF"/>
    <w:rsid w:val="00AA28AC"/>
    <w:rsid w:val="00AA28FB"/>
    <w:rsid w:val="00AA48CD"/>
    <w:rsid w:val="00AA4ADB"/>
    <w:rsid w:val="00AA4F08"/>
    <w:rsid w:val="00AA50C4"/>
    <w:rsid w:val="00AA5AD4"/>
    <w:rsid w:val="00AA78AE"/>
    <w:rsid w:val="00AB06F3"/>
    <w:rsid w:val="00AB0D85"/>
    <w:rsid w:val="00AB17F1"/>
    <w:rsid w:val="00AB21BB"/>
    <w:rsid w:val="00AB2C9A"/>
    <w:rsid w:val="00AB3F89"/>
    <w:rsid w:val="00AB472B"/>
    <w:rsid w:val="00AB5A0E"/>
    <w:rsid w:val="00AB6306"/>
    <w:rsid w:val="00AB71D8"/>
    <w:rsid w:val="00AB7563"/>
    <w:rsid w:val="00AC0B70"/>
    <w:rsid w:val="00AC0BA6"/>
    <w:rsid w:val="00AC18D3"/>
    <w:rsid w:val="00AC2E31"/>
    <w:rsid w:val="00AC3B28"/>
    <w:rsid w:val="00AC3E0E"/>
    <w:rsid w:val="00AC4108"/>
    <w:rsid w:val="00AC461F"/>
    <w:rsid w:val="00AC5628"/>
    <w:rsid w:val="00AC6F33"/>
    <w:rsid w:val="00AC7030"/>
    <w:rsid w:val="00AD138E"/>
    <w:rsid w:val="00AD2967"/>
    <w:rsid w:val="00AD2CED"/>
    <w:rsid w:val="00AD33D7"/>
    <w:rsid w:val="00AD486C"/>
    <w:rsid w:val="00AD7465"/>
    <w:rsid w:val="00AD7762"/>
    <w:rsid w:val="00AE0273"/>
    <w:rsid w:val="00AE02DF"/>
    <w:rsid w:val="00AE0C75"/>
    <w:rsid w:val="00AE312A"/>
    <w:rsid w:val="00AE3297"/>
    <w:rsid w:val="00AE349D"/>
    <w:rsid w:val="00AE355C"/>
    <w:rsid w:val="00AE36CB"/>
    <w:rsid w:val="00AE3CB2"/>
    <w:rsid w:val="00AE6934"/>
    <w:rsid w:val="00AE6D7A"/>
    <w:rsid w:val="00AE6FA9"/>
    <w:rsid w:val="00AE771D"/>
    <w:rsid w:val="00AE7CCD"/>
    <w:rsid w:val="00AF026B"/>
    <w:rsid w:val="00AF0523"/>
    <w:rsid w:val="00AF0604"/>
    <w:rsid w:val="00AF20E7"/>
    <w:rsid w:val="00AF2EDA"/>
    <w:rsid w:val="00AF3901"/>
    <w:rsid w:val="00AF3EC4"/>
    <w:rsid w:val="00AF44C2"/>
    <w:rsid w:val="00AF4EC0"/>
    <w:rsid w:val="00AF54EF"/>
    <w:rsid w:val="00AF581E"/>
    <w:rsid w:val="00AF5B79"/>
    <w:rsid w:val="00AF6D90"/>
    <w:rsid w:val="00AF7184"/>
    <w:rsid w:val="00AF7834"/>
    <w:rsid w:val="00AF7C8E"/>
    <w:rsid w:val="00B0017B"/>
    <w:rsid w:val="00B00746"/>
    <w:rsid w:val="00B01617"/>
    <w:rsid w:val="00B01A2F"/>
    <w:rsid w:val="00B026B0"/>
    <w:rsid w:val="00B028E2"/>
    <w:rsid w:val="00B0361F"/>
    <w:rsid w:val="00B03625"/>
    <w:rsid w:val="00B03DD3"/>
    <w:rsid w:val="00B04C3C"/>
    <w:rsid w:val="00B07123"/>
    <w:rsid w:val="00B0747E"/>
    <w:rsid w:val="00B10641"/>
    <w:rsid w:val="00B114DE"/>
    <w:rsid w:val="00B1165C"/>
    <w:rsid w:val="00B1283A"/>
    <w:rsid w:val="00B12F30"/>
    <w:rsid w:val="00B134CD"/>
    <w:rsid w:val="00B13DAC"/>
    <w:rsid w:val="00B14018"/>
    <w:rsid w:val="00B1537B"/>
    <w:rsid w:val="00B153A0"/>
    <w:rsid w:val="00B16215"/>
    <w:rsid w:val="00B16FD1"/>
    <w:rsid w:val="00B207FC"/>
    <w:rsid w:val="00B21261"/>
    <w:rsid w:val="00B221DA"/>
    <w:rsid w:val="00B221FE"/>
    <w:rsid w:val="00B22379"/>
    <w:rsid w:val="00B234ED"/>
    <w:rsid w:val="00B2396D"/>
    <w:rsid w:val="00B2466B"/>
    <w:rsid w:val="00B24EE5"/>
    <w:rsid w:val="00B253DC"/>
    <w:rsid w:val="00B309A9"/>
    <w:rsid w:val="00B30C66"/>
    <w:rsid w:val="00B318CF"/>
    <w:rsid w:val="00B32489"/>
    <w:rsid w:val="00B32BDA"/>
    <w:rsid w:val="00B34048"/>
    <w:rsid w:val="00B346B0"/>
    <w:rsid w:val="00B363BD"/>
    <w:rsid w:val="00B36591"/>
    <w:rsid w:val="00B378BB"/>
    <w:rsid w:val="00B407E3"/>
    <w:rsid w:val="00B408E6"/>
    <w:rsid w:val="00B40F3A"/>
    <w:rsid w:val="00B4214E"/>
    <w:rsid w:val="00B42508"/>
    <w:rsid w:val="00B42509"/>
    <w:rsid w:val="00B437E8"/>
    <w:rsid w:val="00B43C94"/>
    <w:rsid w:val="00B43E47"/>
    <w:rsid w:val="00B44B64"/>
    <w:rsid w:val="00B46106"/>
    <w:rsid w:val="00B4625F"/>
    <w:rsid w:val="00B47B24"/>
    <w:rsid w:val="00B51E1F"/>
    <w:rsid w:val="00B5224C"/>
    <w:rsid w:val="00B52859"/>
    <w:rsid w:val="00B5287D"/>
    <w:rsid w:val="00B53077"/>
    <w:rsid w:val="00B53AE4"/>
    <w:rsid w:val="00B53DA8"/>
    <w:rsid w:val="00B53F3C"/>
    <w:rsid w:val="00B545CB"/>
    <w:rsid w:val="00B547E6"/>
    <w:rsid w:val="00B54874"/>
    <w:rsid w:val="00B54A27"/>
    <w:rsid w:val="00B56372"/>
    <w:rsid w:val="00B569F6"/>
    <w:rsid w:val="00B57AAA"/>
    <w:rsid w:val="00B57BD7"/>
    <w:rsid w:val="00B57CA4"/>
    <w:rsid w:val="00B6011C"/>
    <w:rsid w:val="00B602DC"/>
    <w:rsid w:val="00B60863"/>
    <w:rsid w:val="00B62BB8"/>
    <w:rsid w:val="00B631CF"/>
    <w:rsid w:val="00B638D8"/>
    <w:rsid w:val="00B63A02"/>
    <w:rsid w:val="00B6450E"/>
    <w:rsid w:val="00B64580"/>
    <w:rsid w:val="00B65A8F"/>
    <w:rsid w:val="00B65C0A"/>
    <w:rsid w:val="00B65DC9"/>
    <w:rsid w:val="00B65E74"/>
    <w:rsid w:val="00B66C66"/>
    <w:rsid w:val="00B66E13"/>
    <w:rsid w:val="00B70211"/>
    <w:rsid w:val="00B70ABE"/>
    <w:rsid w:val="00B70CA9"/>
    <w:rsid w:val="00B7171C"/>
    <w:rsid w:val="00B71962"/>
    <w:rsid w:val="00B729FE"/>
    <w:rsid w:val="00B73CE6"/>
    <w:rsid w:val="00B7401D"/>
    <w:rsid w:val="00B74266"/>
    <w:rsid w:val="00B743F1"/>
    <w:rsid w:val="00B76409"/>
    <w:rsid w:val="00B76F66"/>
    <w:rsid w:val="00B775C1"/>
    <w:rsid w:val="00B80E6D"/>
    <w:rsid w:val="00B81789"/>
    <w:rsid w:val="00B82676"/>
    <w:rsid w:val="00B82EEA"/>
    <w:rsid w:val="00B8358C"/>
    <w:rsid w:val="00B83644"/>
    <w:rsid w:val="00B84519"/>
    <w:rsid w:val="00B85302"/>
    <w:rsid w:val="00B85CB1"/>
    <w:rsid w:val="00B85F3A"/>
    <w:rsid w:val="00B8653E"/>
    <w:rsid w:val="00B86D0C"/>
    <w:rsid w:val="00B910DB"/>
    <w:rsid w:val="00B92975"/>
    <w:rsid w:val="00B92C3E"/>
    <w:rsid w:val="00B92EC9"/>
    <w:rsid w:val="00B94A7B"/>
    <w:rsid w:val="00B952CE"/>
    <w:rsid w:val="00B959AC"/>
    <w:rsid w:val="00B966F0"/>
    <w:rsid w:val="00B97277"/>
    <w:rsid w:val="00BA1E9A"/>
    <w:rsid w:val="00BA2334"/>
    <w:rsid w:val="00BA33EE"/>
    <w:rsid w:val="00BA35E2"/>
    <w:rsid w:val="00BA3C31"/>
    <w:rsid w:val="00BA591E"/>
    <w:rsid w:val="00BA690B"/>
    <w:rsid w:val="00BA760F"/>
    <w:rsid w:val="00BB0A57"/>
    <w:rsid w:val="00BB22D7"/>
    <w:rsid w:val="00BB26BF"/>
    <w:rsid w:val="00BB3EDC"/>
    <w:rsid w:val="00BB4DF2"/>
    <w:rsid w:val="00BB682D"/>
    <w:rsid w:val="00BB6CA1"/>
    <w:rsid w:val="00BB7659"/>
    <w:rsid w:val="00BB76EA"/>
    <w:rsid w:val="00BB77C9"/>
    <w:rsid w:val="00BB7CBD"/>
    <w:rsid w:val="00BC0DBF"/>
    <w:rsid w:val="00BC26B9"/>
    <w:rsid w:val="00BC4018"/>
    <w:rsid w:val="00BC40B4"/>
    <w:rsid w:val="00BC48DC"/>
    <w:rsid w:val="00BC4985"/>
    <w:rsid w:val="00BC557E"/>
    <w:rsid w:val="00BC6EE4"/>
    <w:rsid w:val="00BC7328"/>
    <w:rsid w:val="00BD00F0"/>
    <w:rsid w:val="00BD083D"/>
    <w:rsid w:val="00BD0883"/>
    <w:rsid w:val="00BD234C"/>
    <w:rsid w:val="00BD2F28"/>
    <w:rsid w:val="00BD4734"/>
    <w:rsid w:val="00BD504A"/>
    <w:rsid w:val="00BD66D0"/>
    <w:rsid w:val="00BD79E4"/>
    <w:rsid w:val="00BD7E23"/>
    <w:rsid w:val="00BE1C34"/>
    <w:rsid w:val="00BE2ECD"/>
    <w:rsid w:val="00BE43C2"/>
    <w:rsid w:val="00BE5417"/>
    <w:rsid w:val="00BE5F42"/>
    <w:rsid w:val="00BE5F95"/>
    <w:rsid w:val="00BE6646"/>
    <w:rsid w:val="00BE7A0C"/>
    <w:rsid w:val="00BF0A79"/>
    <w:rsid w:val="00BF0E76"/>
    <w:rsid w:val="00BF0FCB"/>
    <w:rsid w:val="00BF11CC"/>
    <w:rsid w:val="00BF1BBE"/>
    <w:rsid w:val="00BF2E3B"/>
    <w:rsid w:val="00BF3EE2"/>
    <w:rsid w:val="00BF3FE6"/>
    <w:rsid w:val="00BF4DC3"/>
    <w:rsid w:val="00BF5A84"/>
    <w:rsid w:val="00BF6BCF"/>
    <w:rsid w:val="00BF7B00"/>
    <w:rsid w:val="00C0002C"/>
    <w:rsid w:val="00C005B8"/>
    <w:rsid w:val="00C018E1"/>
    <w:rsid w:val="00C02046"/>
    <w:rsid w:val="00C03110"/>
    <w:rsid w:val="00C03210"/>
    <w:rsid w:val="00C03319"/>
    <w:rsid w:val="00C0683C"/>
    <w:rsid w:val="00C07099"/>
    <w:rsid w:val="00C0789E"/>
    <w:rsid w:val="00C07B9F"/>
    <w:rsid w:val="00C111B3"/>
    <w:rsid w:val="00C11ECB"/>
    <w:rsid w:val="00C13B1E"/>
    <w:rsid w:val="00C16B83"/>
    <w:rsid w:val="00C174FF"/>
    <w:rsid w:val="00C17708"/>
    <w:rsid w:val="00C1785F"/>
    <w:rsid w:val="00C17C17"/>
    <w:rsid w:val="00C2002E"/>
    <w:rsid w:val="00C20419"/>
    <w:rsid w:val="00C207FB"/>
    <w:rsid w:val="00C20E29"/>
    <w:rsid w:val="00C21139"/>
    <w:rsid w:val="00C21413"/>
    <w:rsid w:val="00C22FD0"/>
    <w:rsid w:val="00C239A8"/>
    <w:rsid w:val="00C24BE0"/>
    <w:rsid w:val="00C27278"/>
    <w:rsid w:val="00C30C31"/>
    <w:rsid w:val="00C31EC6"/>
    <w:rsid w:val="00C320D8"/>
    <w:rsid w:val="00C32958"/>
    <w:rsid w:val="00C346A4"/>
    <w:rsid w:val="00C346D0"/>
    <w:rsid w:val="00C34C66"/>
    <w:rsid w:val="00C3700B"/>
    <w:rsid w:val="00C40BC9"/>
    <w:rsid w:val="00C425E6"/>
    <w:rsid w:val="00C42C1F"/>
    <w:rsid w:val="00C4363D"/>
    <w:rsid w:val="00C43C72"/>
    <w:rsid w:val="00C44789"/>
    <w:rsid w:val="00C45B2B"/>
    <w:rsid w:val="00C45CC7"/>
    <w:rsid w:val="00C469A4"/>
    <w:rsid w:val="00C50248"/>
    <w:rsid w:val="00C539F1"/>
    <w:rsid w:val="00C53C34"/>
    <w:rsid w:val="00C54B8C"/>
    <w:rsid w:val="00C55684"/>
    <w:rsid w:val="00C556D7"/>
    <w:rsid w:val="00C56337"/>
    <w:rsid w:val="00C577D7"/>
    <w:rsid w:val="00C613C0"/>
    <w:rsid w:val="00C628E4"/>
    <w:rsid w:val="00C62C47"/>
    <w:rsid w:val="00C63957"/>
    <w:rsid w:val="00C63CAD"/>
    <w:rsid w:val="00C649B1"/>
    <w:rsid w:val="00C65B7F"/>
    <w:rsid w:val="00C65E41"/>
    <w:rsid w:val="00C672F4"/>
    <w:rsid w:val="00C673A7"/>
    <w:rsid w:val="00C67812"/>
    <w:rsid w:val="00C700FE"/>
    <w:rsid w:val="00C7031F"/>
    <w:rsid w:val="00C7176C"/>
    <w:rsid w:val="00C72EA3"/>
    <w:rsid w:val="00C737DC"/>
    <w:rsid w:val="00C7491E"/>
    <w:rsid w:val="00C7523F"/>
    <w:rsid w:val="00C75890"/>
    <w:rsid w:val="00C759DE"/>
    <w:rsid w:val="00C75C18"/>
    <w:rsid w:val="00C767ED"/>
    <w:rsid w:val="00C76CE2"/>
    <w:rsid w:val="00C76F21"/>
    <w:rsid w:val="00C8129E"/>
    <w:rsid w:val="00C81CAC"/>
    <w:rsid w:val="00C8246E"/>
    <w:rsid w:val="00C83F8E"/>
    <w:rsid w:val="00C86477"/>
    <w:rsid w:val="00C873E4"/>
    <w:rsid w:val="00C87455"/>
    <w:rsid w:val="00C92B10"/>
    <w:rsid w:val="00C948CF"/>
    <w:rsid w:val="00C97D08"/>
    <w:rsid w:val="00CA0557"/>
    <w:rsid w:val="00CA0FE1"/>
    <w:rsid w:val="00CA1BFC"/>
    <w:rsid w:val="00CA2381"/>
    <w:rsid w:val="00CA3372"/>
    <w:rsid w:val="00CA3543"/>
    <w:rsid w:val="00CA3F5A"/>
    <w:rsid w:val="00CA55B0"/>
    <w:rsid w:val="00CA65A8"/>
    <w:rsid w:val="00CA6B01"/>
    <w:rsid w:val="00CA6CA9"/>
    <w:rsid w:val="00CA7638"/>
    <w:rsid w:val="00CA77A5"/>
    <w:rsid w:val="00CA7E2C"/>
    <w:rsid w:val="00CB01AF"/>
    <w:rsid w:val="00CB03B2"/>
    <w:rsid w:val="00CB2D67"/>
    <w:rsid w:val="00CB5177"/>
    <w:rsid w:val="00CB6370"/>
    <w:rsid w:val="00CB695F"/>
    <w:rsid w:val="00CB7A08"/>
    <w:rsid w:val="00CC0BD5"/>
    <w:rsid w:val="00CC122B"/>
    <w:rsid w:val="00CC1827"/>
    <w:rsid w:val="00CC2232"/>
    <w:rsid w:val="00CC3099"/>
    <w:rsid w:val="00CC426D"/>
    <w:rsid w:val="00CC509B"/>
    <w:rsid w:val="00CC5536"/>
    <w:rsid w:val="00CC57D3"/>
    <w:rsid w:val="00CC582D"/>
    <w:rsid w:val="00CC58AB"/>
    <w:rsid w:val="00CC5AC5"/>
    <w:rsid w:val="00CC5C33"/>
    <w:rsid w:val="00CC602E"/>
    <w:rsid w:val="00CC6CBA"/>
    <w:rsid w:val="00CC6F45"/>
    <w:rsid w:val="00CC7E8A"/>
    <w:rsid w:val="00CC7E9B"/>
    <w:rsid w:val="00CD0D5F"/>
    <w:rsid w:val="00CD0DC9"/>
    <w:rsid w:val="00CD1CF0"/>
    <w:rsid w:val="00CD3C2E"/>
    <w:rsid w:val="00CD5A93"/>
    <w:rsid w:val="00CD5DE4"/>
    <w:rsid w:val="00CD5EAB"/>
    <w:rsid w:val="00CD6A98"/>
    <w:rsid w:val="00CE064D"/>
    <w:rsid w:val="00CE15BB"/>
    <w:rsid w:val="00CE1B3F"/>
    <w:rsid w:val="00CE1C5A"/>
    <w:rsid w:val="00CE2C99"/>
    <w:rsid w:val="00CE3316"/>
    <w:rsid w:val="00CE3D94"/>
    <w:rsid w:val="00CE4164"/>
    <w:rsid w:val="00CE4690"/>
    <w:rsid w:val="00CE4845"/>
    <w:rsid w:val="00CE5EC3"/>
    <w:rsid w:val="00CE61D5"/>
    <w:rsid w:val="00CF06C6"/>
    <w:rsid w:val="00CF1504"/>
    <w:rsid w:val="00CF162A"/>
    <w:rsid w:val="00CF342E"/>
    <w:rsid w:val="00CF3522"/>
    <w:rsid w:val="00CF3C38"/>
    <w:rsid w:val="00CF3C43"/>
    <w:rsid w:val="00CF4E39"/>
    <w:rsid w:val="00CF5023"/>
    <w:rsid w:val="00CF50C3"/>
    <w:rsid w:val="00CF741A"/>
    <w:rsid w:val="00D0046A"/>
    <w:rsid w:val="00D00EA0"/>
    <w:rsid w:val="00D02125"/>
    <w:rsid w:val="00D0225A"/>
    <w:rsid w:val="00D024F6"/>
    <w:rsid w:val="00D03509"/>
    <w:rsid w:val="00D038E1"/>
    <w:rsid w:val="00D03E49"/>
    <w:rsid w:val="00D04DFE"/>
    <w:rsid w:val="00D04FA6"/>
    <w:rsid w:val="00D06255"/>
    <w:rsid w:val="00D0657D"/>
    <w:rsid w:val="00D06F73"/>
    <w:rsid w:val="00D07FC5"/>
    <w:rsid w:val="00D10318"/>
    <w:rsid w:val="00D115DA"/>
    <w:rsid w:val="00D12178"/>
    <w:rsid w:val="00D124CF"/>
    <w:rsid w:val="00D126E6"/>
    <w:rsid w:val="00D13237"/>
    <w:rsid w:val="00D1329F"/>
    <w:rsid w:val="00D13B54"/>
    <w:rsid w:val="00D14887"/>
    <w:rsid w:val="00D16113"/>
    <w:rsid w:val="00D166A8"/>
    <w:rsid w:val="00D16B98"/>
    <w:rsid w:val="00D16C0D"/>
    <w:rsid w:val="00D16F78"/>
    <w:rsid w:val="00D20233"/>
    <w:rsid w:val="00D2073A"/>
    <w:rsid w:val="00D22CE5"/>
    <w:rsid w:val="00D234C0"/>
    <w:rsid w:val="00D25960"/>
    <w:rsid w:val="00D25AE7"/>
    <w:rsid w:val="00D262CD"/>
    <w:rsid w:val="00D30661"/>
    <w:rsid w:val="00D30F4B"/>
    <w:rsid w:val="00D31D0D"/>
    <w:rsid w:val="00D328A2"/>
    <w:rsid w:val="00D3309C"/>
    <w:rsid w:val="00D33295"/>
    <w:rsid w:val="00D36898"/>
    <w:rsid w:val="00D36F2F"/>
    <w:rsid w:val="00D409C6"/>
    <w:rsid w:val="00D41003"/>
    <w:rsid w:val="00D4165B"/>
    <w:rsid w:val="00D429EA"/>
    <w:rsid w:val="00D4427D"/>
    <w:rsid w:val="00D44F87"/>
    <w:rsid w:val="00D456E4"/>
    <w:rsid w:val="00D4581C"/>
    <w:rsid w:val="00D458F4"/>
    <w:rsid w:val="00D45C47"/>
    <w:rsid w:val="00D46938"/>
    <w:rsid w:val="00D500A6"/>
    <w:rsid w:val="00D5010A"/>
    <w:rsid w:val="00D50764"/>
    <w:rsid w:val="00D51118"/>
    <w:rsid w:val="00D51FC5"/>
    <w:rsid w:val="00D534D0"/>
    <w:rsid w:val="00D53B0A"/>
    <w:rsid w:val="00D545A7"/>
    <w:rsid w:val="00D54F76"/>
    <w:rsid w:val="00D60388"/>
    <w:rsid w:val="00D6075B"/>
    <w:rsid w:val="00D62ECB"/>
    <w:rsid w:val="00D6535D"/>
    <w:rsid w:val="00D66DC9"/>
    <w:rsid w:val="00D670BC"/>
    <w:rsid w:val="00D6746D"/>
    <w:rsid w:val="00D703E3"/>
    <w:rsid w:val="00D70D34"/>
    <w:rsid w:val="00D70E96"/>
    <w:rsid w:val="00D71361"/>
    <w:rsid w:val="00D726F0"/>
    <w:rsid w:val="00D72F20"/>
    <w:rsid w:val="00D73300"/>
    <w:rsid w:val="00D7345E"/>
    <w:rsid w:val="00D73FF2"/>
    <w:rsid w:val="00D7446E"/>
    <w:rsid w:val="00D76D09"/>
    <w:rsid w:val="00D77588"/>
    <w:rsid w:val="00D778AA"/>
    <w:rsid w:val="00D8051A"/>
    <w:rsid w:val="00D814EF"/>
    <w:rsid w:val="00D816C9"/>
    <w:rsid w:val="00D8172C"/>
    <w:rsid w:val="00D81D1F"/>
    <w:rsid w:val="00D84BEC"/>
    <w:rsid w:val="00D86A75"/>
    <w:rsid w:val="00D877C2"/>
    <w:rsid w:val="00D9295A"/>
    <w:rsid w:val="00D9379F"/>
    <w:rsid w:val="00D93DE7"/>
    <w:rsid w:val="00D9574F"/>
    <w:rsid w:val="00D97185"/>
    <w:rsid w:val="00DA0189"/>
    <w:rsid w:val="00DA06FB"/>
    <w:rsid w:val="00DA2582"/>
    <w:rsid w:val="00DA26C0"/>
    <w:rsid w:val="00DA2978"/>
    <w:rsid w:val="00DA2A54"/>
    <w:rsid w:val="00DA2CF3"/>
    <w:rsid w:val="00DA2E43"/>
    <w:rsid w:val="00DA37F7"/>
    <w:rsid w:val="00DA3E87"/>
    <w:rsid w:val="00DA4918"/>
    <w:rsid w:val="00DA4B9D"/>
    <w:rsid w:val="00DA52F6"/>
    <w:rsid w:val="00DA55AA"/>
    <w:rsid w:val="00DA6B1D"/>
    <w:rsid w:val="00DA7471"/>
    <w:rsid w:val="00DA7DFE"/>
    <w:rsid w:val="00DB3EEE"/>
    <w:rsid w:val="00DB675A"/>
    <w:rsid w:val="00DB76DB"/>
    <w:rsid w:val="00DB76FB"/>
    <w:rsid w:val="00DC0762"/>
    <w:rsid w:val="00DC1908"/>
    <w:rsid w:val="00DC1CF1"/>
    <w:rsid w:val="00DC2120"/>
    <w:rsid w:val="00DC3B75"/>
    <w:rsid w:val="00DC40A7"/>
    <w:rsid w:val="00DC4775"/>
    <w:rsid w:val="00DC4D63"/>
    <w:rsid w:val="00DD197E"/>
    <w:rsid w:val="00DD29F7"/>
    <w:rsid w:val="00DD2B62"/>
    <w:rsid w:val="00DD309D"/>
    <w:rsid w:val="00DD4028"/>
    <w:rsid w:val="00DD44D6"/>
    <w:rsid w:val="00DD4956"/>
    <w:rsid w:val="00DD5479"/>
    <w:rsid w:val="00DD55DA"/>
    <w:rsid w:val="00DD6195"/>
    <w:rsid w:val="00DE26D1"/>
    <w:rsid w:val="00DE2AB6"/>
    <w:rsid w:val="00DE2ACD"/>
    <w:rsid w:val="00DE2B88"/>
    <w:rsid w:val="00DE31E7"/>
    <w:rsid w:val="00DE4541"/>
    <w:rsid w:val="00DE4E67"/>
    <w:rsid w:val="00DE54F7"/>
    <w:rsid w:val="00DE5EA1"/>
    <w:rsid w:val="00DE5FC0"/>
    <w:rsid w:val="00DE606B"/>
    <w:rsid w:val="00DE60A7"/>
    <w:rsid w:val="00DE6D97"/>
    <w:rsid w:val="00DE75C9"/>
    <w:rsid w:val="00DE7E08"/>
    <w:rsid w:val="00DE7E35"/>
    <w:rsid w:val="00DF0138"/>
    <w:rsid w:val="00DF0189"/>
    <w:rsid w:val="00DF229A"/>
    <w:rsid w:val="00DF2B38"/>
    <w:rsid w:val="00DF3072"/>
    <w:rsid w:val="00DF342D"/>
    <w:rsid w:val="00DF3B14"/>
    <w:rsid w:val="00DF41DB"/>
    <w:rsid w:val="00DF48B0"/>
    <w:rsid w:val="00DF6057"/>
    <w:rsid w:val="00DF6C0D"/>
    <w:rsid w:val="00DF7346"/>
    <w:rsid w:val="00E01515"/>
    <w:rsid w:val="00E02E7C"/>
    <w:rsid w:val="00E04B32"/>
    <w:rsid w:val="00E04F03"/>
    <w:rsid w:val="00E050F0"/>
    <w:rsid w:val="00E0567B"/>
    <w:rsid w:val="00E05691"/>
    <w:rsid w:val="00E076D9"/>
    <w:rsid w:val="00E07944"/>
    <w:rsid w:val="00E126A8"/>
    <w:rsid w:val="00E126D7"/>
    <w:rsid w:val="00E13880"/>
    <w:rsid w:val="00E13C4A"/>
    <w:rsid w:val="00E14D0B"/>
    <w:rsid w:val="00E15AB4"/>
    <w:rsid w:val="00E1622A"/>
    <w:rsid w:val="00E2065C"/>
    <w:rsid w:val="00E212BB"/>
    <w:rsid w:val="00E222E5"/>
    <w:rsid w:val="00E2247F"/>
    <w:rsid w:val="00E22858"/>
    <w:rsid w:val="00E235C9"/>
    <w:rsid w:val="00E24786"/>
    <w:rsid w:val="00E260A7"/>
    <w:rsid w:val="00E26630"/>
    <w:rsid w:val="00E30252"/>
    <w:rsid w:val="00E30CF3"/>
    <w:rsid w:val="00E3116B"/>
    <w:rsid w:val="00E312D7"/>
    <w:rsid w:val="00E31A5D"/>
    <w:rsid w:val="00E31DF2"/>
    <w:rsid w:val="00E31E74"/>
    <w:rsid w:val="00E31FF0"/>
    <w:rsid w:val="00E320A5"/>
    <w:rsid w:val="00E3355B"/>
    <w:rsid w:val="00E3371B"/>
    <w:rsid w:val="00E3380B"/>
    <w:rsid w:val="00E343BB"/>
    <w:rsid w:val="00E34538"/>
    <w:rsid w:val="00E349A4"/>
    <w:rsid w:val="00E40036"/>
    <w:rsid w:val="00E40082"/>
    <w:rsid w:val="00E44B95"/>
    <w:rsid w:val="00E45713"/>
    <w:rsid w:val="00E46E33"/>
    <w:rsid w:val="00E4789A"/>
    <w:rsid w:val="00E513DA"/>
    <w:rsid w:val="00E51970"/>
    <w:rsid w:val="00E51FE2"/>
    <w:rsid w:val="00E521A5"/>
    <w:rsid w:val="00E5291D"/>
    <w:rsid w:val="00E52A9E"/>
    <w:rsid w:val="00E52EAB"/>
    <w:rsid w:val="00E54225"/>
    <w:rsid w:val="00E557B0"/>
    <w:rsid w:val="00E560DF"/>
    <w:rsid w:val="00E5698D"/>
    <w:rsid w:val="00E56BBE"/>
    <w:rsid w:val="00E574B0"/>
    <w:rsid w:val="00E578C4"/>
    <w:rsid w:val="00E6011D"/>
    <w:rsid w:val="00E60570"/>
    <w:rsid w:val="00E61D28"/>
    <w:rsid w:val="00E623E5"/>
    <w:rsid w:val="00E62CCA"/>
    <w:rsid w:val="00E64283"/>
    <w:rsid w:val="00E645DB"/>
    <w:rsid w:val="00E664C1"/>
    <w:rsid w:val="00E673AC"/>
    <w:rsid w:val="00E70433"/>
    <w:rsid w:val="00E714C9"/>
    <w:rsid w:val="00E718DA"/>
    <w:rsid w:val="00E7195B"/>
    <w:rsid w:val="00E719DA"/>
    <w:rsid w:val="00E71A2D"/>
    <w:rsid w:val="00E71B18"/>
    <w:rsid w:val="00E72026"/>
    <w:rsid w:val="00E72051"/>
    <w:rsid w:val="00E721FC"/>
    <w:rsid w:val="00E735D3"/>
    <w:rsid w:val="00E73678"/>
    <w:rsid w:val="00E73BAC"/>
    <w:rsid w:val="00E74A76"/>
    <w:rsid w:val="00E75895"/>
    <w:rsid w:val="00E75C67"/>
    <w:rsid w:val="00E75D0C"/>
    <w:rsid w:val="00E762C8"/>
    <w:rsid w:val="00E77159"/>
    <w:rsid w:val="00E77617"/>
    <w:rsid w:val="00E808A2"/>
    <w:rsid w:val="00E808C8"/>
    <w:rsid w:val="00E80E64"/>
    <w:rsid w:val="00E83050"/>
    <w:rsid w:val="00E84562"/>
    <w:rsid w:val="00E845DE"/>
    <w:rsid w:val="00E84FD1"/>
    <w:rsid w:val="00E85BCC"/>
    <w:rsid w:val="00E863CC"/>
    <w:rsid w:val="00E871A8"/>
    <w:rsid w:val="00E8788F"/>
    <w:rsid w:val="00E87A2C"/>
    <w:rsid w:val="00E87F5E"/>
    <w:rsid w:val="00E90362"/>
    <w:rsid w:val="00E91ECA"/>
    <w:rsid w:val="00E92088"/>
    <w:rsid w:val="00E93B7A"/>
    <w:rsid w:val="00E93F40"/>
    <w:rsid w:val="00E941A3"/>
    <w:rsid w:val="00E94A76"/>
    <w:rsid w:val="00E9554E"/>
    <w:rsid w:val="00E95ABD"/>
    <w:rsid w:val="00EA0B44"/>
    <w:rsid w:val="00EA0C9C"/>
    <w:rsid w:val="00EA0F2F"/>
    <w:rsid w:val="00EA26E7"/>
    <w:rsid w:val="00EA2FD5"/>
    <w:rsid w:val="00EA3203"/>
    <w:rsid w:val="00EA37FB"/>
    <w:rsid w:val="00EA4F90"/>
    <w:rsid w:val="00EA522A"/>
    <w:rsid w:val="00EA629F"/>
    <w:rsid w:val="00EA6900"/>
    <w:rsid w:val="00EA7D1E"/>
    <w:rsid w:val="00EB20E3"/>
    <w:rsid w:val="00EB2676"/>
    <w:rsid w:val="00EB2925"/>
    <w:rsid w:val="00EB3093"/>
    <w:rsid w:val="00EB39D2"/>
    <w:rsid w:val="00EB43EE"/>
    <w:rsid w:val="00EB4737"/>
    <w:rsid w:val="00EB48C1"/>
    <w:rsid w:val="00EB4E3F"/>
    <w:rsid w:val="00EB6469"/>
    <w:rsid w:val="00EC1292"/>
    <w:rsid w:val="00EC1DF5"/>
    <w:rsid w:val="00EC30B7"/>
    <w:rsid w:val="00EC3610"/>
    <w:rsid w:val="00EC3B53"/>
    <w:rsid w:val="00EC504A"/>
    <w:rsid w:val="00ED01F0"/>
    <w:rsid w:val="00ED0ABA"/>
    <w:rsid w:val="00ED0D7A"/>
    <w:rsid w:val="00ED0D93"/>
    <w:rsid w:val="00ED2427"/>
    <w:rsid w:val="00ED2797"/>
    <w:rsid w:val="00ED2CBA"/>
    <w:rsid w:val="00ED3B45"/>
    <w:rsid w:val="00ED488B"/>
    <w:rsid w:val="00ED5067"/>
    <w:rsid w:val="00ED5506"/>
    <w:rsid w:val="00ED6E69"/>
    <w:rsid w:val="00ED7706"/>
    <w:rsid w:val="00EE03A2"/>
    <w:rsid w:val="00EE08C5"/>
    <w:rsid w:val="00EE2176"/>
    <w:rsid w:val="00EE2C95"/>
    <w:rsid w:val="00EE443A"/>
    <w:rsid w:val="00EE44E0"/>
    <w:rsid w:val="00EE4706"/>
    <w:rsid w:val="00EE55C0"/>
    <w:rsid w:val="00EE5784"/>
    <w:rsid w:val="00EE65F8"/>
    <w:rsid w:val="00EE6C43"/>
    <w:rsid w:val="00EE7061"/>
    <w:rsid w:val="00EF0242"/>
    <w:rsid w:val="00EF03C8"/>
    <w:rsid w:val="00EF26F3"/>
    <w:rsid w:val="00EF2866"/>
    <w:rsid w:val="00EF28BD"/>
    <w:rsid w:val="00EF2BC5"/>
    <w:rsid w:val="00EF4517"/>
    <w:rsid w:val="00EF524A"/>
    <w:rsid w:val="00EF54DE"/>
    <w:rsid w:val="00EF600F"/>
    <w:rsid w:val="00EF6F13"/>
    <w:rsid w:val="00EF6FA8"/>
    <w:rsid w:val="00EF7565"/>
    <w:rsid w:val="00EF7DD9"/>
    <w:rsid w:val="00F01232"/>
    <w:rsid w:val="00F01699"/>
    <w:rsid w:val="00F026C1"/>
    <w:rsid w:val="00F02C6B"/>
    <w:rsid w:val="00F02CEF"/>
    <w:rsid w:val="00F0358A"/>
    <w:rsid w:val="00F036DD"/>
    <w:rsid w:val="00F061E7"/>
    <w:rsid w:val="00F069C7"/>
    <w:rsid w:val="00F072CD"/>
    <w:rsid w:val="00F07642"/>
    <w:rsid w:val="00F07A04"/>
    <w:rsid w:val="00F105C4"/>
    <w:rsid w:val="00F10AE2"/>
    <w:rsid w:val="00F1196F"/>
    <w:rsid w:val="00F11E83"/>
    <w:rsid w:val="00F13BE7"/>
    <w:rsid w:val="00F1406A"/>
    <w:rsid w:val="00F14910"/>
    <w:rsid w:val="00F16FA2"/>
    <w:rsid w:val="00F172F1"/>
    <w:rsid w:val="00F20C18"/>
    <w:rsid w:val="00F215D3"/>
    <w:rsid w:val="00F2194A"/>
    <w:rsid w:val="00F21EC0"/>
    <w:rsid w:val="00F22082"/>
    <w:rsid w:val="00F232C3"/>
    <w:rsid w:val="00F232E2"/>
    <w:rsid w:val="00F24B6B"/>
    <w:rsid w:val="00F257AE"/>
    <w:rsid w:val="00F25F51"/>
    <w:rsid w:val="00F25FC1"/>
    <w:rsid w:val="00F26D53"/>
    <w:rsid w:val="00F2734C"/>
    <w:rsid w:val="00F27A33"/>
    <w:rsid w:val="00F31402"/>
    <w:rsid w:val="00F3197A"/>
    <w:rsid w:val="00F33220"/>
    <w:rsid w:val="00F333D1"/>
    <w:rsid w:val="00F336AC"/>
    <w:rsid w:val="00F3394D"/>
    <w:rsid w:val="00F33FDB"/>
    <w:rsid w:val="00F34B67"/>
    <w:rsid w:val="00F35B63"/>
    <w:rsid w:val="00F36810"/>
    <w:rsid w:val="00F36F68"/>
    <w:rsid w:val="00F3754D"/>
    <w:rsid w:val="00F40AFB"/>
    <w:rsid w:val="00F40AFD"/>
    <w:rsid w:val="00F40BA8"/>
    <w:rsid w:val="00F417FC"/>
    <w:rsid w:val="00F41A4A"/>
    <w:rsid w:val="00F42FAD"/>
    <w:rsid w:val="00F433C4"/>
    <w:rsid w:val="00F439B9"/>
    <w:rsid w:val="00F43CBA"/>
    <w:rsid w:val="00F43E15"/>
    <w:rsid w:val="00F43E89"/>
    <w:rsid w:val="00F44564"/>
    <w:rsid w:val="00F44989"/>
    <w:rsid w:val="00F449F9"/>
    <w:rsid w:val="00F44BA9"/>
    <w:rsid w:val="00F4527D"/>
    <w:rsid w:val="00F46882"/>
    <w:rsid w:val="00F529B2"/>
    <w:rsid w:val="00F53E11"/>
    <w:rsid w:val="00F5447E"/>
    <w:rsid w:val="00F54EE1"/>
    <w:rsid w:val="00F54F0E"/>
    <w:rsid w:val="00F57DA9"/>
    <w:rsid w:val="00F6146A"/>
    <w:rsid w:val="00F6309B"/>
    <w:rsid w:val="00F67BAC"/>
    <w:rsid w:val="00F70EA4"/>
    <w:rsid w:val="00F710A6"/>
    <w:rsid w:val="00F7336B"/>
    <w:rsid w:val="00F738D5"/>
    <w:rsid w:val="00F73D08"/>
    <w:rsid w:val="00F73F32"/>
    <w:rsid w:val="00F743F0"/>
    <w:rsid w:val="00F76334"/>
    <w:rsid w:val="00F772AF"/>
    <w:rsid w:val="00F77BE2"/>
    <w:rsid w:val="00F77C72"/>
    <w:rsid w:val="00F804F6"/>
    <w:rsid w:val="00F813F5"/>
    <w:rsid w:val="00F81B5C"/>
    <w:rsid w:val="00F822A6"/>
    <w:rsid w:val="00F82393"/>
    <w:rsid w:val="00F836B6"/>
    <w:rsid w:val="00F837F4"/>
    <w:rsid w:val="00F84D79"/>
    <w:rsid w:val="00F860D6"/>
    <w:rsid w:val="00F918E6"/>
    <w:rsid w:val="00F91AD6"/>
    <w:rsid w:val="00F92078"/>
    <w:rsid w:val="00F922E0"/>
    <w:rsid w:val="00F923AF"/>
    <w:rsid w:val="00F9270D"/>
    <w:rsid w:val="00F92EA0"/>
    <w:rsid w:val="00F94144"/>
    <w:rsid w:val="00F95705"/>
    <w:rsid w:val="00F95855"/>
    <w:rsid w:val="00F95C92"/>
    <w:rsid w:val="00F964CF"/>
    <w:rsid w:val="00F96B21"/>
    <w:rsid w:val="00F96FD1"/>
    <w:rsid w:val="00FA02C0"/>
    <w:rsid w:val="00FA1A2F"/>
    <w:rsid w:val="00FA1CEC"/>
    <w:rsid w:val="00FA1D9D"/>
    <w:rsid w:val="00FA1FD8"/>
    <w:rsid w:val="00FA2FF7"/>
    <w:rsid w:val="00FA362D"/>
    <w:rsid w:val="00FA3E6D"/>
    <w:rsid w:val="00FA455D"/>
    <w:rsid w:val="00FA4EBF"/>
    <w:rsid w:val="00FA527F"/>
    <w:rsid w:val="00FA544A"/>
    <w:rsid w:val="00FA5677"/>
    <w:rsid w:val="00FA5A51"/>
    <w:rsid w:val="00FA5F7D"/>
    <w:rsid w:val="00FA662E"/>
    <w:rsid w:val="00FA6D44"/>
    <w:rsid w:val="00FA6E08"/>
    <w:rsid w:val="00FA754D"/>
    <w:rsid w:val="00FA7E71"/>
    <w:rsid w:val="00FB065D"/>
    <w:rsid w:val="00FB1761"/>
    <w:rsid w:val="00FB18F8"/>
    <w:rsid w:val="00FB1C68"/>
    <w:rsid w:val="00FB316F"/>
    <w:rsid w:val="00FB4464"/>
    <w:rsid w:val="00FB483A"/>
    <w:rsid w:val="00FB4BCE"/>
    <w:rsid w:val="00FB573E"/>
    <w:rsid w:val="00FB6C31"/>
    <w:rsid w:val="00FB7BD0"/>
    <w:rsid w:val="00FC26A8"/>
    <w:rsid w:val="00FC2880"/>
    <w:rsid w:val="00FC3423"/>
    <w:rsid w:val="00FC587C"/>
    <w:rsid w:val="00FC637B"/>
    <w:rsid w:val="00FC6F72"/>
    <w:rsid w:val="00FC7992"/>
    <w:rsid w:val="00FD0146"/>
    <w:rsid w:val="00FD0A0D"/>
    <w:rsid w:val="00FD1A9A"/>
    <w:rsid w:val="00FD3453"/>
    <w:rsid w:val="00FD5401"/>
    <w:rsid w:val="00FD5A6F"/>
    <w:rsid w:val="00FD5CA9"/>
    <w:rsid w:val="00FD5D1B"/>
    <w:rsid w:val="00FD723A"/>
    <w:rsid w:val="00FD7FAA"/>
    <w:rsid w:val="00FE0027"/>
    <w:rsid w:val="00FE003A"/>
    <w:rsid w:val="00FE080B"/>
    <w:rsid w:val="00FE0A51"/>
    <w:rsid w:val="00FE129B"/>
    <w:rsid w:val="00FE2853"/>
    <w:rsid w:val="00FE2B8F"/>
    <w:rsid w:val="00FE334E"/>
    <w:rsid w:val="00FE3964"/>
    <w:rsid w:val="00FE3DDD"/>
    <w:rsid w:val="00FE48F6"/>
    <w:rsid w:val="00FE5218"/>
    <w:rsid w:val="00FE542F"/>
    <w:rsid w:val="00FE560C"/>
    <w:rsid w:val="00FE56EE"/>
    <w:rsid w:val="00FE6E06"/>
    <w:rsid w:val="00FE74F7"/>
    <w:rsid w:val="00FE7A9E"/>
    <w:rsid w:val="00FF06F7"/>
    <w:rsid w:val="00FF0E98"/>
    <w:rsid w:val="00FF0FA2"/>
    <w:rsid w:val="00FF191A"/>
    <w:rsid w:val="00FF2B24"/>
    <w:rsid w:val="00FF36D2"/>
    <w:rsid w:val="00FF3A64"/>
    <w:rsid w:val="00FF5ABF"/>
    <w:rsid w:val="00FF60AF"/>
    <w:rsid w:val="00FF63B2"/>
    <w:rsid w:val="00FF7794"/>
    <w:rsid w:val="02070CCA"/>
    <w:rsid w:val="02723DE3"/>
    <w:rsid w:val="02807FAC"/>
    <w:rsid w:val="034C1790"/>
    <w:rsid w:val="038720C2"/>
    <w:rsid w:val="041E00CF"/>
    <w:rsid w:val="04B52C5F"/>
    <w:rsid w:val="055350E8"/>
    <w:rsid w:val="05835CF9"/>
    <w:rsid w:val="05857731"/>
    <w:rsid w:val="05880374"/>
    <w:rsid w:val="06E03262"/>
    <w:rsid w:val="06E65352"/>
    <w:rsid w:val="07D47A10"/>
    <w:rsid w:val="080A155C"/>
    <w:rsid w:val="0915740C"/>
    <w:rsid w:val="09D92F4C"/>
    <w:rsid w:val="0A951569"/>
    <w:rsid w:val="0AA063EB"/>
    <w:rsid w:val="0B2226D0"/>
    <w:rsid w:val="0B3A5C6C"/>
    <w:rsid w:val="0B52270F"/>
    <w:rsid w:val="0B6813FA"/>
    <w:rsid w:val="0C7B02EA"/>
    <w:rsid w:val="0D9848D0"/>
    <w:rsid w:val="0E341099"/>
    <w:rsid w:val="0F7571BB"/>
    <w:rsid w:val="0FDF1EF8"/>
    <w:rsid w:val="1077526D"/>
    <w:rsid w:val="11090360"/>
    <w:rsid w:val="11257C9B"/>
    <w:rsid w:val="112847B9"/>
    <w:rsid w:val="12AF6F40"/>
    <w:rsid w:val="135E0011"/>
    <w:rsid w:val="149D101A"/>
    <w:rsid w:val="15393438"/>
    <w:rsid w:val="15C47BC7"/>
    <w:rsid w:val="15D46CBD"/>
    <w:rsid w:val="16493207"/>
    <w:rsid w:val="16987C11"/>
    <w:rsid w:val="18982224"/>
    <w:rsid w:val="19706CFD"/>
    <w:rsid w:val="19B1602F"/>
    <w:rsid w:val="1A2F6BB8"/>
    <w:rsid w:val="1A9829AF"/>
    <w:rsid w:val="1B3F107D"/>
    <w:rsid w:val="1BA62EAA"/>
    <w:rsid w:val="1C2D7127"/>
    <w:rsid w:val="1C450915"/>
    <w:rsid w:val="1CBA09BB"/>
    <w:rsid w:val="1D24052A"/>
    <w:rsid w:val="1D5E0BF0"/>
    <w:rsid w:val="1D9B5F8A"/>
    <w:rsid w:val="1D9D423B"/>
    <w:rsid w:val="1EDFCC96"/>
    <w:rsid w:val="1F12003E"/>
    <w:rsid w:val="1F3D4BD0"/>
    <w:rsid w:val="1FCB2880"/>
    <w:rsid w:val="200D40B4"/>
    <w:rsid w:val="20176124"/>
    <w:rsid w:val="21D676AF"/>
    <w:rsid w:val="21DE053C"/>
    <w:rsid w:val="226A69DF"/>
    <w:rsid w:val="226D4721"/>
    <w:rsid w:val="228565A7"/>
    <w:rsid w:val="23490CEA"/>
    <w:rsid w:val="23CC1035"/>
    <w:rsid w:val="24B44889"/>
    <w:rsid w:val="24F45428"/>
    <w:rsid w:val="251D7AEF"/>
    <w:rsid w:val="25524C62"/>
    <w:rsid w:val="257FA00E"/>
    <w:rsid w:val="25BD5273"/>
    <w:rsid w:val="25FA68C7"/>
    <w:rsid w:val="25FF2AF6"/>
    <w:rsid w:val="2613269C"/>
    <w:rsid w:val="271B246D"/>
    <w:rsid w:val="275591C3"/>
    <w:rsid w:val="27E62FAC"/>
    <w:rsid w:val="281C077C"/>
    <w:rsid w:val="2853DC9F"/>
    <w:rsid w:val="29B1237D"/>
    <w:rsid w:val="29EE6148"/>
    <w:rsid w:val="2AE37772"/>
    <w:rsid w:val="2B097498"/>
    <w:rsid w:val="2B0A0D5F"/>
    <w:rsid w:val="2B115918"/>
    <w:rsid w:val="2B1E480B"/>
    <w:rsid w:val="2C8F7A84"/>
    <w:rsid w:val="2CC31B0E"/>
    <w:rsid w:val="2CD47877"/>
    <w:rsid w:val="2EE95130"/>
    <w:rsid w:val="2F7F58B7"/>
    <w:rsid w:val="2FB550E0"/>
    <w:rsid w:val="2FC2688F"/>
    <w:rsid w:val="2FCF8001"/>
    <w:rsid w:val="2FDD4C94"/>
    <w:rsid w:val="2FEF90AA"/>
    <w:rsid w:val="309B06AC"/>
    <w:rsid w:val="30FC01F6"/>
    <w:rsid w:val="31EB0EE2"/>
    <w:rsid w:val="31F369F1"/>
    <w:rsid w:val="322F37A1"/>
    <w:rsid w:val="333D4138"/>
    <w:rsid w:val="338A5133"/>
    <w:rsid w:val="33A361F5"/>
    <w:rsid w:val="33EA5BD2"/>
    <w:rsid w:val="341449FD"/>
    <w:rsid w:val="344A041F"/>
    <w:rsid w:val="34B2347A"/>
    <w:rsid w:val="34D115D5"/>
    <w:rsid w:val="34F17EEC"/>
    <w:rsid w:val="356F1980"/>
    <w:rsid w:val="35BE3171"/>
    <w:rsid w:val="37B207B5"/>
    <w:rsid w:val="37B7D04E"/>
    <w:rsid w:val="37D72911"/>
    <w:rsid w:val="38F661D9"/>
    <w:rsid w:val="391F5EBF"/>
    <w:rsid w:val="39BD1693"/>
    <w:rsid w:val="39C42A21"/>
    <w:rsid w:val="39FF3A59"/>
    <w:rsid w:val="3A541BE7"/>
    <w:rsid w:val="3AA20FB4"/>
    <w:rsid w:val="3ADF4EA6"/>
    <w:rsid w:val="3AFFBEA2"/>
    <w:rsid w:val="3B3FA434"/>
    <w:rsid w:val="3B5507F7"/>
    <w:rsid w:val="3B9A1C8B"/>
    <w:rsid w:val="3BA448B8"/>
    <w:rsid w:val="3BF56BC0"/>
    <w:rsid w:val="3C611486"/>
    <w:rsid w:val="3CEF24AB"/>
    <w:rsid w:val="3D3A1978"/>
    <w:rsid w:val="3D3F6F8E"/>
    <w:rsid w:val="3DBDFAEB"/>
    <w:rsid w:val="3DE43692"/>
    <w:rsid w:val="3DFDE453"/>
    <w:rsid w:val="3E481E73"/>
    <w:rsid w:val="3EB017C6"/>
    <w:rsid w:val="3FED7897"/>
    <w:rsid w:val="3FFF3C16"/>
    <w:rsid w:val="40624D42"/>
    <w:rsid w:val="409018AF"/>
    <w:rsid w:val="41B96BE3"/>
    <w:rsid w:val="42BF46CD"/>
    <w:rsid w:val="430B6AB6"/>
    <w:rsid w:val="43262148"/>
    <w:rsid w:val="438A4CDB"/>
    <w:rsid w:val="44705C7F"/>
    <w:rsid w:val="447559C2"/>
    <w:rsid w:val="44BA514C"/>
    <w:rsid w:val="46746B02"/>
    <w:rsid w:val="47046B53"/>
    <w:rsid w:val="473B751F"/>
    <w:rsid w:val="483F42E6"/>
    <w:rsid w:val="48FA645F"/>
    <w:rsid w:val="490B5F77"/>
    <w:rsid w:val="49421F59"/>
    <w:rsid w:val="496833C9"/>
    <w:rsid w:val="49B54134"/>
    <w:rsid w:val="4BC205B9"/>
    <w:rsid w:val="4C455C43"/>
    <w:rsid w:val="4C5B5467"/>
    <w:rsid w:val="4CD9638C"/>
    <w:rsid w:val="4D2D49F6"/>
    <w:rsid w:val="4D7E253F"/>
    <w:rsid w:val="4DC653A0"/>
    <w:rsid w:val="4DCB03CA"/>
    <w:rsid w:val="4E10402F"/>
    <w:rsid w:val="4E9B4352"/>
    <w:rsid w:val="4F604B42"/>
    <w:rsid w:val="4F703617"/>
    <w:rsid w:val="4FB97C89"/>
    <w:rsid w:val="4FEED58B"/>
    <w:rsid w:val="4FF52ECA"/>
    <w:rsid w:val="50067498"/>
    <w:rsid w:val="50355DD4"/>
    <w:rsid w:val="50AF405F"/>
    <w:rsid w:val="50E772C9"/>
    <w:rsid w:val="51E41A5B"/>
    <w:rsid w:val="524E373D"/>
    <w:rsid w:val="52796647"/>
    <w:rsid w:val="52835444"/>
    <w:rsid w:val="529B6283"/>
    <w:rsid w:val="533D7674"/>
    <w:rsid w:val="540208BE"/>
    <w:rsid w:val="54CE372F"/>
    <w:rsid w:val="55833339"/>
    <w:rsid w:val="55A21A11"/>
    <w:rsid w:val="55DB5495"/>
    <w:rsid w:val="55F6268B"/>
    <w:rsid w:val="563D3E2F"/>
    <w:rsid w:val="57014E5D"/>
    <w:rsid w:val="574A038F"/>
    <w:rsid w:val="57FC6500"/>
    <w:rsid w:val="58562F86"/>
    <w:rsid w:val="58586CFE"/>
    <w:rsid w:val="588E3CE2"/>
    <w:rsid w:val="5979517E"/>
    <w:rsid w:val="5A2D162A"/>
    <w:rsid w:val="5B8F0C89"/>
    <w:rsid w:val="5B950EA3"/>
    <w:rsid w:val="5C11169E"/>
    <w:rsid w:val="5C9815A6"/>
    <w:rsid w:val="5CB01537"/>
    <w:rsid w:val="5D243653"/>
    <w:rsid w:val="5D2AEEED"/>
    <w:rsid w:val="5DBDA060"/>
    <w:rsid w:val="5F5FF1C2"/>
    <w:rsid w:val="5FBF4C2C"/>
    <w:rsid w:val="5FD274EE"/>
    <w:rsid w:val="5FEC0D44"/>
    <w:rsid w:val="60127CE4"/>
    <w:rsid w:val="61E75263"/>
    <w:rsid w:val="62B132B9"/>
    <w:rsid w:val="63FA510E"/>
    <w:rsid w:val="63FB79D0"/>
    <w:rsid w:val="64744EC0"/>
    <w:rsid w:val="6536D48C"/>
    <w:rsid w:val="65F242EE"/>
    <w:rsid w:val="667165ED"/>
    <w:rsid w:val="670C13E0"/>
    <w:rsid w:val="675608AD"/>
    <w:rsid w:val="6780215A"/>
    <w:rsid w:val="67AB66E3"/>
    <w:rsid w:val="67AF051E"/>
    <w:rsid w:val="67BE0CBD"/>
    <w:rsid w:val="67E10ABE"/>
    <w:rsid w:val="689E7A58"/>
    <w:rsid w:val="693469CC"/>
    <w:rsid w:val="69760B60"/>
    <w:rsid w:val="698060B5"/>
    <w:rsid w:val="69AE2C22"/>
    <w:rsid w:val="6A217EF0"/>
    <w:rsid w:val="6A565ED1"/>
    <w:rsid w:val="6B256F14"/>
    <w:rsid w:val="6B2771BE"/>
    <w:rsid w:val="6CF50B68"/>
    <w:rsid w:val="6D643260"/>
    <w:rsid w:val="6DDCA416"/>
    <w:rsid w:val="6DF350A8"/>
    <w:rsid w:val="6E510020"/>
    <w:rsid w:val="6E7C509D"/>
    <w:rsid w:val="6EB752FE"/>
    <w:rsid w:val="6EDD5BF5"/>
    <w:rsid w:val="6F245233"/>
    <w:rsid w:val="6F26325B"/>
    <w:rsid w:val="6F394D3C"/>
    <w:rsid w:val="6F877CFE"/>
    <w:rsid w:val="6FC14D32"/>
    <w:rsid w:val="6FDF401A"/>
    <w:rsid w:val="6FE62FFC"/>
    <w:rsid w:val="6FFF47F6"/>
    <w:rsid w:val="70664B9D"/>
    <w:rsid w:val="70C71D41"/>
    <w:rsid w:val="70F11829"/>
    <w:rsid w:val="710F044A"/>
    <w:rsid w:val="713003C1"/>
    <w:rsid w:val="71573B9F"/>
    <w:rsid w:val="718E451F"/>
    <w:rsid w:val="719B7F30"/>
    <w:rsid w:val="71A21E7B"/>
    <w:rsid w:val="721D0945"/>
    <w:rsid w:val="733C4DFB"/>
    <w:rsid w:val="73B7A86C"/>
    <w:rsid w:val="747D755E"/>
    <w:rsid w:val="74F87447"/>
    <w:rsid w:val="758D4034"/>
    <w:rsid w:val="75A153E9"/>
    <w:rsid w:val="75C64E50"/>
    <w:rsid w:val="767945B8"/>
    <w:rsid w:val="76911902"/>
    <w:rsid w:val="76F3F4EC"/>
    <w:rsid w:val="777B319A"/>
    <w:rsid w:val="77FD8C3B"/>
    <w:rsid w:val="7A012A02"/>
    <w:rsid w:val="7A70182E"/>
    <w:rsid w:val="7AEA9484"/>
    <w:rsid w:val="7AF9ADC4"/>
    <w:rsid w:val="7AFF7C96"/>
    <w:rsid w:val="7B7B492E"/>
    <w:rsid w:val="7BAC4AE8"/>
    <w:rsid w:val="7BD65048"/>
    <w:rsid w:val="7BDF49E0"/>
    <w:rsid w:val="7D115880"/>
    <w:rsid w:val="7D197F5B"/>
    <w:rsid w:val="7D371B31"/>
    <w:rsid w:val="7D6633B0"/>
    <w:rsid w:val="7D937D0D"/>
    <w:rsid w:val="7DBF7C20"/>
    <w:rsid w:val="7DF113BD"/>
    <w:rsid w:val="7E54231E"/>
    <w:rsid w:val="7E626E76"/>
    <w:rsid w:val="7E7E9117"/>
    <w:rsid w:val="7EBA9E63"/>
    <w:rsid w:val="7ECB7038"/>
    <w:rsid w:val="7EF749A5"/>
    <w:rsid w:val="7F567244"/>
    <w:rsid w:val="7F6D458E"/>
    <w:rsid w:val="7F7F166E"/>
    <w:rsid w:val="7FCD0635"/>
    <w:rsid w:val="7FDF6BA7"/>
    <w:rsid w:val="7FF720AF"/>
    <w:rsid w:val="7FF746E9"/>
    <w:rsid w:val="9FF7F8A6"/>
    <w:rsid w:val="ADCB7BEB"/>
    <w:rsid w:val="B7731D60"/>
    <w:rsid w:val="BBED922A"/>
    <w:rsid w:val="BD7F2B89"/>
    <w:rsid w:val="BEF5E989"/>
    <w:rsid w:val="BFBFB986"/>
    <w:rsid w:val="C2FF40B2"/>
    <w:rsid w:val="CBF6BC04"/>
    <w:rsid w:val="CCC5D4BB"/>
    <w:rsid w:val="D27E83B1"/>
    <w:rsid w:val="D39EDAB7"/>
    <w:rsid w:val="DAFCE4E5"/>
    <w:rsid w:val="DB6FD64F"/>
    <w:rsid w:val="DE9E48EF"/>
    <w:rsid w:val="DF63FCD8"/>
    <w:rsid w:val="E33D10A4"/>
    <w:rsid w:val="E6FF43E7"/>
    <w:rsid w:val="E7FB0C0E"/>
    <w:rsid w:val="EBBF7F79"/>
    <w:rsid w:val="EBD726A0"/>
    <w:rsid w:val="EBF9F371"/>
    <w:rsid w:val="EDFDB34B"/>
    <w:rsid w:val="EDFE3FCD"/>
    <w:rsid w:val="EF0E5021"/>
    <w:rsid w:val="EF7FBE1A"/>
    <w:rsid w:val="EFB7100F"/>
    <w:rsid w:val="EFBD3393"/>
    <w:rsid w:val="F463C077"/>
    <w:rsid w:val="F56F7D6A"/>
    <w:rsid w:val="F64F1BCB"/>
    <w:rsid w:val="F71F4B46"/>
    <w:rsid w:val="F86FC338"/>
    <w:rsid w:val="F9DFB394"/>
    <w:rsid w:val="F9EF46F4"/>
    <w:rsid w:val="FB2F1207"/>
    <w:rsid w:val="FB7FED13"/>
    <w:rsid w:val="FBBCD4A9"/>
    <w:rsid w:val="FBE31A8E"/>
    <w:rsid w:val="FDB607D7"/>
    <w:rsid w:val="FDEEC2D7"/>
    <w:rsid w:val="FDEFC108"/>
    <w:rsid w:val="FDF768B5"/>
    <w:rsid w:val="FDFFB092"/>
    <w:rsid w:val="FECFD7E6"/>
    <w:rsid w:val="FEE7778D"/>
    <w:rsid w:val="FF9F2256"/>
    <w:rsid w:val="FFBFCEB7"/>
    <w:rsid w:val="FFEC3EC0"/>
    <w:rsid w:val="FFF444ED"/>
    <w:rsid w:val="FFFDCB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ocked="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0" w:name="Normal Indent"/>
    <w:lsdException w:uiPriority="0" w:name="footnote text"/>
    <w:lsdException w:qFormat="1" w:unhideWhenUsed="0" w:uiPriority="99" w:semiHidden="0" w:name="annotation text"/>
    <w:lsdException w:qFormat="1" w:unhideWhenUsed="0" w:uiPriority="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qFormat="1"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qFormat="1" w:unhideWhenUsed="0"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ocked="1"/>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30"/>
    <w:qFormat/>
    <w:locked/>
    <w:uiPriority w:val="0"/>
    <w:pPr>
      <w:keepNext/>
      <w:keepLines/>
      <w:spacing w:line="520" w:lineRule="exact"/>
      <w:outlineLvl w:val="0"/>
    </w:pPr>
    <w:rPr>
      <w:rFonts w:eastAsia="黑体"/>
      <w:bCs/>
      <w:kern w:val="44"/>
      <w:szCs w:val="44"/>
    </w:rPr>
  </w:style>
  <w:style w:type="paragraph" w:styleId="3">
    <w:name w:val="heading 2"/>
    <w:basedOn w:val="1"/>
    <w:next w:val="1"/>
    <w:link w:val="31"/>
    <w:unhideWhenUsed/>
    <w:qFormat/>
    <w:locked/>
    <w:uiPriority w:val="0"/>
    <w:pPr>
      <w:keepNext/>
      <w:keepLines/>
      <w:spacing w:line="520" w:lineRule="exact"/>
      <w:outlineLvl w:val="1"/>
    </w:pPr>
    <w:rPr>
      <w:rFonts w:ascii="Calibri Light" w:hAnsi="Calibri Light" w:eastAsia="楷体_GB2312"/>
      <w:bCs/>
      <w:szCs w:val="32"/>
    </w:rPr>
  </w:style>
  <w:style w:type="paragraph" w:styleId="4">
    <w:name w:val="heading 3"/>
    <w:basedOn w:val="1"/>
    <w:next w:val="1"/>
    <w:link w:val="32"/>
    <w:unhideWhenUsed/>
    <w:qFormat/>
    <w:locked/>
    <w:uiPriority w:val="0"/>
    <w:pPr>
      <w:keepNext/>
      <w:keepLines/>
      <w:spacing w:line="520" w:lineRule="exact"/>
      <w:ind w:firstLine="0" w:firstLineChars="0"/>
      <w:outlineLvl w:val="2"/>
    </w:pPr>
    <w:rPr>
      <w:rFonts w:ascii="仿宋_GB2312"/>
      <w:bCs/>
      <w:szCs w:val="32"/>
    </w:rPr>
  </w:style>
  <w:style w:type="paragraph" w:styleId="5">
    <w:name w:val="heading 4"/>
    <w:basedOn w:val="1"/>
    <w:next w:val="1"/>
    <w:link w:val="41"/>
    <w:semiHidden/>
    <w:unhideWhenUsed/>
    <w:qFormat/>
    <w:locked/>
    <w:uiPriority w:val="0"/>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3"/>
    <w:qFormat/>
    <w:uiPriority w:val="99"/>
    <w:pPr>
      <w:jc w:val="left"/>
    </w:pPr>
  </w:style>
  <w:style w:type="paragraph" w:styleId="7">
    <w:name w:val="Body Text"/>
    <w:basedOn w:val="1"/>
    <w:link w:val="42"/>
    <w:qFormat/>
    <w:uiPriority w:val="0"/>
    <w:pPr>
      <w:spacing w:after="120" w:line="300" w:lineRule="auto"/>
    </w:pPr>
    <w:rPr>
      <w:snapToGrid w:val="0"/>
      <w:kern w:val="0"/>
      <w:szCs w:val="32"/>
    </w:rPr>
  </w:style>
  <w:style w:type="paragraph" w:styleId="8">
    <w:name w:val="Balloon Text"/>
    <w:basedOn w:val="1"/>
    <w:link w:val="25"/>
    <w:semiHidden/>
    <w:qFormat/>
    <w:uiPriority w:val="0"/>
    <w:rPr>
      <w:sz w:val="18"/>
      <w:szCs w:val="18"/>
    </w:rPr>
  </w:style>
  <w:style w:type="paragraph" w:styleId="9">
    <w:name w:val="footer"/>
    <w:basedOn w:val="1"/>
    <w:link w:val="21"/>
    <w:qFormat/>
    <w:uiPriority w:val="99"/>
    <w:pPr>
      <w:tabs>
        <w:tab w:val="center" w:pos="4153"/>
        <w:tab w:val="right" w:pos="8306"/>
      </w:tabs>
      <w:snapToGrid w:val="0"/>
      <w:jc w:val="left"/>
    </w:pPr>
    <w:rPr>
      <w:sz w:val="18"/>
      <w:szCs w:val="18"/>
    </w:rPr>
  </w:style>
  <w:style w:type="paragraph" w:styleId="10">
    <w:name w:val="header"/>
    <w:basedOn w:val="1"/>
    <w:link w:val="20"/>
    <w:semiHidden/>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qFormat/>
    <w:uiPriority w:val="0"/>
    <w:pPr>
      <w:widowControl/>
      <w:spacing w:before="100" w:beforeAutospacing="1" w:after="100" w:afterAutospacing="1"/>
      <w:jc w:val="left"/>
    </w:pPr>
    <w:rPr>
      <w:rFonts w:ascii="宋体" w:hAnsi="宋体" w:cs="宋体"/>
      <w:kern w:val="0"/>
      <w:sz w:val="24"/>
      <w:szCs w:val="24"/>
    </w:rPr>
  </w:style>
  <w:style w:type="paragraph" w:styleId="12">
    <w:name w:val="Title"/>
    <w:basedOn w:val="1"/>
    <w:next w:val="1"/>
    <w:link w:val="29"/>
    <w:qFormat/>
    <w:locked/>
    <w:uiPriority w:val="0"/>
    <w:pPr>
      <w:spacing w:before="240" w:after="60"/>
      <w:jc w:val="center"/>
      <w:outlineLvl w:val="0"/>
    </w:pPr>
    <w:rPr>
      <w:rFonts w:ascii="Calibri Light" w:hAnsi="Calibri Light" w:eastAsia="方正小标宋_GBK"/>
      <w:b/>
      <w:bCs/>
      <w:sz w:val="44"/>
      <w:szCs w:val="32"/>
    </w:rPr>
  </w:style>
  <w:style w:type="paragraph" w:styleId="13">
    <w:name w:val="annotation subject"/>
    <w:basedOn w:val="6"/>
    <w:next w:val="6"/>
    <w:link w:val="27"/>
    <w:qFormat/>
    <w:uiPriority w:val="0"/>
    <w:rPr>
      <w:b/>
      <w:bCs/>
    </w:rPr>
  </w:style>
  <w:style w:type="character" w:styleId="16">
    <w:name w:val="page number"/>
    <w:qFormat/>
    <w:uiPriority w:val="0"/>
    <w:rPr>
      <w:rFonts w:cs="Times New Roman"/>
    </w:rPr>
  </w:style>
  <w:style w:type="character" w:styleId="17">
    <w:name w:val="line number"/>
    <w:basedOn w:val="15"/>
    <w:semiHidden/>
    <w:unhideWhenUsed/>
    <w:qFormat/>
    <w:uiPriority w:val="0"/>
  </w:style>
  <w:style w:type="character" w:styleId="18">
    <w:name w:val="annotation reference"/>
    <w:qFormat/>
    <w:uiPriority w:val="99"/>
    <w:rPr>
      <w:sz w:val="21"/>
      <w:szCs w:val="21"/>
    </w:rPr>
  </w:style>
  <w:style w:type="paragraph" w:styleId="19">
    <w:name w:val="No Spacing"/>
    <w:qFormat/>
    <w:uiPriority w:val="1"/>
    <w:pPr>
      <w:jc w:val="both"/>
    </w:pPr>
    <w:rPr>
      <w:rFonts w:ascii="Arial" w:hAnsi="Arial" w:eastAsia="宋体" w:cs="Arial"/>
      <w:sz w:val="18"/>
      <w:szCs w:val="18"/>
      <w:lang w:val="en-US" w:eastAsia="zh-CN" w:bidi="ar-SA"/>
    </w:rPr>
  </w:style>
  <w:style w:type="character" w:customStyle="1" w:styleId="20">
    <w:name w:val="页眉 字符"/>
    <w:link w:val="10"/>
    <w:semiHidden/>
    <w:qFormat/>
    <w:locked/>
    <w:uiPriority w:val="0"/>
    <w:rPr>
      <w:rFonts w:cs="Times New Roman"/>
      <w:sz w:val="18"/>
      <w:szCs w:val="18"/>
    </w:rPr>
  </w:style>
  <w:style w:type="character" w:customStyle="1" w:styleId="21">
    <w:name w:val="页脚 字符"/>
    <w:link w:val="9"/>
    <w:qFormat/>
    <w:locked/>
    <w:uiPriority w:val="99"/>
    <w:rPr>
      <w:rFonts w:cs="Times New Roman"/>
      <w:sz w:val="18"/>
      <w:szCs w:val="18"/>
    </w:rPr>
  </w:style>
  <w:style w:type="character" w:customStyle="1" w:styleId="22">
    <w:name w:val="f101"/>
    <w:qFormat/>
    <w:uiPriority w:val="0"/>
    <w:rPr>
      <w:sz w:val="24"/>
    </w:rPr>
  </w:style>
  <w:style w:type="character" w:customStyle="1" w:styleId="23">
    <w:name w:val="批注文字 字符"/>
    <w:link w:val="6"/>
    <w:qFormat/>
    <w:locked/>
    <w:uiPriority w:val="99"/>
    <w:rPr>
      <w:rFonts w:ascii="Times New Roman" w:hAnsi="Times New Roman" w:eastAsia="宋体" w:cs="Times New Roman"/>
      <w:sz w:val="20"/>
      <w:szCs w:val="20"/>
    </w:rPr>
  </w:style>
  <w:style w:type="paragraph" w:customStyle="1" w:styleId="24">
    <w:name w:val="列出段落1"/>
    <w:basedOn w:val="1"/>
    <w:qFormat/>
    <w:uiPriority w:val="0"/>
    <w:pPr>
      <w:widowControl/>
      <w:ind w:firstLine="420"/>
      <w:jc w:val="left"/>
    </w:pPr>
    <w:rPr>
      <w:rFonts w:ascii="宋体" w:hAnsi="宋体" w:cs="宋体"/>
      <w:kern w:val="0"/>
      <w:sz w:val="24"/>
      <w:szCs w:val="24"/>
    </w:rPr>
  </w:style>
  <w:style w:type="character" w:customStyle="1" w:styleId="25">
    <w:name w:val="批注框文本 字符"/>
    <w:link w:val="8"/>
    <w:semiHidden/>
    <w:qFormat/>
    <w:locked/>
    <w:uiPriority w:val="0"/>
    <w:rPr>
      <w:rFonts w:ascii="Times New Roman" w:hAnsi="Times New Roman" w:eastAsia="宋体" w:cs="Times New Roman"/>
      <w:sz w:val="18"/>
      <w:szCs w:val="18"/>
    </w:rPr>
  </w:style>
  <w:style w:type="paragraph" w:customStyle="1" w:styleId="26">
    <w:name w:val="默认段落字体 Para Char Char Char Char Char Char Char"/>
    <w:basedOn w:val="1"/>
    <w:qFormat/>
    <w:uiPriority w:val="0"/>
    <w:pPr>
      <w:adjustRightInd w:val="0"/>
      <w:spacing w:line="360" w:lineRule="auto"/>
    </w:pPr>
    <w:rPr>
      <w:rFonts w:ascii="Tahoma" w:hAnsi="Tahoma"/>
      <w:kern w:val="0"/>
      <w:sz w:val="24"/>
    </w:rPr>
  </w:style>
  <w:style w:type="character" w:customStyle="1" w:styleId="27">
    <w:name w:val="批注主题 字符"/>
    <w:link w:val="13"/>
    <w:qFormat/>
    <w:uiPriority w:val="0"/>
    <w:rPr>
      <w:rFonts w:ascii="Times New Roman" w:hAnsi="Times New Roman" w:eastAsia="宋体" w:cs="Times New Roman"/>
      <w:b/>
      <w:bCs/>
      <w:kern w:val="2"/>
      <w:sz w:val="21"/>
      <w:szCs w:val="20"/>
    </w:rPr>
  </w:style>
  <w:style w:type="paragraph" w:customStyle="1" w:styleId="28">
    <w:name w:val="修订1"/>
    <w:hidden/>
    <w:semiHidden/>
    <w:qFormat/>
    <w:uiPriority w:val="99"/>
    <w:rPr>
      <w:rFonts w:ascii="Times New Roman" w:hAnsi="Times New Roman" w:eastAsia="宋体" w:cs="Times New Roman"/>
      <w:kern w:val="2"/>
      <w:sz w:val="21"/>
      <w:lang w:val="en-US" w:eastAsia="zh-CN" w:bidi="ar-SA"/>
    </w:rPr>
  </w:style>
  <w:style w:type="character" w:customStyle="1" w:styleId="29">
    <w:name w:val="标题 字符"/>
    <w:link w:val="12"/>
    <w:qFormat/>
    <w:uiPriority w:val="0"/>
    <w:rPr>
      <w:rFonts w:ascii="Calibri Light" w:hAnsi="Calibri Light" w:eastAsia="方正小标宋_GBK" w:cs="Times New Roman"/>
      <w:b/>
      <w:bCs/>
      <w:kern w:val="2"/>
      <w:sz w:val="44"/>
      <w:szCs w:val="32"/>
    </w:rPr>
  </w:style>
  <w:style w:type="character" w:customStyle="1" w:styleId="30">
    <w:name w:val="标题 1 字符"/>
    <w:link w:val="2"/>
    <w:qFormat/>
    <w:uiPriority w:val="0"/>
    <w:rPr>
      <w:rFonts w:ascii="Times New Roman" w:hAnsi="Times New Roman" w:eastAsia="黑体"/>
      <w:bCs/>
      <w:kern w:val="44"/>
      <w:sz w:val="32"/>
      <w:szCs w:val="44"/>
    </w:rPr>
  </w:style>
  <w:style w:type="character" w:customStyle="1" w:styleId="31">
    <w:name w:val="标题 2 字符"/>
    <w:link w:val="3"/>
    <w:qFormat/>
    <w:uiPriority w:val="0"/>
    <w:rPr>
      <w:rFonts w:ascii="Calibri Light" w:hAnsi="Calibri Light" w:eastAsia="楷体_GB2312"/>
      <w:bCs/>
      <w:kern w:val="2"/>
      <w:sz w:val="32"/>
      <w:szCs w:val="32"/>
    </w:rPr>
  </w:style>
  <w:style w:type="character" w:customStyle="1" w:styleId="32">
    <w:name w:val="标题 3 字符"/>
    <w:link w:val="4"/>
    <w:qFormat/>
    <w:uiPriority w:val="0"/>
    <w:rPr>
      <w:rFonts w:ascii="仿宋_GB2312" w:hAnsi="Times New Roman" w:eastAsia="仿宋_GB2312"/>
      <w:bCs/>
      <w:kern w:val="2"/>
      <w:sz w:val="32"/>
      <w:szCs w:val="32"/>
    </w:rPr>
  </w:style>
  <w:style w:type="paragraph" w:styleId="33">
    <w:name w:val="List Paragraph"/>
    <w:basedOn w:val="1"/>
    <w:qFormat/>
    <w:uiPriority w:val="34"/>
    <w:pPr>
      <w:spacing w:line="240" w:lineRule="auto"/>
    </w:pPr>
    <w:rPr>
      <w:rFonts w:ascii="Calibri" w:hAnsi="Calibri" w:eastAsia="宋体"/>
      <w:sz w:val="21"/>
      <w:szCs w:val="22"/>
    </w:rPr>
  </w:style>
  <w:style w:type="paragraph" w:customStyle="1" w:styleId="34">
    <w:name w:val="标题5"/>
    <w:basedOn w:val="1"/>
    <w:qFormat/>
    <w:uiPriority w:val="0"/>
    <w:pPr>
      <w:snapToGrid w:val="0"/>
      <w:spacing w:before="50" w:after="50" w:line="245" w:lineRule="auto"/>
      <w:ind w:firstLine="0" w:firstLineChars="0"/>
      <w:jc w:val="left"/>
      <w:outlineLvl w:val="4"/>
    </w:pPr>
    <w:rPr>
      <w:rFonts w:eastAsia="方正小标宋简体"/>
      <w:spacing w:val="4"/>
      <w:sz w:val="20"/>
    </w:rPr>
  </w:style>
  <w:style w:type="paragraph" w:customStyle="1" w:styleId="35">
    <w:name w:val="段"/>
    <w:link w:val="36"/>
    <w:qFormat/>
    <w:uiPriority w:val="99"/>
    <w:pPr>
      <w:autoSpaceDE w:val="0"/>
      <w:autoSpaceDN w:val="0"/>
      <w:ind w:firstLine="200"/>
      <w:jc w:val="both"/>
    </w:pPr>
    <w:rPr>
      <w:rFonts w:ascii="Times New Roman" w:hAnsi="Times New Roman" w:eastAsia="宋体" w:cs="Times New Roman"/>
      <w:sz w:val="21"/>
      <w:lang w:val="en-US" w:eastAsia="zh-CN" w:bidi="ar-SA"/>
    </w:rPr>
  </w:style>
  <w:style w:type="character" w:customStyle="1" w:styleId="36">
    <w:name w:val="段 Char"/>
    <w:link w:val="35"/>
    <w:qFormat/>
    <w:uiPriority w:val="99"/>
    <w:rPr>
      <w:rFonts w:ascii="Times New Roman" w:hAnsi="Times New Roman"/>
      <w:sz w:val="21"/>
    </w:rPr>
  </w:style>
  <w:style w:type="paragraph" w:customStyle="1" w:styleId="37">
    <w:name w:val="表格正文文本"/>
    <w:basedOn w:val="1"/>
    <w:qFormat/>
    <w:uiPriority w:val="0"/>
    <w:pPr>
      <w:widowControl/>
      <w:spacing w:line="240" w:lineRule="auto"/>
      <w:ind w:firstLine="0" w:firstLineChars="0"/>
      <w:jc w:val="center"/>
    </w:pPr>
    <w:rPr>
      <w:rFonts w:ascii="Tahoma" w:hAnsi="Tahoma" w:eastAsia="宋体"/>
      <w:kern w:val="0"/>
      <w:sz w:val="18"/>
    </w:rPr>
  </w:style>
  <w:style w:type="paragraph" w:customStyle="1" w:styleId="38">
    <w:name w:val="调查项目"/>
    <w:basedOn w:val="1"/>
    <w:qFormat/>
    <w:uiPriority w:val="0"/>
    <w:pPr>
      <w:widowControl/>
      <w:spacing w:line="240" w:lineRule="auto"/>
      <w:ind w:firstLine="0" w:firstLineChars="0"/>
      <w:jc w:val="left"/>
      <w:outlineLvl w:val="1"/>
    </w:pPr>
    <w:rPr>
      <w:rFonts w:ascii="Tahoma" w:hAnsi="Tahoma" w:eastAsia="黑体"/>
      <w:bCs/>
      <w:color w:val="333399"/>
      <w:kern w:val="0"/>
      <w:sz w:val="18"/>
      <w:szCs w:val="18"/>
    </w:rPr>
  </w:style>
  <w:style w:type="paragraph" w:customStyle="1" w:styleId="39">
    <w:name w:val="列标题"/>
    <w:basedOn w:val="3"/>
    <w:qFormat/>
    <w:uiPriority w:val="0"/>
    <w:pPr>
      <w:keepNext w:val="0"/>
      <w:keepLines w:val="0"/>
      <w:widowControl/>
      <w:spacing w:line="240" w:lineRule="auto"/>
      <w:ind w:firstLine="0" w:firstLineChars="0"/>
      <w:jc w:val="center"/>
    </w:pPr>
    <w:rPr>
      <w:rFonts w:ascii="Tahoma" w:hAnsi="Tahoma" w:eastAsia="黑体"/>
      <w:color w:val="333399"/>
      <w:kern w:val="0"/>
      <w:sz w:val="18"/>
      <w:szCs w:val="18"/>
    </w:rPr>
  </w:style>
  <w:style w:type="character" w:customStyle="1" w:styleId="40">
    <w:name w:val="页脚 Char"/>
    <w:qFormat/>
    <w:uiPriority w:val="99"/>
    <w:rPr>
      <w:rFonts w:ascii="Times New Roman" w:hAnsi="Times New Roman" w:eastAsia="宋体" w:cs="Times New Roman"/>
      <w:sz w:val="18"/>
      <w:szCs w:val="18"/>
    </w:rPr>
  </w:style>
  <w:style w:type="character" w:customStyle="1" w:styleId="41">
    <w:name w:val="标题 4 字符"/>
    <w:basedOn w:val="15"/>
    <w:link w:val="5"/>
    <w:semiHidden/>
    <w:qFormat/>
    <w:uiPriority w:val="0"/>
    <w:rPr>
      <w:rFonts w:asciiTheme="majorHAnsi" w:hAnsiTheme="majorHAnsi" w:eastAsiaTheme="majorEastAsia" w:cstheme="majorBidi"/>
      <w:b/>
      <w:bCs/>
      <w:kern w:val="2"/>
      <w:sz w:val="28"/>
      <w:szCs w:val="28"/>
    </w:rPr>
  </w:style>
  <w:style w:type="character" w:customStyle="1" w:styleId="42">
    <w:name w:val="正文文本 字符"/>
    <w:basedOn w:val="15"/>
    <w:link w:val="7"/>
    <w:qFormat/>
    <w:uiPriority w:val="0"/>
    <w:rPr>
      <w:rFonts w:ascii="Times New Roman" w:hAnsi="Times New Roman" w:eastAsia="仿宋_GB2312"/>
      <w:snapToGrid w:val="0"/>
      <w:sz w:val="32"/>
      <w:szCs w:val="32"/>
    </w:rPr>
  </w:style>
  <w:style w:type="paragraph" w:customStyle="1" w:styleId="43">
    <w:name w:val="正文 A"/>
    <w:qFormat/>
    <w:uiPriority w:val="0"/>
    <w:pPr>
      <w:spacing w:after="160" w:line="259" w:lineRule="auto"/>
    </w:pPr>
    <w:rPr>
      <w:rFonts w:ascii="等线" w:hAnsi="等线" w:eastAsia="等线" w:cs="等线"/>
      <w:color w:val="000000"/>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9B65232B-5592-4D2C-8C7C-F08CE77AD5BA}">
  <ds:schemaRefs/>
</ds:datastoreItem>
</file>

<file path=docProps/app.xml><?xml version="1.0" encoding="utf-8"?>
<Properties xmlns="http://schemas.openxmlformats.org/officeDocument/2006/extended-properties" xmlns:vt="http://schemas.openxmlformats.org/officeDocument/2006/docPropsVTypes">
  <Template>Normal</Template>
  <Company>thtfpc</Company>
  <Pages>17</Pages>
  <Words>507</Words>
  <Characters>514</Characters>
  <Lines>55</Lines>
  <Paragraphs>15</Paragraphs>
  <TotalTime>13</TotalTime>
  <ScaleCrop>false</ScaleCrop>
  <LinksUpToDate>false</LinksUpToDate>
  <CharactersWithSpaces>514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2023-04-16T01:08:00Z</dcterms:created>
  <dc:creator>thtfpc user</dc:creator>
  <cp:lastModifiedBy>zyn</cp:lastModifiedBy>
  <cp:lastPrinted>2023-03-28T01:45:00Z</cp:lastPrinted>
  <dcterms:modified xsi:type="dcterms:W3CDTF">2026-08-17T14:40:27Z</dcterms:modified>
  <dc:title>微波治疗设备产品注册技术审评要点</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810415670FB845BCA87A8C2229ECC5C5_12</vt:lpwstr>
  </property>
  <property fmtid="{D5CDD505-2E9C-101B-9397-08002B2CF9AE}" pid="4" name="KSOTemplateDocerSaveRecord">
    <vt:lpwstr>eyJoZGlkIjoiZWM0NjRiYzkwZTBhODBhYmI3YmUwOWZlYmFmNjZjODQiLCJ1c2VySWQiOiIyMzQwNzk2MDEifQ==</vt:lpwstr>
  </property>
</Properties>
</file>