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eastAsia="方正小标宋简体"/>
          <w:bCs/>
          <w:kern w:val="0"/>
          <w:sz w:val="44"/>
          <w:szCs w:val="44"/>
        </w:rPr>
      </w:pPr>
      <w:r>
        <w:rPr>
          <w:rFonts w:hint="eastAsia" w:eastAsia="方正小标宋简体"/>
          <w:bCs/>
          <w:kern w:val="0"/>
          <w:sz w:val="44"/>
          <w:szCs w:val="44"/>
        </w:rPr>
        <w:t>图像分析仪器注册审查指导原则</w:t>
      </w:r>
    </w:p>
    <w:p>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eastAsia="方正小标宋简体"/>
          <w:bCs/>
          <w:kern w:val="0"/>
          <w:sz w:val="44"/>
          <w:szCs w:val="44"/>
        </w:rPr>
      </w:pPr>
      <w:r>
        <w:rPr>
          <w:rFonts w:hint="eastAsia" w:eastAsia="方正小标宋简体"/>
          <w:bCs/>
          <w:kern w:val="0"/>
          <w:sz w:val="44"/>
          <w:szCs w:val="44"/>
        </w:rPr>
        <w:t>（征求意见稿）</w:t>
      </w:r>
    </w:p>
    <w:p>
      <w:pPr>
        <w:keepNext w:val="0"/>
        <w:keepLines w:val="0"/>
        <w:pageBreakBefore w:val="0"/>
        <w:widowControl w:val="0"/>
        <w:kinsoku/>
        <w:wordWrap/>
        <w:overflowPunct/>
        <w:topLinePunct w:val="0"/>
        <w:autoSpaceDE/>
        <w:autoSpaceDN/>
        <w:bidi w:val="0"/>
        <w:adjustRightInd/>
        <w:snapToGrid/>
        <w:spacing w:after="0" w:line="520" w:lineRule="exact"/>
        <w:ind w:firstLine="632" w:firstLineChars="200"/>
        <w:textAlignment w:val="auto"/>
        <w:rPr>
          <w:rFonts w:eastAsia="仿宋_GB2312"/>
          <w:spacing w:val="-2"/>
          <w:kern w:val="0"/>
          <w:szCs w:val="32"/>
        </w:rPr>
      </w:pPr>
    </w:p>
    <w:p>
      <w:pPr>
        <w:spacing w:line="520" w:lineRule="exact"/>
        <w:ind w:firstLine="640" w:firstLineChars="200"/>
        <w:rPr>
          <w:rFonts w:eastAsia="仿宋_GB2312"/>
          <w:color w:val="000000"/>
          <w:szCs w:val="32"/>
        </w:rPr>
      </w:pPr>
      <w:r>
        <w:rPr>
          <w:rFonts w:eastAsia="仿宋_GB2312"/>
          <w:color w:val="000000"/>
          <w:szCs w:val="32"/>
        </w:rPr>
        <w:t>本指导原则旨在指导注册申请人对</w:t>
      </w:r>
      <w:r>
        <w:rPr>
          <w:rFonts w:hint="eastAsia" w:eastAsia="仿宋_GB2312"/>
          <w:color w:val="000000"/>
          <w:szCs w:val="32"/>
        </w:rPr>
        <w:t>图像分析仪器</w:t>
      </w:r>
      <w:r>
        <w:rPr>
          <w:rFonts w:eastAsia="仿宋_GB2312"/>
          <w:color w:val="000000"/>
          <w:szCs w:val="32"/>
        </w:rPr>
        <w:t>注册申报资料的准备及撰写，同时也为技术审评部门对注册申报资料的审评提供参考。</w:t>
      </w:r>
    </w:p>
    <w:p>
      <w:pPr>
        <w:spacing w:line="520" w:lineRule="exact"/>
        <w:ind w:firstLine="640" w:firstLineChars="200"/>
        <w:rPr>
          <w:rFonts w:eastAsia="仿宋_GB2312"/>
          <w:color w:val="000000"/>
          <w:szCs w:val="32"/>
        </w:rPr>
      </w:pPr>
      <w:r>
        <w:rPr>
          <w:rFonts w:eastAsia="仿宋_GB2312"/>
          <w:color w:val="000000"/>
          <w:szCs w:val="32"/>
        </w:rPr>
        <w:t>本指导原则是对</w:t>
      </w:r>
      <w:r>
        <w:rPr>
          <w:rFonts w:hint="eastAsia" w:eastAsia="仿宋_GB2312"/>
          <w:color w:val="000000"/>
          <w:szCs w:val="32"/>
        </w:rPr>
        <w:t>图像分析仪器</w:t>
      </w:r>
      <w:r>
        <w:rPr>
          <w:rFonts w:hint="eastAsia" w:eastAsia="仿宋_GB2312"/>
          <w:spacing w:val="-2"/>
          <w:kern w:val="0"/>
          <w:szCs w:val="32"/>
        </w:rPr>
        <w:t>产品</w:t>
      </w:r>
      <w:r>
        <w:rPr>
          <w:rFonts w:hint="eastAsia" w:eastAsia="仿宋_GB2312"/>
          <w:color w:val="000000"/>
          <w:szCs w:val="32"/>
        </w:rPr>
        <w:t>的</w:t>
      </w:r>
      <w:r>
        <w:rPr>
          <w:rFonts w:eastAsia="仿宋_GB2312"/>
          <w:color w:val="000000"/>
          <w:szCs w:val="32"/>
        </w:rPr>
        <w:t>注册申报资料的一般要求，注册申请人需依据产品的具体特性确定其中内容是否适用。若不适用，需具体阐述理由及相应的科学依据，并依据产品的具体特性对注册申报资料的内容进行充实和细化。</w:t>
      </w:r>
    </w:p>
    <w:p>
      <w:pPr>
        <w:spacing w:line="520" w:lineRule="exact"/>
        <w:ind w:firstLine="640" w:firstLineChars="200"/>
        <w:rPr>
          <w:rFonts w:eastAsia="仿宋_GB2312"/>
          <w:color w:val="000000"/>
          <w:szCs w:val="32"/>
        </w:rPr>
      </w:pPr>
      <w:r>
        <w:rPr>
          <w:rFonts w:eastAsia="仿宋_GB2312"/>
          <w:color w:val="000000"/>
          <w:szCs w:val="32"/>
        </w:rPr>
        <w:t>本指导原则是</w:t>
      </w:r>
      <w:r>
        <w:rPr>
          <w:rFonts w:hint="eastAsia" w:eastAsia="仿宋_GB2312"/>
          <w:color w:val="000000"/>
          <w:szCs w:val="32"/>
        </w:rPr>
        <w:t>对</w:t>
      </w:r>
      <w:r>
        <w:rPr>
          <w:rFonts w:eastAsia="仿宋_GB2312"/>
          <w:color w:val="000000"/>
          <w:szCs w:val="32"/>
        </w:rPr>
        <w:t>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pPr>
        <w:spacing w:line="520" w:lineRule="exact"/>
        <w:ind w:firstLine="640" w:firstLineChars="200"/>
        <w:rPr>
          <w:rFonts w:eastAsia="仿宋_GB2312"/>
          <w:color w:val="000000"/>
          <w:szCs w:val="32"/>
        </w:rPr>
      </w:pPr>
      <w:r>
        <w:rPr>
          <w:rFonts w:eastAsia="仿宋_GB2312"/>
          <w:color w:val="000000"/>
          <w:szCs w:val="32"/>
        </w:rPr>
        <w:t>本指导原则是在现行法规和标准体系以及当前认知水平下制定的，随着法规和标准的不断完善，以及科学技术的不断发展，本指导原则相关内容也将进行适时的调整。</w:t>
      </w:r>
    </w:p>
    <w:p>
      <w:pPr>
        <w:spacing w:line="520" w:lineRule="exact"/>
        <w:ind w:right="-102" w:rightChars="-32" w:firstLine="640" w:firstLineChars="200"/>
        <w:rPr>
          <w:rFonts w:ascii="黑体" w:hAnsi="黑体" w:eastAsia="黑体" w:cs="黑体"/>
          <w:color w:val="000000"/>
          <w:szCs w:val="32"/>
        </w:rPr>
      </w:pPr>
      <w:r>
        <w:rPr>
          <w:rFonts w:hint="eastAsia" w:ascii="黑体" w:hAnsi="黑体" w:eastAsia="黑体" w:cs="黑体"/>
          <w:color w:val="000000"/>
          <w:szCs w:val="32"/>
        </w:rPr>
        <w:t>一、适用范围</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本指导原则适用于图像分析仪器的产品注册。按现行《医疗器械分类目录》，该类产品分类编码为22-07-03，管理类别为II类。</w:t>
      </w:r>
    </w:p>
    <w:p>
      <w:pPr>
        <w:spacing w:line="520" w:lineRule="exact"/>
        <w:ind w:firstLine="640" w:firstLineChars="200"/>
        <w:rPr>
          <w:rFonts w:eastAsia="仿宋_GB2312"/>
          <w:color w:val="000000"/>
          <w:szCs w:val="32"/>
        </w:rPr>
      </w:pPr>
      <w:r>
        <w:rPr>
          <w:rFonts w:hint="eastAsia" w:eastAsia="仿宋_GB2312"/>
          <w:color w:val="000000"/>
          <w:szCs w:val="32"/>
        </w:rPr>
        <w:t>本指导原则不适用于包含采用人工智能技术的图像分析仪器和具有自动诊断功能的图像分析仪器。</w:t>
      </w:r>
    </w:p>
    <w:p>
      <w:pPr>
        <w:spacing w:line="520" w:lineRule="exact"/>
        <w:ind w:right="-102" w:rightChars="-32" w:firstLine="640" w:firstLineChars="200"/>
        <w:rPr>
          <w:rFonts w:ascii="黑体" w:hAnsi="黑体" w:eastAsia="黑体" w:cs="黑体"/>
          <w:color w:val="000000"/>
          <w:szCs w:val="32"/>
        </w:rPr>
      </w:pPr>
      <w:bookmarkStart w:id="0" w:name="_Toc432753645"/>
      <w:r>
        <w:rPr>
          <w:rFonts w:hint="eastAsia" w:ascii="黑体" w:hAnsi="黑体" w:eastAsia="黑体" w:cs="黑体"/>
          <w:color w:val="000000"/>
          <w:szCs w:val="32"/>
        </w:rPr>
        <w:t>二、注册审查要点</w:t>
      </w:r>
    </w:p>
    <w:p>
      <w:pPr>
        <w:spacing w:line="520" w:lineRule="exact"/>
        <w:ind w:right="-102" w:rightChars="-32" w:firstLine="640" w:firstLineChars="200"/>
        <w:rPr>
          <w:rFonts w:ascii="楷体_GB2312" w:hAnsi="楷体_GB2312" w:eastAsia="楷体_GB2312" w:cs="楷体_GB2312"/>
          <w:color w:val="000000"/>
          <w:szCs w:val="32"/>
        </w:rPr>
      </w:pPr>
      <w:r>
        <w:rPr>
          <w:rFonts w:hint="eastAsia" w:ascii="楷体_GB2312" w:hAnsi="楷体_GB2312" w:eastAsia="楷体_GB2312" w:cs="楷体_GB2312"/>
          <w:color w:val="000000"/>
          <w:szCs w:val="32"/>
        </w:rPr>
        <w:t>（一）监管信息</w:t>
      </w:r>
    </w:p>
    <w:p>
      <w:pPr>
        <w:spacing w:line="520" w:lineRule="exact"/>
        <w:ind w:right="-102" w:rightChars="-32" w:firstLine="640" w:firstLineChars="200"/>
        <w:rPr>
          <w:rFonts w:eastAsia="仿宋_GB2312"/>
          <w:color w:val="000000"/>
          <w:szCs w:val="32"/>
        </w:rPr>
      </w:pPr>
      <w:r>
        <w:rPr>
          <w:rFonts w:eastAsia="仿宋_GB2312"/>
          <w:color w:val="000000"/>
          <w:szCs w:val="32"/>
        </w:rPr>
        <w:t>明确申请表中产品名称、管理类别、分类编码、型号规格、产品组成等信息。</w:t>
      </w:r>
    </w:p>
    <w:p>
      <w:pPr>
        <w:spacing w:line="520" w:lineRule="exact"/>
        <w:ind w:right="-102" w:rightChars="-32" w:firstLine="640" w:firstLineChars="200"/>
        <w:rPr>
          <w:rFonts w:eastAsia="仿宋_GB2312"/>
          <w:color w:val="000000"/>
          <w:szCs w:val="32"/>
        </w:rPr>
      </w:pPr>
      <w:r>
        <w:rPr>
          <w:rFonts w:eastAsia="仿宋_GB2312"/>
          <w:color w:val="000000"/>
          <w:szCs w:val="32"/>
        </w:rPr>
        <w:t>1.产品名称</w:t>
      </w:r>
    </w:p>
    <w:p>
      <w:pPr>
        <w:spacing w:line="520" w:lineRule="exact"/>
        <w:ind w:right="-102" w:rightChars="-32" w:firstLine="640" w:firstLineChars="200"/>
        <w:rPr>
          <w:rFonts w:eastAsia="仿宋_GB2312"/>
          <w:color w:val="000000"/>
          <w:szCs w:val="32"/>
        </w:rPr>
      </w:pPr>
      <w:r>
        <w:rPr>
          <w:rFonts w:hint="eastAsia"/>
        </w:rPr>
        <w:t>产品名称需符合《医疗器械通用名称命名规则》《临床检验器械通用名称命名指导原则》</w:t>
      </w:r>
      <w:r>
        <w:rPr>
          <w:rFonts w:hint="eastAsia"/>
          <w:lang w:eastAsia="zh-CN"/>
        </w:rPr>
        <w:t>的</w:t>
      </w:r>
      <w:r>
        <w:rPr>
          <w:rFonts w:hint="eastAsia"/>
          <w:lang w:val="en-US" w:eastAsia="zh-CN"/>
        </w:rPr>
        <w:t>要求</w:t>
      </w:r>
      <w:r>
        <w:rPr>
          <w:rFonts w:hint="eastAsia"/>
        </w:rPr>
        <w:t>。</w:t>
      </w:r>
      <w:r>
        <w:rPr>
          <w:rFonts w:hint="eastAsia" w:eastAsia="仿宋_GB2312"/>
          <w:color w:val="000000"/>
          <w:szCs w:val="32"/>
        </w:rPr>
        <w:t>品名举例有：显微影像分析仪、玻片扫描分析影像系统、全自动染色体显微图像扫描系统、细胞医学图像分析系统、医学显微图像分析系统、自动扫描显微镜和图像分析系统</w:t>
      </w:r>
      <w:r>
        <w:rPr>
          <w:rFonts w:eastAsia="仿宋_GB2312"/>
          <w:color w:val="000000"/>
          <w:szCs w:val="32"/>
        </w:rPr>
        <w:t>。</w:t>
      </w:r>
    </w:p>
    <w:p>
      <w:pPr>
        <w:spacing w:line="520" w:lineRule="exact"/>
        <w:ind w:right="-102" w:rightChars="-32" w:firstLine="640" w:firstLineChars="200"/>
        <w:rPr>
          <w:rFonts w:eastAsia="仿宋_GB2312"/>
          <w:color w:val="000000"/>
          <w:szCs w:val="32"/>
        </w:rPr>
      </w:pPr>
      <w:r>
        <w:rPr>
          <w:rFonts w:eastAsia="仿宋_GB2312"/>
          <w:color w:val="000000"/>
          <w:szCs w:val="32"/>
        </w:rPr>
        <w:t>2.分类编码</w:t>
      </w:r>
    </w:p>
    <w:p>
      <w:pPr>
        <w:spacing w:line="520" w:lineRule="exact"/>
        <w:ind w:right="-102" w:rightChars="-32" w:firstLine="640" w:firstLineChars="200"/>
        <w:rPr>
          <w:rFonts w:eastAsia="仿宋_GB2312"/>
          <w:color w:val="000000"/>
          <w:szCs w:val="32"/>
        </w:rPr>
      </w:pPr>
      <w:r>
        <w:rPr>
          <w:rFonts w:eastAsia="仿宋_GB2312"/>
          <w:color w:val="000000"/>
          <w:szCs w:val="32"/>
        </w:rPr>
        <w:t>依据《医疗器械分类目录》，申报产品分类编码为</w:t>
      </w:r>
      <w:r>
        <w:rPr>
          <w:rFonts w:hint="eastAsia" w:eastAsia="仿宋_GB2312"/>
          <w:color w:val="000000"/>
          <w:szCs w:val="32"/>
        </w:rPr>
        <w:t>22-07-03</w:t>
      </w:r>
      <w:r>
        <w:rPr>
          <w:rFonts w:eastAsia="仿宋_GB2312"/>
          <w:color w:val="000000"/>
          <w:szCs w:val="32"/>
        </w:rPr>
        <w:t>。</w:t>
      </w:r>
    </w:p>
    <w:p>
      <w:pPr>
        <w:spacing w:line="520" w:lineRule="exact"/>
        <w:ind w:firstLine="640" w:firstLineChars="200"/>
        <w:outlineLvl w:val="2"/>
        <w:rPr>
          <w:rFonts w:eastAsia="仿宋_GB2312"/>
          <w:szCs w:val="32"/>
        </w:rPr>
      </w:pPr>
      <w:r>
        <w:rPr>
          <w:rFonts w:eastAsia="仿宋_GB2312"/>
          <w:szCs w:val="32"/>
        </w:rPr>
        <w:t>3.注册单元划分的原则和实例</w:t>
      </w:r>
    </w:p>
    <w:p>
      <w:pPr>
        <w:widowControl/>
        <w:spacing w:line="520" w:lineRule="exact"/>
        <w:ind w:right="-102" w:rightChars="-32" w:firstLine="640" w:firstLineChars="200"/>
        <w:rPr>
          <w:rFonts w:eastAsia="仿宋_GB2312"/>
          <w:szCs w:val="32"/>
        </w:rPr>
      </w:pPr>
      <w:r>
        <w:rPr>
          <w:rFonts w:hint="eastAsia" w:eastAsia="仿宋_GB2312"/>
          <w:szCs w:val="32"/>
        </w:rPr>
        <w:t>注册单元划分应符合《医疗器械注册单元划分指导原则》的要求，原则上以产品的技术原理、结构组成、性能指标和适用范围为划分依据。</w:t>
      </w:r>
    </w:p>
    <w:p>
      <w:pPr>
        <w:widowControl/>
        <w:spacing w:line="520" w:lineRule="exact"/>
        <w:ind w:right="-102" w:rightChars="-32" w:firstLine="640" w:firstLineChars="200"/>
        <w:rPr>
          <w:rFonts w:eastAsia="仿宋_GB2312"/>
          <w:szCs w:val="32"/>
          <w:lang w:val="en"/>
        </w:rPr>
      </w:pPr>
      <w:r>
        <w:rPr>
          <w:rFonts w:hint="eastAsia" w:eastAsia="仿宋_GB2312"/>
          <w:szCs w:val="32"/>
        </w:rPr>
        <w:t>以下情形建议划分为不同注册单元</w:t>
      </w:r>
      <w:r>
        <w:rPr>
          <w:rFonts w:eastAsia="仿宋_GB2312"/>
          <w:szCs w:val="32"/>
          <w:lang w:val="en"/>
        </w:rPr>
        <w:t>:</w:t>
      </w:r>
    </w:p>
    <w:p>
      <w:pPr>
        <w:widowControl/>
        <w:spacing w:line="520" w:lineRule="exact"/>
        <w:ind w:right="-102" w:rightChars="-32" w:firstLine="640" w:firstLineChars="200"/>
        <w:rPr>
          <w:rFonts w:eastAsia="仿宋_GB2312"/>
          <w:szCs w:val="32"/>
          <w:lang w:val="en"/>
        </w:rPr>
      </w:pPr>
      <w:r>
        <w:rPr>
          <w:rFonts w:hint="eastAsia" w:eastAsia="仿宋_GB2312"/>
          <w:szCs w:val="32"/>
        </w:rPr>
        <w:t>3.1</w:t>
      </w:r>
      <w:r>
        <w:rPr>
          <w:rFonts w:hint="eastAsia" w:eastAsia="仿宋_GB2312"/>
          <w:szCs w:val="32"/>
          <w:lang w:val="en"/>
        </w:rPr>
        <w:t>不同光源、不同图像采集系统应划分为不同注册单元。</w:t>
      </w:r>
    </w:p>
    <w:p>
      <w:pPr>
        <w:widowControl/>
        <w:spacing w:line="520" w:lineRule="exact"/>
        <w:ind w:right="-102" w:rightChars="-32" w:firstLine="640" w:firstLineChars="200"/>
        <w:rPr>
          <w:rFonts w:eastAsia="仿宋_GB2312"/>
          <w:szCs w:val="32"/>
          <w:lang w:val="en"/>
        </w:rPr>
      </w:pPr>
      <w:r>
        <w:rPr>
          <w:rFonts w:hint="eastAsia" w:eastAsia="仿宋_GB2312"/>
          <w:szCs w:val="32"/>
        </w:rPr>
        <w:t>3.2</w:t>
      </w:r>
      <w:r>
        <w:rPr>
          <w:rFonts w:hint="eastAsia" w:eastAsia="仿宋_GB2312"/>
          <w:szCs w:val="32"/>
          <w:lang w:val="en"/>
        </w:rPr>
        <w:t>不同自动化程度应划分为不同的注册单元。</w:t>
      </w:r>
      <w:r>
        <w:rPr>
          <w:rFonts w:hint="eastAsia" w:eastAsia="仿宋_GB2312"/>
          <w:szCs w:val="32"/>
        </w:rPr>
        <w:t>例如：</w:t>
      </w:r>
      <w:r>
        <w:rPr>
          <w:rFonts w:hint="eastAsia" w:eastAsia="仿宋_GB2312"/>
          <w:szCs w:val="32"/>
          <w:lang w:val="en"/>
        </w:rPr>
        <w:t>半自动图像分析仪器</w:t>
      </w:r>
      <w:r>
        <w:rPr>
          <w:rFonts w:hint="eastAsia" w:eastAsia="仿宋_GB2312"/>
          <w:szCs w:val="32"/>
        </w:rPr>
        <w:t>和</w:t>
      </w:r>
      <w:r>
        <w:rPr>
          <w:rFonts w:hint="eastAsia" w:eastAsia="仿宋_GB2312"/>
          <w:szCs w:val="32"/>
          <w:lang w:val="en"/>
        </w:rPr>
        <w:t>全自动图像分析仪器应划分为不同的注册单元。</w:t>
      </w:r>
    </w:p>
    <w:p>
      <w:pPr>
        <w:widowControl/>
        <w:spacing w:line="520" w:lineRule="exact"/>
        <w:ind w:right="-102" w:rightChars="-32" w:firstLine="640" w:firstLineChars="200"/>
        <w:rPr>
          <w:rFonts w:eastAsia="仿宋_GB2312"/>
          <w:szCs w:val="32"/>
        </w:rPr>
      </w:pPr>
      <w:r>
        <w:rPr>
          <w:rFonts w:hint="eastAsia" w:eastAsia="仿宋_GB2312"/>
          <w:szCs w:val="32"/>
        </w:rPr>
        <w:t>4.产品列表</w:t>
      </w:r>
    </w:p>
    <w:p>
      <w:pPr>
        <w:widowControl/>
        <w:spacing w:line="520" w:lineRule="exact"/>
        <w:ind w:right="-102" w:rightChars="-32" w:firstLine="640" w:firstLineChars="200"/>
        <w:rPr>
          <w:rFonts w:eastAsia="仿宋_GB2312"/>
          <w:szCs w:val="32"/>
        </w:rPr>
      </w:pPr>
      <w:r>
        <w:rPr>
          <w:rFonts w:hint="eastAsia" w:eastAsia="仿宋_GB2312"/>
          <w:szCs w:val="32"/>
        </w:rPr>
        <w:t>以表格形式列出拟申报产品的型号、规格、结构及组成、附件，以及每个型号规格的标识（如型号或部件的编号，器械唯一标识等）和描述说明（如尺寸、材质等）。</w:t>
      </w:r>
    </w:p>
    <w:p>
      <w:pPr>
        <w:widowControl/>
        <w:spacing w:line="520" w:lineRule="exact"/>
        <w:ind w:right="-102" w:rightChars="-32" w:firstLine="640" w:firstLineChars="200"/>
        <w:rPr>
          <w:rFonts w:eastAsia="仿宋_GB2312"/>
          <w:szCs w:val="32"/>
        </w:rPr>
      </w:pPr>
      <w:r>
        <w:rPr>
          <w:rFonts w:hint="eastAsia" w:eastAsia="仿宋_GB2312"/>
          <w:szCs w:val="32"/>
        </w:rPr>
        <w:t>5.其他管理信息</w:t>
      </w:r>
    </w:p>
    <w:p>
      <w:pPr>
        <w:widowControl/>
        <w:spacing w:line="520" w:lineRule="exact"/>
        <w:ind w:right="-102" w:rightChars="-32" w:firstLine="640" w:firstLineChars="200"/>
        <w:rPr>
          <w:lang w:val="en"/>
        </w:rPr>
      </w:pPr>
      <w:r>
        <w:rPr>
          <w:rFonts w:hint="eastAsia" w:eastAsia="仿宋_GB2312"/>
          <w:szCs w:val="32"/>
        </w:rPr>
        <w:t>应符合《关于公布医疗器械注册申报资料要求和批准证明文件格式的公告》要求。</w:t>
      </w:r>
    </w:p>
    <w:p>
      <w:pPr>
        <w:spacing w:line="520" w:lineRule="exact"/>
        <w:ind w:right="-102" w:rightChars="-32" w:firstLine="640" w:firstLineChars="200"/>
        <w:rPr>
          <w:rFonts w:ascii="楷体_GB2312" w:hAnsi="楷体_GB2312" w:eastAsia="楷体_GB2312" w:cs="楷体_GB2312"/>
          <w:color w:val="000000"/>
          <w:szCs w:val="32"/>
        </w:rPr>
      </w:pPr>
      <w:r>
        <w:rPr>
          <w:rFonts w:hint="eastAsia" w:ascii="楷体_GB2312" w:hAnsi="楷体_GB2312" w:eastAsia="楷体_GB2312" w:cs="楷体_GB2312"/>
          <w:color w:val="000000"/>
          <w:szCs w:val="32"/>
        </w:rPr>
        <w:t>（二）综述资料</w:t>
      </w:r>
    </w:p>
    <w:p>
      <w:pPr>
        <w:spacing w:line="520" w:lineRule="exact"/>
        <w:ind w:firstLine="640"/>
        <w:rPr>
          <w:rFonts w:eastAsia="仿宋_GB2312"/>
          <w:bCs/>
          <w:color w:val="000000" w:themeColor="text1"/>
          <w:szCs w:val="32"/>
          <w14:textFill>
            <w14:solidFill>
              <w14:schemeClr w14:val="tx1"/>
            </w14:solidFill>
          </w14:textFill>
        </w:rPr>
      </w:pPr>
      <w:r>
        <w:rPr>
          <w:rFonts w:hint="eastAsia" w:eastAsia="仿宋_GB2312"/>
          <w:color w:val="000000"/>
          <w:szCs w:val="32"/>
        </w:rPr>
        <w:t>1.</w:t>
      </w:r>
      <w:r>
        <w:rPr>
          <w:rFonts w:eastAsia="仿宋_GB2312"/>
          <w:bCs/>
          <w:color w:val="000000" w:themeColor="text1"/>
          <w:szCs w:val="32"/>
          <w14:textFill>
            <w14:solidFill>
              <w14:schemeClr w14:val="tx1"/>
            </w14:solidFill>
          </w14:textFill>
        </w:rPr>
        <w:t>概述</w:t>
      </w:r>
    </w:p>
    <w:p>
      <w:pPr>
        <w:spacing w:line="520" w:lineRule="exact"/>
        <w:ind w:right="-102" w:rightChars="-32" w:firstLine="640" w:firstLineChars="200"/>
        <w:rPr>
          <w:rFonts w:eastAsia="仿宋_GB2312"/>
          <w:color w:val="000000"/>
          <w:szCs w:val="32"/>
        </w:rPr>
      </w:pPr>
      <w:r>
        <w:rPr>
          <w:rFonts w:eastAsia="仿宋_GB2312"/>
          <w:bCs/>
          <w:color w:val="000000" w:themeColor="text1"/>
          <w:szCs w:val="32"/>
          <w14:textFill>
            <w14:solidFill>
              <w14:schemeClr w14:val="tx1"/>
            </w14:solidFill>
          </w14:textFill>
        </w:rPr>
        <w:t>描述</w:t>
      </w:r>
      <w:r>
        <w:rPr>
          <w:rFonts w:hint="eastAsia" w:eastAsia="仿宋_GB2312"/>
          <w:color w:val="000000"/>
          <w:szCs w:val="32"/>
        </w:rPr>
        <w:t>图像分析仪器</w:t>
      </w:r>
      <w:r>
        <w:rPr>
          <w:rFonts w:eastAsia="仿宋_GB2312"/>
          <w:bCs/>
          <w:color w:val="000000" w:themeColor="text1"/>
          <w:szCs w:val="32"/>
          <w14:textFill>
            <w14:solidFill>
              <w14:schemeClr w14:val="tx1"/>
            </w14:solidFill>
          </w14:textFill>
        </w:rPr>
        <w:t>的通用名称及其确定依据。描述</w:t>
      </w:r>
      <w:r>
        <w:rPr>
          <w:rFonts w:hint="eastAsia" w:eastAsia="仿宋_GB2312"/>
          <w:color w:val="000000"/>
          <w:szCs w:val="32"/>
        </w:rPr>
        <w:t>图像分析仪器</w:t>
      </w:r>
      <w:r>
        <w:rPr>
          <w:rFonts w:eastAsia="仿宋_GB2312"/>
          <w:bCs/>
          <w:color w:val="000000" w:themeColor="text1"/>
          <w:szCs w:val="32"/>
          <w14:textFill>
            <w14:solidFill>
              <w14:schemeClr w14:val="tx1"/>
            </w14:solidFill>
          </w14:textFill>
        </w:rPr>
        <w:t>的管理类别</w:t>
      </w:r>
      <w:r>
        <w:rPr>
          <w:rFonts w:hint="eastAsia" w:eastAsia="仿宋_GB2312"/>
          <w:bCs/>
          <w:color w:val="000000" w:themeColor="text1"/>
          <w:szCs w:val="32"/>
          <w14:textFill>
            <w14:solidFill>
              <w14:schemeClr w14:val="tx1"/>
            </w14:solidFill>
          </w14:textFill>
        </w:rPr>
        <w:t>、</w:t>
      </w:r>
      <w:r>
        <w:rPr>
          <w:rFonts w:eastAsia="仿宋_GB2312"/>
          <w:bCs/>
          <w:color w:val="000000" w:themeColor="text1"/>
          <w:szCs w:val="32"/>
          <w14:textFill>
            <w14:solidFill>
              <w14:schemeClr w14:val="tx1"/>
            </w14:solidFill>
          </w14:textFill>
        </w:rPr>
        <w:t>适用范围</w:t>
      </w:r>
      <w:r>
        <w:rPr>
          <w:rFonts w:hint="eastAsia" w:eastAsia="仿宋_GB2312"/>
          <w:color w:val="000000"/>
          <w:szCs w:val="32"/>
        </w:rPr>
        <w:t>。</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2</w:t>
      </w:r>
      <w:r>
        <w:rPr>
          <w:rFonts w:eastAsia="仿宋_GB2312"/>
          <w:color w:val="000000"/>
          <w:szCs w:val="32"/>
        </w:rPr>
        <w:t>.</w:t>
      </w:r>
      <w:bookmarkEnd w:id="0"/>
      <w:r>
        <w:rPr>
          <w:rFonts w:eastAsia="仿宋_GB2312"/>
          <w:color w:val="000000"/>
          <w:szCs w:val="32"/>
        </w:rPr>
        <w:t>产品描述</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2</w:t>
      </w:r>
      <w:r>
        <w:rPr>
          <w:rFonts w:eastAsia="仿宋_GB2312"/>
          <w:color w:val="000000"/>
          <w:szCs w:val="32"/>
        </w:rPr>
        <w:t>.1器械及操作原理描述</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2</w:t>
      </w:r>
      <w:r>
        <w:rPr>
          <w:rFonts w:eastAsia="仿宋_GB2312"/>
          <w:color w:val="000000"/>
          <w:szCs w:val="32"/>
        </w:rPr>
        <w:t>.1.1工作原理</w:t>
      </w:r>
    </w:p>
    <w:p>
      <w:pPr>
        <w:spacing w:line="520" w:lineRule="exact"/>
        <w:ind w:right="-102" w:rightChars="-32" w:firstLine="640" w:firstLineChars="200"/>
        <w:rPr>
          <w:rFonts w:eastAsia="仿宋_GB2312"/>
          <w:color w:val="000000"/>
          <w:szCs w:val="32"/>
        </w:rPr>
      </w:pPr>
      <w:r>
        <w:rPr>
          <w:rFonts w:eastAsia="仿宋_GB2312"/>
          <w:color w:val="000000"/>
          <w:szCs w:val="32"/>
        </w:rPr>
        <w:t>需详述产品的工作原理，例如：以照相扫描的方式将载片上的细胞呈现为图像，并能对图片上的细胞进行分类标记及分析等。</w:t>
      </w:r>
    </w:p>
    <w:p>
      <w:pPr>
        <w:spacing w:line="520" w:lineRule="exact"/>
        <w:ind w:right="-102" w:rightChars="-32" w:firstLine="640" w:firstLineChars="200"/>
        <w:rPr>
          <w:rFonts w:eastAsia="仿宋_GB2312"/>
          <w:color w:val="000000"/>
          <w:szCs w:val="32"/>
        </w:rPr>
      </w:pPr>
      <w:r>
        <w:rPr>
          <w:rFonts w:eastAsia="仿宋_GB2312"/>
          <w:color w:val="000000"/>
          <w:szCs w:val="32"/>
        </w:rPr>
        <w:t>其具体工作过程及实现机制一般为：以自动显微照相扫描的方式，首先由光源将被测载玻片上的临床样本照亮，并通过光学成像系统进行物理放大与聚焦；随后在机械运动模块的配合下驱动载玻片移动，通过图像采集系统进行多视野连续拍摄或全切片数字扫描，将涂片上的物理细胞真实地呈现为高清晰度的数字化图像；最终，通过计算机与图像分析软件，对所获取的显微图像进行数字化处理，依托预设的图像分析算法，对图像上的细胞样本进行自动筛选、轮廓分割、提取形态学特征点，进而完成对靶向细胞的智能分类、统计、标记及医学分析评判</w:t>
      </w:r>
      <w:r>
        <w:rPr>
          <w:rFonts w:hint="eastAsia" w:eastAsia="仿宋_GB2312"/>
          <w:color w:val="000000"/>
          <w:szCs w:val="32"/>
        </w:rPr>
        <w:t>。</w:t>
      </w:r>
    </w:p>
    <w:p>
      <w:pPr>
        <w:pStyle w:val="2"/>
        <w:ind w:firstLine="640" w:firstLineChars="200"/>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工作原理见图1。</w:t>
      </w:r>
    </w:p>
    <w:p>
      <w:pPr>
        <w:pStyle w:val="2"/>
        <w:ind w:firstLine="640" w:firstLineChars="200"/>
        <w:jc w:val="center"/>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drawing>
          <wp:anchor distT="0" distB="0" distL="114300" distR="114300" simplePos="0" relativeHeight="251659264" behindDoc="0" locked="0" layoutInCell="1" allowOverlap="1">
            <wp:simplePos x="0" y="0"/>
            <wp:positionH relativeFrom="column">
              <wp:posOffset>1057275</wp:posOffset>
            </wp:positionH>
            <wp:positionV relativeFrom="paragraph">
              <wp:posOffset>55880</wp:posOffset>
            </wp:positionV>
            <wp:extent cx="3884930" cy="3284220"/>
            <wp:effectExtent l="0" t="0" r="1270" b="7620"/>
            <wp:wrapTopAndBottom/>
            <wp:docPr id="1" name="图片 1" descr="19963304bf3bcbb5363056e4d3c39b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9963304bf3bcbb5363056e4d3c39b91"/>
                    <pic:cNvPicPr>
                      <a:picLocks noChangeAspect="1"/>
                    </pic:cNvPicPr>
                  </pic:nvPicPr>
                  <pic:blipFill>
                    <a:blip r:embed="rId6"/>
                    <a:stretch>
                      <a:fillRect/>
                    </a:stretch>
                  </pic:blipFill>
                  <pic:spPr>
                    <a:xfrm>
                      <a:off x="0" y="0"/>
                      <a:ext cx="3884930" cy="3284220"/>
                    </a:xfrm>
                    <a:prstGeom prst="rect">
                      <a:avLst/>
                    </a:prstGeom>
                  </pic:spPr>
                </pic:pic>
              </a:graphicData>
            </a:graphic>
          </wp:anchor>
        </w:drawing>
      </w:r>
      <w:r>
        <w:rPr>
          <w:rFonts w:hint="eastAsia" w:ascii="Times New Roman" w:hAnsi="Times New Roman" w:eastAsia="仿宋_GB2312"/>
          <w:color w:val="000000"/>
          <w:kern w:val="2"/>
          <w:sz w:val="32"/>
          <w:szCs w:val="32"/>
        </w:rPr>
        <w:t>图1 图像分析仪器工作原理图</w:t>
      </w:r>
    </w:p>
    <w:p>
      <w:pPr>
        <w:pStyle w:val="2"/>
        <w:spacing w:line="520" w:lineRule="exact"/>
        <w:ind w:firstLine="640" w:firstLineChars="200"/>
        <w:rPr>
          <w:rFonts w:ascii="Times New Roman" w:hAnsi="Times New Roman" w:eastAsia="仿宋_GB2312"/>
        </w:rPr>
      </w:pPr>
      <w:r>
        <w:rPr>
          <w:rFonts w:ascii="Times New Roman" w:hAnsi="Times New Roman" w:eastAsia="仿宋_GB2312"/>
          <w:sz w:val="32"/>
          <w:szCs w:val="32"/>
        </w:rPr>
        <w:t>申请人应根据拟申报产品的设计要求，结合结构组成及检测步骤，采用文字加图示的方式对产品工作原理及其实现机制进行详细描述。对于申报产品与其他上市产品不同的特殊设计、设计开发过程中的重点研究内容也应着重介绍</w:t>
      </w:r>
      <w:r>
        <w:rPr>
          <w:rFonts w:hint="eastAsia" w:ascii="Times New Roman" w:hAnsi="Times New Roman" w:eastAsia="仿宋_GB2312"/>
          <w:sz w:val="32"/>
          <w:szCs w:val="32"/>
        </w:rPr>
        <w:t>。</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2</w:t>
      </w:r>
      <w:r>
        <w:rPr>
          <w:rFonts w:eastAsia="仿宋_GB2312"/>
          <w:color w:val="000000"/>
          <w:szCs w:val="32"/>
        </w:rPr>
        <w:t>.1.2结构组成</w:t>
      </w:r>
    </w:p>
    <w:p>
      <w:pPr>
        <w:spacing w:line="520" w:lineRule="exact"/>
        <w:ind w:right="-102" w:rightChars="-32" w:firstLine="640" w:firstLineChars="200"/>
        <w:rPr>
          <w:rFonts w:eastAsia="仿宋_GB2312"/>
          <w:color w:val="000000"/>
          <w:szCs w:val="32"/>
        </w:rPr>
      </w:pPr>
      <w:r>
        <w:rPr>
          <w:rFonts w:eastAsia="仿宋_GB2312"/>
          <w:color w:val="000000"/>
          <w:szCs w:val="32"/>
        </w:rPr>
        <w:t>通常由光学成像系统、图像采集系统、计算机</w:t>
      </w:r>
      <w:r>
        <w:rPr>
          <w:rFonts w:hint="eastAsia" w:eastAsia="仿宋_GB2312"/>
          <w:color w:val="000000"/>
          <w:szCs w:val="32"/>
        </w:rPr>
        <w:t>（如有）</w:t>
      </w:r>
      <w:r>
        <w:rPr>
          <w:rFonts w:eastAsia="仿宋_GB2312"/>
          <w:color w:val="000000"/>
          <w:szCs w:val="32"/>
        </w:rPr>
        <w:t>、图像分析软件等组成。</w:t>
      </w:r>
    </w:p>
    <w:p>
      <w:pPr>
        <w:spacing w:line="520" w:lineRule="exact"/>
        <w:ind w:right="-102" w:rightChars="-32" w:firstLine="640" w:firstLineChars="200"/>
        <w:rPr>
          <w:rFonts w:hint="eastAsia" w:eastAsia="仿宋_GB2312"/>
          <w:color w:val="000000"/>
          <w:szCs w:val="32"/>
          <w:lang w:val="en-US" w:eastAsia="zh-CN"/>
        </w:rPr>
      </w:pPr>
      <w:r>
        <w:rPr>
          <w:rFonts w:hint="eastAsia" w:eastAsia="仿宋_GB2312"/>
          <w:color w:val="000000"/>
          <w:szCs w:val="32"/>
          <w:lang w:val="en-US" w:eastAsia="zh-CN"/>
        </w:rPr>
        <w:t>产品图示举例：</w:t>
      </w:r>
    </w:p>
    <w:p>
      <w:pPr>
        <w:jc w:val="center"/>
        <w:rPr>
          <w:rFonts w:ascii="宋体" w:hAnsi="宋体" w:cs="宋体"/>
          <w:kern w:val="0"/>
          <w:sz w:val="24"/>
          <w:szCs w:val="24"/>
        </w:rPr>
      </w:pPr>
      <w:r>
        <w:rPr>
          <w:rFonts w:ascii="宋体" w:hAnsi="宋体" w:cs="宋体"/>
          <w:kern w:val="0"/>
          <w:sz w:val="24"/>
          <w:szCs w:val="24"/>
        </w:rPr>
        <mc:AlternateContent>
          <mc:Choice Requires="wps">
            <w:drawing>
              <wp:anchor distT="45720" distB="45720" distL="114300" distR="114300" simplePos="0" relativeHeight="251668480" behindDoc="0" locked="0" layoutInCell="1" allowOverlap="1">
                <wp:simplePos x="0" y="0"/>
                <wp:positionH relativeFrom="column">
                  <wp:posOffset>4627880</wp:posOffset>
                </wp:positionH>
                <wp:positionV relativeFrom="paragraph">
                  <wp:posOffset>27305</wp:posOffset>
                </wp:positionV>
                <wp:extent cx="397510" cy="1404620"/>
                <wp:effectExtent l="4445" t="4445" r="9525" b="8255"/>
                <wp:wrapNone/>
                <wp:docPr id="27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97566" cy="1404620"/>
                        </a:xfrm>
                        <a:prstGeom prst="rect">
                          <a:avLst/>
                        </a:prstGeom>
                        <a:solidFill>
                          <a:srgbClr val="FFFFFF"/>
                        </a:solidFill>
                        <a:ln w="9525">
                          <a:solidFill>
                            <a:schemeClr val="bg1"/>
                          </a:solidFill>
                          <a:miter lim="800000"/>
                        </a:ln>
                      </wps:spPr>
                      <wps:txbx>
                        <w:txbxContent>
                          <w:p>
                            <w:pPr>
                              <w:rPr>
                                <w:sz w:val="36"/>
                                <w:szCs w:val="36"/>
                              </w:rPr>
                            </w:pPr>
                            <w:r>
                              <w:rPr>
                                <w:sz w:val="36"/>
                                <w:szCs w:val="36"/>
                              </w:rPr>
                              <w:t>5</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64.4pt;margin-top:2.15pt;height:110.6pt;width:31.3pt;z-index:251668480;mso-width-relative:page;mso-height-relative:margin;mso-height-percent:200;" fillcolor="#FFFFFF" filled="t" stroked="t" coordsize="21600,21600" o:gfxdata="UEsDBAoAAAAAAIdO4kAAAAAAAAAAAAAAAAAEAAAAZHJzL1BLAwQUAAAACACHTuJAAVJlB9oAAAAJ&#10;AQAADwAAAGRycy9kb3ducmV2LnhtbE2PzU7DMBCE70i8g7VI3Kid0N+QTQ8IJDhUFaUV4ubaJkmx&#10;11HstOXta05wHM1o5ptyeXaWHU0fWk8I2UgAM6S8bqlG2L4/382BhShJS+vJIPyYAMvq+qqUhfYn&#10;ejPHTaxZKqFQSIQmxq7gPKjGOBlGvjOUvC/fOxmT7Guue3lK5c7yXIgpd7KltNDIzjw2Rn1vBofw&#10;pLqXxfrTHj7Waiemg1i9HvwK8fYmEw/AojnHvzD84id0qBLT3g+kA7MIs3ye0CPC+B5Y8meLbAxs&#10;j5DnkwnwquT/H1QXUEsDBBQAAAAIAIdO4kBtJJx1HQIAAC8EAAAOAAAAZHJzL2Uyb0RvYy54bWyt&#10;U82O0zAQviPxDpbvNGnpzzZqulq6KkJafqSFB3Acp7FwPMZ2m5QHgDfgxIU7z9XnYOxkS7XcVvhg&#10;eTzjb2a+b7y67hpFDsI6CTqn41FKidAcSql3Of30cfviihLnmS6ZAi1yehSOXq+fP1u1JhMTqEGV&#10;whIE0S5rTU5r702WJI7XomFuBEZodFZgG+bRtLuktKxF9EYlkzSdJy3Y0ljgwjm8ve2ddB3xq0pw&#10;/76qnPBE5RRr83G3cS/CnqxXLNtZZmrJhzLYE6pomNSY9Ax1yzwjeyv/gWokt+Cg8iMOTQJVJbmI&#10;PWA34/RRN/c1MyL2guQ4c6bJ/T9Y/u7wwRJZ5nSyQKk0a1Ck04/vp5+/T7++kUkgqDUuw7h7g5G+&#10;ewUdCh2bdeYO+GdHNGxqpnfixlpoa8FKLHAcXiYXT3scF0CK9i2UmIftPUSgrrJNYA/5IIiOQh3P&#10;4ojOE46XL5eL2XxOCUfXeJpO55OoXsKyh9fGOv9aQEPCIacWxY/o7HDnfKiGZQ8hIZkDJcutVCoa&#10;dldslCUHhoOyjSs28ChMadLmdDmbzHoCngDRSI8Tr2ST06s0rCGP0gNfgaKeLN8V3cB/AeURmbPQ&#10;TzD+ODzUYL9S0uL05tR92TMrKFFvNLK/HE+nYdyjMZ0tkCtiLz3FpYdpjlA59ZT0x42PXyQSY25Q&#10;pa2MBAY5+0qGWnEqI6/DDwpjf2nHqL//fP0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AVJlB9oA&#10;AAAJAQAADwAAAAAAAAABACAAAAAiAAAAZHJzL2Rvd25yZXYueG1sUEsBAhQAFAAAAAgAh07iQG0k&#10;nHUdAgAALwQAAA4AAAAAAAAAAQAgAAAAKQEAAGRycy9lMm9Eb2MueG1sUEsFBgAAAAAGAAYAWQEA&#10;ALgFAAAAAA==&#10;">
                <v:fill on="t" focussize="0,0"/>
                <v:stroke color="#FFFFFF [3212]" miterlimit="8" joinstyle="miter"/>
                <v:imagedata o:title=""/>
                <o:lock v:ext="edit" aspectratio="f"/>
                <v:textbox style="mso-fit-shape-to-text:t;">
                  <w:txbxContent>
                    <w:p>
                      <w:pPr>
                        <w:rPr>
                          <w:sz w:val="36"/>
                          <w:szCs w:val="36"/>
                        </w:rPr>
                      </w:pPr>
                      <w:r>
                        <w:rPr>
                          <w:sz w:val="36"/>
                          <w:szCs w:val="36"/>
                        </w:rPr>
                        <w:t>5</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posOffset>2837815</wp:posOffset>
                </wp:positionH>
                <wp:positionV relativeFrom="paragraph">
                  <wp:posOffset>321945</wp:posOffset>
                </wp:positionV>
                <wp:extent cx="1724025" cy="885825"/>
                <wp:effectExtent l="3175" t="5715" r="10160" b="7620"/>
                <wp:wrapNone/>
                <wp:docPr id="257" name="直接连接符 257"/>
                <wp:cNvGraphicFramePr/>
                <a:graphic xmlns:a="http://schemas.openxmlformats.org/drawingml/2006/main">
                  <a:graphicData uri="http://schemas.microsoft.com/office/word/2010/wordprocessingShape">
                    <wps:wsp>
                      <wps:cNvCnPr/>
                      <wps:spPr>
                        <a:xfrm flipV="1">
                          <a:off x="0" y="0"/>
                          <a:ext cx="1724025" cy="8858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223.45pt;margin-top:25.35pt;height:69.75pt;width:135.75pt;mso-position-horizontal-relative:margin;z-index:251663360;mso-width-relative:page;mso-height-relative:page;" filled="f" stroked="t" coordsize="21600,21600" o:gfxdata="UEsDBAoAAAAAAIdO4kAAAAAAAAAAAAAAAAAEAAAAZHJzL1BLAwQUAAAACACHTuJAfXAo0NgAAAAK&#10;AQAADwAAAGRycy9kb3ducmV2LnhtbE2PwU7DMBBE70j8g7VI3KidNrRpGqeHSNyQoAVxduJtkhKv&#10;I9tp07/HnOC4mqeZt8V+NgO7oPO9JQnJQgBDaqzuqZXw+fHylAHzQZFWgyWUcEMP+/L+rlC5tlc6&#10;4OUYWhZLyOdKQhfCmHPumw6N8gs7IsXsZJ1RIZ6u5dqpayw3A18KseZG9RQXOjVi1WHzfZyMhJ5X&#10;Sf3lqtP7DbNVWL0dzq/TLOXjQyJ2wALO4Q+GX/2oDmV0qu1E2rNBQpqutxGV8Cw2wCKwSbIUWB3J&#10;rVgCLwv+/4XyB1BLAwQUAAAACACHTuJAzfE7ztUBAAB3AwAADgAAAGRycy9lMm9Eb2MueG1srVNL&#10;jhMxEN0jcQfLe9KdFmGiVjqzmGjYIIjEZ19x292W/JPLpJNLcAEkdrBiyZ7bMByDshPCADtEL0rl&#10;+jzXe65eXR+sYXsZUXvX8fms5kw64Xvtho6/fnX7aMkZJnA9GO9kx48S+fX64YPVFFrZ+NGbXkZG&#10;IA7bKXR8TCm0VYVilBZw5oN0lFQ+Wkh0jEPVR5gI3Zqqqesn1eRjH6IXEpGim1OSrwu+UlKkF0qh&#10;TMx0nGZLxcZid9lW6xW0Q4QwanEeA/5hCgva0aUXqA0kYG+j/gvKahE9epVmwtvKK6WFLByIzbz+&#10;g83LEYIsXEgcDBeZ8P/Biuf7bWS673izuOLMgaVHunv/5du7j9+/fiB79/kTyykSagrYUv2N28bz&#10;CcM2ZtYHFS1TRoc3tANFB2LGDkXm40VmeUhMUHB+1TyumwVngnLL5WJJPgFWJ5yMFyKmp9Jblp2O&#10;G+2yDNDC/hmmU+nPkhx2/lYbQ3FojWMT3dBc1fTaAmijlIFErg3EEd3AGZiBVlWkWCDRG93n9tyN&#10;cdjdmMj2kNelfOfJfivLd28Ax1NdSeUyaK1OtM1GW+J1v9s4opflOwmWvZ3vj0XHEqfXLQKcNzGv&#10;z/1z6f71v6x/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H1wKNDYAAAACgEAAA8AAAAAAAAAAQAg&#10;AAAAIgAAAGRycy9kb3ducmV2LnhtbFBLAQIUABQAAAAIAIdO4kDN8TvO1QEAAHcDAAAOAAAAAAAA&#10;AAEAIAAAACcBAABkcnMvZTJvRG9jLnhtbFBLBQYAAAAABgAGAFkBAABuBQAAAAA=&#10;">
                <v:fill on="f" focussize="0,0"/>
                <v:stroke weight="1pt" color="#000000 [3213]" miterlimit="8" joinstyle="miter"/>
                <v:imagedata o:title=""/>
                <o:lock v:ext="edit" aspectratio="f"/>
              </v:line>
            </w:pict>
          </mc:Fallback>
        </mc:AlternateContent>
      </w:r>
      <w:r>
        <w:rPr>
          <w:rFonts w:ascii="宋体" w:hAnsi="宋体" w:cs="宋体"/>
          <w:kern w:val="0"/>
          <w:sz w:val="24"/>
          <w:szCs w:val="24"/>
        </w:rPr>
        <mc:AlternateContent>
          <mc:Choice Requires="wps">
            <w:drawing>
              <wp:anchor distT="45720" distB="45720" distL="114300" distR="114300" simplePos="0" relativeHeight="251666432" behindDoc="0" locked="0" layoutInCell="1" allowOverlap="1">
                <wp:simplePos x="0" y="0"/>
                <wp:positionH relativeFrom="column">
                  <wp:posOffset>384175</wp:posOffset>
                </wp:positionH>
                <wp:positionV relativeFrom="paragraph">
                  <wp:posOffset>2095500</wp:posOffset>
                </wp:positionV>
                <wp:extent cx="292100" cy="404495"/>
                <wp:effectExtent l="5080" t="4445" r="7620" b="17780"/>
                <wp:wrapNone/>
                <wp:docPr id="27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92100" cy="404495"/>
                        </a:xfrm>
                        <a:prstGeom prst="rect">
                          <a:avLst/>
                        </a:prstGeom>
                        <a:solidFill>
                          <a:srgbClr val="FFFFFF"/>
                        </a:solidFill>
                        <a:ln w="9525">
                          <a:solidFill>
                            <a:schemeClr val="bg1"/>
                          </a:solidFill>
                          <a:miter lim="800000"/>
                        </a:ln>
                      </wps:spPr>
                      <wps:txbx>
                        <w:txbxContent>
                          <w:p>
                            <w:pPr>
                              <w:rPr>
                                <w:sz w:val="36"/>
                                <w:szCs w:val="36"/>
                              </w:rPr>
                            </w:pPr>
                            <w:r>
                              <w:rPr>
                                <w:sz w:val="36"/>
                                <w:szCs w:val="36"/>
                              </w:rPr>
                              <w:t>3</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0.25pt;margin-top:165pt;height:31.85pt;width:23pt;z-index:251666432;mso-width-relative:page;mso-height-relative:page;" fillcolor="#FFFFFF" filled="t" stroked="t" coordsize="21600,21600" o:gfxdata="UEsDBAoAAAAAAIdO4kAAAAAAAAAAAAAAAAAEAAAAZHJzL1BLAwQUAAAACACHTuJAYZlpg9cAAAAK&#10;AQAADwAAAGRycy9kb3ducmV2LnhtbE2PPU/DMBCGdyT+g3VILKi1m4hQQpwKVSDmFhY2N74mEfE5&#10;id2m5ddzneh47z16P4rVyXXiiGNoPWlYzBUIpMrblmoNX5/vsyWIEA1Z03lCDWcMsCpvbwqTWz/R&#10;Bo/bWAs2oZAbDU2MfS5lqBp0Jsx9j8S/vR+diXyOtbSjmdjcdTJRKpPOtMQJjelx3WD1sz04DX56&#10;OzuPg0oevn/dx/p12OyTQev7u4V6ARHxFP9huNTn6lByp50/kA2i05CpRyY1pKniTRdAZazsWHlO&#10;n0CWhbyeUP4BUEsDBBQAAAAIAIdO4kC/hvulGwIAAC4EAAAOAAAAZHJzL2Uyb0RvYy54bWytU81u&#10;2zAMvg/YOwi6L3aMpG2MOEWXIsOA7gfo9gCyLMfCJNGTlNjZA2xv0NMuu++58hyjZDfLtlsxHQRR&#10;JD+SH8nlda8V2QvrJJiCTicpJcJwqKTZFvTjh82LK0qcZ6ZiCowo6EE4er16/mzZtbnIoAFVCUsQ&#10;xLi8awvaeN/mSeJ4IzRzE2iFQWUNVjOPot0mlWUdomuVZGl6kXRgq9YCF87h7+2gpKuIX9eC+3d1&#10;7YQnqqCYm4+3jXcZ7mS1ZPnWsraRfEyDPSELzaTBoCeoW+YZ2Vn5D5SW3IKD2k846ATqWnIRa8Bq&#10;pulf1dw3rBWxFiTHtSea3P+D5W/37y2RVUGzywtKDNPYpOPDt+P3n8cfX0kWCOpal6PdfYuWvn8J&#10;PTY6FuvaO+CfHDGwbpjZihtroWsEqzDBafBMzlwHHBdAyu4NVBiH7TxEoL62OrCHfBBEx0YdTs0R&#10;vSccP7NFNk1Rw1E1S2ezxTxGYPmjc2udfyVAk/AoqMXeR3C2v3M+JMPyR5MQy4GS1UYqFQW7LdfK&#10;kj3DOdnEM6L/YaYM6Qq6mGfzof4nQGjpceCV1AW9SsMZ4ygz0hUYGrjyfdmP9JdQHZA4C8MA48Lh&#10;owH7hZIOh7eg7vOOWUGJem2Q/MV0NgvTHoXZ/DJDwZ5rynMNMxyhCuopGZ5rHzckEGPgBptUy0hg&#10;6OaQyZgrDmXkdVygMPXncrT6vear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GGZaYPXAAAACgEA&#10;AA8AAAAAAAAAAQAgAAAAIgAAAGRycy9kb3ducmV2LnhtbFBLAQIUABQAAAAIAIdO4kC/hvulGwIA&#10;AC4EAAAOAAAAAAAAAAEAIAAAACYBAABkcnMvZTJvRG9jLnhtbFBLBQYAAAAABgAGAFkBAACzBQAA&#10;AAA=&#10;">
                <v:fill on="t" focussize="0,0"/>
                <v:stroke color="#FFFFFF [3212]" miterlimit="8" joinstyle="miter"/>
                <v:imagedata o:title=""/>
                <o:lock v:ext="edit" aspectratio="f"/>
                <v:textbox>
                  <w:txbxContent>
                    <w:p>
                      <w:pPr>
                        <w:rPr>
                          <w:sz w:val="36"/>
                          <w:szCs w:val="36"/>
                        </w:rPr>
                      </w:pPr>
                      <w:r>
                        <w:rPr>
                          <w:sz w:val="36"/>
                          <w:szCs w:val="36"/>
                        </w:rPr>
                        <w:t>3</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posOffset>715010</wp:posOffset>
                </wp:positionH>
                <wp:positionV relativeFrom="paragraph">
                  <wp:posOffset>2322830</wp:posOffset>
                </wp:positionV>
                <wp:extent cx="739140" cy="334010"/>
                <wp:effectExtent l="2540" t="5715" r="5080" b="10795"/>
                <wp:wrapNone/>
                <wp:docPr id="251" name="直接连接符 251"/>
                <wp:cNvGraphicFramePr/>
                <a:graphic xmlns:a="http://schemas.openxmlformats.org/drawingml/2006/main">
                  <a:graphicData uri="http://schemas.microsoft.com/office/word/2010/wordprocessingShape">
                    <wps:wsp>
                      <wps:cNvCnPr/>
                      <wps:spPr>
                        <a:xfrm>
                          <a:off x="0" y="0"/>
                          <a:ext cx="738919" cy="333872"/>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6.3pt;margin-top:182.9pt;height:26.3pt;width:58.2pt;mso-position-horizontal-relative:margin;z-index:251661312;mso-width-relative:page;mso-height-relative:page;" filled="f" stroked="t" coordsize="21600,21600" o:gfxdata="UEsDBAoAAAAAAIdO4kAAAAAAAAAAAAAAAAAEAAAAZHJzL1BLAwQUAAAACACHTuJAZK/iW9oAAAAL&#10;AQAADwAAAGRycy9kb3ducmV2LnhtbE2Py07DMBBF90j8gzVI7KjzIpQQp0KgigWrlgpYuvGQRI3H&#10;Ueymga9nuoLl1VzdOadczbYXE46+c6QgXkQgkGpnOmoU7N7WN0sQPmgyuneECr7Rw6q6vCh1YdyJ&#10;NjhtQyN4hHyhFbQhDIWUvm7Rar9wAxLfvtxodeA4NtKM+sTjtpdJFOXS6o74Q6sHfGqxPmyPVsH7&#10;490hnV+es3XY7D5HN6Wv+POh1PVVHD2ACDiHvzKc8RkdKmbauyMZL3rOcZJzVUGa37IDN5Lknu32&#10;CrJ4mYGsSvnfofoFUEsDBBQAAAAIAIdO4kBhxPiDzgEAAGwDAAAOAAAAZHJzL2Uyb0RvYy54bWyt&#10;U0uOEzEQ3SNxB8t70p1EkEwrnVlMNGwQRAIOUHHb3Zb8k8ukk0twASR2sGLJntswHIOyEzID7BC9&#10;qLbr81zvuby6PljD9jKi9q7l00nNmXTCd9r1LX/75vbJkjNM4Dow3smWHyXy6/XjR6sxNHLmB286&#10;GRmBOGzG0PIhpdBUFYpBWsCJD9JRUPloIdE29lUXYSR0a6pZXT+rRh+7EL2QiOTdnIJ8XfCVkiK9&#10;UgplYqbl1FsqNha7y7Zar6DpI4RBi3Mb8A9dWNCODr1AbSABexf1X1BWi+jRqzQR3lZeKS1k4UBs&#10;pvUfbF4PEGThQuJguMiE/w9WvNxvI9Ndy2dPp5w5sHRJdx++fn//6ce3j2TvvnxmOURCjQEbyr9x&#10;23jeYdjGzPqgos1/4sMORdzjRVx5SEyQczFfXk2vOBMUms/ny8UsY1b3xSFiei69ZXnRcqNd5g4N&#10;7F9gOqX+Sslu52+1MeSHxjg20vDNFjVdsQAaI2Ug0dIGIoau5wxMT/MpUiyQ6I3ucnmuxtjvbkxk&#10;e8gzUr5zZ7+l5bM3gMMpr4RyGjRWJxpho23Llw+rjSN6WbOTSnm1892xiFf8dKVFgPP45Zl5uC/V&#10;949k/R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kr+Jb2gAAAAsBAAAPAAAAAAAAAAEAIAAAACIA&#10;AABkcnMvZG93bnJldi54bWxQSwECFAAUAAAACACHTuJAYcT4g84BAABsAwAADgAAAAAAAAABACAA&#10;AAApAQAAZHJzL2Uyb0RvYy54bWxQSwUGAAAAAAYABgBZAQAAaQUAAAAA&#10;">
                <v:fill on="f" focussize="0,0"/>
                <v:stroke weight="1pt" color="#000000 [3213]" miterlimit="8" joinstyle="miter"/>
                <v:imagedata o:title=""/>
                <o:lock v:ext="edit" aspectratio="f"/>
              </v:line>
            </w:pict>
          </mc:Fallback>
        </mc:AlternateContent>
      </w:r>
      <w:r>
        <w:rPr>
          <w:rFonts w:ascii="宋体" w:hAnsi="宋体" w:cs="宋体"/>
          <w:kern w:val="0"/>
          <w:sz w:val="24"/>
          <w:szCs w:val="24"/>
        </w:rPr>
        <mc:AlternateContent>
          <mc:Choice Requires="wps">
            <w:drawing>
              <wp:anchor distT="45720" distB="45720" distL="114300" distR="114300" simplePos="0" relativeHeight="251664384" behindDoc="0" locked="0" layoutInCell="1" allowOverlap="1">
                <wp:simplePos x="0" y="0"/>
                <wp:positionH relativeFrom="column">
                  <wp:posOffset>4886960</wp:posOffset>
                </wp:positionH>
                <wp:positionV relativeFrom="paragraph">
                  <wp:posOffset>3161030</wp:posOffset>
                </wp:positionV>
                <wp:extent cx="397510" cy="1404620"/>
                <wp:effectExtent l="4445" t="4445" r="9525" b="8255"/>
                <wp:wrapNone/>
                <wp:docPr id="27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97566" cy="1404620"/>
                        </a:xfrm>
                        <a:prstGeom prst="rect">
                          <a:avLst/>
                        </a:prstGeom>
                        <a:solidFill>
                          <a:srgbClr val="FFFFFF"/>
                        </a:solidFill>
                        <a:ln w="9525">
                          <a:solidFill>
                            <a:schemeClr val="bg1"/>
                          </a:solidFill>
                          <a:miter lim="800000"/>
                        </a:ln>
                      </wps:spPr>
                      <wps:txbx>
                        <w:txbxContent>
                          <w:p>
                            <w:pPr>
                              <w:rPr>
                                <w:sz w:val="36"/>
                                <w:szCs w:val="36"/>
                              </w:rPr>
                            </w:pPr>
                            <w:r>
                              <w:rPr>
                                <w:sz w:val="36"/>
                                <w:szCs w:val="36"/>
                              </w:rPr>
                              <w:t>1</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84.8pt;margin-top:248.9pt;height:110.6pt;width:31.3pt;z-index:251664384;mso-width-relative:page;mso-height-relative:margin;mso-height-percent:200;" fillcolor="#FFFFFF" filled="t" stroked="t" coordsize="21600,21600" o:gfxdata="UEsDBAoAAAAAAIdO4kAAAAAAAAAAAAAAAAAEAAAAZHJzL1BLAwQUAAAACACHTuJAR42rGNsAAAAL&#10;AQAADwAAAGRycy9kb3ducmV2LnhtbE2PwU7DMBBE70j8g7VI3KidgNImxOkBgQSHqqKAqt5c2yQp&#10;9jqKnbb8PcsJjqt5mn1TL8/esaMdYx9QQjYTwCzqYHpsJby/Pd0sgMWk0CgX0Er4thGWzeVFrSoT&#10;Tvhqj5vUMirBWCkJXUpDxXnUnfUqzsJgkbLPMHqV6BxbbkZ1onLveC5Ewb3qkT50arAPndVfm8lL&#10;eNTDc7neucN2rT9EMYnVyyGspLy+ysQ9sGTP6Q+GX31Sh4ac9mFCE5mTMC/KglAJd+WcNhCxuM1z&#10;YHuKslIAb2r+f0PzA1BLAwQUAAAACACHTuJAze8uZR0CAAAvBAAADgAAAGRycy9lMm9Eb2MueG1s&#10;rVPNjtMwEL4j8Q6W7zRpSNtt1HS1dFWEtPxICw/gOE5j4T9st0l5AHgDTly481x9DsZOtlTLbYUP&#10;lscz/mbm+8ar614KdGDWca1KPJ2kGDFFdc3VrsSfPm5fXGHkPFE1EVqxEh+Zw9fr589WnSlYplst&#10;amYRgChXdKbErfemSBJHWyaJm2jDFDgbbSXxYNpdUlvSAboUSZam86TTtjZWU+Yc3N4OTryO+E3D&#10;qH/fNI55JEoMtfm427hXYU/WK1LsLDEtp2MZ5AlVSMIVJD1D3RJP0N7yf6Akp1Y73fgJ1TLRTcMp&#10;iz1AN9P0UTf3LTEs9gLkOHOmyf0/WPru8MEiXpc4W+QYKSJBpNOP76efv0+/vqEsENQZV0DcvYFI&#10;37/SPQgdm3XmTtPPDim9aYnasRtrddcyUkOB0/AyuXg64LgAUnVvdQ15yN7rCNQ3Vgb2gA8E6CDU&#10;8SwO6z2icPlyuZjN5xhRcE3zNJ9nUb2EFA+vjXX+NdMShUOJLYgf0cnhzvlQDSkeQkIypwWvt1yI&#10;aNhdtREWHQgMyjau2MCjMKFQV+LlLJsNBDwBQnIPEy+4LPFVGtaYR6iRr0DRQJbvq37kv9L1EZiz&#10;ephg+HFwaLX9ilEH01ti92VPLMNIvFHA/nKa52Hco5HPFsAVspee6tJDFAWoEnuMhuPGxy8SiTE3&#10;oNKWRwKDnEMlY60wlZHX8QeFsb+0Y9Tff77+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EeNqxjb&#10;AAAACwEAAA8AAAAAAAAAAQAgAAAAIgAAAGRycy9kb3ducmV2LnhtbFBLAQIUABQAAAAIAIdO4kDN&#10;7y5lHQIAAC8EAAAOAAAAAAAAAAEAIAAAACoBAABkcnMvZTJvRG9jLnhtbFBLBQYAAAAABgAGAFkB&#10;AAC5BQAAAAA=&#10;">
                <v:fill on="t" focussize="0,0"/>
                <v:stroke color="#FFFFFF [3212]" miterlimit="8" joinstyle="miter"/>
                <v:imagedata o:title=""/>
                <o:lock v:ext="edit" aspectratio="f"/>
                <v:textbox style="mso-fit-shape-to-text:t;">
                  <w:txbxContent>
                    <w:p>
                      <w:pPr>
                        <w:rPr>
                          <w:sz w:val="36"/>
                          <w:szCs w:val="36"/>
                        </w:rPr>
                      </w:pPr>
                      <w:r>
                        <w:rPr>
                          <w:sz w:val="36"/>
                          <w:szCs w:val="36"/>
                        </w:rPr>
                        <w:t>1</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margin">
                  <wp:posOffset>3488690</wp:posOffset>
                </wp:positionH>
                <wp:positionV relativeFrom="paragraph">
                  <wp:posOffset>3437255</wp:posOffset>
                </wp:positionV>
                <wp:extent cx="1367790" cy="374650"/>
                <wp:effectExtent l="1905" t="6350" r="1905" b="15240"/>
                <wp:wrapNone/>
                <wp:docPr id="279" name="直接连接符 279"/>
                <wp:cNvGraphicFramePr/>
                <a:graphic xmlns:a="http://schemas.openxmlformats.org/drawingml/2006/main">
                  <a:graphicData uri="http://schemas.microsoft.com/office/word/2010/wordprocessingShape">
                    <wps:wsp>
                      <wps:cNvCnPr/>
                      <wps:spPr>
                        <a:xfrm flipH="1">
                          <a:off x="0" y="0"/>
                          <a:ext cx="1367569" cy="374622"/>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274.7pt;margin-top:270.65pt;height:29.5pt;width:107.7pt;mso-position-horizontal-relative:margin;z-index:251669504;mso-width-relative:page;mso-height-relative:page;" filled="f" stroked="t" coordsize="21600,21600" o:gfxdata="UEsDBAoAAAAAAIdO4kAAAAAAAAAAAAAAAAAEAAAAZHJzL1BLAwQUAAAACACHTuJAdlyi+9gAAAAL&#10;AQAADwAAAGRycy9kb3ducmV2LnhtbE2PwU7DMAyG70i8Q2QkbiwpLd1Wmu5QiRsSbCDOaeO1hSap&#10;knTr3h7vBDdb/vT7+8vdYkZ2Qh8GZyUkKwEMbev0YDsJnx8vDxtgISqr1egsSrhggF11e1OqQruz&#10;3ePpEDtGITYUSkIf41RwHtoejQorN6Gl29F5oyKtvuPaqzOFm5E/CpFzowZLH3o1Yd1j+3OYjYSB&#10;10nz5evj+wU3aUzf9t+v8yLl/V0inoFFXOIfDFd9UoeKnBo3Wx3YKOEp22aEXockBUbEOs+oTCMh&#10;FyIFXpX8f4fqF1BLAwQUAAAACACHTuJA47oKUtcBAAB3AwAADgAAAGRycy9lMm9Eb2MueG1srVNL&#10;jhMxEN0jcQfLe9JJDyRDK51ZTDSwQBAJOEDFbXdb8k8uk04uwQWQ2MGKJfu5DcMxKDshDLBD9KJk&#10;1+dVvefq5dXeGraTEbV3LZ9NppxJJ3ynXd/yt29uHl1yhglcB8Y72fKDRH61evhgOYZG1n7wppOR&#10;EYjDZgwtH1IKTVWhGKQFnPggHQWVjxYSXWNfdRFGQremqqfTeTX62IXohUQk7/oY5KuCr5QU6ZVS&#10;KBMzLafZUrGx2G221WoJTR8hDFqcxoB/mMKCdtT0DLWGBOxd1H9BWS2iR6/SRHhbeaW0kIUDsZlN&#10;/2DzeoAgCxcSB8NZJvx/sOLlbhOZ7lpeL55y5sDSI919+Prt/afvtx/J3n35zHKIhBoDNpR/7Tbx&#10;dMOwiZn1XkXLlNHhOe1A0YGYsX2R+XCWWe4TE+ScXcwXT+bUTVDsYvF4XtcZvjriZLwQMT2T3rJ8&#10;aLnRLssADexeYDqm/kzJbudvtDHkh8Y4NlKHejGl1xZAG6UMJDraQBzR9ZyB6WlVRYoFEr3RXS7P&#10;1Rj77bWJbAd5Xcp3muy3tNx7DTgc80oop0FjdaJtNtq2/PJ+tXFEL8t3FCyftr47FB2Ln163CHDa&#10;xLw+9++l+tf/svo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dlyi+9gAAAALAQAADwAAAAAAAAAB&#10;ACAAAAAiAAAAZHJzL2Rvd25yZXYueG1sUEsBAhQAFAAAAAgAh07iQOO6ClLXAQAAdwMAAA4AAAAA&#10;AAAAAQAgAAAAJwEAAGRycy9lMm9Eb2MueG1sUEsFBgAAAAAGAAYAWQEAAHAFAAAAAA==&#10;">
                <v:fill on="f" focussize="0,0"/>
                <v:stroke weight="1pt" color="#000000 [3213]" miterlimit="8" joinstyle="miter"/>
                <v:imagedata o:title=""/>
                <o:lock v:ext="edit" aspectratio="f"/>
              </v:line>
            </w:pict>
          </mc:Fallback>
        </mc:AlternateContent>
      </w:r>
      <w:r>
        <w:rPr>
          <w:rFonts w:ascii="宋体" w:hAnsi="宋体" w:cs="宋体"/>
          <w:kern w:val="0"/>
          <w:sz w:val="24"/>
          <w:szCs w:val="24"/>
        </w:rPr>
        <mc:AlternateContent>
          <mc:Choice Requires="wps">
            <w:drawing>
              <wp:anchor distT="45720" distB="45720" distL="114300" distR="114300" simplePos="0" relativeHeight="251665408" behindDoc="0" locked="0" layoutInCell="1" allowOverlap="1">
                <wp:simplePos x="0" y="0"/>
                <wp:positionH relativeFrom="column">
                  <wp:posOffset>4904740</wp:posOffset>
                </wp:positionH>
                <wp:positionV relativeFrom="paragraph">
                  <wp:posOffset>2131695</wp:posOffset>
                </wp:positionV>
                <wp:extent cx="262890" cy="375920"/>
                <wp:effectExtent l="5080" t="4445" r="6350" b="15875"/>
                <wp:wrapNone/>
                <wp:docPr id="27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62890" cy="375920"/>
                        </a:xfrm>
                        <a:prstGeom prst="rect">
                          <a:avLst/>
                        </a:prstGeom>
                        <a:solidFill>
                          <a:srgbClr val="FFFFFF"/>
                        </a:solidFill>
                        <a:ln w="9525">
                          <a:solidFill>
                            <a:schemeClr val="bg1"/>
                          </a:solidFill>
                          <a:miter lim="800000"/>
                        </a:ln>
                      </wps:spPr>
                      <wps:txbx>
                        <w:txbxContent>
                          <w:p>
                            <w:pPr>
                              <w:rPr>
                                <w:sz w:val="36"/>
                                <w:szCs w:val="36"/>
                              </w:rPr>
                            </w:pPr>
                            <w:r>
                              <w:rPr>
                                <w:sz w:val="36"/>
                                <w:szCs w:val="36"/>
                              </w:rPr>
                              <w:t>2</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86.2pt;margin-top:167.85pt;height:29.6pt;width:20.7pt;z-index:251665408;mso-width-relative:page;mso-height-relative:page;" fillcolor="#FFFFFF" filled="t" stroked="t" coordsize="21600,21600" o:gfxdata="UEsDBAoAAAAAAIdO4kAAAAAAAAAAAAAAAAAEAAAAZHJzL1BLAwQUAAAACACHTuJAzea+x9oAAAAL&#10;AQAADwAAAGRycy9kb3ducmV2LnhtbE2PwU7DMAyG70i8Q2QkLmhL2g66laYTmkCcN7jslrVeW9E4&#10;bZOtG0+POcHR9qff35+vL7YTZxx960hDNFcgkEpXtVRr+Px4my1B+GCoMp0j1HBFD+vi9iY3WeUm&#10;2uJ5F2rBIeQzo6EJoc+k9GWD1vi565H4dnSjNYHHsZbVaCYOt52MlXqS1rTEHxrT46bB8mt3shrc&#10;9Hq1DgcVP+y/7fvmZdge40Hr+7tIPYMIeAl/MPzqszoU7HRwJ6q86DSkabxgVEOSPKYgmFhGCZc5&#10;8Ga1WIEscvm/Q/EDUEsDBBQAAAAIAIdO4kACLWaXHAIAAC4EAAAOAAAAZHJzL2Uyb0RvYy54bWyt&#10;U82O0zAQviPxDpbvNG1ot23UdLV0VYS0/EgLD+A4TmPheIztNikPAG/AiQt3nqvPwdjJlmq5rfDB&#10;8njG38x833h13TWKHIR1EnROJ6MxJUJzKKXe5fTTx+2LBSXOM10yBVrk9CgcvV4/f7ZqTSZSqEGV&#10;whIE0S5rTU5r702WJI7XomFuBEZodFZgG+bRtLuktKxF9EYl6Xh8lbRgS2OBC+fw9rZ30nXEryrB&#10;/fuqcsITlVOszcfdxr0Ie7JesWxnmaklH8pgT6iiYVJj0jPULfOM7K38B6qR3IKDyo84NAlUleQi&#10;9oDdTMaPurmvmRGxFyTHmTNN7v/B8neHD5bIMqfpfEaJZg2KdPrx/fTz9+nXN5IGglrjMoy7Nxjp&#10;u1fQodCxWWfugH92RMOmZnonbqyFthasxAIn4WVy8bTHcQGkaN9CiXnY3kME6irbBPaQD4LoKNTx&#10;LI7oPOF4mV6liyV6OLpezmfLNIqXsOzhsbHOvxbQkHDIqUXtIzg73DkfimHZQ0jI5UDJciuViobd&#10;FRtlyYHhnGzjivU/ClOatDldztJZ3/8TIBrpceCVbHK6GIc15FF6oCsw1HPlu6Ib6C+gPCJxFvoB&#10;xg+HhxrsV0paHN6cui97ZgUl6o1G8peT6TRMezSmszlyReylp7j0MM0RKqeekv648fGHBGI03KBI&#10;lYwEBjX7SoZacSgjr8MHClN/aceov998/Q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N5r7H2gAA&#10;AAsBAAAPAAAAAAAAAAEAIAAAACIAAABkcnMvZG93bnJldi54bWxQSwECFAAUAAAACACHTuJAAi1m&#10;lxwCAAAuBAAADgAAAAAAAAABACAAAAApAQAAZHJzL2Uyb0RvYy54bWxQSwUGAAAAAAYABgBZAQAA&#10;twUAAAAA&#10;">
                <v:fill on="t" focussize="0,0"/>
                <v:stroke color="#FFFFFF [3212]" miterlimit="8" joinstyle="miter"/>
                <v:imagedata o:title=""/>
                <o:lock v:ext="edit" aspectratio="f"/>
                <v:textbox>
                  <w:txbxContent>
                    <w:p>
                      <w:pPr>
                        <w:rPr>
                          <w:sz w:val="36"/>
                          <w:szCs w:val="36"/>
                        </w:rPr>
                      </w:pPr>
                      <w:r>
                        <w:rPr>
                          <w:sz w:val="36"/>
                          <w:szCs w:val="36"/>
                        </w:rPr>
                        <w:t>2</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posOffset>4098290</wp:posOffset>
                </wp:positionH>
                <wp:positionV relativeFrom="paragraph">
                  <wp:posOffset>2385060</wp:posOffset>
                </wp:positionV>
                <wp:extent cx="763270" cy="341630"/>
                <wp:effectExtent l="2540" t="5715" r="11430" b="18415"/>
                <wp:wrapNone/>
                <wp:docPr id="242" name="直接连接符 242"/>
                <wp:cNvGraphicFramePr/>
                <a:graphic xmlns:a="http://schemas.openxmlformats.org/drawingml/2006/main">
                  <a:graphicData uri="http://schemas.microsoft.com/office/word/2010/wordprocessingShape">
                    <wps:wsp>
                      <wps:cNvCnPr/>
                      <wps:spPr>
                        <a:xfrm flipV="1">
                          <a:off x="0" y="0"/>
                          <a:ext cx="763326" cy="34154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322.7pt;margin-top:187.8pt;height:26.9pt;width:60.1pt;mso-position-horizontal-relative:margin;z-index:251660288;mso-width-relative:page;mso-height-relative:page;" filled="f" stroked="t" coordsize="21600,21600" o:gfxdata="UEsDBAoAAAAAAIdO4kAAAAAAAAAAAAAAAAAEAAAAZHJzL1BLAwQUAAAACACHTuJAvQd3EtkAAAAL&#10;AQAADwAAAGRycy9kb3ducmV2LnhtbE2PwW6DMAyG75P2DpEn7bYGCqUdJfSAtNukrd20cyAu0BEH&#10;JaGlb7/0tN5s+dPv7y92sx7YGa3rDQmIFxEwpMaonloB319vLxtgzktScjCEAq7oYFc+PhQyV+ZC&#10;ezwffMtCCLlcCui8H3POXdOhlm5hRqRwOxqrpQ+rbbmy8hLC9cCXUZRxLXsKHzo5YtVh83uYtICe&#10;V3H9Y6vj5xU3iU8+9qf3aRbi+SmOtsA8zv4fhpt+UIcyONVmIuXYICBLV2lABSTrVQYsEOvsNtQC&#10;0uVrCrws+H2H8g9QSwMEFAAAAAgAh07iQGUsy+TXAQAAdgMAAA4AAABkcnMvZTJvRG9jLnhtbK1T&#10;y47TMBTdI80/WN5Pk6alHUVNZzHVsEFQicf+1rETS37J9jTtT/ADSOxgxZI9fzPDZ3DtlDLADk0W&#10;V76v43uOb1bXB63InvsgrWnodFJSwg2zrTRdQ9+9vb28oiREMC0oa3hDjzzQ6/XFs9Xgal7Z3qqW&#10;e4IgJtSDa2gfo6uLIrCeawgT67jBpLBeQ0TXd0XrYUB0rYqqLBfFYH3rvGU8BIxuxiRdZ3whOIuv&#10;hQg8EtVQnC1m67PdJVusV1B3Hlwv2WkM+I8pNEiDl56hNhCB3Hn5D5SWzNtgRZwwqwsrhGQ8c0A2&#10;0/IvNm96cDxzQXGCO8sUng6WvdpvPZFtQ6t5RYkBjY/08PHb/YfPP75/Qvvw9QtJKRRqcKHG+huz&#10;9ScvuK1PrA/CayKUdO9xB7IOyIwcsszHs8z8EAnD4HIxm1ULShimZvPp8/kyoRcjTIJzPsQX3GqS&#10;Dg1V0iQVoIb9yxDH0l8lKWzsrVQK41ArQwYcoVqW+NgMcKGEgohH7ZBiMB0loDrcVBZ9hgxWyTa1&#10;p+7gu92N8mQPaVvyd5rsj7J09wZCP9blVCqDWsuIy6ykbujV425lkF5Sb9QrnXa2PWYZcxwfNwtw&#10;WsS0PY/93P37d1n/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0HdxLZAAAACwEAAA8AAAAAAAAA&#10;AQAgAAAAIgAAAGRycy9kb3ducmV2LnhtbFBLAQIUABQAAAAIAIdO4kBlLMvk1wEAAHYDAAAOAAAA&#10;AAAAAAEAIAAAACgBAABkcnMvZTJvRG9jLnhtbFBLBQYAAAAABgAGAFkBAABxBQAAAAA=&#10;">
                <v:fill on="f" focussize="0,0"/>
                <v:stroke weight="1pt" color="#000000 [3213]" miterlimit="8" joinstyle="miter"/>
                <v:imagedata o:title=""/>
                <o:lock v:ext="edit" aspectratio="f"/>
              </v:line>
            </w:pict>
          </mc:Fallback>
        </mc:AlternateContent>
      </w:r>
      <w:r>
        <w:rPr>
          <w:rFonts w:ascii="宋体" w:hAnsi="宋体" w:cs="宋体"/>
          <w:kern w:val="0"/>
          <w:sz w:val="24"/>
          <w:szCs w:val="24"/>
        </w:rPr>
        <mc:AlternateContent>
          <mc:Choice Requires="wps">
            <w:drawing>
              <wp:anchor distT="45720" distB="45720" distL="114300" distR="114300" simplePos="0" relativeHeight="251667456" behindDoc="0" locked="0" layoutInCell="1" allowOverlap="1">
                <wp:simplePos x="0" y="0"/>
                <wp:positionH relativeFrom="column">
                  <wp:posOffset>4756150</wp:posOffset>
                </wp:positionH>
                <wp:positionV relativeFrom="paragraph">
                  <wp:posOffset>825500</wp:posOffset>
                </wp:positionV>
                <wp:extent cx="367665" cy="370840"/>
                <wp:effectExtent l="4445" t="4445" r="8890" b="5715"/>
                <wp:wrapNone/>
                <wp:docPr id="27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67665" cy="370840"/>
                        </a:xfrm>
                        <a:prstGeom prst="rect">
                          <a:avLst/>
                        </a:prstGeom>
                        <a:solidFill>
                          <a:srgbClr val="FFFFFF"/>
                        </a:solidFill>
                        <a:ln w="9525">
                          <a:solidFill>
                            <a:schemeClr val="bg1"/>
                          </a:solidFill>
                          <a:miter lim="800000"/>
                        </a:ln>
                      </wps:spPr>
                      <wps:txbx>
                        <w:txbxContent>
                          <w:p>
                            <w:pPr>
                              <w:rPr>
                                <w:sz w:val="36"/>
                                <w:szCs w:val="36"/>
                              </w:rPr>
                            </w:pPr>
                            <w:r>
                              <w:rPr>
                                <w:sz w:val="36"/>
                                <w:szCs w:val="36"/>
                              </w:rPr>
                              <w:t>4</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74.5pt;margin-top:65pt;height:29.2pt;width:28.95pt;z-index:251667456;mso-width-relative:page;mso-height-relative:page;" fillcolor="#FFFFFF" filled="t" stroked="t" coordsize="21600,21600" o:gfxdata="UEsDBAoAAAAAAIdO4kAAAAAAAAAAAAAAAAAEAAAAZHJzL1BLAwQUAAAACACHTuJAMvhD2NkAAAAL&#10;AQAADwAAAGRycy9kb3ducmV2LnhtbE2PQW/CMAyF75P4D5GRdplGQodY6ZqiCW3aGbbLbqExbbXG&#10;aZtAYb9+5sRutt/T8/fy9dm14oRDaDxpmM8UCKTS24YqDV+f748piBANWdN6Qg0XDLAuJne5yawf&#10;aYunXawEh1DIjIY6xi6TMpQ1OhNmvkNi7eAHZyKvQyXtYEYOd61MlFpKZxriD7XpcFNj+bM7Og1+&#10;fLs4j71KHr5/3cfmtd8ekl7r++lcvYCIeI43M1zxGR0KZtr7I9kgWg3PixV3iSw8KR7YkarlCsSe&#10;L2m6AFnk8n+H4g9QSwMEFAAAAAgAh07iQHOxs0YdAgAALgQAAA4AAABkcnMvZTJvRG9jLnhtbK1T&#10;S27bMBDdF+gdCO5ryY5/ESwHqQMXBdIPkPYAFEVZRCkOS9KW0gM0N+iqm+57Lp+jQ0pxjXQXlAuC&#10;wxk+zrw3s7rqGkUOwjoJOqfjUUqJ0BxKqXc5/fxp+2pJifNMl0yBFjm9F45erV++WLUmExOoQZXC&#10;EgTRLmtNTmvvTZYkjteiYW4ERmh0VmAb5tG0u6S0rEX0RiWTNJ0nLdjSWODCOby96Z10HfGrSnD/&#10;oaqc8ETlFHPzcbdxL8KerFcs21lmasmHNNgzsmiY1PjpCeqGeUb2Vv4D1UhuwUHlRxyaBKpKchFr&#10;wGrG6ZNq7mpmRKwFyXHmRJP7f7D8/eGjJbLM6WSxoESzBkU6/ng4/vx9/PWdTAJBrXEZxt0ZjPTd&#10;a+hQ6FisM7fAvziiYVMzvRPX1kJbC1ZiguPwMjl72uO4AFK076DEf9jeQwTqKtsE9pAPgugo1P1J&#10;HNF5wvHyYr6Yz2eUcHRdLNLlNIqXsOzxsbHOvxHQkHDIqUXtIzg73DofkmHZY0j4y4GS5VYqFQ27&#10;KzbKkgPDPtnGFfN/EqY0aXN6OZvM+vqfAdFIjw2vZJPTZRrW8I/SA12BoZ4r3xXdQH8B5T0SZ6Fv&#10;YBw4PNRgv1HSYvPm1H3dMysoUW81kn85niI9xEdjOltM0LDnnuLcwzRHqJx6SvrjxscJCcRouEaR&#10;KhkJDGr2mQy5YlNGXocBCl1/bseov2O+/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y+EPY2QAA&#10;AAsBAAAPAAAAAAAAAAEAIAAAACIAAABkcnMvZG93bnJldi54bWxQSwECFAAUAAAACACHTuJAc7Gz&#10;Rh0CAAAuBAAADgAAAAAAAAABACAAAAAoAQAAZHJzL2Uyb0RvYy54bWxQSwUGAAAAAAYABgBZAQAA&#10;twUAAAAA&#10;">
                <v:fill on="t" focussize="0,0"/>
                <v:stroke color="#FFFFFF [3212]" miterlimit="8" joinstyle="miter"/>
                <v:imagedata o:title=""/>
                <o:lock v:ext="edit" aspectratio="f"/>
                <v:textbox>
                  <w:txbxContent>
                    <w:p>
                      <w:pPr>
                        <w:rPr>
                          <w:sz w:val="36"/>
                          <w:szCs w:val="36"/>
                        </w:rPr>
                      </w:pPr>
                      <w:r>
                        <w:rPr>
                          <w:sz w:val="36"/>
                          <w:szCs w:val="36"/>
                        </w:rPr>
                        <w:t>4</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posOffset>2764155</wp:posOffset>
                </wp:positionH>
                <wp:positionV relativeFrom="paragraph">
                  <wp:posOffset>1061720</wp:posOffset>
                </wp:positionV>
                <wp:extent cx="1962150" cy="781050"/>
                <wp:effectExtent l="2540" t="5715" r="16510" b="20955"/>
                <wp:wrapNone/>
                <wp:docPr id="52" name="直接连接符 52"/>
                <wp:cNvGraphicFramePr/>
                <a:graphic xmlns:a="http://schemas.openxmlformats.org/drawingml/2006/main">
                  <a:graphicData uri="http://schemas.microsoft.com/office/word/2010/wordprocessingShape">
                    <wps:wsp>
                      <wps:cNvCnPr/>
                      <wps:spPr>
                        <a:xfrm flipH="1">
                          <a:off x="0" y="0"/>
                          <a:ext cx="1962150" cy="781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217.65pt;margin-top:83.6pt;height:61.5pt;width:154.5pt;mso-position-horizontal-relative:margin;z-index:251662336;mso-width-relative:page;mso-height-relative:page;" filled="f" stroked="t" coordsize="21600,21600" o:gfxdata="UEsDBAoAAAAAAIdO4kAAAAAAAAAAAAAAAAAEAAAAZHJzL1BLAwQUAAAACACHTuJAhb4189gAAAAL&#10;AQAADwAAAGRycy9kb3ducmV2LnhtbE2Py07DMBBF90j8gzVI7KidB20JcbqIxA4JWhBrJ54mgdiO&#10;bKdN/55hRZcz9+jOmXK3mJGd0IfBWQnJSgBD2zo92E7C58fLwxZYiMpqNTqLEi4YYFfd3pSq0O5s&#10;93g6xI5RiQ2FktDHOBWch7ZHo8LKTWgpOzpvVKTRd1x7daZyM/JUiDU3arB0oVcT1j22P4fZSBh4&#10;nTRfvj6+X3Cbxext//06L1Le3yXiGVjEJf7D8KdP6lCRU+NmqwMbJeTZY0YoBetNCoyITZ7TppGQ&#10;PokUeFXy6x+qX1BLAwQUAAAACACHTuJAPc5WuNQBAAB1AwAADgAAAGRycy9lMm9Eb2MueG1srVNL&#10;jhMxEN0jcQfLe9KdSDMTWunMYqKBBYJIwAEqbrvbkn9ymXRyCS6AxA5WLNlzG2aOQdkdwgA7RC9K&#10;5fo813uuXl0frGF7GVF71/L5rOZMOuE77fqWv31z+2TJGSZwHRjvZMuPEvn1+vGj1RgaufCDN52M&#10;jEAcNmNo+ZBSaKoKxSAt4MwH6SipfLSQ6Bj7qoswEro11aKuL6vRxy5ELyQiRTdTkq8LvlJSpFdK&#10;oUzMtJxmS8XGYnfZVusVNH2EMGhxGgP+YQoL2tGlZ6gNJGDvov4LymoRPXqVZsLbyiulhSwciM28&#10;/oPN6wGCLFxIHAxnmfD/wYqX+21kumv5xYIzB5be6O7D1+/vP91/+0j27stnRhmSaQzYUPWN28bT&#10;CcM2Zs4HFS1TRofntAFFBeLFDkXk41lkeUhMUHD+9HIxv6C3EJS7Ws5r8gmwmnAyXoiYnklvWXZa&#10;brTLIkAD+xeYptKfJTns/K02huLQGMdGumFxVWd8oH1SBhK5NhBDdD1nYHpaVJFigURvdJfbczfG&#10;fndjIttDXpbynSb7rSzfvQEcprqSymXQWJ1ol422LV8+7DaO6GX5JsGyt/PdsehY4vS2RYDTHubl&#10;eXgu3b/+lvU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hb4189gAAAALAQAADwAAAAAAAAABACAA&#10;AAAiAAAAZHJzL2Rvd25yZXYueG1sUEsBAhQAFAAAAAgAh07iQD3OVrjUAQAAdQMAAA4AAAAAAAAA&#10;AQAgAAAAJwEAAGRycy9lMm9Eb2MueG1sUEsFBgAAAAAGAAYAWQEAAG0FAAAAAA==&#10;">
                <v:fill on="f" focussize="0,0"/>
                <v:stroke weight="1pt" color="#000000 [3213]" miterlimit="8" joinstyle="miter"/>
                <v:imagedata o:title=""/>
                <o:lock v:ext="edit" aspectratio="f"/>
              </v:line>
            </w:pict>
          </mc:Fallback>
        </mc:AlternateContent>
      </w:r>
      <w:r>
        <w:drawing>
          <wp:inline distT="0" distB="0" distL="0" distR="0">
            <wp:extent cx="3137535" cy="4006215"/>
            <wp:effectExtent l="0" t="0" r="1905" b="1905"/>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pic:cNvPicPr>
                      <a:picLocks noChangeAspect="1"/>
                    </pic:cNvPicPr>
                  </pic:nvPicPr>
                  <pic:blipFill>
                    <a:blip r:embed="rId7"/>
                    <a:stretch>
                      <a:fillRect/>
                    </a:stretch>
                  </pic:blipFill>
                  <pic:spPr>
                    <a:xfrm>
                      <a:off x="0" y="0"/>
                      <a:ext cx="3137535" cy="4006215"/>
                    </a:xfrm>
                    <a:prstGeom prst="rect">
                      <a:avLst/>
                    </a:prstGeom>
                  </pic:spPr>
                </pic:pic>
              </a:graphicData>
            </a:graphic>
          </wp:inline>
        </w:drawing>
      </w:r>
    </w:p>
    <w:p>
      <w:pPr>
        <w:pStyle w:val="2"/>
        <w:ind w:firstLine="640" w:firstLineChars="200"/>
        <w:jc w:val="center"/>
        <w:rPr>
          <w:rFonts w:ascii="宋体" w:hAnsi="宋体" w:cs="宋体"/>
          <w:b/>
          <w:bCs/>
          <w:sz w:val="24"/>
          <w:szCs w:val="24"/>
        </w:rPr>
      </w:pPr>
      <w:r>
        <w:rPr>
          <w:rFonts w:hint="eastAsia" w:ascii="Times New Roman" w:hAnsi="Times New Roman" w:eastAsia="仿宋_GB2312"/>
          <w:color w:val="000000"/>
          <w:kern w:val="2"/>
          <w:sz w:val="32"/>
          <w:szCs w:val="32"/>
        </w:rPr>
        <w:t>图</w:t>
      </w:r>
      <w:r>
        <w:rPr>
          <w:rFonts w:hint="eastAsia" w:ascii="Times New Roman" w:hAnsi="Times New Roman" w:eastAsia="仿宋_GB2312"/>
          <w:color w:val="000000"/>
          <w:kern w:val="2"/>
          <w:sz w:val="32"/>
          <w:szCs w:val="32"/>
          <w:lang w:val="en-US" w:eastAsia="zh-CN"/>
        </w:rPr>
        <w:t>2</w:t>
      </w:r>
      <w:r>
        <w:rPr>
          <w:rFonts w:hint="eastAsia" w:ascii="Times New Roman" w:hAnsi="Times New Roman" w:eastAsia="仿宋_GB2312"/>
          <w:color w:val="000000"/>
          <w:kern w:val="2"/>
          <w:sz w:val="32"/>
          <w:szCs w:val="32"/>
        </w:rPr>
        <w:t xml:space="preserve"> 图像分析仪器</w:t>
      </w:r>
      <w:r>
        <w:rPr>
          <w:rFonts w:hint="eastAsia" w:ascii="Times New Roman" w:hAnsi="Times New Roman" w:eastAsia="仿宋_GB2312"/>
          <w:color w:val="000000"/>
          <w:kern w:val="2"/>
          <w:sz w:val="32"/>
          <w:szCs w:val="32"/>
          <w:lang w:val="en-US" w:eastAsia="zh-CN"/>
        </w:rPr>
        <w:t>示意</w:t>
      </w:r>
      <w:r>
        <w:rPr>
          <w:rFonts w:hint="eastAsia" w:ascii="Times New Roman" w:hAnsi="Times New Roman" w:eastAsia="仿宋_GB2312"/>
          <w:color w:val="000000"/>
          <w:kern w:val="2"/>
          <w:sz w:val="32"/>
          <w:szCs w:val="32"/>
        </w:rPr>
        <w:t>图</w:t>
      </w:r>
    </w:p>
    <w:p>
      <w:pPr>
        <w:keepNext w:val="0"/>
        <w:keepLines w:val="0"/>
        <w:pageBreakBefore w:val="0"/>
        <w:widowControl w:val="0"/>
        <w:kinsoku/>
        <w:wordWrap/>
        <w:overflowPunct/>
        <w:topLinePunct w:val="0"/>
        <w:autoSpaceDE/>
        <w:autoSpaceDN/>
        <w:bidi w:val="0"/>
        <w:adjustRightInd/>
        <w:snapToGrid/>
        <w:spacing w:after="0" w:line="500" w:lineRule="exact"/>
        <w:ind w:firstLine="2100" w:firstLineChars="1000"/>
        <w:jc w:val="left"/>
        <w:textAlignment w:val="auto"/>
        <w:rPr>
          <w:rFonts w:hint="eastAsia" w:ascii="Source Han Serif CN" w:hAnsi="Source Han Serif CN" w:eastAsia="Source Han Serif CN" w:cs="Source Han Serif CN"/>
          <w:color w:val="auto"/>
          <w:kern w:val="2"/>
          <w:sz w:val="21"/>
          <w:szCs w:val="21"/>
          <w:lang w:val="en-US" w:eastAsia="zh-CN" w:bidi="ar-SA"/>
        </w:rPr>
      </w:pPr>
      <w:r>
        <w:rPr>
          <w:rFonts w:hint="eastAsia" w:ascii="Source Han Serif CN" w:hAnsi="Source Han Serif CN" w:eastAsia="Source Han Serif CN" w:cs="Source Han Serif CN"/>
          <w:color w:val="auto"/>
          <w:kern w:val="2"/>
          <w:sz w:val="21"/>
          <w:szCs w:val="21"/>
          <w:lang w:val="en-US" w:eastAsia="zh-CN" w:bidi="ar-SA"/>
        </w:rPr>
        <w:t>1 -------- 试管架自动进样模块</w:t>
      </w:r>
    </w:p>
    <w:p>
      <w:pPr>
        <w:keepNext w:val="0"/>
        <w:keepLines w:val="0"/>
        <w:pageBreakBefore w:val="0"/>
        <w:widowControl w:val="0"/>
        <w:kinsoku/>
        <w:wordWrap/>
        <w:overflowPunct/>
        <w:topLinePunct w:val="0"/>
        <w:autoSpaceDE/>
        <w:autoSpaceDN/>
        <w:bidi w:val="0"/>
        <w:adjustRightInd/>
        <w:snapToGrid/>
        <w:spacing w:after="0" w:line="500" w:lineRule="exact"/>
        <w:ind w:firstLine="2100" w:firstLineChars="1000"/>
        <w:jc w:val="left"/>
        <w:textAlignment w:val="auto"/>
        <w:rPr>
          <w:rFonts w:hint="eastAsia" w:ascii="Source Han Serif CN" w:hAnsi="Source Han Serif CN" w:eastAsia="Source Han Serif CN" w:cs="Source Han Serif CN"/>
          <w:color w:val="auto"/>
          <w:kern w:val="2"/>
          <w:sz w:val="21"/>
          <w:szCs w:val="21"/>
          <w:lang w:val="en-US" w:eastAsia="zh-CN" w:bidi="ar-SA"/>
        </w:rPr>
      </w:pPr>
      <w:r>
        <w:rPr>
          <w:rFonts w:hint="eastAsia" w:ascii="Source Han Serif CN" w:hAnsi="Source Han Serif CN" w:eastAsia="Source Han Serif CN" w:cs="Source Han Serif CN"/>
          <w:color w:val="auto"/>
          <w:kern w:val="2"/>
          <w:sz w:val="21"/>
          <w:szCs w:val="21"/>
          <w:lang w:val="en-US" w:eastAsia="zh-CN" w:bidi="ar-SA"/>
        </w:rPr>
        <w:t>2 -------- 玻片盒进样口</w:t>
      </w:r>
    </w:p>
    <w:p>
      <w:pPr>
        <w:keepNext w:val="0"/>
        <w:keepLines w:val="0"/>
        <w:pageBreakBefore w:val="0"/>
        <w:widowControl w:val="0"/>
        <w:kinsoku/>
        <w:wordWrap/>
        <w:overflowPunct/>
        <w:topLinePunct w:val="0"/>
        <w:autoSpaceDE/>
        <w:autoSpaceDN/>
        <w:bidi w:val="0"/>
        <w:adjustRightInd/>
        <w:snapToGrid/>
        <w:spacing w:after="0" w:line="500" w:lineRule="exact"/>
        <w:ind w:firstLine="2100" w:firstLineChars="1000"/>
        <w:jc w:val="left"/>
        <w:textAlignment w:val="auto"/>
        <w:rPr>
          <w:rFonts w:hint="eastAsia" w:ascii="Source Han Serif CN" w:hAnsi="Source Han Serif CN" w:eastAsia="Source Han Serif CN" w:cs="Source Han Serif CN"/>
          <w:color w:val="auto"/>
          <w:kern w:val="2"/>
          <w:sz w:val="21"/>
          <w:szCs w:val="21"/>
          <w:lang w:val="en-US" w:eastAsia="zh-CN" w:bidi="ar-SA"/>
        </w:rPr>
      </w:pPr>
      <w:r>
        <w:rPr>
          <w:rFonts w:hint="eastAsia" w:ascii="Source Han Serif CN" w:hAnsi="Source Han Serif CN" w:eastAsia="Source Han Serif CN" w:cs="Source Han Serif CN"/>
          <w:color w:val="auto"/>
          <w:kern w:val="2"/>
          <w:sz w:val="21"/>
          <w:szCs w:val="21"/>
          <w:lang w:val="en-US" w:eastAsia="zh-CN" w:bidi="ar-SA"/>
        </w:rPr>
        <w:t>3 -------- 玻片盒出样口</w:t>
      </w:r>
    </w:p>
    <w:p>
      <w:pPr>
        <w:keepNext w:val="0"/>
        <w:keepLines w:val="0"/>
        <w:pageBreakBefore w:val="0"/>
        <w:widowControl w:val="0"/>
        <w:kinsoku/>
        <w:wordWrap/>
        <w:overflowPunct/>
        <w:topLinePunct w:val="0"/>
        <w:autoSpaceDE/>
        <w:autoSpaceDN/>
        <w:bidi w:val="0"/>
        <w:adjustRightInd/>
        <w:snapToGrid/>
        <w:spacing w:after="0" w:line="500" w:lineRule="exact"/>
        <w:ind w:firstLine="2100" w:firstLineChars="1000"/>
        <w:jc w:val="left"/>
        <w:textAlignment w:val="auto"/>
        <w:rPr>
          <w:rFonts w:hint="eastAsia" w:ascii="Source Han Serif CN" w:hAnsi="Source Han Serif CN" w:eastAsia="Source Han Serif CN" w:cs="Source Han Serif CN"/>
          <w:color w:val="auto"/>
          <w:kern w:val="2"/>
          <w:sz w:val="21"/>
          <w:szCs w:val="21"/>
          <w:lang w:val="en-US" w:eastAsia="zh-CN" w:bidi="ar-SA"/>
        </w:rPr>
      </w:pPr>
      <w:r>
        <w:rPr>
          <w:rFonts w:hint="eastAsia" w:ascii="Source Han Serif CN" w:hAnsi="Source Han Serif CN" w:eastAsia="Source Han Serif CN" w:cs="Source Han Serif CN"/>
          <w:color w:val="auto"/>
          <w:kern w:val="2"/>
          <w:sz w:val="21"/>
          <w:szCs w:val="21"/>
          <w:lang w:val="en-US" w:eastAsia="zh-CN" w:bidi="ar-SA"/>
        </w:rPr>
        <w:t>4 -------- 休眠与唤醒按键及指示灯</w:t>
      </w:r>
    </w:p>
    <w:p>
      <w:pPr>
        <w:keepNext w:val="0"/>
        <w:keepLines w:val="0"/>
        <w:pageBreakBefore w:val="0"/>
        <w:widowControl w:val="0"/>
        <w:kinsoku/>
        <w:wordWrap/>
        <w:overflowPunct/>
        <w:topLinePunct w:val="0"/>
        <w:autoSpaceDE/>
        <w:autoSpaceDN/>
        <w:bidi w:val="0"/>
        <w:adjustRightInd/>
        <w:snapToGrid/>
        <w:spacing w:after="0" w:line="500" w:lineRule="exact"/>
        <w:ind w:firstLine="2100" w:firstLineChars="1000"/>
        <w:jc w:val="left"/>
        <w:textAlignment w:val="auto"/>
        <w:rPr>
          <w:rFonts w:hint="eastAsia" w:ascii="Source Han Serif CN" w:hAnsi="Source Han Serif CN" w:eastAsia="Source Han Serif CN" w:cs="Source Han Serif CN"/>
          <w:color w:val="auto"/>
          <w:kern w:val="2"/>
          <w:sz w:val="21"/>
          <w:szCs w:val="21"/>
          <w:lang w:val="en-US" w:eastAsia="zh-CN" w:bidi="ar-SA"/>
        </w:rPr>
      </w:pPr>
      <w:r>
        <w:rPr>
          <w:rFonts w:hint="eastAsia" w:ascii="Source Han Serif CN" w:hAnsi="Source Han Serif CN" w:eastAsia="Source Han Serif CN" w:cs="Source Han Serif CN"/>
          <w:color w:val="auto"/>
          <w:kern w:val="2"/>
          <w:sz w:val="21"/>
          <w:szCs w:val="21"/>
          <w:lang w:val="en-US" w:eastAsia="zh-CN" w:bidi="ar-SA"/>
        </w:rPr>
        <w:t>5 -------- 触摸显示屏</w:t>
      </w:r>
    </w:p>
    <w:p>
      <w:pPr>
        <w:spacing w:line="520" w:lineRule="exact"/>
        <w:ind w:right="-102" w:rightChars="-32" w:firstLine="640" w:firstLineChars="200"/>
        <w:rPr>
          <w:rFonts w:eastAsia="仿宋_GB2312"/>
          <w:color w:val="000000"/>
          <w:szCs w:val="32"/>
        </w:rPr>
      </w:pPr>
      <w:r>
        <w:rPr>
          <w:rFonts w:eastAsia="仿宋_GB2312"/>
          <w:color w:val="000000"/>
          <w:szCs w:val="32"/>
        </w:rPr>
        <w:t>光学成像系统</w:t>
      </w:r>
      <w:r>
        <w:rPr>
          <w:rFonts w:hint="eastAsia" w:eastAsia="仿宋_GB2312"/>
          <w:color w:val="000000"/>
          <w:szCs w:val="32"/>
        </w:rPr>
        <w:t>：通常包括光源（如LED冷光源或卤素灯）、聚光镜、不同倍率物镜及光学镜片组等，用于为临床样本提供稳定、均匀的照明条件，并将载玻片上的细胞或组织结构进行高分辨率放大成像。</w:t>
      </w:r>
    </w:p>
    <w:p>
      <w:pPr>
        <w:spacing w:line="520" w:lineRule="exact"/>
        <w:ind w:right="-102" w:rightChars="-32" w:firstLine="640" w:firstLineChars="200"/>
        <w:rPr>
          <w:rFonts w:eastAsia="仿宋_GB2312"/>
          <w:color w:val="000000"/>
          <w:szCs w:val="32"/>
        </w:rPr>
      </w:pPr>
      <w:r>
        <w:rPr>
          <w:rFonts w:eastAsia="仿宋_GB2312"/>
          <w:color w:val="000000"/>
          <w:szCs w:val="32"/>
        </w:rPr>
        <w:t>图像采集系统</w:t>
      </w:r>
      <w:r>
        <w:rPr>
          <w:rFonts w:hint="eastAsia" w:eastAsia="仿宋_GB2312"/>
          <w:color w:val="000000"/>
          <w:szCs w:val="32"/>
        </w:rPr>
        <w:t>：通常由高分辨率工业相机（如CCD或CMOS图像传感器）、电动载物台、Z轴对焦步进电机、自动进样装置（如适用）及精密传动组件等构成。该系统负责载玻片的自动加载、精确定位与移动、自动对焦及多视野连续扫描，并将光学成像系统获取的光信号高保真转换为数字图像信号。</w:t>
      </w:r>
    </w:p>
    <w:p>
      <w:pPr>
        <w:spacing w:line="520" w:lineRule="exact"/>
        <w:ind w:right="-102" w:rightChars="-32" w:firstLine="640" w:firstLineChars="200"/>
        <w:rPr>
          <w:rFonts w:eastAsia="仿宋_GB2312"/>
          <w:color w:val="000000"/>
          <w:szCs w:val="32"/>
        </w:rPr>
      </w:pPr>
      <w:r>
        <w:rPr>
          <w:rFonts w:eastAsia="仿宋_GB2312"/>
          <w:color w:val="000000"/>
          <w:szCs w:val="32"/>
        </w:rPr>
        <w:t>计算机</w:t>
      </w:r>
      <w:r>
        <w:rPr>
          <w:rFonts w:hint="eastAsia" w:eastAsia="仿宋_GB2312"/>
          <w:color w:val="000000"/>
          <w:szCs w:val="32"/>
        </w:rPr>
        <w:t>：通常包括主机及其配套输入输出设备（如键盘、鼠标、显示器等），用于系统控制、数据处理及结果显示。</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图像分析软件：用于协调控制各硬件模块运行，并实现图像的采集、处理与管理。其核心功能包括对临床样本数字显微图像的观察与浏览、异常目标筛选、细胞形态特征提取、自动分类标记及定量分析等。同时，软件还应具备仪器运行状态监控、历史数据管理、检测报告生成与存储以及用户权限管理等功能。</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2</w:t>
      </w:r>
      <w:r>
        <w:rPr>
          <w:rFonts w:eastAsia="仿宋_GB2312"/>
          <w:color w:val="000000"/>
          <w:szCs w:val="32"/>
        </w:rPr>
        <w:t>.2型号规格</w:t>
      </w:r>
    </w:p>
    <w:p>
      <w:pPr>
        <w:spacing w:line="520" w:lineRule="exact"/>
        <w:ind w:right="-102" w:rightChars="-32" w:firstLine="640" w:firstLineChars="200"/>
        <w:rPr>
          <w:rFonts w:eastAsia="仿宋_GB2312"/>
          <w:color w:val="000000"/>
          <w:szCs w:val="32"/>
        </w:rPr>
      </w:pPr>
      <w:r>
        <w:rPr>
          <w:rFonts w:eastAsia="仿宋_GB2312"/>
          <w:color w:val="000000"/>
          <w:szCs w:val="32"/>
        </w:rPr>
        <w:t>需明确申报产品的型号规格。对于存在多种型号规格的产品，应当明确各型号规格的区别。应当采用对比表及带有说明性文字的图片、图表，描述各种型号规格的结构组成（或配置）、功能、产品特征和运行模式、性能指标等内容。</w:t>
      </w:r>
    </w:p>
    <w:p>
      <w:pPr>
        <w:spacing w:line="520" w:lineRule="exact"/>
        <w:ind w:right="-102" w:rightChars="-32" w:firstLine="640" w:firstLineChars="200"/>
        <w:rPr>
          <w:rFonts w:eastAsia="仿宋_GB2312"/>
          <w:kern w:val="0"/>
          <w:szCs w:val="32"/>
        </w:rPr>
      </w:pPr>
      <w:r>
        <w:rPr>
          <w:rFonts w:hint="eastAsia" w:eastAsia="仿宋_GB2312"/>
          <w:color w:val="000000"/>
          <w:szCs w:val="32"/>
        </w:rPr>
        <w:t>2.3</w:t>
      </w:r>
      <w:r>
        <w:rPr>
          <w:rFonts w:eastAsia="仿宋_GB2312"/>
          <w:szCs w:val="32"/>
        </w:rPr>
        <w:t>.包装</w:t>
      </w:r>
      <w:r>
        <w:rPr>
          <w:rFonts w:hint="eastAsia" w:eastAsia="仿宋_GB2312"/>
          <w:szCs w:val="32"/>
        </w:rPr>
        <w:t>说明</w:t>
      </w:r>
    </w:p>
    <w:p>
      <w:pPr>
        <w:spacing w:line="520" w:lineRule="exact"/>
        <w:ind w:right="-102" w:rightChars="-32" w:firstLine="640" w:firstLineChars="200"/>
        <w:rPr>
          <w:rFonts w:eastAsia="仿宋_GB2312"/>
          <w:szCs w:val="32"/>
        </w:rPr>
      </w:pPr>
      <w:r>
        <w:rPr>
          <w:rFonts w:hint="eastAsia" w:eastAsia="仿宋_GB2312"/>
          <w:szCs w:val="32"/>
        </w:rPr>
        <w:t>说明所有产品组成的包装信息、包装防护系统的信息和如何确保最终使用者可清晰地辨识包装的完整性。对于存在多种型号规格的产品，应单独描述产品包装说明：以图片和文字相结合的方式明示申报产品的包装信息，以列表形式说明所有包装内容物。提供包装材料的信息，评价包装材料对材料储存过程的影响，与该产品一起销售的配件包装情况，如包装应具有防潮性。标明产品包装装量</w:t>
      </w:r>
      <w:r>
        <w:rPr>
          <w:rFonts w:eastAsia="仿宋_GB2312"/>
          <w:szCs w:val="32"/>
        </w:rPr>
        <w:t>。</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2.4</w:t>
      </w:r>
      <w:r>
        <w:rPr>
          <w:rFonts w:eastAsia="仿宋_GB2312"/>
          <w:color w:val="000000"/>
          <w:szCs w:val="32"/>
        </w:rPr>
        <w:t>.研发历程</w:t>
      </w:r>
    </w:p>
    <w:p>
      <w:pPr>
        <w:pStyle w:val="2"/>
        <w:spacing w:line="520" w:lineRule="exact"/>
        <w:ind w:firstLine="640" w:firstLineChars="200"/>
        <w:rPr>
          <w:rFonts w:ascii="Times New Roman" w:hAnsi="Times New Roman" w:eastAsia="仿宋_GB2312"/>
        </w:rPr>
      </w:pPr>
      <w:r>
        <w:rPr>
          <w:rFonts w:ascii="Times New Roman" w:hAnsi="Times New Roman" w:eastAsia="仿宋_GB2312"/>
          <w:sz w:val="32"/>
          <w:szCs w:val="32"/>
        </w:rPr>
        <w:t>应阐述申请注册产品的研发背景和目的。如有参考的同类产品或前代产品，应当提供同类产品或前代产品（如有）的信息，并说明选择其作为研发参考的原因。应</w:t>
      </w:r>
      <w:r>
        <w:rPr>
          <w:rFonts w:ascii="Times New Roman" w:hAnsi="Times New Roman" w:eastAsia="仿宋_GB2312"/>
          <w:bCs/>
          <w:sz w:val="32"/>
          <w:szCs w:val="32"/>
        </w:rPr>
        <w:t>列表比较说明申报产品与同类产品和/或前代产品在工作原理、结构组成、制造材料、性能指标，以及适用范围等方面的异同</w:t>
      </w:r>
      <w:r>
        <w:rPr>
          <w:rFonts w:hint="eastAsia" w:ascii="Times New Roman" w:hAnsi="Times New Roman" w:eastAsia="仿宋_GB2312"/>
          <w:bCs/>
          <w:sz w:val="32"/>
          <w:szCs w:val="32"/>
        </w:rPr>
        <w:t>。</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3</w:t>
      </w:r>
      <w:r>
        <w:rPr>
          <w:rFonts w:eastAsia="仿宋_GB2312"/>
          <w:color w:val="000000"/>
          <w:szCs w:val="32"/>
        </w:rPr>
        <w:t>.适用范围和禁忌证</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3</w:t>
      </w:r>
      <w:r>
        <w:rPr>
          <w:rFonts w:eastAsia="仿宋_GB2312"/>
          <w:color w:val="000000"/>
          <w:szCs w:val="32"/>
        </w:rPr>
        <w:t>.1适用范围</w:t>
      </w:r>
    </w:p>
    <w:p>
      <w:pPr>
        <w:spacing w:line="520" w:lineRule="exact"/>
        <w:ind w:right="-102" w:rightChars="-32" w:firstLine="640" w:firstLineChars="200"/>
        <w:rPr>
          <w:rFonts w:eastAsia="仿宋_GB2312"/>
          <w:color w:val="000000"/>
          <w:szCs w:val="32"/>
        </w:rPr>
      </w:pPr>
      <w:r>
        <w:rPr>
          <w:rFonts w:eastAsia="仿宋_GB2312"/>
          <w:color w:val="000000"/>
          <w:szCs w:val="32"/>
        </w:rPr>
        <w:t>适用范围需明确</w:t>
      </w:r>
      <w:r>
        <w:rPr>
          <w:rFonts w:hint="eastAsia" w:eastAsia="仿宋_GB2312"/>
          <w:color w:val="000000"/>
          <w:szCs w:val="32"/>
        </w:rPr>
        <w:t>样本类型（例如：</w:t>
      </w:r>
      <w:r>
        <w:rPr>
          <w:rFonts w:eastAsia="仿宋_GB2312"/>
          <w:color w:val="000000"/>
          <w:szCs w:val="32"/>
        </w:rPr>
        <w:t>本产品用于对外周血涂片样本</w:t>
      </w:r>
      <w:r>
        <w:rPr>
          <w:rFonts w:hint="eastAsia" w:eastAsia="仿宋_GB2312"/>
          <w:color w:val="000000"/>
          <w:szCs w:val="32"/>
        </w:rPr>
        <w:t>）</w:t>
      </w:r>
      <w:r>
        <w:rPr>
          <w:rFonts w:eastAsia="仿宋_GB2312"/>
          <w:color w:val="000000"/>
          <w:szCs w:val="32"/>
        </w:rPr>
        <w:t>、</w:t>
      </w:r>
      <w:r>
        <w:rPr>
          <w:rFonts w:hint="eastAsia" w:eastAsia="仿宋_GB2312"/>
          <w:color w:val="000000"/>
          <w:szCs w:val="32"/>
        </w:rPr>
        <w:t>图像类型、核心功能、</w:t>
      </w:r>
      <w:r>
        <w:rPr>
          <w:rFonts w:eastAsia="仿宋_GB2312"/>
          <w:color w:val="000000"/>
          <w:szCs w:val="32"/>
        </w:rPr>
        <w:t>目标用户、临床用途。</w:t>
      </w:r>
    </w:p>
    <w:p>
      <w:pPr>
        <w:spacing w:line="520" w:lineRule="exact"/>
        <w:ind w:right="-102" w:rightChars="-32" w:firstLine="640" w:firstLineChars="200"/>
        <w:rPr>
          <w:rFonts w:eastAsia="仿宋_GB2312"/>
          <w:color w:val="000000"/>
          <w:szCs w:val="32"/>
        </w:rPr>
      </w:pPr>
      <w:r>
        <w:rPr>
          <w:rFonts w:eastAsia="仿宋_GB2312"/>
          <w:color w:val="000000"/>
          <w:szCs w:val="32"/>
        </w:rPr>
        <w:t>例如，本产品用于对外周血涂片样本</w:t>
      </w:r>
      <w:r>
        <w:rPr>
          <w:rFonts w:hint="eastAsia" w:eastAsia="仿宋_GB2312"/>
          <w:color w:val="000000"/>
          <w:szCs w:val="32"/>
        </w:rPr>
        <w:t>的</w:t>
      </w:r>
      <w:r>
        <w:rPr>
          <w:rFonts w:eastAsia="仿宋_GB2312"/>
          <w:color w:val="000000"/>
          <w:szCs w:val="32"/>
        </w:rPr>
        <w:t>显微图像进行观察、筛选、标记及分析。供经培训合格的医师使用，不能单独用作临床诊疗决策依据。</w:t>
      </w:r>
    </w:p>
    <w:p>
      <w:pPr>
        <w:spacing w:line="520" w:lineRule="exact"/>
        <w:ind w:right="-102" w:rightChars="-32" w:firstLine="640" w:firstLineChars="200"/>
        <w:rPr>
          <w:rFonts w:eastAsia="仿宋_GB2312"/>
          <w:color w:val="000000"/>
          <w:szCs w:val="32"/>
        </w:rPr>
      </w:pPr>
      <w:r>
        <w:rPr>
          <w:rFonts w:eastAsia="仿宋_GB2312"/>
          <w:color w:val="000000"/>
          <w:szCs w:val="32"/>
        </w:rPr>
        <w:t>明确写明目标用户为经专业培训的医疗卫生机构的检验人员，并写明相关人员操作申报产品应当具备的基本能力要求</w:t>
      </w:r>
      <w:r>
        <w:rPr>
          <w:rFonts w:hint="eastAsia" w:eastAsia="仿宋_GB2312"/>
          <w:color w:val="000000"/>
          <w:szCs w:val="32"/>
        </w:rPr>
        <w:t>。</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3</w:t>
      </w:r>
      <w:r>
        <w:rPr>
          <w:rFonts w:eastAsia="仿宋_GB2312"/>
          <w:color w:val="000000"/>
          <w:szCs w:val="32"/>
        </w:rPr>
        <w:t>.2预期使用环境</w:t>
      </w:r>
    </w:p>
    <w:p>
      <w:pPr>
        <w:spacing w:line="520" w:lineRule="exact"/>
        <w:ind w:right="-102" w:rightChars="-32" w:firstLine="640" w:firstLineChars="200"/>
        <w:rPr>
          <w:rFonts w:eastAsia="仿宋_GB2312"/>
          <w:color w:val="000000"/>
          <w:szCs w:val="32"/>
        </w:rPr>
      </w:pPr>
      <w:r>
        <w:rPr>
          <w:rFonts w:eastAsia="仿宋_GB2312"/>
          <w:color w:val="000000"/>
          <w:szCs w:val="32"/>
        </w:rPr>
        <w:t>需明确设备使用场所和使用环境要求。</w:t>
      </w:r>
    </w:p>
    <w:p>
      <w:pPr>
        <w:spacing w:line="520" w:lineRule="exact"/>
        <w:ind w:right="-102" w:rightChars="-32" w:firstLine="640" w:firstLineChars="200"/>
        <w:rPr>
          <w:rFonts w:eastAsia="仿宋_GB2312"/>
          <w:color w:val="000000"/>
          <w:szCs w:val="32"/>
        </w:rPr>
      </w:pPr>
      <w:r>
        <w:rPr>
          <w:rFonts w:eastAsia="仿宋_GB2312"/>
          <w:color w:val="000000"/>
          <w:szCs w:val="32"/>
        </w:rPr>
        <w:t>设备使用场所包括：医疗机构</w:t>
      </w:r>
      <w:r>
        <w:rPr>
          <w:rFonts w:hint="eastAsia" w:eastAsia="仿宋_GB2312"/>
          <w:color w:val="000000"/>
          <w:szCs w:val="32"/>
        </w:rPr>
        <w:t>、实验室</w:t>
      </w:r>
      <w:r>
        <w:rPr>
          <w:rFonts w:eastAsia="仿宋_GB2312"/>
          <w:color w:val="000000"/>
          <w:szCs w:val="32"/>
        </w:rPr>
        <w:t>等。</w:t>
      </w:r>
    </w:p>
    <w:p>
      <w:pPr>
        <w:spacing w:line="520" w:lineRule="exact"/>
        <w:ind w:right="-102" w:rightChars="-32" w:firstLine="640" w:firstLineChars="200"/>
        <w:rPr>
          <w:rFonts w:eastAsia="仿宋_GB2312"/>
          <w:color w:val="000000" w:themeColor="text1"/>
          <w:szCs w:val="32"/>
          <w14:textFill>
            <w14:solidFill>
              <w14:schemeClr w14:val="tx1"/>
            </w14:solidFill>
          </w14:textFill>
        </w:rPr>
      </w:pPr>
      <w:r>
        <w:rPr>
          <w:rFonts w:eastAsia="仿宋_GB2312"/>
          <w:color w:val="000000"/>
          <w:szCs w:val="32"/>
        </w:rPr>
        <w:t>使用环境要求需至少包括：推荐的硬件使用的适宜温度、湿度、大气压、光照条件</w:t>
      </w:r>
      <w:r>
        <w:rPr>
          <w:rFonts w:hint="eastAsia" w:eastAsia="仿宋_GB2312"/>
          <w:color w:val="000000"/>
          <w:szCs w:val="32"/>
        </w:rPr>
        <w:t>、</w:t>
      </w:r>
      <w:r>
        <w:rPr>
          <w:rFonts w:eastAsia="仿宋_GB2312"/>
          <w:color w:val="000000"/>
          <w:spacing w:val="-1"/>
          <w:szCs w:val="32"/>
        </w:rPr>
        <w:t>工作电压</w:t>
      </w:r>
      <w:r>
        <w:rPr>
          <w:rFonts w:eastAsia="仿宋_GB2312"/>
          <w:color w:val="000000"/>
          <w:szCs w:val="32"/>
        </w:rPr>
        <w:t>。</w:t>
      </w:r>
    </w:p>
    <w:p>
      <w:pPr>
        <w:spacing w:line="520" w:lineRule="exact"/>
        <w:ind w:right="-102" w:rightChars="-32" w:firstLine="640" w:firstLineChars="200"/>
        <w:rPr>
          <w:rFonts w:eastAsia="仿宋_GB2312"/>
          <w:szCs w:val="32"/>
        </w:rPr>
      </w:pPr>
      <w:r>
        <w:rPr>
          <w:rFonts w:hint="eastAsia" w:eastAsia="仿宋_GB2312"/>
          <w:szCs w:val="32"/>
        </w:rPr>
        <w:t>4</w:t>
      </w:r>
      <w:r>
        <w:rPr>
          <w:rFonts w:eastAsia="仿宋_GB2312"/>
          <w:szCs w:val="32"/>
        </w:rPr>
        <w:t>.不良事件情况（如适用）</w:t>
      </w:r>
    </w:p>
    <w:p>
      <w:pPr>
        <w:spacing w:line="520" w:lineRule="exact"/>
        <w:ind w:right="-102" w:rightChars="-32" w:firstLine="640" w:firstLineChars="200"/>
        <w:rPr>
          <w:rFonts w:eastAsia="仿宋_GB2312"/>
          <w:bCs/>
          <w:szCs w:val="32"/>
        </w:rPr>
      </w:pPr>
      <w:r>
        <w:rPr>
          <w:rFonts w:eastAsia="仿宋_GB2312"/>
          <w:szCs w:val="32"/>
        </w:rPr>
        <w:t>应当提交申报产品的</w:t>
      </w:r>
      <w:r>
        <w:rPr>
          <w:rFonts w:eastAsia="仿宋_GB2312"/>
          <w:bCs/>
          <w:szCs w:val="32"/>
          <w:lang w:val="en-CA"/>
        </w:rPr>
        <w:t>上市、</w:t>
      </w:r>
      <w:r>
        <w:rPr>
          <w:rFonts w:eastAsia="仿宋_GB2312"/>
          <w:bCs/>
          <w:szCs w:val="32"/>
        </w:rPr>
        <w:t>销售、</w:t>
      </w:r>
      <w:r>
        <w:rPr>
          <w:rFonts w:eastAsia="仿宋_GB2312"/>
          <w:bCs/>
          <w:szCs w:val="32"/>
          <w:lang w:val="en-CA"/>
        </w:rPr>
        <w:t>不良事件和召回</w:t>
      </w:r>
      <w:r>
        <w:rPr>
          <w:rFonts w:eastAsia="仿宋_GB2312"/>
          <w:bCs/>
          <w:szCs w:val="32"/>
        </w:rPr>
        <w:t>等相关情况分析资料。</w:t>
      </w:r>
    </w:p>
    <w:p>
      <w:pPr>
        <w:spacing w:line="520" w:lineRule="exact"/>
        <w:ind w:right="-102" w:rightChars="-32" w:firstLine="640" w:firstLineChars="200"/>
        <w:rPr>
          <w:rFonts w:ascii="楷体_GB2312" w:hAnsi="楷体_GB2312" w:eastAsia="楷体_GB2312" w:cs="楷体_GB2312"/>
          <w:color w:val="000000"/>
          <w:szCs w:val="32"/>
        </w:rPr>
      </w:pPr>
      <w:bookmarkStart w:id="1" w:name="_Toc432753649"/>
      <w:r>
        <w:rPr>
          <w:rFonts w:hint="eastAsia" w:ascii="楷体_GB2312" w:hAnsi="楷体_GB2312" w:eastAsia="楷体_GB2312" w:cs="楷体_GB2312"/>
          <w:color w:val="000000"/>
          <w:szCs w:val="32"/>
        </w:rPr>
        <w:t>（三）非临床资料</w:t>
      </w:r>
    </w:p>
    <w:p>
      <w:pPr>
        <w:spacing w:line="520" w:lineRule="exact"/>
        <w:ind w:right="-102" w:rightChars="-32" w:firstLine="640" w:firstLineChars="200"/>
        <w:rPr>
          <w:rFonts w:eastAsia="仿宋_GB2312"/>
          <w:color w:val="000000"/>
          <w:szCs w:val="32"/>
        </w:rPr>
      </w:pPr>
      <w:r>
        <w:rPr>
          <w:rFonts w:eastAsia="仿宋_GB2312"/>
          <w:color w:val="000000"/>
          <w:szCs w:val="32"/>
        </w:rPr>
        <w:t>1.产品风险</w:t>
      </w:r>
      <w:bookmarkEnd w:id="1"/>
      <w:r>
        <w:rPr>
          <w:rFonts w:eastAsia="仿宋_GB2312"/>
          <w:color w:val="000000"/>
          <w:szCs w:val="32"/>
        </w:rPr>
        <w:t>管理资料</w:t>
      </w:r>
    </w:p>
    <w:p>
      <w:pPr>
        <w:overflowPunct w:val="0"/>
        <w:autoSpaceDE w:val="0"/>
        <w:autoSpaceDN w:val="0"/>
        <w:adjustRightInd w:val="0"/>
        <w:spacing w:line="520" w:lineRule="exact"/>
        <w:ind w:firstLine="640"/>
        <w:rPr>
          <w:rFonts w:eastAsia="仿宋_GB2312"/>
          <w:color w:val="000000" w:themeColor="text1"/>
          <w:szCs w:val="32"/>
          <w14:textFill>
            <w14:solidFill>
              <w14:schemeClr w14:val="tx1"/>
            </w14:solidFill>
          </w14:textFill>
        </w:rPr>
      </w:pPr>
      <w:r>
        <w:rPr>
          <w:rFonts w:eastAsia="仿宋_GB2312"/>
          <w:snapToGrid w:val="0"/>
          <w:color w:val="000000" w:themeColor="text1"/>
          <w:kern w:val="0"/>
          <w:szCs w:val="32"/>
          <w14:textFill>
            <w14:solidFill>
              <w14:schemeClr w14:val="tx1"/>
            </w14:solidFill>
          </w14:textFill>
        </w:rPr>
        <w:t>依据GB/T 42062《医疗器械 风险管理对医疗器械的应用》，</w:t>
      </w:r>
      <w:r>
        <w:rPr>
          <w:rFonts w:eastAsia="仿宋_GB2312"/>
          <w:snapToGrid w:val="0"/>
          <w:color w:val="000000" w:themeColor="text1"/>
          <w:kern w:val="0"/>
          <w:szCs w:val="32"/>
          <w:lang w:val="zh-CN"/>
          <w14:textFill>
            <w14:solidFill>
              <w14:schemeClr w14:val="tx1"/>
            </w14:solidFill>
          </w14:textFill>
        </w:rPr>
        <w:t>提供产品风险管理报告。</w:t>
      </w:r>
      <w:r>
        <w:rPr>
          <w:rFonts w:eastAsia="仿宋_GB2312"/>
          <w:color w:val="000000" w:themeColor="text1"/>
          <w:szCs w:val="32"/>
          <w14:textFill>
            <w14:solidFill>
              <w14:schemeClr w14:val="tx1"/>
            </w14:solidFill>
          </w14:textFill>
        </w:rPr>
        <w:t>风险分析至少应包括附表内容，申请人还应根据产品的自身特点确定其他危险。</w:t>
      </w:r>
    </w:p>
    <w:p>
      <w:pPr>
        <w:spacing w:line="520" w:lineRule="exact"/>
        <w:ind w:right="-102" w:rightChars="-32" w:firstLine="640" w:firstLineChars="200"/>
        <w:rPr>
          <w:rFonts w:eastAsia="仿宋_GB2312"/>
          <w:color w:val="000000"/>
          <w:szCs w:val="32"/>
        </w:rPr>
      </w:pPr>
      <w:r>
        <w:rPr>
          <w:rFonts w:eastAsia="仿宋_GB2312"/>
          <w:color w:val="000000" w:themeColor="text1"/>
          <w:szCs w:val="32"/>
          <w14:textFill>
            <w14:solidFill>
              <w14:schemeClr w14:val="tx1"/>
            </w14:solidFill>
          </w14:textFill>
        </w:rPr>
        <w:t>应按照GB/T 42062《医疗器械 风险管理对医疗器械的应用》的要求对每种可能涉及的危险识别评估，为降低风险所执行风险控制，剩余风险的可接受性评定，产品受益相比综合评价，并形成风险管理报告</w:t>
      </w:r>
      <w:r>
        <w:rPr>
          <w:rFonts w:eastAsia="仿宋_GB2312"/>
          <w:color w:val="000000"/>
          <w:szCs w:val="32"/>
        </w:rPr>
        <w:t>。</w:t>
      </w:r>
    </w:p>
    <w:p>
      <w:pPr>
        <w:spacing w:line="520" w:lineRule="exact"/>
        <w:ind w:right="-102" w:rightChars="-32" w:firstLine="640" w:firstLineChars="200"/>
        <w:rPr>
          <w:rFonts w:eastAsia="仿宋_GB2312"/>
          <w:color w:val="000000"/>
          <w:szCs w:val="32"/>
        </w:rPr>
      </w:pPr>
      <w:r>
        <w:rPr>
          <w:rFonts w:eastAsia="仿宋_GB2312"/>
          <w:color w:val="000000"/>
          <w:szCs w:val="32"/>
        </w:rPr>
        <w:t>申请人需重点说明：申报产品的研制阶段已对有关可能的危害及产生的风险进行了估计和评价，针对性地实施了降低风险的技术和管理方面的措施。产品性能测试对上述措施的有效性进行了验证，达到了通用和专用标准的要求。申请人对所有剩余风险进行了评价，全部达到可接受的水平。产品风险分析资料需为申请人关于产品安全性的承诺提供支持。</w:t>
      </w:r>
    </w:p>
    <w:p>
      <w:pPr>
        <w:spacing w:line="520" w:lineRule="exact"/>
        <w:ind w:firstLine="640"/>
        <w:outlineLvl w:val="1"/>
        <w:rPr>
          <w:rFonts w:eastAsia="仿宋_GB2312"/>
          <w:szCs w:val="32"/>
        </w:rPr>
      </w:pPr>
      <w:r>
        <w:rPr>
          <w:rFonts w:eastAsia="仿宋_GB2312"/>
          <w:szCs w:val="32"/>
        </w:rPr>
        <w:t>该类产品在进行风险分析时至少应考虑</w:t>
      </w:r>
      <w:r>
        <w:rPr>
          <w:rFonts w:hint="eastAsia" w:eastAsia="仿宋_GB2312"/>
          <w:szCs w:val="32"/>
        </w:rPr>
        <w:t>附</w:t>
      </w:r>
      <w:r>
        <w:rPr>
          <w:rFonts w:eastAsia="仿宋_GB2312"/>
          <w:szCs w:val="32"/>
        </w:rPr>
        <w:t>表1中</w:t>
      </w:r>
      <w:r>
        <w:rPr>
          <w:rFonts w:hint="eastAsia" w:eastAsia="仿宋_GB2312"/>
          <w:szCs w:val="32"/>
        </w:rPr>
        <w:t>内容</w:t>
      </w:r>
      <w:r>
        <w:rPr>
          <w:rFonts w:eastAsia="仿宋_GB2312"/>
          <w:szCs w:val="32"/>
        </w:rPr>
        <w:t>，注册申请人还应结合产品自身特点确定</w:t>
      </w:r>
      <w:r>
        <w:rPr>
          <w:color w:val="000000" w:themeColor="text1"/>
          <w:szCs w:val="32"/>
          <w14:textFill>
            <w14:solidFill>
              <w14:schemeClr w14:val="tx1"/>
            </w14:solidFill>
          </w14:textFill>
        </w:rPr>
        <w:t>其他危险</w:t>
      </w:r>
      <w:r>
        <w:rPr>
          <w:rFonts w:hint="eastAsia" w:eastAsia="仿宋_GB2312"/>
          <w:szCs w:val="32"/>
        </w:rPr>
        <w:t>。</w:t>
      </w:r>
    </w:p>
    <w:p>
      <w:pPr>
        <w:spacing w:line="520" w:lineRule="exact"/>
        <w:ind w:firstLine="640"/>
        <w:outlineLvl w:val="1"/>
        <w:rPr>
          <w:rFonts w:eastAsia="仿宋_GB2312" w:cs="仿宋_GB2312"/>
          <w:color w:val="000000" w:themeColor="text1"/>
          <w:szCs w:val="32"/>
          <w14:textFill>
            <w14:solidFill>
              <w14:schemeClr w14:val="tx1"/>
            </w14:solidFill>
          </w14:textFill>
        </w:rPr>
      </w:pPr>
      <w:r>
        <w:rPr>
          <w:rFonts w:hint="eastAsia" w:eastAsia="仿宋_GB2312" w:cs="仿宋_GB2312"/>
          <w:color w:val="000000" w:themeColor="text1"/>
          <w:szCs w:val="32"/>
          <w14:textFill>
            <w14:solidFill>
              <w14:schemeClr w14:val="tx1"/>
            </w14:solidFill>
          </w14:textFill>
        </w:rPr>
        <w:t>2.医疗器械安全和性能基本原则清单</w:t>
      </w:r>
    </w:p>
    <w:p>
      <w:pPr>
        <w:spacing w:line="520" w:lineRule="exact"/>
        <w:ind w:right="-102" w:rightChars="-32" w:firstLine="640" w:firstLineChars="200"/>
        <w:rPr>
          <w:rFonts w:eastAsia="仿宋_GB2312" w:cs="仿宋_GB2312"/>
          <w:szCs w:val="32"/>
        </w:rPr>
      </w:pPr>
      <w:r>
        <w:rPr>
          <w:rFonts w:hint="eastAsia" w:eastAsia="仿宋_GB2312" w:cs="仿宋_GB2312"/>
          <w:bCs/>
          <w:color w:val="000000" w:themeColor="text1"/>
          <w:szCs w:val="32"/>
          <w14:textFill>
            <w14:solidFill>
              <w14:schemeClr w14:val="tx1"/>
            </w14:solidFill>
          </w14:textFill>
        </w:rPr>
        <w:t>参考《医疗器械安全和性能基本原则符合性技术指南》的要求，根据《医疗器械安全和性能的基本原则》中的各项要求明确适用性。对于不适用的要求，应当逐项说明不适用的理由。对于适用要求，应逐项说明为符合要求所采用的方法，以及证明其符合性的文件。关于证明各项要求符合性的文件，如果包含在产品注册申报资料中，应当说明其在申报资料中的具体位置。对于未包含在产品注册申报资料中的文件，应当注明该证据文件名称及其在质量管理体系文件中的编号。</w:t>
      </w:r>
    </w:p>
    <w:p>
      <w:pPr>
        <w:spacing w:line="520" w:lineRule="exact"/>
        <w:ind w:right="-102" w:rightChars="-32" w:firstLine="640" w:firstLineChars="200"/>
        <w:rPr>
          <w:rFonts w:eastAsia="仿宋_GB2312"/>
          <w:color w:val="000000"/>
          <w:szCs w:val="32"/>
        </w:rPr>
      </w:pPr>
      <w:bookmarkStart w:id="2" w:name="_Toc432753650"/>
      <w:r>
        <w:rPr>
          <w:rFonts w:hint="eastAsia" w:eastAsia="仿宋_GB2312"/>
          <w:color w:val="000000"/>
          <w:szCs w:val="32"/>
        </w:rPr>
        <w:t>3</w:t>
      </w:r>
      <w:r>
        <w:rPr>
          <w:rFonts w:eastAsia="仿宋_GB2312"/>
          <w:color w:val="000000"/>
          <w:szCs w:val="32"/>
        </w:rPr>
        <w:t>.产品技术要求</w:t>
      </w:r>
      <w:bookmarkEnd w:id="2"/>
      <w:r>
        <w:rPr>
          <w:rFonts w:eastAsia="仿宋_GB2312"/>
          <w:color w:val="000000"/>
          <w:szCs w:val="32"/>
        </w:rPr>
        <w:t>及检验报告</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3</w:t>
      </w:r>
      <w:r>
        <w:rPr>
          <w:rFonts w:eastAsia="仿宋_GB2312"/>
          <w:color w:val="000000"/>
          <w:szCs w:val="32"/>
        </w:rPr>
        <w:t>.1产品技术要求</w:t>
      </w:r>
    </w:p>
    <w:p>
      <w:pPr>
        <w:spacing w:line="520" w:lineRule="exact"/>
        <w:ind w:right="-102" w:rightChars="-32" w:firstLine="640" w:firstLineChars="200"/>
        <w:rPr>
          <w:rFonts w:eastAsia="仿宋_GB2312"/>
          <w:color w:val="000000"/>
          <w:szCs w:val="32"/>
        </w:rPr>
      </w:pPr>
      <w:r>
        <w:rPr>
          <w:rFonts w:eastAsia="仿宋_GB2312"/>
          <w:color w:val="000000"/>
          <w:szCs w:val="32"/>
        </w:rPr>
        <w:t>依据《医疗器械产品技术要求编写指导原则》进行编制。</w:t>
      </w:r>
    </w:p>
    <w:p>
      <w:pPr>
        <w:spacing w:line="520" w:lineRule="exact"/>
        <w:ind w:right="-102" w:rightChars="-32" w:firstLine="640" w:firstLineChars="200"/>
        <w:rPr>
          <w:rFonts w:eastAsia="仿宋_GB2312"/>
          <w:color w:val="000000"/>
          <w:szCs w:val="32"/>
        </w:rPr>
      </w:pPr>
      <w:r>
        <w:rPr>
          <w:rFonts w:eastAsia="仿宋_GB2312"/>
          <w:color w:val="000000"/>
          <w:szCs w:val="32"/>
        </w:rPr>
        <w:t>对于同一注册单元中包含多种型号规格的，产品技术要求中应明确产品型号、规格及其划分说明。</w:t>
      </w:r>
    </w:p>
    <w:p>
      <w:pPr>
        <w:spacing w:line="520" w:lineRule="exact"/>
        <w:ind w:right="-102" w:rightChars="-32" w:firstLine="640" w:firstLineChars="200"/>
        <w:rPr>
          <w:rFonts w:eastAsia="仿宋_GB2312"/>
          <w:color w:val="000000"/>
          <w:szCs w:val="32"/>
        </w:rPr>
      </w:pPr>
      <w:r>
        <w:rPr>
          <w:rFonts w:eastAsia="仿宋_GB2312"/>
          <w:color w:val="000000"/>
          <w:szCs w:val="32"/>
        </w:rPr>
        <w:t>3.1.1型号/规格及其划分说明</w:t>
      </w:r>
    </w:p>
    <w:p>
      <w:pPr>
        <w:spacing w:line="520" w:lineRule="exact"/>
        <w:ind w:right="-102" w:rightChars="-32" w:firstLine="640" w:firstLineChars="200"/>
      </w:pPr>
      <w:r>
        <w:rPr>
          <w:rFonts w:eastAsia="仿宋_GB2312"/>
          <w:color w:val="000000"/>
          <w:szCs w:val="32"/>
        </w:rPr>
        <w:t>说明产品的型号、规格，明确产品型号、规格的划分说明，明确不同型号间产品差异。</w:t>
      </w:r>
    </w:p>
    <w:p>
      <w:pPr>
        <w:spacing w:line="520" w:lineRule="exact"/>
        <w:ind w:right="-102" w:rightChars="-32" w:firstLine="640" w:firstLineChars="200"/>
        <w:rPr>
          <w:rFonts w:eastAsia="仿宋_GB2312"/>
          <w:color w:val="000000"/>
          <w:szCs w:val="32"/>
        </w:rPr>
      </w:pPr>
      <w:r>
        <w:rPr>
          <w:rFonts w:eastAsia="仿宋_GB2312"/>
          <w:color w:val="000000"/>
          <w:szCs w:val="32"/>
        </w:rPr>
        <w:t>产品中包含软件</w:t>
      </w:r>
      <w:r>
        <w:rPr>
          <w:rFonts w:hint="eastAsia" w:eastAsia="仿宋_GB2312"/>
          <w:color w:val="000000"/>
          <w:szCs w:val="32"/>
        </w:rPr>
        <w:t>的，应明确软件的名称、型号规格（若适用）、</w:t>
      </w:r>
      <w:r>
        <w:rPr>
          <w:rFonts w:eastAsia="仿宋_GB2312"/>
          <w:color w:val="000000"/>
          <w:szCs w:val="32"/>
        </w:rPr>
        <w:t>发布版本、软件版本命名规则。</w:t>
      </w:r>
    </w:p>
    <w:p>
      <w:pPr>
        <w:spacing w:line="520" w:lineRule="exact"/>
        <w:ind w:right="-102" w:rightChars="-32" w:firstLine="640" w:firstLineChars="200"/>
        <w:rPr>
          <w:rFonts w:eastAsia="仿宋_GB2312"/>
          <w:color w:val="000000"/>
          <w:szCs w:val="32"/>
        </w:rPr>
      </w:pPr>
      <w:r>
        <w:rPr>
          <w:rFonts w:eastAsia="仿宋_GB2312"/>
          <w:color w:val="000000"/>
          <w:szCs w:val="32"/>
        </w:rPr>
        <w:t>3.1.2性能指标</w:t>
      </w:r>
    </w:p>
    <w:p>
      <w:pPr>
        <w:spacing w:line="520" w:lineRule="exact"/>
        <w:ind w:right="-102" w:rightChars="-32" w:firstLine="640" w:firstLineChars="200"/>
        <w:rPr>
          <w:rFonts w:hint="eastAsia" w:eastAsia="仿宋_GB2312"/>
          <w:color w:val="000000"/>
          <w:szCs w:val="32"/>
        </w:rPr>
      </w:pPr>
      <w:r>
        <w:rPr>
          <w:rFonts w:hint="eastAsia" w:eastAsia="仿宋_GB2312"/>
          <w:color w:val="000000"/>
          <w:szCs w:val="32"/>
        </w:rPr>
        <w:t>主要包括外观、重复性、图像分辨率或图像采集的清晰度（若适用）、预分类准确率（若适用）</w:t>
      </w:r>
      <w:r>
        <w:rPr>
          <w:rFonts w:hint="eastAsia" w:eastAsia="仿宋_GB2312"/>
          <w:color w:val="000000"/>
          <w:szCs w:val="32"/>
          <w:lang w:eastAsia="zh-CN"/>
        </w:rPr>
        <w:t>、如含有显微镜组件，还应符合GB/T 2985中适用条款的要求</w:t>
      </w:r>
      <w:r>
        <w:rPr>
          <w:rFonts w:hint="eastAsia" w:eastAsia="仿宋_GB2312"/>
          <w:color w:val="000000"/>
          <w:szCs w:val="32"/>
        </w:rPr>
        <w:t>等。如产品有额外模块实现额外功能，应增加相应评价指标要求。</w:t>
      </w:r>
    </w:p>
    <w:p>
      <w:pPr>
        <w:spacing w:line="520" w:lineRule="exact"/>
        <w:ind w:right="-102" w:rightChars="-32" w:firstLine="640" w:firstLineChars="200"/>
        <w:rPr>
          <w:rFonts w:eastAsia="仿宋_GB2312"/>
          <w:color w:val="000000"/>
          <w:szCs w:val="32"/>
        </w:rPr>
      </w:pPr>
      <w:r>
        <w:rPr>
          <w:rFonts w:eastAsia="仿宋_GB2312"/>
          <w:color w:val="000000"/>
          <w:szCs w:val="32"/>
        </w:rPr>
        <w:t>3.1.3安全要求</w:t>
      </w:r>
    </w:p>
    <w:p>
      <w:pPr>
        <w:spacing w:line="520" w:lineRule="exact"/>
        <w:ind w:right="-102" w:rightChars="-32" w:firstLine="640" w:firstLineChars="200"/>
        <w:rPr>
          <w:rFonts w:eastAsia="仿宋_GB2312"/>
          <w:color w:val="000000"/>
          <w:szCs w:val="32"/>
        </w:rPr>
      </w:pPr>
      <w:r>
        <w:rPr>
          <w:rFonts w:eastAsia="仿宋_GB2312"/>
          <w:color w:val="000000"/>
          <w:szCs w:val="32"/>
        </w:rPr>
        <w:t>符合GB 4793.1或GB/T 42125.1、或GB/T 42125.2（如适用）、</w:t>
      </w:r>
      <w:r>
        <w:rPr>
          <w:rFonts w:hint="eastAsia"/>
        </w:rPr>
        <w:t>YY/T</w:t>
      </w:r>
      <w:r>
        <w:rPr>
          <w:rFonts w:hint="eastAsia"/>
          <w:lang w:val="en-US" w:eastAsia="zh-CN"/>
        </w:rPr>
        <w:t xml:space="preserve"> </w:t>
      </w:r>
      <w:r>
        <w:rPr>
          <w:rFonts w:hint="eastAsia"/>
        </w:rPr>
        <w:t>0648</w:t>
      </w:r>
      <w:r>
        <w:rPr>
          <w:rFonts w:eastAsia="仿宋_GB2312"/>
          <w:color w:val="000000"/>
          <w:szCs w:val="32"/>
        </w:rPr>
        <w:t>中适用条款的要求。</w:t>
      </w:r>
    </w:p>
    <w:p>
      <w:pPr>
        <w:spacing w:line="520" w:lineRule="exact"/>
        <w:ind w:right="-102" w:rightChars="-32" w:firstLine="640" w:firstLineChars="200"/>
        <w:rPr>
          <w:rFonts w:eastAsia="仿宋_GB2312"/>
          <w:color w:val="000000"/>
          <w:szCs w:val="32"/>
        </w:rPr>
      </w:pPr>
      <w:r>
        <w:rPr>
          <w:rFonts w:eastAsia="仿宋_GB2312"/>
          <w:color w:val="000000"/>
          <w:szCs w:val="32"/>
        </w:rPr>
        <w:t>3.1.4电磁兼容要求</w:t>
      </w:r>
    </w:p>
    <w:p>
      <w:pPr>
        <w:spacing w:line="520" w:lineRule="exact"/>
        <w:ind w:right="-102" w:rightChars="-32" w:firstLine="640" w:firstLineChars="200"/>
        <w:rPr>
          <w:rFonts w:eastAsia="仿宋_GB2312"/>
          <w:color w:val="000000"/>
          <w:szCs w:val="32"/>
        </w:rPr>
      </w:pPr>
      <w:r>
        <w:rPr>
          <w:rFonts w:eastAsia="仿宋_GB2312"/>
          <w:color w:val="000000"/>
          <w:szCs w:val="32"/>
        </w:rPr>
        <w:t>符合GB/T 18268.1、GB/T 18268.26中适用条款的要求。</w:t>
      </w:r>
    </w:p>
    <w:p>
      <w:pPr>
        <w:spacing w:line="520" w:lineRule="exact"/>
        <w:ind w:right="-102" w:rightChars="-32" w:firstLine="640" w:firstLineChars="200"/>
        <w:rPr>
          <w:rFonts w:eastAsia="仿宋_GB2312"/>
          <w:color w:val="000000"/>
          <w:szCs w:val="32"/>
        </w:rPr>
      </w:pPr>
      <w:r>
        <w:rPr>
          <w:rFonts w:eastAsia="仿宋_GB2312"/>
          <w:color w:val="000000"/>
          <w:szCs w:val="32"/>
        </w:rPr>
        <w:t>3.1.5软件功能要求</w:t>
      </w:r>
    </w:p>
    <w:p>
      <w:pPr>
        <w:spacing w:line="520" w:lineRule="exact"/>
        <w:ind w:right="-102" w:rightChars="-32" w:firstLine="640" w:firstLineChars="200"/>
        <w:rPr>
          <w:rFonts w:eastAsia="仿宋_GB2312"/>
          <w:color w:val="000000"/>
          <w:szCs w:val="32"/>
        </w:rPr>
      </w:pPr>
      <w:r>
        <w:rPr>
          <w:rFonts w:eastAsia="仿宋_GB2312"/>
          <w:color w:val="000000"/>
          <w:szCs w:val="32"/>
        </w:rPr>
        <w:t>参照《医疗器械软件注册审查指导原则（2022年修订版）》的要求，性能指标应明确软件的功能、使用限制、接口、访问控制、运行环境（若适用）、性能效率（若适用）等要求。</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3.2检验报告</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检验报告中电磁兼容检验应与电气安全检验关联，保证受检样品的一致性。</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检验产品典型性：同一注册单元内所检测的产品应当是能够代表本注册单元内其他产品安全性和有效性的典型产品。应当选择技术指标及性能不改变、功能可以达到最齐全、结构最复杂、风险最高的产品。</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若选择典型性型号检验，申报资料中应提供典型型号覆盖说明，证明所选择检验的型号能够覆盖注册单元中的所有型号产品。</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4.研究资料</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4.1产品性能研究</w:t>
      </w:r>
    </w:p>
    <w:p>
      <w:pPr>
        <w:spacing w:line="520" w:lineRule="exact"/>
        <w:ind w:right="-102" w:rightChars="-32" w:firstLine="640" w:firstLineChars="200"/>
        <w:rPr>
          <w:rFonts w:hint="eastAsia" w:eastAsia="仿宋_GB2312"/>
          <w:color w:val="000000"/>
          <w:szCs w:val="32"/>
        </w:rPr>
      </w:pPr>
      <w:r>
        <w:rPr>
          <w:rFonts w:hint="eastAsia" w:eastAsia="仿宋_GB2312"/>
          <w:color w:val="000000"/>
          <w:szCs w:val="32"/>
        </w:rPr>
        <w:t>4.1.1功能性指标研究资料</w:t>
      </w:r>
    </w:p>
    <w:p>
      <w:pPr>
        <w:spacing w:line="520" w:lineRule="exact"/>
        <w:ind w:right="-102" w:rightChars="-32" w:firstLine="640" w:firstLineChars="200"/>
        <w:rPr>
          <w:rFonts w:hint="eastAsia" w:eastAsia="仿宋_GB2312"/>
          <w:color w:val="000000"/>
          <w:szCs w:val="32"/>
          <w:highlight w:val="none"/>
        </w:rPr>
      </w:pPr>
      <w:r>
        <w:rPr>
          <w:rFonts w:hint="eastAsia" w:eastAsia="仿宋_GB2312"/>
          <w:color w:val="000000"/>
          <w:szCs w:val="32"/>
          <w:highlight w:val="none"/>
        </w:rPr>
        <w:t xml:space="preserve"> 性能指标确定的依据应根据产品的工作原理描述设计输入来源以及临床意义，明确申报产品所采用的标准或方法、采用的原因及理论基础。适用的国家标准、行业标准中，如果有不适用的条款，也应将不适用的条款及理由予以说明。对于标准中未给出具体要求的性能指标，注册申请人应说明申报产品功能性能指标确定的依据。注册申请人应根据申报产品的工作原理、测量原理合理制定性能参数，包括功能性、安全性指标（如电气安全与电磁兼容）。确定依据不能笼统地描述为“依据产品特点”“依据临床需求确定”，应详细说明是产品的什么特点，何种临床需求。对于参考同类产品确定的，应提供同类产品的相关资料。</w:t>
      </w:r>
    </w:p>
    <w:p>
      <w:pPr>
        <w:spacing w:line="520" w:lineRule="exact"/>
        <w:ind w:right="-102" w:rightChars="-32" w:firstLine="640" w:firstLineChars="200"/>
        <w:rPr>
          <w:rFonts w:hint="eastAsia" w:eastAsia="仿宋_GB2312"/>
          <w:color w:val="000000"/>
          <w:szCs w:val="32"/>
          <w:highlight w:val="none"/>
        </w:rPr>
      </w:pPr>
      <w:r>
        <w:rPr>
          <w:rFonts w:hint="eastAsia" w:eastAsia="仿宋_GB2312"/>
          <w:color w:val="000000"/>
          <w:szCs w:val="32"/>
          <w:highlight w:val="none"/>
        </w:rPr>
        <w:t>应根据综述资料中有关申报产品结构组成和各主要组件、模块的情况，提供详细的研究资料。至少应包括对光学成像系统、图像采集系统的功能性指标或模块中主要元器件功能性指标的研究资料。</w:t>
      </w:r>
    </w:p>
    <w:p>
      <w:pPr>
        <w:pStyle w:val="2"/>
        <w:ind w:firstLine="640" w:firstLineChars="200"/>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若产品含有辅助定位、分析、分类功能等功能，应明确对应功能的算法，并提供其算法研究资料。</w:t>
      </w:r>
    </w:p>
    <w:p>
      <w:pPr>
        <w:pStyle w:val="2"/>
        <w:ind w:firstLine="640" w:firstLineChars="200"/>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若产品含有测量功能，应提供测量准确性的研究资料。</w:t>
      </w:r>
    </w:p>
    <w:p>
      <w:pPr>
        <w:pStyle w:val="2"/>
        <w:ind w:firstLine="640" w:firstLineChars="200"/>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若产品含有基于内置参考标准数据库实现的功能，应提供数据库的研究资料。</w:t>
      </w:r>
    </w:p>
    <w:p>
      <w:pPr>
        <w:spacing w:line="520" w:lineRule="exact"/>
        <w:ind w:right="-102" w:rightChars="-32" w:firstLine="640" w:firstLineChars="200"/>
        <w:rPr>
          <w:rFonts w:hint="eastAsia" w:eastAsia="仿宋_GB2312"/>
          <w:color w:val="000000"/>
          <w:szCs w:val="32"/>
          <w:highlight w:val="none"/>
        </w:rPr>
      </w:pPr>
      <w:r>
        <w:rPr>
          <w:rFonts w:hint="eastAsia" w:eastAsia="仿宋_GB2312"/>
          <w:color w:val="000000"/>
          <w:szCs w:val="32"/>
          <w:highlight w:val="none"/>
        </w:rPr>
        <w:t>4.1.2临床项目分析性能研究资料</w:t>
      </w:r>
    </w:p>
    <w:p>
      <w:pPr>
        <w:spacing w:line="520" w:lineRule="exact"/>
        <w:ind w:right="-102" w:rightChars="-32" w:firstLine="640" w:firstLineChars="200"/>
        <w:rPr>
          <w:rFonts w:hint="eastAsia" w:eastAsia="仿宋_GB2312"/>
          <w:color w:val="000000"/>
          <w:szCs w:val="32"/>
          <w:highlight w:val="none"/>
        </w:rPr>
      </w:pPr>
      <w:r>
        <w:rPr>
          <w:rFonts w:hint="eastAsia" w:eastAsia="仿宋_GB2312"/>
          <w:color w:val="000000"/>
          <w:szCs w:val="32"/>
          <w:highlight w:val="none"/>
        </w:rPr>
        <w:t>建议申请人根据基础研究结果，结合适用范围，综合考虑申报产品的分析方法，按照对申报产品评价最不利原则，选取代表性的临床项目，采用临床样本进行研究。代表性项目的选择应同时说明选择依据，对主要性能进行系统性评估。</w:t>
      </w:r>
      <w:bookmarkStart w:id="3" w:name="_GoBack"/>
      <w:bookmarkEnd w:id="3"/>
    </w:p>
    <w:p>
      <w:pPr>
        <w:widowControl/>
        <w:spacing w:line="520" w:lineRule="exact"/>
        <w:ind w:firstLine="640" w:firstLineChars="200"/>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4.2安全性指标研究资料</w:t>
      </w:r>
    </w:p>
    <w:p>
      <w:pPr>
        <w:widowControl/>
        <w:spacing w:line="520" w:lineRule="exact"/>
        <w:ind w:firstLine="640" w:firstLineChars="200"/>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 xml:space="preserve">安全性指标的验证包括电气安全指标和电磁兼容指标两大类。电气安全指标应当包括GB 4793、GB/T 42125.1、GB/T 42125.2（如适用）、YY 0648及其他适用的国家标准和行业标准中的所有指标，电磁兼容指标应当包括GB/T 18268.1和GB/T 18268.26及其他适用的国家标准和行业标准中的所有指标，具备能力的申请人可对上述项目自行研究，并提交详细的验证资料，不具备能力的申请人可通过委托有资质的医疗器械检验机构进行检验的方式对上述项目进行验证，以委托检验报告作为该部分的验证资料。     </w:t>
      </w:r>
    </w:p>
    <w:p>
      <w:pPr>
        <w:pStyle w:val="2"/>
        <w:ind w:firstLine="640" w:firstLineChars="200"/>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4.3 光辐射安全研究（如适用）</w:t>
      </w:r>
    </w:p>
    <w:p>
      <w:pPr>
        <w:pStyle w:val="2"/>
        <w:ind w:firstLine="640" w:firstLineChars="200"/>
        <w:rPr>
          <w:rFonts w:eastAsia="仿宋_GB2312"/>
          <w:highlight w:val="none"/>
        </w:rPr>
      </w:pPr>
      <w:r>
        <w:rPr>
          <w:rFonts w:hint="eastAsia" w:ascii="Times New Roman" w:hAnsi="Times New Roman" w:eastAsia="仿宋_GB2312"/>
          <w:sz w:val="32"/>
          <w:szCs w:val="32"/>
          <w:highlight w:val="none"/>
          <w:lang w:val="en-US" w:eastAsia="zh-CN"/>
        </w:rPr>
        <w:t>应参考GB 44703-2024对产品所用光源的光危害和光辐射安全进行评价，若为LED光源推荐参考GB/T 20145《灯和灯系统的光生物安全性》对光源的光危害和光辐射安全进行评价。</w:t>
      </w:r>
      <w:r>
        <w:rPr>
          <w:rFonts w:hint="eastAsia" w:eastAsia="仿宋_GB2312"/>
          <w:highlight w:val="none"/>
        </w:rPr>
        <w:t xml:space="preserve"> </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4.</w:t>
      </w:r>
      <w:r>
        <w:rPr>
          <w:rFonts w:hint="eastAsia" w:eastAsia="仿宋_GB2312"/>
          <w:color w:val="000000"/>
          <w:szCs w:val="32"/>
          <w:lang w:val="en-US" w:eastAsia="zh-CN"/>
        </w:rPr>
        <w:t>4</w:t>
      </w:r>
      <w:r>
        <w:rPr>
          <w:rFonts w:eastAsia="仿宋_GB2312"/>
          <w:color w:val="000000"/>
          <w:szCs w:val="32"/>
        </w:rPr>
        <w:t>软件研究</w:t>
      </w:r>
    </w:p>
    <w:p>
      <w:pPr>
        <w:spacing w:line="560" w:lineRule="exact"/>
        <w:ind w:firstLine="640" w:firstLineChars="200"/>
        <w:rPr>
          <w:rFonts w:eastAsia="仿宋_GB2312"/>
          <w:color w:val="000000"/>
          <w:szCs w:val="32"/>
        </w:rPr>
      </w:pPr>
      <w:r>
        <w:rPr>
          <w:rFonts w:eastAsia="仿宋_GB2312"/>
          <w:szCs w:val="32"/>
        </w:rPr>
        <w:t>软件研究参</w:t>
      </w:r>
      <w:r>
        <w:rPr>
          <w:rFonts w:hint="eastAsia" w:eastAsia="仿宋_GB2312"/>
          <w:szCs w:val="32"/>
        </w:rPr>
        <w:t>照</w:t>
      </w:r>
      <w:r>
        <w:rPr>
          <w:rFonts w:eastAsia="仿宋_GB2312"/>
          <w:color w:val="000000"/>
          <w:szCs w:val="32"/>
        </w:rPr>
        <w:t>《医疗器械软件注册审查指导原则（2022年修订版）》的</w:t>
      </w:r>
      <w:r>
        <w:rPr>
          <w:rFonts w:hint="eastAsia" w:eastAsia="仿宋_GB2312"/>
          <w:color w:val="000000"/>
          <w:szCs w:val="32"/>
        </w:rPr>
        <w:t>相关</w:t>
      </w:r>
      <w:r>
        <w:rPr>
          <w:rFonts w:eastAsia="仿宋_GB2312"/>
          <w:color w:val="000000"/>
          <w:szCs w:val="32"/>
        </w:rPr>
        <w:t>要求</w:t>
      </w:r>
      <w:r>
        <w:rPr>
          <w:rFonts w:eastAsia="仿宋_GB2312"/>
          <w:snapToGrid w:val="0"/>
          <w:kern w:val="0"/>
          <w:szCs w:val="32"/>
        </w:rPr>
        <w:t>提交相应软件</w:t>
      </w:r>
      <w:r>
        <w:rPr>
          <w:rFonts w:hint="eastAsia" w:eastAsia="仿宋_GB2312"/>
          <w:snapToGrid w:val="0"/>
          <w:kern w:val="0"/>
          <w:szCs w:val="32"/>
        </w:rPr>
        <w:t>研究资料</w:t>
      </w:r>
      <w:r>
        <w:rPr>
          <w:rFonts w:eastAsia="仿宋_GB2312"/>
          <w:color w:val="000000"/>
          <w:szCs w:val="32"/>
        </w:rPr>
        <w:t>，内容包括基本信息、实现过程、核心功能、结论等内容，详尽程度取决于软件安全性级别（严重、中等、轻微）。其中，基本信息包括软件标识、安全性级别、结构功能、物理拓扑、运行环境、注册历史，实现过程包括开发概况、风险管理、需求规范、生存周期、验证与确认、可追溯性分析、缺陷管理、更新历史，明确核心功能、核心算法、预期用途的对应关系。</w:t>
      </w:r>
    </w:p>
    <w:p>
      <w:pPr>
        <w:spacing w:line="560" w:lineRule="exact"/>
        <w:ind w:firstLine="640" w:firstLineChars="200"/>
        <w:rPr>
          <w:rFonts w:eastAsia="仿宋_GB2312"/>
          <w:color w:val="000000"/>
          <w:szCs w:val="32"/>
        </w:rPr>
      </w:pPr>
      <w:r>
        <w:rPr>
          <w:rFonts w:eastAsia="仿宋_GB2312"/>
          <w:color w:val="000000"/>
          <w:szCs w:val="32"/>
        </w:rPr>
        <w:t>产品若使用现成软件，应当根据现成软件的类型、使用方式等情况提供相应软件研究资料和网络安全研究资料。</w:t>
      </w:r>
    </w:p>
    <w:p>
      <w:pPr>
        <w:spacing w:line="520" w:lineRule="exact"/>
        <w:ind w:right="-102" w:rightChars="-32" w:firstLine="640" w:firstLineChars="200"/>
        <w:rPr>
          <w:rFonts w:eastAsia="仿宋_GB2312"/>
          <w:color w:val="000000" w:themeColor="text1"/>
          <w:szCs w:val="32"/>
          <w14:textFill>
            <w14:solidFill>
              <w14:schemeClr w14:val="tx1"/>
            </w14:solidFill>
          </w14:textFill>
        </w:rPr>
      </w:pPr>
      <w:r>
        <w:rPr>
          <w:rFonts w:hint="eastAsia" w:eastAsia="仿宋_GB2312"/>
          <w:color w:val="000000"/>
          <w:szCs w:val="32"/>
        </w:rPr>
        <w:t>4.</w:t>
      </w:r>
      <w:r>
        <w:rPr>
          <w:rFonts w:hint="eastAsia" w:eastAsia="仿宋_GB2312"/>
          <w:color w:val="000000"/>
          <w:szCs w:val="32"/>
          <w:lang w:val="en-US" w:eastAsia="zh-CN"/>
        </w:rPr>
        <w:t>5</w:t>
      </w:r>
      <w:r>
        <w:rPr>
          <w:rFonts w:eastAsia="仿宋_GB2312"/>
          <w:color w:val="000000" w:themeColor="text1"/>
          <w:szCs w:val="32"/>
          <w14:textFill>
            <w14:solidFill>
              <w14:schemeClr w14:val="tx1"/>
            </w14:solidFill>
          </w14:textFill>
        </w:rPr>
        <w:t>网络安全研究</w:t>
      </w:r>
    </w:p>
    <w:p>
      <w:pPr>
        <w:spacing w:line="520" w:lineRule="exact"/>
        <w:ind w:right="-102" w:rightChars="-32" w:firstLine="640" w:firstLineChars="200"/>
        <w:rPr>
          <w:rFonts w:eastAsia="仿宋_GB2312"/>
          <w:color w:val="000000" w:themeColor="text1"/>
          <w:szCs w:val="32"/>
          <w14:textFill>
            <w14:solidFill>
              <w14:schemeClr w14:val="tx1"/>
            </w14:solidFill>
          </w14:textFill>
        </w:rPr>
      </w:pPr>
      <w:r>
        <w:rPr>
          <w:rFonts w:hint="eastAsia" w:eastAsia="仿宋_GB2312"/>
          <w:szCs w:val="32"/>
        </w:rPr>
        <w:t>应参照《医疗器械网络安全注册审查指导原则（2022年修订版）》的相关要求。具备电子数据交换、远程控制或用户访问功能的含有软件组件的产品，应当提供网络安全研究资料。</w:t>
      </w:r>
      <w:r>
        <w:rPr>
          <w:rFonts w:hint="eastAsia" w:eastAsia="仿宋_GB2312"/>
          <w:color w:val="000000" w:themeColor="text1"/>
          <w:szCs w:val="32"/>
          <w14:textFill>
            <w14:solidFill>
              <w14:schemeClr w14:val="tx1"/>
            </w14:solidFill>
          </w14:textFill>
        </w:rPr>
        <w:t>基本信息包括软件信息、数据架构、网络安全能力、网络安全补丁、安全软件，实现过程包括风险管理、需求规范、验证与确认、可追溯性分析、更新维护计划，漏洞评估明确已知漏洞相关信息。</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4.</w:t>
      </w:r>
      <w:r>
        <w:rPr>
          <w:rFonts w:hint="eastAsia" w:eastAsia="仿宋_GB2312"/>
          <w:color w:val="000000"/>
          <w:szCs w:val="32"/>
          <w:lang w:val="en-US" w:eastAsia="zh-CN"/>
        </w:rPr>
        <w:t>6</w:t>
      </w:r>
      <w:r>
        <w:rPr>
          <w:rFonts w:hint="eastAsia" w:eastAsia="仿宋_GB2312"/>
          <w:color w:val="000000"/>
          <w:szCs w:val="32"/>
        </w:rPr>
        <w:t>可用性</w:t>
      </w:r>
      <w:r>
        <w:rPr>
          <w:rFonts w:eastAsia="仿宋_GB2312"/>
          <w:color w:val="000000"/>
          <w:szCs w:val="32"/>
        </w:rPr>
        <w:t>研究</w:t>
      </w:r>
    </w:p>
    <w:p>
      <w:pPr>
        <w:spacing w:line="520" w:lineRule="exact"/>
        <w:ind w:right="-102" w:rightChars="-32" w:firstLine="640" w:firstLineChars="200"/>
        <w:rPr>
          <w:rFonts w:eastAsia="仿宋_GB2312"/>
          <w:szCs w:val="32"/>
        </w:rPr>
      </w:pPr>
      <w:r>
        <w:rPr>
          <w:rFonts w:eastAsia="仿宋_GB2312"/>
          <w:color w:val="000000"/>
          <w:szCs w:val="32"/>
        </w:rPr>
        <w:t>应根据《医疗器械可用性工程注册审查指导原则》(2024年第13号通告)提供可用性工程研究资料</w:t>
      </w:r>
      <w:r>
        <w:rPr>
          <w:rFonts w:hint="eastAsia" w:eastAsia="仿宋_GB2312"/>
          <w:color w:val="000000"/>
          <w:szCs w:val="32"/>
        </w:rPr>
        <w:t>，</w:t>
      </w:r>
      <w:r>
        <w:rPr>
          <w:rFonts w:eastAsia="仿宋_GB2312"/>
          <w:szCs w:val="32"/>
        </w:rPr>
        <w:t>使用风险级别</w:t>
      </w:r>
      <w:r>
        <w:rPr>
          <w:rFonts w:hint="eastAsia" w:eastAsia="仿宋_GB2312"/>
          <w:szCs w:val="32"/>
        </w:rPr>
        <w:t>输出《可用性工程研究报告》或《使用错误评估报告》。</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4.</w:t>
      </w:r>
      <w:r>
        <w:rPr>
          <w:rFonts w:hint="eastAsia" w:eastAsia="仿宋_GB2312"/>
          <w:color w:val="000000"/>
          <w:szCs w:val="32"/>
          <w:lang w:val="en-US" w:eastAsia="zh-CN"/>
        </w:rPr>
        <w:t>7</w:t>
      </w:r>
      <w:r>
        <w:rPr>
          <w:rFonts w:eastAsia="仿宋_GB2312"/>
          <w:color w:val="000000"/>
          <w:szCs w:val="32"/>
        </w:rPr>
        <w:t>清洁、消毒、灭菌研究</w:t>
      </w:r>
    </w:p>
    <w:p>
      <w:pPr>
        <w:spacing w:line="520" w:lineRule="exact"/>
        <w:ind w:right="-102" w:rightChars="-32" w:firstLine="640" w:firstLineChars="200"/>
        <w:rPr>
          <w:rFonts w:eastAsia="仿宋_GB2312"/>
          <w:color w:val="000000"/>
          <w:szCs w:val="32"/>
        </w:rPr>
      </w:pPr>
      <w:r>
        <w:rPr>
          <w:rFonts w:eastAsia="仿宋_GB2312"/>
          <w:color w:val="000000"/>
          <w:szCs w:val="32"/>
        </w:rPr>
        <w:t>一般情况下，</w:t>
      </w:r>
      <w:r>
        <w:rPr>
          <w:rFonts w:hint="eastAsia" w:eastAsia="仿宋_GB2312"/>
          <w:color w:val="000000"/>
          <w:szCs w:val="32"/>
        </w:rPr>
        <w:t>图像分析仪器</w:t>
      </w:r>
      <w:r>
        <w:rPr>
          <w:rFonts w:eastAsia="仿宋_GB2312"/>
          <w:color w:val="000000"/>
          <w:szCs w:val="32"/>
        </w:rPr>
        <w:t>与使用者表面皮肤接触，无需灭菌。若主机及配件涉及终端用户消毒，注册申请人应当明确推荐的消毒方法以及所推荐方法确定的依据及验证的相关研究资料。</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4.</w:t>
      </w:r>
      <w:r>
        <w:rPr>
          <w:rFonts w:hint="eastAsia" w:eastAsia="仿宋_GB2312"/>
          <w:color w:val="000000"/>
          <w:szCs w:val="32"/>
          <w:lang w:val="en-US" w:eastAsia="zh-CN"/>
        </w:rPr>
        <w:t>8</w:t>
      </w:r>
      <w:r>
        <w:rPr>
          <w:rFonts w:eastAsia="仿宋_GB2312"/>
          <w:color w:val="000000"/>
          <w:szCs w:val="32"/>
        </w:rPr>
        <w:t>稳定性研究</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4.</w:t>
      </w:r>
      <w:r>
        <w:rPr>
          <w:rFonts w:hint="eastAsia" w:eastAsia="仿宋_GB2312"/>
          <w:color w:val="000000"/>
          <w:szCs w:val="32"/>
          <w:lang w:val="en-US" w:eastAsia="zh-CN"/>
        </w:rPr>
        <w:t>8</w:t>
      </w:r>
      <w:r>
        <w:rPr>
          <w:rFonts w:hint="eastAsia" w:eastAsia="仿宋_GB2312"/>
          <w:color w:val="000000"/>
          <w:szCs w:val="32"/>
        </w:rPr>
        <w:t>.</w:t>
      </w:r>
      <w:r>
        <w:rPr>
          <w:rFonts w:eastAsia="仿宋_GB2312"/>
          <w:color w:val="000000"/>
          <w:szCs w:val="32"/>
        </w:rPr>
        <w:t>1使用稳定性</w:t>
      </w:r>
    </w:p>
    <w:p>
      <w:pPr>
        <w:spacing w:line="520" w:lineRule="exact"/>
        <w:ind w:right="-102" w:rightChars="-32" w:firstLine="640" w:firstLineChars="200"/>
        <w:rPr>
          <w:rFonts w:eastAsia="仿宋_GB2312"/>
          <w:color w:val="000000"/>
          <w:szCs w:val="32"/>
        </w:rPr>
      </w:pPr>
      <w:r>
        <w:rPr>
          <w:rFonts w:eastAsia="仿宋_GB2312"/>
          <w:color w:val="000000"/>
          <w:szCs w:val="32"/>
        </w:rPr>
        <w:t>使用期限一般主要取决于使用过程中部件、元器件的损耗、老化等，注册申请人应按照声称的使用期限对设备进行老化/疲劳试验，也可对影响设备使用期限的关键部件进行老化/疲劳试验，例如设备中不可更换（或更换成本高）的部件，并提供相应的研究资料。研究资料应能证明上述部件按照所声称的使用期限，经过老化/疲劳试验后，产品性能和安全仍符合预期的要求。使用期限也可基于已有数据进行合理的推断、分析、计算得出，但应提供详细的说明及支持性资料。可参照《有源医疗器械使用期限技术审查指导原则》的要求。</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4.</w:t>
      </w:r>
      <w:r>
        <w:rPr>
          <w:rFonts w:hint="eastAsia" w:eastAsia="仿宋_GB2312"/>
          <w:color w:val="000000"/>
          <w:szCs w:val="32"/>
          <w:lang w:val="en-US" w:eastAsia="zh-CN"/>
        </w:rPr>
        <w:t>8.2</w:t>
      </w:r>
      <w:r>
        <w:rPr>
          <w:rFonts w:eastAsia="仿宋_GB2312"/>
          <w:color w:val="000000"/>
          <w:szCs w:val="32"/>
        </w:rPr>
        <w:t>运输稳定性</w:t>
      </w:r>
    </w:p>
    <w:p>
      <w:pPr>
        <w:spacing w:line="520" w:lineRule="exact"/>
        <w:ind w:right="-102" w:rightChars="-32" w:firstLine="640" w:firstLineChars="200"/>
        <w:rPr>
          <w:rFonts w:eastAsia="仿宋_GB2312"/>
          <w:color w:val="000000"/>
          <w:szCs w:val="32"/>
        </w:rPr>
      </w:pPr>
      <w:r>
        <w:rPr>
          <w:rFonts w:eastAsia="仿宋_GB2312"/>
          <w:color w:val="000000"/>
          <w:szCs w:val="32"/>
        </w:rPr>
        <w:t>注册申请人对包装和产品进行模拟试验，模拟在贮存和运输过程中，遇到极端情况时，例如环境（温湿度、气压等）变化、跌落、振动、加速度等，产品不会发生性能、功能改变，包装系统具有保护产品的能力。经过模拟试验后，观察包装外观是否有不可接受的异常现象，对产品进行性能测试，证明运输和环境测试后产品能够保持其完整性和功能性。环境试验可参考GB/T 14710的要求，包装要求可参考GB/T 4857系列标准</w:t>
      </w:r>
      <w:r>
        <w:rPr>
          <w:rFonts w:hint="eastAsia" w:eastAsia="仿宋_GB2312"/>
          <w:color w:val="000000"/>
          <w:szCs w:val="32"/>
        </w:rPr>
        <w:t>。</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4.</w:t>
      </w:r>
      <w:r>
        <w:rPr>
          <w:rFonts w:hint="eastAsia" w:eastAsia="仿宋_GB2312"/>
          <w:color w:val="000000"/>
          <w:szCs w:val="32"/>
          <w:lang w:val="en-US" w:eastAsia="zh-CN"/>
        </w:rPr>
        <w:t>9</w:t>
      </w:r>
      <w:r>
        <w:rPr>
          <w:rFonts w:hint="eastAsia" w:eastAsia="仿宋_GB2312"/>
          <w:color w:val="000000"/>
          <w:szCs w:val="32"/>
        </w:rPr>
        <w:t>其他资料</w:t>
      </w:r>
    </w:p>
    <w:p>
      <w:pPr>
        <w:spacing w:line="520" w:lineRule="exact"/>
        <w:ind w:right="-102" w:rightChars="-32" w:firstLine="640" w:firstLineChars="200"/>
        <w:rPr>
          <w:rFonts w:eastAsia="仿宋_GB2312"/>
          <w:color w:val="000000"/>
          <w:szCs w:val="32"/>
        </w:rPr>
      </w:pPr>
      <w:r>
        <w:rPr>
          <w:rFonts w:hint="eastAsia" w:eastAsia="仿宋_GB2312"/>
          <w:color w:val="000000"/>
          <w:szCs w:val="32"/>
        </w:rPr>
        <w:t>图像分析仪器（22-07-03）属于列入《免于进行临床评价的医疗器械目录》（以下简称“目录”）中的产品，应当按照《列入免于进行临床评价医疗器械目录产品对比说明技术指导原则》，从基本原理、结构组成、性能、安全性、适用范围等方面，证明产品的安全有效性。</w:t>
      </w:r>
    </w:p>
    <w:p>
      <w:pPr>
        <w:spacing w:line="520" w:lineRule="exact"/>
        <w:ind w:right="-102" w:rightChars="-32" w:firstLine="640" w:firstLineChars="200"/>
        <w:rPr>
          <w:rFonts w:ascii="楷体_GB2312" w:hAnsi="楷体_GB2312" w:eastAsia="楷体_GB2312" w:cs="楷体_GB2312"/>
          <w:color w:val="000000"/>
          <w:szCs w:val="32"/>
        </w:rPr>
      </w:pPr>
      <w:r>
        <w:rPr>
          <w:rFonts w:hint="eastAsia" w:ascii="楷体_GB2312" w:hAnsi="楷体_GB2312" w:eastAsia="楷体_GB2312" w:cs="楷体_GB2312"/>
          <w:color w:val="000000"/>
          <w:szCs w:val="32"/>
        </w:rPr>
        <w:t>（四）临床评价资料</w:t>
      </w:r>
    </w:p>
    <w:p>
      <w:pPr>
        <w:spacing w:line="520" w:lineRule="exact"/>
        <w:ind w:right="-102" w:rightChars="-32" w:firstLine="640" w:firstLineChars="200"/>
        <w:rPr>
          <w:rFonts w:hint="eastAsia" w:eastAsia="仿宋_GB2312"/>
          <w:color w:val="000000"/>
          <w:szCs w:val="32"/>
        </w:rPr>
      </w:pPr>
      <w:r>
        <w:rPr>
          <w:rFonts w:hint="eastAsia" w:eastAsia="仿宋_GB2312"/>
          <w:color w:val="000000"/>
          <w:szCs w:val="32"/>
        </w:rPr>
        <w:t>该产品列入《免于进行临床评价医疗器械目录》，申请人无需提交临床评价资料。</w:t>
      </w:r>
    </w:p>
    <w:p>
      <w:pPr>
        <w:pStyle w:val="5"/>
        <w:rPr>
          <w:rFonts w:eastAsia="仿宋_GB2312"/>
          <w:color w:val="000000"/>
          <w:szCs w:val="32"/>
        </w:rPr>
      </w:pPr>
      <w:r>
        <w:rPr>
          <w:rFonts w:eastAsia="仿宋_GB2312"/>
          <w:color w:val="000000"/>
          <w:szCs w:val="32"/>
        </w:rPr>
        <w:t>若申报产品与《目录》中产品结构组成、工作原理、适用范围不一致的，注册申请人应当依据所申报产品的结构组成、性能参数和适用范围等，</w:t>
      </w:r>
      <w:r>
        <w:rPr>
          <w:rFonts w:hint="eastAsia" w:eastAsia="仿宋_GB2312"/>
          <w:color w:val="000000"/>
          <w:szCs w:val="32"/>
          <w:lang w:val="en-US" w:eastAsia="zh-CN"/>
        </w:rPr>
        <w:t>应按</w:t>
      </w:r>
      <w:r>
        <w:rPr>
          <w:rFonts w:hint="eastAsia" w:eastAsia="仿宋_GB2312"/>
          <w:color w:val="000000"/>
          <w:szCs w:val="32"/>
        </w:rPr>
        <w:t>《医疗器械临床评价技术指导原则》</w:t>
      </w:r>
      <w:r>
        <w:rPr>
          <w:rFonts w:hint="eastAsia" w:eastAsia="仿宋_GB2312"/>
          <w:color w:val="000000"/>
          <w:szCs w:val="32"/>
          <w:lang w:val="en-US" w:eastAsia="zh-CN"/>
        </w:rPr>
        <w:t>进行临床评价</w:t>
      </w:r>
      <w:r>
        <w:rPr>
          <w:rFonts w:eastAsia="仿宋_GB2312"/>
          <w:color w:val="000000"/>
          <w:szCs w:val="32"/>
        </w:rPr>
        <w:t>。</w:t>
      </w:r>
    </w:p>
    <w:p>
      <w:pPr>
        <w:spacing w:line="520" w:lineRule="exact"/>
        <w:ind w:right="-102" w:rightChars="-32" w:firstLine="640" w:firstLineChars="200"/>
        <w:rPr>
          <w:rFonts w:ascii="楷体_GB2312" w:hAnsi="楷体_GB2312" w:eastAsia="楷体_GB2312" w:cs="楷体_GB2312"/>
          <w:color w:val="000000"/>
          <w:szCs w:val="32"/>
        </w:rPr>
      </w:pPr>
      <w:r>
        <w:rPr>
          <w:rFonts w:hint="eastAsia" w:ascii="楷体_GB2312" w:hAnsi="楷体_GB2312" w:eastAsia="楷体_GB2312" w:cs="楷体_GB2312"/>
          <w:color w:val="000000"/>
          <w:szCs w:val="32"/>
        </w:rPr>
        <w:t>（五）产品说明书和标签样稿</w:t>
      </w:r>
    </w:p>
    <w:p>
      <w:pPr>
        <w:spacing w:line="520" w:lineRule="exact"/>
        <w:ind w:right="-102" w:rightChars="-32" w:firstLine="640" w:firstLineChars="200"/>
        <w:rPr>
          <w:rFonts w:eastAsia="仿宋_GB2312"/>
          <w:color w:val="000000"/>
          <w:szCs w:val="32"/>
        </w:rPr>
      </w:pPr>
      <w:r>
        <w:rPr>
          <w:rFonts w:eastAsia="仿宋_GB2312"/>
          <w:color w:val="000000"/>
          <w:szCs w:val="32"/>
        </w:rPr>
        <w:t>说明书、标签和包装标识需符合《医疗器械说明书和标签管理规定》</w:t>
      </w:r>
      <w:r>
        <w:rPr>
          <w:rFonts w:hint="eastAsia" w:eastAsia="仿宋_GB2312"/>
          <w:color w:val="000000"/>
          <w:szCs w:val="32"/>
        </w:rPr>
        <w:t>、</w:t>
      </w:r>
      <w:r>
        <w:rPr>
          <w:rFonts w:eastAsia="仿宋_GB2312"/>
          <w:color w:val="000000"/>
          <w:szCs w:val="32"/>
        </w:rPr>
        <w:t>《医疗器械软件注册审查指导原则（2022年修订版）》、《医疗器械网络安全注册审查指导原则（2022年修订版）》、</w:t>
      </w:r>
      <w:r>
        <w:rPr>
          <w:rFonts w:eastAsia="仿宋_GB2312"/>
          <w:szCs w:val="32"/>
        </w:rPr>
        <w:t>和YY/T 0466.1中的相关要求</w:t>
      </w:r>
      <w:r>
        <w:rPr>
          <w:rFonts w:hint="eastAsia" w:eastAsia="仿宋_GB2312"/>
          <w:szCs w:val="32"/>
        </w:rPr>
        <w:t>。说明书、标签的内容应当真实、完整、科学，并与产品特性相一致，文字内容必须使用中文，可以附加其他语种。说明书、标签、包装标识中的文字、符号、图形、表格、数据等应相互一致，并符合相关标准和规范要求</w:t>
      </w:r>
      <w:r>
        <w:rPr>
          <w:rFonts w:eastAsia="仿宋_GB2312"/>
          <w:color w:val="000000"/>
          <w:szCs w:val="32"/>
        </w:rPr>
        <w:t>。</w:t>
      </w:r>
    </w:p>
    <w:p>
      <w:pPr>
        <w:spacing w:line="520" w:lineRule="exact"/>
        <w:ind w:right="-102" w:rightChars="-32" w:firstLine="640" w:firstLineChars="200"/>
        <w:rPr>
          <w:rFonts w:eastAsia="仿宋_GB2312"/>
          <w:color w:val="000000"/>
          <w:szCs w:val="32"/>
        </w:rPr>
      </w:pPr>
      <w:r>
        <w:rPr>
          <w:rFonts w:eastAsia="仿宋_GB2312"/>
          <w:color w:val="000000"/>
          <w:szCs w:val="32"/>
        </w:rPr>
        <w:t>说明书内容需重点关注：</w:t>
      </w:r>
    </w:p>
    <w:p>
      <w:pPr>
        <w:spacing w:line="520" w:lineRule="exact"/>
        <w:ind w:right="-102" w:rightChars="-32" w:firstLine="640" w:firstLineChars="200"/>
        <w:rPr>
          <w:rFonts w:eastAsia="仿宋_GB2312"/>
          <w:color w:val="000000"/>
          <w:szCs w:val="32"/>
        </w:rPr>
      </w:pPr>
      <w:r>
        <w:rPr>
          <w:rFonts w:eastAsia="仿宋_GB2312"/>
          <w:color w:val="000000"/>
          <w:szCs w:val="32"/>
        </w:rPr>
        <w:t>对预期用户和推荐用户培训的详细说明。如，预期用户工作年限或执业资格要求，且需经培训合格。</w:t>
      </w:r>
    </w:p>
    <w:p>
      <w:pPr>
        <w:spacing w:line="520" w:lineRule="exact"/>
        <w:ind w:right="-102" w:rightChars="-32" w:firstLine="640" w:firstLineChars="200"/>
        <w:rPr>
          <w:rFonts w:ascii="楷体_GB2312" w:hAnsi="楷体_GB2312" w:eastAsia="楷体_GB2312" w:cs="楷体_GB2312"/>
          <w:color w:val="000000"/>
          <w:szCs w:val="32"/>
        </w:rPr>
      </w:pPr>
      <w:r>
        <w:rPr>
          <w:rFonts w:hint="eastAsia" w:ascii="楷体_GB2312" w:hAnsi="楷体_GB2312" w:eastAsia="楷体_GB2312" w:cs="楷体_GB2312"/>
          <w:color w:val="000000"/>
          <w:szCs w:val="32"/>
        </w:rPr>
        <w:t>（六）质量管理体系文件</w:t>
      </w:r>
    </w:p>
    <w:p>
      <w:pPr>
        <w:spacing w:line="520" w:lineRule="exact"/>
        <w:ind w:right="-102" w:rightChars="-32" w:firstLine="640" w:firstLineChars="200"/>
        <w:rPr>
          <w:rFonts w:eastAsia="仿宋_GB2312"/>
          <w:color w:val="000000"/>
          <w:szCs w:val="32"/>
        </w:rPr>
      </w:pPr>
      <w:r>
        <w:rPr>
          <w:rFonts w:eastAsia="仿宋_GB2312"/>
          <w:color w:val="000000"/>
          <w:szCs w:val="32"/>
        </w:rPr>
        <w:t>产品质量管理体系文件应符合《医疗器械生产质量管理规范》的要求，并按照《医疗器械注册申报资料要求及说明》提交资料。</w:t>
      </w:r>
    </w:p>
    <w:p>
      <w:pPr>
        <w:spacing w:line="520" w:lineRule="exact"/>
        <w:ind w:right="-102" w:rightChars="-32" w:firstLine="640" w:firstLineChars="200"/>
        <w:rPr>
          <w:rFonts w:ascii="黑体" w:hAnsi="黑体" w:eastAsia="黑体" w:cs="黑体"/>
          <w:color w:val="000000"/>
          <w:szCs w:val="32"/>
        </w:rPr>
      </w:pPr>
      <w:r>
        <w:rPr>
          <w:rFonts w:hint="eastAsia" w:ascii="黑体" w:hAnsi="黑体" w:eastAsia="黑体" w:cs="黑体"/>
          <w:color w:val="000000"/>
          <w:szCs w:val="32"/>
        </w:rPr>
        <w:t>三、参考文献</w:t>
      </w:r>
    </w:p>
    <w:p>
      <w:pPr>
        <w:spacing w:line="520" w:lineRule="exact"/>
        <w:ind w:firstLine="640"/>
        <w:rPr>
          <w:color w:val="000000" w:themeColor="text1"/>
          <w:kern w:val="0"/>
          <w:szCs w:val="32"/>
          <w14:textFill>
            <w14:solidFill>
              <w14:schemeClr w14:val="tx1"/>
            </w14:solidFill>
          </w14:textFill>
        </w:rPr>
      </w:pPr>
      <w:r>
        <w:rPr>
          <w:rFonts w:eastAsia="仿宋_GB2312"/>
          <w:color w:val="000000"/>
          <w:szCs w:val="32"/>
        </w:rPr>
        <w:t>[1]</w:t>
      </w:r>
      <w:r>
        <w:rPr>
          <w:color w:val="000000" w:themeColor="text1"/>
          <w:kern w:val="0"/>
          <w:szCs w:val="32"/>
          <w14:textFill>
            <w14:solidFill>
              <w14:schemeClr w14:val="tx1"/>
            </w14:solidFill>
          </w14:textFill>
        </w:rPr>
        <w:t>中华人民共和国国务院.医疗器械监督管理条例:国务院令第739号[Z].</w:t>
      </w:r>
    </w:p>
    <w:p>
      <w:pPr>
        <w:spacing w:line="520" w:lineRule="exact"/>
        <w:ind w:right="-102" w:rightChars="-32" w:firstLine="640" w:firstLineChars="200"/>
        <w:rPr>
          <w:rFonts w:eastAsia="仿宋_GB2312"/>
          <w:color w:val="000000"/>
          <w:szCs w:val="32"/>
        </w:rPr>
      </w:pPr>
      <w:r>
        <w:rPr>
          <w:rFonts w:eastAsia="仿宋_GB2312"/>
          <w:color w:val="000000"/>
          <w:szCs w:val="32"/>
        </w:rPr>
        <w:t>[2]国家市场监督管理总局.医疗器械注册与备案管理办法:国家市场监督管理总局令第47号[Z].</w:t>
      </w:r>
    </w:p>
    <w:p>
      <w:pPr>
        <w:spacing w:line="520" w:lineRule="exact"/>
        <w:ind w:right="-102" w:rightChars="-32" w:firstLine="640" w:firstLineChars="200"/>
        <w:rPr>
          <w:rFonts w:eastAsia="仿宋_GB2312"/>
          <w:color w:val="000000"/>
          <w:szCs w:val="32"/>
        </w:rPr>
      </w:pPr>
      <w:r>
        <w:rPr>
          <w:rFonts w:eastAsia="仿宋_GB2312"/>
          <w:color w:val="000000"/>
          <w:szCs w:val="32"/>
        </w:rPr>
        <w:t>[</w:t>
      </w:r>
      <w:r>
        <w:rPr>
          <w:rFonts w:hint="eastAsia" w:eastAsia="仿宋_GB2312"/>
          <w:color w:val="000000"/>
          <w:szCs w:val="32"/>
        </w:rPr>
        <w:t>3</w:t>
      </w:r>
      <w:r>
        <w:rPr>
          <w:rFonts w:eastAsia="仿宋_GB2312"/>
          <w:color w:val="000000"/>
          <w:szCs w:val="32"/>
        </w:rPr>
        <w:t>]原国家食品药品监督管理总局.医疗器械说明书和标签管理规定:国家食品药品监督管理总局令第6号[Z].</w:t>
      </w:r>
    </w:p>
    <w:p>
      <w:pPr>
        <w:spacing w:line="520" w:lineRule="exact"/>
        <w:ind w:right="-102" w:rightChars="-32" w:firstLine="640" w:firstLineChars="200"/>
        <w:rPr>
          <w:rFonts w:eastAsia="仿宋_GB2312"/>
          <w:color w:val="000000"/>
          <w:szCs w:val="32"/>
        </w:rPr>
      </w:pPr>
      <w:r>
        <w:rPr>
          <w:rFonts w:eastAsia="仿宋_GB2312"/>
          <w:color w:val="000000"/>
          <w:szCs w:val="32"/>
        </w:rPr>
        <w:t>[</w:t>
      </w:r>
      <w:r>
        <w:rPr>
          <w:rFonts w:hint="eastAsia" w:eastAsia="仿宋_GB2312"/>
          <w:color w:val="000000"/>
          <w:szCs w:val="32"/>
        </w:rPr>
        <w:t>4</w:t>
      </w:r>
      <w:r>
        <w:rPr>
          <w:rFonts w:eastAsia="仿宋_GB2312"/>
          <w:color w:val="000000"/>
          <w:szCs w:val="32"/>
        </w:rPr>
        <w:t>]国家药品监督管理局.医疗器械注册申报资料要求和批准证明文件格式:国家药监局公告2021年第121号[Z].</w:t>
      </w:r>
    </w:p>
    <w:p>
      <w:pPr>
        <w:spacing w:line="520" w:lineRule="exact"/>
        <w:ind w:right="-102" w:rightChars="-32" w:firstLine="640" w:firstLineChars="200"/>
        <w:rPr>
          <w:rFonts w:eastAsia="仿宋_GB2312"/>
          <w:color w:val="000000"/>
          <w:szCs w:val="32"/>
        </w:rPr>
      </w:pPr>
      <w:r>
        <w:rPr>
          <w:rFonts w:eastAsia="仿宋_GB2312"/>
          <w:color w:val="000000"/>
          <w:szCs w:val="32"/>
        </w:rPr>
        <w:t>[</w:t>
      </w:r>
      <w:r>
        <w:rPr>
          <w:rFonts w:hint="eastAsia" w:eastAsia="仿宋_GB2312"/>
          <w:color w:val="000000"/>
          <w:szCs w:val="32"/>
        </w:rPr>
        <w:t>5</w:t>
      </w:r>
      <w:r>
        <w:rPr>
          <w:rFonts w:eastAsia="仿宋_GB2312"/>
          <w:color w:val="000000"/>
          <w:szCs w:val="32"/>
        </w:rPr>
        <w:t>]国家药品监督管理局.医疗器械产品技术要求编写指导原则:国家药监局通告2022年第8号[Z].</w:t>
      </w:r>
    </w:p>
    <w:p>
      <w:pPr>
        <w:spacing w:line="520" w:lineRule="exact"/>
        <w:ind w:right="-102" w:rightChars="-32" w:firstLine="640" w:firstLineChars="200"/>
        <w:rPr>
          <w:rFonts w:eastAsia="仿宋_GB2312"/>
          <w:color w:val="000000"/>
          <w:szCs w:val="32"/>
        </w:rPr>
      </w:pPr>
      <w:r>
        <w:rPr>
          <w:rFonts w:eastAsia="仿宋_GB2312"/>
          <w:color w:val="000000"/>
          <w:szCs w:val="32"/>
        </w:rPr>
        <w:t>[</w:t>
      </w:r>
      <w:r>
        <w:rPr>
          <w:rFonts w:hint="eastAsia" w:eastAsia="仿宋_GB2312"/>
          <w:color w:val="000000"/>
          <w:szCs w:val="32"/>
        </w:rPr>
        <w:t>6</w:t>
      </w:r>
      <w:r>
        <w:rPr>
          <w:rFonts w:eastAsia="仿宋_GB2312"/>
          <w:color w:val="000000"/>
          <w:szCs w:val="32"/>
        </w:rPr>
        <w:t>]国家药品监督管理局医疗器械审评中心.医疗器械软件注册审查指导原则（2022年修订版）:国家药监局器审中心通告2022年第9号[Z].</w:t>
      </w:r>
    </w:p>
    <w:p>
      <w:pPr>
        <w:spacing w:line="520" w:lineRule="exact"/>
        <w:ind w:right="-102" w:rightChars="-32" w:firstLine="640" w:firstLineChars="200"/>
        <w:rPr>
          <w:rFonts w:eastAsia="仿宋_GB2312"/>
          <w:color w:val="000000"/>
          <w:szCs w:val="32"/>
        </w:rPr>
      </w:pPr>
      <w:r>
        <w:rPr>
          <w:rFonts w:eastAsia="仿宋_GB2312"/>
          <w:color w:val="000000"/>
          <w:szCs w:val="32"/>
        </w:rPr>
        <w:t>[</w:t>
      </w:r>
      <w:r>
        <w:rPr>
          <w:rFonts w:hint="eastAsia" w:eastAsia="仿宋_GB2312"/>
          <w:color w:val="000000"/>
          <w:szCs w:val="32"/>
        </w:rPr>
        <w:t>7</w:t>
      </w:r>
      <w:r>
        <w:rPr>
          <w:rFonts w:eastAsia="仿宋_GB2312"/>
          <w:color w:val="000000"/>
          <w:szCs w:val="32"/>
        </w:rPr>
        <w:t>]国家食品药品监督管理局.医疗器械分类目录:国家食品药品监督管理总局公告2017年第104号[Z].</w:t>
      </w:r>
    </w:p>
    <w:p>
      <w:pPr>
        <w:spacing w:line="520" w:lineRule="exact"/>
        <w:ind w:right="-102" w:rightChars="-32" w:firstLine="640" w:firstLineChars="200"/>
        <w:rPr>
          <w:rFonts w:eastAsia="仿宋_GB2312"/>
          <w:color w:val="000000"/>
          <w:szCs w:val="32"/>
        </w:rPr>
      </w:pPr>
      <w:r>
        <w:rPr>
          <w:rFonts w:eastAsia="仿宋_GB2312"/>
          <w:color w:val="000000"/>
          <w:szCs w:val="32"/>
        </w:rPr>
        <w:t>[</w:t>
      </w:r>
      <w:r>
        <w:rPr>
          <w:rFonts w:hint="eastAsia" w:eastAsia="仿宋_GB2312"/>
          <w:color w:val="000000"/>
          <w:szCs w:val="32"/>
        </w:rPr>
        <w:t>8</w:t>
      </w:r>
      <w:r>
        <w:rPr>
          <w:rFonts w:eastAsia="仿宋_GB2312"/>
          <w:color w:val="000000"/>
          <w:szCs w:val="32"/>
        </w:rPr>
        <w:t>]国家食品药品监督管理局.医疗器械通用名称命名规则：国家食品药品监督管理总局令第19号[Z].</w:t>
      </w:r>
    </w:p>
    <w:p>
      <w:pPr>
        <w:spacing w:line="520" w:lineRule="exact"/>
        <w:ind w:right="-102" w:rightChars="-32" w:firstLine="640" w:firstLineChars="200"/>
        <w:rPr>
          <w:rFonts w:eastAsia="仿宋_GB2312"/>
          <w:color w:val="000000"/>
          <w:szCs w:val="32"/>
        </w:rPr>
      </w:pPr>
      <w:r>
        <w:rPr>
          <w:rFonts w:eastAsia="仿宋_GB2312"/>
          <w:color w:val="000000"/>
          <w:szCs w:val="32"/>
        </w:rPr>
        <w:t>[</w:t>
      </w:r>
      <w:r>
        <w:rPr>
          <w:rFonts w:hint="eastAsia" w:eastAsia="仿宋_GB2312"/>
          <w:color w:val="000000"/>
          <w:szCs w:val="32"/>
        </w:rPr>
        <w:t>9</w:t>
      </w:r>
      <w:r>
        <w:rPr>
          <w:rFonts w:eastAsia="仿宋_GB2312"/>
          <w:color w:val="000000"/>
          <w:szCs w:val="32"/>
        </w:rPr>
        <w:t>]国家药品监督管理局医疗器械审评中心.人工智能医疗器械注册审查指导原则:国家药监局器审中心通告2022年第8号[Z].</w:t>
      </w:r>
    </w:p>
    <w:p>
      <w:pPr>
        <w:spacing w:line="520" w:lineRule="exact"/>
        <w:ind w:right="-102" w:rightChars="-32" w:firstLine="640" w:firstLineChars="200"/>
        <w:rPr>
          <w:rFonts w:eastAsia="仿宋_GB2312"/>
          <w:color w:val="000000"/>
          <w:szCs w:val="32"/>
        </w:rPr>
      </w:pPr>
      <w:r>
        <w:rPr>
          <w:rFonts w:eastAsia="仿宋_GB2312"/>
          <w:color w:val="000000"/>
          <w:szCs w:val="32"/>
        </w:rPr>
        <w:t>[</w:t>
      </w:r>
      <w:r>
        <w:rPr>
          <w:rFonts w:hint="eastAsia" w:eastAsia="仿宋_GB2312"/>
          <w:color w:val="000000"/>
          <w:szCs w:val="32"/>
        </w:rPr>
        <w:t>10</w:t>
      </w:r>
      <w:r>
        <w:rPr>
          <w:rFonts w:eastAsia="仿宋_GB2312"/>
          <w:color w:val="000000"/>
          <w:szCs w:val="32"/>
        </w:rPr>
        <w:t>]国家药品监督管理局医疗器械审评中心.医疗器械网络安全注册审查指导原则（2022年修订版）:国家药监局器审中心通告2022年第7号[Z].</w:t>
      </w:r>
    </w:p>
    <w:p>
      <w:pPr>
        <w:spacing w:line="520" w:lineRule="exact"/>
        <w:ind w:right="-102" w:rightChars="-32" w:firstLine="640" w:firstLineChars="200"/>
        <w:rPr>
          <w:rFonts w:eastAsia="仿宋_GB2312"/>
          <w:color w:val="000000"/>
          <w:szCs w:val="32"/>
        </w:rPr>
      </w:pPr>
      <w:r>
        <w:rPr>
          <w:rFonts w:eastAsia="仿宋_GB2312"/>
          <w:color w:val="000000"/>
          <w:szCs w:val="32"/>
        </w:rPr>
        <w:t>[1</w:t>
      </w:r>
      <w:r>
        <w:rPr>
          <w:rFonts w:hint="eastAsia" w:eastAsia="仿宋_GB2312"/>
          <w:color w:val="000000"/>
          <w:szCs w:val="32"/>
        </w:rPr>
        <w:t>1</w:t>
      </w:r>
      <w:r>
        <w:rPr>
          <w:rFonts w:eastAsia="仿宋_GB2312"/>
          <w:color w:val="000000"/>
          <w:szCs w:val="32"/>
        </w:rPr>
        <w:t>] GB/T 42062,医疗器械 风险管理对医疗器械的应用[S].</w:t>
      </w:r>
    </w:p>
    <w:p>
      <w:pPr>
        <w:spacing w:line="520" w:lineRule="exact"/>
        <w:ind w:right="-102" w:rightChars="-32" w:firstLine="640" w:firstLineChars="200"/>
        <w:rPr>
          <w:rFonts w:eastAsia="仿宋_GB2312"/>
          <w:color w:val="000000"/>
          <w:szCs w:val="32"/>
        </w:rPr>
      </w:pPr>
      <w:r>
        <w:rPr>
          <w:rFonts w:eastAsia="仿宋_GB2312"/>
          <w:color w:val="000000"/>
          <w:szCs w:val="32"/>
        </w:rPr>
        <w:t>[12] GB 4793</w:t>
      </w:r>
      <w:r>
        <w:rPr>
          <w:rFonts w:hint="eastAsia" w:eastAsia="仿宋_GB2312"/>
          <w:color w:val="000000"/>
          <w:szCs w:val="32"/>
        </w:rPr>
        <w:t>,</w:t>
      </w:r>
      <w:r>
        <w:rPr>
          <w:rFonts w:eastAsia="仿宋_GB2312"/>
          <w:color w:val="000000"/>
          <w:szCs w:val="32"/>
        </w:rPr>
        <w:t>测量、控制和实验室用电气设备安全技术规范[S]</w:t>
      </w:r>
      <w:r>
        <w:rPr>
          <w:rFonts w:hint="eastAsia" w:eastAsia="仿宋_GB2312"/>
          <w:color w:val="000000"/>
          <w:szCs w:val="32"/>
        </w:rPr>
        <w:t>.</w:t>
      </w:r>
    </w:p>
    <w:p>
      <w:pPr>
        <w:spacing w:line="520" w:lineRule="exact"/>
        <w:ind w:right="-102" w:rightChars="-32" w:firstLine="640" w:firstLineChars="200"/>
        <w:rPr>
          <w:rFonts w:eastAsia="仿宋_GB2312"/>
          <w:color w:val="000000"/>
          <w:szCs w:val="32"/>
        </w:rPr>
      </w:pPr>
      <w:r>
        <w:rPr>
          <w:rFonts w:eastAsia="仿宋_GB2312"/>
          <w:color w:val="000000"/>
          <w:szCs w:val="32"/>
        </w:rPr>
        <w:t>[1</w:t>
      </w:r>
      <w:r>
        <w:rPr>
          <w:rFonts w:hint="eastAsia" w:eastAsia="仿宋_GB2312"/>
          <w:color w:val="000000"/>
          <w:szCs w:val="32"/>
        </w:rPr>
        <w:t>3</w:t>
      </w:r>
      <w:r>
        <w:rPr>
          <w:rFonts w:eastAsia="仿宋_GB2312"/>
          <w:color w:val="000000"/>
          <w:szCs w:val="32"/>
        </w:rPr>
        <w:t>] GB/T 42125.1</w:t>
      </w:r>
      <w:r>
        <w:rPr>
          <w:rFonts w:hint="eastAsia" w:eastAsia="仿宋_GB2312"/>
          <w:color w:val="000000"/>
          <w:szCs w:val="32"/>
        </w:rPr>
        <w:t>,</w:t>
      </w:r>
      <w:r>
        <w:rPr>
          <w:rFonts w:eastAsia="仿宋_GB2312"/>
          <w:color w:val="000000"/>
          <w:szCs w:val="32"/>
        </w:rPr>
        <w:t>《测量、控制和实验室用电气设备的安全要求 第1部分：通用要求》</w:t>
      </w:r>
      <w:r>
        <w:rPr>
          <w:color w:val="000000" w:themeColor="text1"/>
          <w:szCs w:val="32"/>
          <w14:textFill>
            <w14:solidFill>
              <w14:schemeClr w14:val="tx1"/>
            </w14:solidFill>
          </w14:textFill>
        </w:rPr>
        <w:t>[S].</w:t>
      </w:r>
    </w:p>
    <w:p>
      <w:pPr>
        <w:spacing w:line="520" w:lineRule="exact"/>
        <w:ind w:right="-102" w:rightChars="-32" w:firstLine="640" w:firstLineChars="200"/>
        <w:rPr>
          <w:rFonts w:eastAsia="仿宋_GB2312"/>
          <w:color w:val="000000"/>
          <w:szCs w:val="32"/>
        </w:rPr>
      </w:pPr>
      <w:r>
        <w:rPr>
          <w:rFonts w:eastAsia="仿宋_GB2312"/>
          <w:color w:val="000000"/>
          <w:szCs w:val="32"/>
        </w:rPr>
        <w:t>[1</w:t>
      </w:r>
      <w:r>
        <w:rPr>
          <w:rFonts w:hint="eastAsia" w:eastAsia="仿宋_GB2312"/>
          <w:color w:val="000000"/>
          <w:szCs w:val="32"/>
        </w:rPr>
        <w:t>4</w:t>
      </w:r>
      <w:r>
        <w:rPr>
          <w:rFonts w:eastAsia="仿宋_GB2312"/>
          <w:color w:val="000000"/>
          <w:szCs w:val="32"/>
        </w:rPr>
        <w:t>] GB/T 42125.2</w:t>
      </w:r>
      <w:r>
        <w:rPr>
          <w:rFonts w:hint="eastAsia" w:eastAsia="仿宋_GB2312"/>
          <w:color w:val="000000"/>
          <w:szCs w:val="32"/>
        </w:rPr>
        <w:t>,</w:t>
      </w:r>
      <w:r>
        <w:rPr>
          <w:rFonts w:eastAsia="仿宋_GB2312"/>
          <w:color w:val="000000"/>
          <w:szCs w:val="32"/>
        </w:rPr>
        <w:t>《测量、控制和实验室用电气设备的安全要求 第2部分：材料加热用实验室设备的特殊要求》</w:t>
      </w:r>
      <w:r>
        <w:rPr>
          <w:color w:val="000000" w:themeColor="text1"/>
          <w:szCs w:val="32"/>
          <w14:textFill>
            <w14:solidFill>
              <w14:schemeClr w14:val="tx1"/>
            </w14:solidFill>
          </w14:textFill>
        </w:rPr>
        <w:t>[S].</w:t>
      </w:r>
    </w:p>
    <w:p>
      <w:pPr>
        <w:spacing w:line="520" w:lineRule="exact"/>
        <w:ind w:firstLine="640"/>
        <w:rPr>
          <w:color w:val="000000" w:themeColor="text1"/>
          <w:szCs w:val="32"/>
          <w14:textFill>
            <w14:solidFill>
              <w14:schemeClr w14:val="tx1"/>
            </w14:solidFill>
          </w14:textFill>
        </w:rPr>
      </w:pPr>
      <w:r>
        <w:rPr>
          <w:color w:val="000000" w:themeColor="text1"/>
          <w:szCs w:val="32"/>
          <w14:textFill>
            <w14:solidFill>
              <w14:schemeClr w14:val="tx1"/>
            </w14:solidFill>
          </w14:textFill>
        </w:rPr>
        <w:t>[15]GB/T 14710</w:t>
      </w:r>
      <w:r>
        <w:rPr>
          <w:rFonts w:hint="eastAsia"/>
          <w:color w:val="000000" w:themeColor="text1"/>
          <w:szCs w:val="32"/>
          <w14:textFill>
            <w14:solidFill>
              <w14:schemeClr w14:val="tx1"/>
            </w14:solidFill>
          </w14:textFill>
        </w:rPr>
        <w:t>,</w:t>
      </w:r>
      <w:r>
        <w:rPr>
          <w:color w:val="000000" w:themeColor="text1"/>
          <w:szCs w:val="32"/>
          <w14:textFill>
            <w14:solidFill>
              <w14:schemeClr w14:val="tx1"/>
            </w14:solidFill>
          </w14:textFill>
        </w:rPr>
        <w:t>医用电器环境要求及试验方法[S].</w:t>
      </w:r>
    </w:p>
    <w:p>
      <w:pPr>
        <w:spacing w:line="520" w:lineRule="exact"/>
        <w:ind w:firstLine="640"/>
        <w:rPr>
          <w:rFonts w:eastAsia="仿宋_GB2312" w:cs="仿宋_GB2312"/>
          <w:color w:val="000000" w:themeColor="text1"/>
          <w:szCs w:val="32"/>
          <w14:textFill>
            <w14:solidFill>
              <w14:schemeClr w14:val="tx1"/>
            </w14:solidFill>
          </w14:textFill>
        </w:rPr>
      </w:pPr>
      <w:r>
        <w:rPr>
          <w:color w:val="000000" w:themeColor="text1"/>
          <w:szCs w:val="32"/>
          <w14:textFill>
            <w14:solidFill>
              <w14:schemeClr w14:val="tx1"/>
            </w14:solidFill>
          </w14:textFill>
        </w:rPr>
        <w:t>[16]GB/T 18268.1</w:t>
      </w:r>
      <w:r>
        <w:rPr>
          <w:rFonts w:hint="eastAsia"/>
          <w:color w:val="000000" w:themeColor="text1"/>
          <w:szCs w:val="32"/>
          <w14:textFill>
            <w14:solidFill>
              <w14:schemeClr w14:val="tx1"/>
            </w14:solidFill>
          </w14:textFill>
        </w:rPr>
        <w:t>,测量、控制和实验室用电设备</w:t>
      </w:r>
      <w:r>
        <w:rPr>
          <w:color w:val="000000" w:themeColor="text1"/>
          <w:szCs w:val="32"/>
          <w14:textFill>
            <w14:solidFill>
              <w14:schemeClr w14:val="tx1"/>
            </w14:solidFill>
          </w14:textFill>
        </w:rPr>
        <w:t xml:space="preserve"> 电磁兼容性要</w:t>
      </w:r>
      <w:r>
        <w:rPr>
          <w:rFonts w:hint="eastAsia" w:eastAsia="仿宋_GB2312" w:cs="仿宋_GB2312"/>
          <w:color w:val="000000" w:themeColor="text1"/>
          <w:szCs w:val="32"/>
          <w14:textFill>
            <w14:solidFill>
              <w14:schemeClr w14:val="tx1"/>
            </w14:solidFill>
          </w14:textFill>
        </w:rPr>
        <w:t>求 第1部分：通用要求[S].</w:t>
      </w:r>
    </w:p>
    <w:p>
      <w:pPr>
        <w:spacing w:line="520" w:lineRule="exact"/>
        <w:ind w:firstLine="640"/>
        <w:rPr>
          <w:rFonts w:eastAsia="仿宋_GB2312" w:cs="仿宋_GB2312"/>
          <w:color w:val="000000" w:themeColor="text1"/>
          <w:szCs w:val="32"/>
          <w14:textFill>
            <w14:solidFill>
              <w14:schemeClr w14:val="tx1"/>
            </w14:solidFill>
          </w14:textFill>
        </w:rPr>
      </w:pPr>
      <w:r>
        <w:rPr>
          <w:rFonts w:hint="eastAsia" w:eastAsia="仿宋_GB2312" w:cs="仿宋_GB2312"/>
          <w:color w:val="000000" w:themeColor="text1"/>
          <w:szCs w:val="32"/>
          <w14:textFill>
            <w14:solidFill>
              <w14:schemeClr w14:val="tx1"/>
            </w14:solidFill>
          </w14:textFill>
        </w:rPr>
        <w:t>[17]GB/T 18268.26,测量、控制和实验室用电设备 电磁兼容性要求 第26部分：特殊要求 体外诊断（IVD）医疗设备[S].</w:t>
      </w:r>
    </w:p>
    <w:p>
      <w:pPr>
        <w:pStyle w:val="27"/>
        <w:spacing w:line="560" w:lineRule="exact"/>
        <w:ind w:firstLine="640"/>
        <w:rPr>
          <w:rFonts w:ascii="Times New Roman" w:eastAsia="仿宋_GB2312" w:cs="仿宋_GB2312"/>
          <w:sz w:val="32"/>
          <w:szCs w:val="32"/>
        </w:rPr>
      </w:pPr>
      <w:r>
        <w:rPr>
          <w:rFonts w:hint="eastAsia" w:ascii="Times New Roman" w:eastAsia="仿宋_GB2312" w:cs="仿宋_GB2312"/>
          <w:color w:val="000000" w:themeColor="text1"/>
          <w:sz w:val="32"/>
          <w:szCs w:val="32"/>
          <w14:textFill>
            <w14:solidFill>
              <w14:schemeClr w14:val="tx1"/>
            </w14:solidFill>
          </w14:textFill>
        </w:rPr>
        <w:t>[1</w:t>
      </w:r>
      <w:r>
        <w:rPr>
          <w:rFonts w:hint="eastAsia" w:ascii="Times New Roman" w:eastAsia="仿宋_GB2312" w:cs="仿宋_GB2312"/>
          <w:color w:val="000000" w:themeColor="text1"/>
          <w:sz w:val="32"/>
          <w:szCs w:val="32"/>
          <w:lang w:val="en-US" w:eastAsia="zh-CN"/>
          <w14:textFill>
            <w14:solidFill>
              <w14:schemeClr w14:val="tx1"/>
            </w14:solidFill>
          </w14:textFill>
        </w:rPr>
        <w:t>8</w:t>
      </w:r>
      <w:r>
        <w:rPr>
          <w:rFonts w:hint="eastAsia" w:ascii="Times New Roman" w:eastAsia="仿宋_GB2312" w:cs="仿宋_GB2312"/>
          <w:color w:val="000000" w:themeColor="text1"/>
          <w:sz w:val="32"/>
          <w:szCs w:val="32"/>
          <w14:textFill>
            <w14:solidFill>
              <w14:schemeClr w14:val="tx1"/>
            </w14:solidFill>
          </w14:textFill>
        </w:rPr>
        <w:t>]</w:t>
      </w:r>
      <w:r>
        <w:rPr>
          <w:rFonts w:hint="eastAsia" w:ascii="Times New Roman" w:eastAsia="仿宋_GB2312" w:cs="仿宋_GB2312"/>
          <w:sz w:val="32"/>
          <w:szCs w:val="32"/>
        </w:rPr>
        <w:t>GB/T 42125.2,《测量、控制和实验室用电气设备的安全要求 第2部分：材料加热用实验室设备的特殊要求》[S].</w:t>
      </w:r>
    </w:p>
    <w:p>
      <w:pPr>
        <w:pStyle w:val="27"/>
        <w:spacing w:line="560" w:lineRule="exact"/>
        <w:ind w:firstLine="640"/>
        <w:rPr>
          <w:rFonts w:ascii="Times New Roman" w:eastAsia="仿宋_GB2312" w:cs="仿宋_GB2312"/>
          <w:sz w:val="32"/>
          <w:szCs w:val="32"/>
        </w:rPr>
      </w:pPr>
      <w:r>
        <w:rPr>
          <w:rFonts w:hint="eastAsia" w:ascii="Times New Roman" w:eastAsia="仿宋_GB2312" w:cs="仿宋_GB2312"/>
          <w:sz w:val="32"/>
          <w:szCs w:val="32"/>
        </w:rPr>
        <w:t>[</w:t>
      </w:r>
      <w:r>
        <w:rPr>
          <w:rFonts w:hint="eastAsia" w:ascii="Times New Roman" w:eastAsia="仿宋_GB2312" w:cs="仿宋_GB2312"/>
          <w:sz w:val="32"/>
          <w:szCs w:val="32"/>
          <w:lang w:val="en-US" w:eastAsia="zh-CN"/>
        </w:rPr>
        <w:t>19</w:t>
      </w:r>
      <w:r>
        <w:rPr>
          <w:rFonts w:hint="eastAsia" w:ascii="Times New Roman" w:eastAsia="仿宋_GB2312" w:cs="仿宋_GB2312"/>
          <w:sz w:val="32"/>
          <w:szCs w:val="32"/>
        </w:rPr>
        <w:t>]GB/T 29791.1,体外诊断医疗器械 制造商提供的信息 第1部分：术语、定义和通用要求[S].</w:t>
      </w:r>
    </w:p>
    <w:p>
      <w:pPr>
        <w:pStyle w:val="27"/>
        <w:spacing w:line="560" w:lineRule="exact"/>
        <w:ind w:firstLine="640"/>
        <w:rPr>
          <w:rFonts w:ascii="Times New Roman" w:eastAsia="仿宋_GB2312" w:cs="仿宋_GB2312"/>
          <w:sz w:val="32"/>
          <w:szCs w:val="32"/>
        </w:rPr>
      </w:pPr>
      <w:r>
        <w:rPr>
          <w:rFonts w:hint="eastAsia" w:ascii="Times New Roman" w:eastAsia="仿宋_GB2312" w:cs="仿宋_GB2312"/>
          <w:sz w:val="32"/>
          <w:szCs w:val="32"/>
        </w:rPr>
        <w:t>[2</w:t>
      </w:r>
      <w:r>
        <w:rPr>
          <w:rFonts w:hint="eastAsia" w:ascii="Times New Roman" w:eastAsia="仿宋_GB2312" w:cs="仿宋_GB2312"/>
          <w:sz w:val="32"/>
          <w:szCs w:val="32"/>
          <w:lang w:val="en-US" w:eastAsia="zh-CN"/>
        </w:rPr>
        <w:t>0</w:t>
      </w:r>
      <w:r>
        <w:rPr>
          <w:rFonts w:hint="eastAsia" w:ascii="Times New Roman" w:eastAsia="仿宋_GB2312" w:cs="仿宋_GB2312"/>
          <w:sz w:val="32"/>
          <w:szCs w:val="32"/>
        </w:rPr>
        <w:t>]GB/T 29791.3,体外诊断医疗器械 制造商提供的信息（标示）第3部分：专业用体外诊断仪器[S].</w:t>
      </w:r>
    </w:p>
    <w:p>
      <w:pPr>
        <w:spacing w:line="520" w:lineRule="exact"/>
        <w:ind w:firstLine="640" w:firstLineChars="200"/>
        <w:rPr>
          <w:rFonts w:eastAsia="仿宋_GB2312" w:cs="仿宋_GB2312"/>
          <w:color w:val="000000" w:themeColor="text1"/>
          <w:szCs w:val="32"/>
          <w14:textFill>
            <w14:solidFill>
              <w14:schemeClr w14:val="tx1"/>
            </w14:solidFill>
          </w14:textFill>
        </w:rPr>
      </w:pPr>
      <w:r>
        <w:rPr>
          <w:rFonts w:hint="eastAsia" w:eastAsia="仿宋_GB2312" w:cs="仿宋_GB2312"/>
          <w:szCs w:val="32"/>
        </w:rPr>
        <w:t>[2</w:t>
      </w:r>
      <w:r>
        <w:rPr>
          <w:rFonts w:hint="eastAsia" w:eastAsia="仿宋_GB2312" w:cs="仿宋_GB2312"/>
          <w:szCs w:val="32"/>
          <w:lang w:val="en-US" w:eastAsia="zh-CN"/>
        </w:rPr>
        <w:t>1</w:t>
      </w:r>
      <w:r>
        <w:rPr>
          <w:rFonts w:hint="eastAsia" w:eastAsia="仿宋_GB2312" w:cs="仿宋_GB2312"/>
          <w:szCs w:val="32"/>
        </w:rPr>
        <w:t>]</w:t>
      </w:r>
      <w:r>
        <w:rPr>
          <w:rFonts w:hint="eastAsia" w:eastAsia="仿宋_GB2312" w:cs="仿宋_GB2312"/>
          <w:color w:val="000000" w:themeColor="text1"/>
          <w:szCs w:val="32"/>
          <w14:textFill>
            <w14:solidFill>
              <w14:schemeClr w14:val="tx1"/>
            </w14:solidFill>
          </w14:textFill>
        </w:rPr>
        <w:t>YY 0648,测量、控制和实验室用电气设备的安全要求 第2-101部分：体外诊断（IVD）医用设备的专用要求[S].</w:t>
      </w:r>
    </w:p>
    <w:p>
      <w:pPr>
        <w:spacing w:line="520" w:lineRule="exact"/>
        <w:ind w:firstLine="640"/>
        <w:rPr>
          <w:rFonts w:eastAsia="仿宋_GB2312" w:cs="仿宋_GB2312"/>
          <w:color w:val="000000" w:themeColor="text1"/>
          <w:szCs w:val="32"/>
          <w14:textFill>
            <w14:solidFill>
              <w14:schemeClr w14:val="tx1"/>
            </w14:solidFill>
          </w14:textFill>
        </w:rPr>
      </w:pPr>
      <w:r>
        <w:rPr>
          <w:rFonts w:hint="eastAsia" w:eastAsia="仿宋_GB2312" w:cs="仿宋_GB2312"/>
          <w:color w:val="000000" w:themeColor="text1"/>
          <w:szCs w:val="32"/>
          <w14:textFill>
            <w14:solidFill>
              <w14:schemeClr w14:val="tx1"/>
            </w14:solidFill>
          </w14:textFill>
        </w:rPr>
        <w:t>[2</w:t>
      </w:r>
      <w:r>
        <w:rPr>
          <w:rFonts w:hint="eastAsia" w:eastAsia="仿宋_GB2312" w:cs="仿宋_GB2312"/>
          <w:color w:val="000000" w:themeColor="text1"/>
          <w:szCs w:val="32"/>
          <w:lang w:val="en-US" w:eastAsia="zh-CN"/>
          <w14:textFill>
            <w14:solidFill>
              <w14:schemeClr w14:val="tx1"/>
            </w14:solidFill>
          </w14:textFill>
        </w:rPr>
        <w:t>2</w:t>
      </w:r>
      <w:r>
        <w:rPr>
          <w:rFonts w:hint="eastAsia" w:eastAsia="仿宋_GB2312" w:cs="仿宋_GB2312"/>
          <w:color w:val="000000" w:themeColor="text1"/>
          <w:szCs w:val="32"/>
          <w14:textFill>
            <w14:solidFill>
              <w14:schemeClr w14:val="tx1"/>
            </w14:solidFill>
          </w14:textFill>
        </w:rPr>
        <w:t>]YY/T 0466.1,医疗器械 用于医疗器械标签、标记和提供信息的符号 第1部分：通用要求[S].</w:t>
      </w:r>
    </w:p>
    <w:p>
      <w:pPr>
        <w:spacing w:line="520" w:lineRule="exact"/>
        <w:ind w:firstLine="640"/>
        <w:rPr>
          <w:rFonts w:eastAsia="黑体"/>
          <w:color w:val="000000" w:themeColor="text1"/>
          <w:szCs w:val="32"/>
          <w14:textFill>
            <w14:solidFill>
              <w14:schemeClr w14:val="tx1"/>
            </w14:solidFill>
          </w14:textFill>
        </w:rPr>
      </w:pPr>
      <w:r>
        <w:rPr>
          <w:rFonts w:hint="eastAsia" w:eastAsia="仿宋_GB2312" w:cs="仿宋_GB2312"/>
          <w:color w:val="000000" w:themeColor="text1"/>
          <w:szCs w:val="32"/>
          <w14:textFill>
            <w14:solidFill>
              <w14:schemeClr w14:val="tx1"/>
            </w14:solidFill>
          </w14:textFill>
        </w:rPr>
        <w:t>[2</w:t>
      </w:r>
      <w:r>
        <w:rPr>
          <w:rFonts w:hint="eastAsia" w:eastAsia="仿宋_GB2312" w:cs="仿宋_GB2312"/>
          <w:color w:val="000000" w:themeColor="text1"/>
          <w:szCs w:val="32"/>
          <w:lang w:val="en-US" w:eastAsia="zh-CN"/>
          <w14:textFill>
            <w14:solidFill>
              <w14:schemeClr w14:val="tx1"/>
            </w14:solidFill>
          </w14:textFill>
        </w:rPr>
        <w:t>3</w:t>
      </w:r>
      <w:r>
        <w:rPr>
          <w:rFonts w:hint="eastAsia" w:eastAsia="仿宋_GB2312" w:cs="仿宋_GB2312"/>
          <w:color w:val="000000" w:themeColor="text1"/>
          <w:szCs w:val="32"/>
          <w14:textFill>
            <w14:solidFill>
              <w14:schemeClr w14:val="tx1"/>
            </w14:solidFill>
          </w14:textFill>
        </w:rPr>
        <w:t>]YY/T 0664,医疗器械软件 软件生存周期过程[S].</w:t>
      </w:r>
      <w:r>
        <w:rPr>
          <w:rFonts w:eastAsia="黑体"/>
          <w:color w:val="000000" w:themeColor="text1"/>
          <w:szCs w:val="32"/>
          <w14:textFill>
            <w14:solidFill>
              <w14:schemeClr w14:val="tx1"/>
            </w14:solidFill>
          </w14:textFill>
        </w:rPr>
        <w:br w:type="page"/>
      </w:r>
    </w:p>
    <w:p>
      <w:pPr>
        <w:tabs>
          <w:tab w:val="left" w:pos="8040"/>
        </w:tabs>
        <w:spacing w:line="520" w:lineRule="exact"/>
        <w:jc w:val="left"/>
        <w:rPr>
          <w:rFonts w:eastAsia="黑体"/>
          <w:color w:val="000000" w:themeColor="text1"/>
          <w:szCs w:val="32"/>
          <w14:textFill>
            <w14:solidFill>
              <w14:schemeClr w14:val="tx1"/>
            </w14:solidFill>
          </w14:textFill>
        </w:rPr>
      </w:pPr>
      <w:r>
        <w:rPr>
          <w:rFonts w:eastAsia="黑体"/>
          <w:color w:val="000000" w:themeColor="text1"/>
          <w:szCs w:val="32"/>
          <w14:textFill>
            <w14:solidFill>
              <w14:schemeClr w14:val="tx1"/>
            </w14:solidFill>
          </w14:textFill>
        </w:rPr>
        <w:t>附</w:t>
      </w:r>
      <w:r>
        <w:rPr>
          <w:rFonts w:hint="eastAsia" w:eastAsia="黑体"/>
          <w:color w:val="000000" w:themeColor="text1"/>
          <w:szCs w:val="32"/>
          <w14:textFill>
            <w14:solidFill>
              <w14:schemeClr w14:val="tx1"/>
            </w14:solidFill>
          </w14:textFill>
        </w:rPr>
        <w:t>表1</w:t>
      </w:r>
    </w:p>
    <w:p>
      <w:pPr>
        <w:pStyle w:val="2"/>
        <w:spacing w:line="520" w:lineRule="exact"/>
        <w:rPr>
          <w:rFonts w:ascii="Times New Roman" w:hAnsi="Times New Roman"/>
        </w:rPr>
      </w:pPr>
    </w:p>
    <w:p>
      <w:pPr>
        <w:tabs>
          <w:tab w:val="left" w:pos="8040"/>
        </w:tabs>
        <w:spacing w:line="520" w:lineRule="exact"/>
        <w:jc w:val="center"/>
        <w:rPr>
          <w:rFonts w:ascii="方正小标宋简体" w:eastAsia="方正小标宋简体"/>
          <w:color w:val="000000" w:themeColor="text1"/>
          <w:sz w:val="44"/>
          <w:szCs w:val="44"/>
          <w14:textFill>
            <w14:solidFill>
              <w14:schemeClr w14:val="tx1"/>
            </w14:solidFill>
          </w14:textFill>
        </w:rPr>
      </w:pPr>
      <w:r>
        <w:rPr>
          <w:rFonts w:hint="eastAsia" w:ascii="方正小标宋简体" w:eastAsia="方正小标宋简体"/>
          <w:color w:val="000000" w:themeColor="text1"/>
          <w:sz w:val="44"/>
          <w:szCs w:val="44"/>
          <w14:textFill>
            <w14:solidFill>
              <w14:schemeClr w14:val="tx1"/>
            </w14:solidFill>
          </w14:textFill>
        </w:rPr>
        <w:t>图像分析仪器风险分析时应考虑的主要危险</w:t>
      </w:r>
    </w:p>
    <w:p>
      <w:pPr>
        <w:pStyle w:val="2"/>
        <w:spacing w:line="520" w:lineRule="exact"/>
      </w:pPr>
    </w:p>
    <w:tbl>
      <w:tblPr>
        <w:tblStyle w:val="11"/>
        <w:tblW w:w="10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7"/>
        <w:gridCol w:w="3600"/>
        <w:gridCol w:w="2654"/>
        <w:gridCol w:w="17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blHeader/>
          <w:jc w:val="center"/>
        </w:trPr>
        <w:tc>
          <w:tcPr>
            <w:tcW w:w="2077" w:type="dxa"/>
          </w:tcPr>
          <w:p>
            <w:pPr>
              <w:tabs>
                <w:tab w:val="left" w:pos="8040"/>
              </w:tabs>
              <w:spacing w:line="400" w:lineRule="exact"/>
              <w:jc w:val="center"/>
              <w:rPr>
                <w:b/>
                <w:color w:val="000000" w:themeColor="text1"/>
                <w:szCs w:val="32"/>
                <w14:textFill>
                  <w14:solidFill>
                    <w14:schemeClr w14:val="tx1"/>
                  </w14:solidFill>
                </w14:textFill>
              </w:rPr>
            </w:pPr>
            <w:r>
              <w:rPr>
                <w:b/>
                <w:color w:val="000000" w:themeColor="text1"/>
                <w:szCs w:val="32"/>
                <w14:textFill>
                  <w14:solidFill>
                    <w14:schemeClr w14:val="tx1"/>
                  </w14:solidFill>
                </w14:textFill>
              </w:rPr>
              <w:t>危险</w:t>
            </w:r>
          </w:p>
        </w:tc>
        <w:tc>
          <w:tcPr>
            <w:tcW w:w="3600" w:type="dxa"/>
            <w:shd w:val="clear" w:color="auto" w:fill="auto"/>
            <w:vAlign w:val="center"/>
          </w:tcPr>
          <w:p>
            <w:pPr>
              <w:tabs>
                <w:tab w:val="left" w:pos="8040"/>
              </w:tabs>
              <w:spacing w:line="400" w:lineRule="exact"/>
              <w:jc w:val="center"/>
              <w:rPr>
                <w:b/>
                <w:color w:val="000000" w:themeColor="text1"/>
                <w:szCs w:val="32"/>
                <w:lang w:val="en-US" w:eastAsia="zh-CN"/>
                <w14:textFill>
                  <w14:solidFill>
                    <w14:schemeClr w14:val="tx1"/>
                  </w14:solidFill>
                </w14:textFill>
              </w:rPr>
            </w:pPr>
            <w:r>
              <w:rPr>
                <w:b/>
                <w:color w:val="000000" w:themeColor="text1"/>
                <w:szCs w:val="32"/>
                <w14:textFill>
                  <w14:solidFill>
                    <w14:schemeClr w14:val="tx1"/>
                  </w14:solidFill>
                </w14:textFill>
              </w:rPr>
              <w:t>可预见的事件序列</w:t>
            </w:r>
          </w:p>
        </w:tc>
        <w:tc>
          <w:tcPr>
            <w:tcW w:w="2654" w:type="dxa"/>
            <w:shd w:val="clear" w:color="auto" w:fill="auto"/>
            <w:vAlign w:val="center"/>
          </w:tcPr>
          <w:p>
            <w:pPr>
              <w:tabs>
                <w:tab w:val="left" w:pos="8040"/>
              </w:tabs>
              <w:spacing w:line="400" w:lineRule="exact"/>
              <w:jc w:val="center"/>
              <w:rPr>
                <w:rFonts w:hint="eastAsia"/>
                <w:b/>
                <w:color w:val="000000" w:themeColor="text1"/>
                <w:szCs w:val="32"/>
                <w:lang w:val="en-US" w:eastAsia="zh-CN"/>
                <w14:textFill>
                  <w14:solidFill>
                    <w14:schemeClr w14:val="tx1"/>
                  </w14:solidFill>
                </w14:textFill>
              </w:rPr>
            </w:pPr>
            <w:r>
              <w:rPr>
                <w:rFonts w:hint="eastAsia"/>
                <w:b/>
                <w:color w:val="000000" w:themeColor="text1"/>
                <w:szCs w:val="32"/>
                <w14:textFill>
                  <w14:solidFill>
                    <w14:schemeClr w14:val="tx1"/>
                  </w14:solidFill>
                </w14:textFill>
              </w:rPr>
              <w:t>危险情况</w:t>
            </w:r>
          </w:p>
        </w:tc>
        <w:tc>
          <w:tcPr>
            <w:tcW w:w="1739" w:type="dxa"/>
            <w:shd w:val="clear" w:color="auto" w:fill="auto"/>
            <w:vAlign w:val="center"/>
          </w:tcPr>
          <w:p>
            <w:pPr>
              <w:tabs>
                <w:tab w:val="left" w:pos="8040"/>
              </w:tabs>
              <w:spacing w:line="400" w:lineRule="exact"/>
              <w:jc w:val="center"/>
              <w:rPr>
                <w:rFonts w:hint="eastAsia"/>
                <w:b/>
                <w:color w:val="000000" w:themeColor="text1"/>
                <w:szCs w:val="32"/>
                <w:lang w:val="en-US" w:eastAsia="zh-CN"/>
                <w14:textFill>
                  <w14:solidFill>
                    <w14:schemeClr w14:val="tx1"/>
                  </w14:solidFill>
                </w14:textFill>
              </w:rPr>
            </w:pPr>
            <w:r>
              <w:rPr>
                <w:rFonts w:hint="eastAsia"/>
                <w:b/>
                <w:color w:val="000000" w:themeColor="text1"/>
                <w:szCs w:val="32"/>
                <w14:textFill>
                  <w14:solidFill>
                    <w14:schemeClr w14:val="tx1"/>
                  </w14:solidFill>
                </w14:textFill>
              </w:rPr>
              <w:t>伤害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2077"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电能</w:t>
            </w:r>
          </w:p>
        </w:tc>
        <w:tc>
          <w:tcPr>
            <w:tcW w:w="3600" w:type="dxa"/>
            <w:vAlign w:val="center"/>
          </w:tcPr>
          <w:p>
            <w:pPr>
              <w:numPr>
                <w:ilvl w:val="0"/>
                <w:numId w:val="0"/>
              </w:numPr>
              <w:adjustRightInd w:val="0"/>
              <w:snapToGrid w:val="0"/>
              <w:spacing w:line="4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可触及金属部分、外壳等与带电部分隔离</w:t>
            </w:r>
            <w:r>
              <w:rPr>
                <w:rFonts w:ascii="仿宋_GB2312" w:hAnsi="仿宋_GB2312" w:eastAsia="仿宋_GB2312" w:cs="仿宋_GB2312"/>
                <w:sz w:val="28"/>
                <w:szCs w:val="28"/>
              </w:rPr>
              <w:t>/保护设计缺陷；设备插头的插销从内部电容器接收电荷过高；受潮防护能力不足。</w:t>
            </w:r>
          </w:p>
        </w:tc>
        <w:tc>
          <w:tcPr>
            <w:tcW w:w="2654" w:type="dxa"/>
            <w:vAlign w:val="center"/>
          </w:tcPr>
          <w:p>
            <w:pPr>
              <w:numPr>
                <w:ilvl w:val="0"/>
                <w:numId w:val="0"/>
              </w:numPr>
              <w:adjustRightInd w:val="0"/>
              <w:snapToGrid w:val="0"/>
              <w:spacing w:line="400" w:lineRule="exact"/>
              <w:jc w:val="left"/>
              <w:rPr>
                <w:rFonts w:hint="eastAsia" w:eastAsia="仿宋_GB2312"/>
                <w:lang w:val="en-US" w:eastAsia="zh-CN"/>
              </w:rPr>
            </w:pPr>
            <w:r>
              <w:rPr>
                <w:rFonts w:ascii="仿宋_GB2312" w:hAnsi="仿宋_GB2312" w:eastAsia="仿宋_GB2312" w:cs="仿宋_GB2312"/>
                <w:sz w:val="28"/>
                <w:szCs w:val="28"/>
              </w:rPr>
              <w:t>导致电击危险防护</w:t>
            </w:r>
            <w:r>
              <w:rPr>
                <w:rFonts w:hint="eastAsia" w:ascii="仿宋_GB2312" w:hAnsi="仿宋_GB2312" w:eastAsia="仿宋_GB2312" w:cs="仿宋_GB2312"/>
                <w:sz w:val="28"/>
                <w:szCs w:val="28"/>
                <w:lang w:val="en-US" w:eastAsia="zh-CN"/>
              </w:rPr>
              <w:t>失效。</w:t>
            </w:r>
          </w:p>
        </w:tc>
        <w:tc>
          <w:tcPr>
            <w:tcW w:w="1739" w:type="dxa"/>
            <w:vAlign w:val="center"/>
          </w:tcPr>
          <w:p>
            <w:pPr>
              <w:adjustRightInd w:val="0"/>
              <w:snapToGrid w:val="0"/>
              <w:spacing w:line="4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电击伤害。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2077" w:type="dxa"/>
            <w:vAlign w:val="center"/>
          </w:tcPr>
          <w:p>
            <w:pPr>
              <w:adjustRightInd w:val="0"/>
              <w:snapToGrid w:val="0"/>
              <w:spacing w:line="40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机械能</w:t>
            </w:r>
          </w:p>
        </w:tc>
        <w:tc>
          <w:tcPr>
            <w:tcW w:w="3600" w:type="dxa"/>
            <w:vAlign w:val="center"/>
          </w:tcPr>
          <w:p>
            <w:pPr>
              <w:adjustRightInd w:val="0"/>
              <w:snapToGrid w:val="0"/>
              <w:spacing w:line="40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工作台支撑件强度不足，设备面、角、边粗糙；运动部件功能失效，造成机械危害；设备意外坠落。</w:t>
            </w:r>
          </w:p>
        </w:tc>
        <w:tc>
          <w:tcPr>
            <w:tcW w:w="2654" w:type="dxa"/>
            <w:vAlign w:val="center"/>
          </w:tcPr>
          <w:p>
            <w:pPr>
              <w:adjustRightInd w:val="0"/>
              <w:snapToGrid w:val="0"/>
              <w:spacing w:line="400" w:lineRule="exact"/>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错误的机械能或机械力施加到</w:t>
            </w:r>
            <w:r>
              <w:rPr>
                <w:rFonts w:hint="eastAsia" w:ascii="仿宋_GB2312" w:hAnsi="仿宋_GB2312" w:eastAsia="仿宋_GB2312" w:cs="仿宋_GB2312"/>
                <w:sz w:val="28"/>
                <w:szCs w:val="28"/>
                <w:lang w:val="en-US" w:eastAsia="zh-CN"/>
              </w:rPr>
              <w:t>使用者</w:t>
            </w:r>
            <w:r>
              <w:rPr>
                <w:rFonts w:hint="eastAsia" w:ascii="仿宋_GB2312" w:hAnsi="仿宋_GB2312" w:eastAsia="仿宋_GB2312" w:cs="仿宋_GB2312"/>
                <w:sz w:val="28"/>
                <w:szCs w:val="28"/>
              </w:rPr>
              <w:t>。</w:t>
            </w:r>
          </w:p>
        </w:tc>
        <w:tc>
          <w:tcPr>
            <w:tcW w:w="1739" w:type="dxa"/>
            <w:vAlign w:val="center"/>
          </w:tcPr>
          <w:p>
            <w:pPr>
              <w:adjustRightInd w:val="0"/>
              <w:snapToGrid w:val="0"/>
              <w:spacing w:line="40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机械损伤</w:t>
            </w:r>
            <w:r>
              <w:rPr>
                <w:rFonts w:hint="eastAsia" w:ascii="仿宋_GB2312" w:hAnsi="仿宋_GB2312" w:eastAsia="仿宋_GB2312" w:cs="仿宋_GB2312"/>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2077" w:type="dxa"/>
            <w:vAlign w:val="center"/>
          </w:tcPr>
          <w:p>
            <w:pPr>
              <w:adjustRightInd w:val="0"/>
              <w:snapToGrid w:val="0"/>
              <w:spacing w:line="400" w:lineRule="exact"/>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热能</w:t>
            </w:r>
            <w:r>
              <w:rPr>
                <w:rFonts w:hint="eastAsia" w:ascii="仿宋_GB2312" w:hAnsi="仿宋_GB2312" w:eastAsia="仿宋_GB2312" w:cs="仿宋_GB2312"/>
                <w:sz w:val="28"/>
                <w:szCs w:val="28"/>
                <w:lang w:val="en-US" w:eastAsia="zh-CN"/>
              </w:rPr>
              <w:t>高温</w:t>
            </w:r>
          </w:p>
        </w:tc>
        <w:tc>
          <w:tcPr>
            <w:tcW w:w="3600" w:type="dxa"/>
            <w:vAlign w:val="center"/>
          </w:tcPr>
          <w:p>
            <w:pPr>
              <w:adjustRightInd w:val="0"/>
              <w:snapToGrid w:val="0"/>
              <w:spacing w:line="40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运动部件的</w:t>
            </w:r>
            <w:r>
              <w:rPr>
                <w:rFonts w:hint="eastAsia" w:ascii="仿宋_GB2312" w:hAnsi="仿宋_GB2312" w:eastAsia="仿宋_GB2312" w:cs="仿宋_GB2312"/>
                <w:sz w:val="28"/>
                <w:szCs w:val="28"/>
              </w:rPr>
              <w:t>性能不稳定可能导致摩擦高温。</w:t>
            </w:r>
          </w:p>
        </w:tc>
        <w:tc>
          <w:tcPr>
            <w:tcW w:w="2654" w:type="dxa"/>
            <w:vAlign w:val="center"/>
          </w:tcPr>
          <w:p>
            <w:pPr>
              <w:adjustRightInd w:val="0"/>
              <w:snapToGrid w:val="0"/>
              <w:spacing w:line="400" w:lineRule="exact"/>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设备温度太高而烫伤操作者。</w:t>
            </w:r>
          </w:p>
        </w:tc>
        <w:tc>
          <w:tcPr>
            <w:tcW w:w="1739" w:type="dxa"/>
            <w:vAlign w:val="center"/>
          </w:tcPr>
          <w:p>
            <w:pPr>
              <w:adjustRightInd w:val="0"/>
              <w:snapToGrid w:val="0"/>
              <w:spacing w:line="400" w:lineRule="exact"/>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烫伤</w:t>
            </w:r>
            <w:r>
              <w:rPr>
                <w:rFonts w:hint="eastAsia" w:ascii="仿宋_GB2312" w:hAnsi="仿宋_GB2312" w:eastAsia="仿宋_GB2312" w:cs="仿宋_GB2312"/>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7" w:type="dxa"/>
            <w:vAlign w:val="center"/>
          </w:tcPr>
          <w:p>
            <w:pPr>
              <w:adjustRightInd w:val="0"/>
              <w:snapToGrid w:val="0"/>
              <w:spacing w:line="40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电磁辐射</w:t>
            </w:r>
          </w:p>
        </w:tc>
        <w:tc>
          <w:tcPr>
            <w:tcW w:w="3600" w:type="dxa"/>
            <w:vAlign w:val="center"/>
          </w:tcPr>
          <w:p>
            <w:pPr>
              <w:tabs>
                <w:tab w:val="left" w:pos="8040"/>
              </w:tabs>
              <w:spacing w:line="400" w:lineRule="exact"/>
              <w:jc w:val="left"/>
              <w:rPr>
                <w:rFonts w:hint="eastAsia" w:ascii="仿宋_GB2312" w:hAnsi="仿宋_GB2312" w:eastAsia="仿宋_GB2312" w:cs="仿宋_GB2312"/>
                <w:sz w:val="28"/>
                <w:szCs w:val="28"/>
              </w:rPr>
            </w:pPr>
            <w:r>
              <w:rPr>
                <w:color w:val="000000" w:themeColor="text1"/>
                <w:sz w:val="28"/>
                <w:szCs w:val="28"/>
                <w14:textFill>
                  <w14:solidFill>
                    <w14:schemeClr w14:val="tx1"/>
                  </w14:solidFill>
                </w14:textFill>
              </w:rPr>
              <w:t>仪器产生的电磁强度超标或保护元件破损</w:t>
            </w:r>
          </w:p>
        </w:tc>
        <w:tc>
          <w:tcPr>
            <w:tcW w:w="2654" w:type="dxa"/>
            <w:vAlign w:val="center"/>
          </w:tcPr>
          <w:p>
            <w:pPr>
              <w:tabs>
                <w:tab w:val="left" w:pos="8040"/>
              </w:tabs>
              <w:spacing w:line="400" w:lineRule="exact"/>
              <w:jc w:val="left"/>
              <w:rPr>
                <w:rFonts w:hint="eastAsia" w:ascii="仿宋_GB2312" w:hAnsi="仿宋_GB2312" w:eastAsia="仿宋_GB2312" w:cs="仿宋_GB2312"/>
                <w:sz w:val="28"/>
                <w:szCs w:val="28"/>
                <w:lang w:val="en-US" w:eastAsia="zh-CN"/>
              </w:rPr>
            </w:pPr>
            <w:r>
              <w:rPr>
                <w:rFonts w:hint="eastAsia"/>
                <w:color w:val="000000" w:themeColor="text1"/>
                <w:sz w:val="28"/>
                <w:szCs w:val="28"/>
                <w:lang w:val="en-US" w:eastAsia="zh-CN"/>
                <w14:textFill>
                  <w14:solidFill>
                    <w14:schemeClr w14:val="tx1"/>
                  </w14:solidFill>
                </w14:textFill>
              </w:rPr>
              <w:t>对</w:t>
            </w:r>
            <w:r>
              <w:rPr>
                <w:color w:val="000000" w:themeColor="text1"/>
                <w:sz w:val="28"/>
                <w:szCs w:val="28"/>
                <w14:textFill>
                  <w14:solidFill>
                    <w14:schemeClr w14:val="tx1"/>
                  </w14:solidFill>
                </w14:textFill>
              </w:rPr>
              <w:t>周边设备的正常使用造成影响</w:t>
            </w:r>
          </w:p>
        </w:tc>
        <w:tc>
          <w:tcPr>
            <w:tcW w:w="1739" w:type="dxa"/>
            <w:vAlign w:val="center"/>
          </w:tcPr>
          <w:p>
            <w:pPr>
              <w:tabs>
                <w:tab w:val="left" w:pos="8040"/>
              </w:tabs>
              <w:spacing w:line="400" w:lineRule="exact"/>
              <w:jc w:val="left"/>
              <w:rPr>
                <w:rFonts w:hint="eastAsia" w:ascii="仿宋_GB2312" w:hAnsi="仿宋_GB2312" w:eastAsia="仿宋_GB2312" w:cs="仿宋_GB2312"/>
                <w:sz w:val="28"/>
                <w:szCs w:val="28"/>
                <w:lang w:eastAsia="zh-CN"/>
              </w:rPr>
            </w:pPr>
            <w:r>
              <w:rPr>
                <w:rFonts w:hint="eastAsia" w:eastAsia="仿宋_GB2312" w:cs="仿宋_GB2312"/>
                <w:sz w:val="28"/>
                <w:szCs w:val="28"/>
              </w:rPr>
              <w:t>仪器不正常工作</w:t>
            </w:r>
            <w:r>
              <w:rPr>
                <w:rFonts w:hint="eastAsia" w:eastAsia="仿宋_GB2312" w:cs="仿宋_GB2312"/>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7"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噪声污染</w:t>
            </w:r>
          </w:p>
        </w:tc>
        <w:tc>
          <w:tcPr>
            <w:tcW w:w="3600"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由于各种原因导致的噪声超出国家标准</w:t>
            </w:r>
          </w:p>
        </w:tc>
        <w:tc>
          <w:tcPr>
            <w:tcW w:w="2654"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噪音，超声。</w:t>
            </w:r>
          </w:p>
        </w:tc>
        <w:tc>
          <w:tcPr>
            <w:tcW w:w="1739" w:type="dxa"/>
            <w:vAlign w:val="center"/>
          </w:tcPr>
          <w:p>
            <w:pPr>
              <w:tabs>
                <w:tab w:val="left" w:pos="8040"/>
              </w:tabs>
              <w:spacing w:line="400" w:lineRule="exact"/>
              <w:jc w:val="left"/>
              <w:rPr>
                <w:rFonts w:hint="eastAsia" w:eastAsia="Adobe 仿宋 Std R"/>
                <w:color w:val="000000" w:themeColor="text1"/>
                <w:sz w:val="28"/>
                <w:szCs w:val="28"/>
                <w:lang w:eastAsia="zh-CN"/>
                <w14:textFill>
                  <w14:solidFill>
                    <w14:schemeClr w14:val="tx1"/>
                  </w14:solidFill>
                </w14:textFill>
              </w:rPr>
            </w:pPr>
            <w:r>
              <w:rPr>
                <w:color w:val="000000" w:themeColor="text1"/>
                <w:sz w:val="28"/>
                <w:szCs w:val="28"/>
                <w14:textFill>
                  <w14:solidFill>
                    <w14:schemeClr w14:val="tx1"/>
                  </w14:solidFill>
                </w14:textFill>
              </w:rPr>
              <w:t>噪音，超声损伤</w:t>
            </w:r>
            <w:r>
              <w:rPr>
                <w:rFonts w:hint="eastAsia"/>
                <w:color w:val="000000" w:themeColor="text1"/>
                <w:sz w:val="28"/>
                <w:szCs w:val="28"/>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77"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生物污染</w:t>
            </w:r>
          </w:p>
        </w:tc>
        <w:tc>
          <w:tcPr>
            <w:tcW w:w="3600"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检测完成后剩余样本、废弃物处理不当。</w:t>
            </w:r>
          </w:p>
        </w:tc>
        <w:tc>
          <w:tcPr>
            <w:tcW w:w="2654" w:type="dxa"/>
            <w:shd w:val="clear" w:color="auto" w:fill="auto"/>
            <w:vAlign w:val="center"/>
          </w:tcPr>
          <w:p>
            <w:pPr>
              <w:tabs>
                <w:tab w:val="left" w:pos="8040"/>
              </w:tabs>
              <w:spacing w:line="400" w:lineRule="exact"/>
              <w:jc w:val="left"/>
              <w:rPr>
                <w:rFonts w:ascii="Times New Roman" w:hAnsi="Times New Roman" w:eastAsia="Adobe 仿宋 Std R" w:cs="Times New Roman"/>
                <w:color w:val="000000" w:themeColor="text1"/>
                <w:kern w:val="2"/>
                <w:sz w:val="28"/>
                <w:szCs w:val="28"/>
                <w:lang w:val="en-US" w:eastAsia="zh-CN" w:bidi="ar-SA"/>
                <w14:textFill>
                  <w14:solidFill>
                    <w14:schemeClr w14:val="tx1"/>
                  </w14:solidFill>
                </w14:textFill>
              </w:rPr>
            </w:pPr>
            <w:r>
              <w:rPr>
                <w:rFonts w:hint="eastAsia" w:eastAsia="仿宋_GB2312"/>
                <w:kern w:val="0"/>
                <w:sz w:val="28"/>
                <w:szCs w:val="28"/>
              </w:rPr>
              <w:t>人体接触</w:t>
            </w:r>
            <w:r>
              <w:rPr>
                <w:rFonts w:hint="eastAsia" w:eastAsia="仿宋_GB2312"/>
                <w:kern w:val="0"/>
                <w:sz w:val="28"/>
                <w:szCs w:val="28"/>
                <w:lang w:eastAsia="zh-CN"/>
              </w:rPr>
              <w:t>、</w:t>
            </w:r>
            <w:r>
              <w:rPr>
                <w:rFonts w:hint="eastAsia"/>
                <w:color w:val="000000" w:themeColor="text1"/>
                <w:sz w:val="28"/>
                <w:szCs w:val="28"/>
                <w:lang w:val="en-US" w:eastAsia="zh-CN"/>
                <w14:textFill>
                  <w14:solidFill>
                    <w14:schemeClr w14:val="tx1"/>
                  </w14:solidFill>
                </w14:textFill>
              </w:rPr>
              <w:t>污染环境。</w:t>
            </w:r>
          </w:p>
        </w:tc>
        <w:tc>
          <w:tcPr>
            <w:tcW w:w="1739" w:type="dxa"/>
            <w:shd w:val="clear" w:color="auto" w:fill="auto"/>
            <w:vAlign w:val="center"/>
          </w:tcPr>
          <w:p>
            <w:pPr>
              <w:tabs>
                <w:tab w:val="left" w:pos="8040"/>
              </w:tabs>
              <w:spacing w:line="400" w:lineRule="exact"/>
              <w:jc w:val="left"/>
              <w:rPr>
                <w:rFonts w:ascii="Times New Roman" w:hAnsi="Times New Roman" w:eastAsia="Adobe 仿宋 Std R" w:cs="Times New Roman"/>
                <w:color w:val="000000" w:themeColor="text1"/>
                <w:kern w:val="2"/>
                <w:sz w:val="28"/>
                <w:szCs w:val="28"/>
                <w:lang w:val="en-US" w:eastAsia="zh-CN" w:bidi="ar-SA"/>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人员感染、破坏生态环境。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77"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ascii="仿宋_GB2312" w:hAnsi="仿宋_GB2312" w:eastAsia="仿宋_GB2312" w:cs="仿宋_GB2312"/>
                <w:sz w:val="28"/>
                <w:szCs w:val="28"/>
              </w:rPr>
              <w:t>化学</w:t>
            </w:r>
            <w:r>
              <w:rPr>
                <w:color w:val="000000" w:themeColor="text1"/>
                <w:sz w:val="28"/>
                <w:szCs w:val="28"/>
                <w14:textFill>
                  <w14:solidFill>
                    <w14:schemeClr w14:val="tx1"/>
                  </w14:solidFill>
                </w14:textFill>
              </w:rPr>
              <w:t>污染</w:t>
            </w:r>
          </w:p>
        </w:tc>
        <w:tc>
          <w:tcPr>
            <w:tcW w:w="3600"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使用的清洁剂、消毒剂残留引发的危险（源）。</w:t>
            </w:r>
          </w:p>
        </w:tc>
        <w:tc>
          <w:tcPr>
            <w:tcW w:w="2654" w:type="dxa"/>
            <w:vAlign w:val="center"/>
          </w:tcPr>
          <w:p>
            <w:pPr>
              <w:tabs>
                <w:tab w:val="left" w:pos="8040"/>
              </w:tabs>
              <w:spacing w:line="400" w:lineRule="exact"/>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环境污染。</w:t>
            </w:r>
          </w:p>
        </w:tc>
        <w:tc>
          <w:tcPr>
            <w:tcW w:w="1739"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破坏生态环境。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7"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不适当的标记</w:t>
            </w:r>
          </w:p>
        </w:tc>
        <w:tc>
          <w:tcPr>
            <w:tcW w:w="3600"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标记不明显</w:t>
            </w:r>
          </w:p>
        </w:tc>
        <w:tc>
          <w:tcPr>
            <w:tcW w:w="2654"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按键被使用者误读、误按</w:t>
            </w:r>
          </w:p>
        </w:tc>
        <w:tc>
          <w:tcPr>
            <w:tcW w:w="1739" w:type="dxa"/>
            <w:vAlign w:val="center"/>
          </w:tcPr>
          <w:p>
            <w:pPr>
              <w:tabs>
                <w:tab w:val="left" w:pos="8040"/>
              </w:tabs>
              <w:spacing w:line="400" w:lineRule="exact"/>
              <w:jc w:val="left"/>
              <w:rPr>
                <w:rFonts w:hint="default" w:eastAsia="Adobe 仿宋 Std R"/>
                <w:color w:val="000000" w:themeColor="text1"/>
                <w:sz w:val="28"/>
                <w:szCs w:val="28"/>
                <w:lang w:val="en-US" w:eastAsia="zh-CN"/>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耽误治疗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7"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不适当的操作说明</w:t>
            </w:r>
          </w:p>
        </w:tc>
        <w:tc>
          <w:tcPr>
            <w:tcW w:w="3600"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操作说明书过于复杂</w:t>
            </w:r>
          </w:p>
        </w:tc>
        <w:tc>
          <w:tcPr>
            <w:tcW w:w="2654"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使用者无法按照说明书进行操作</w:t>
            </w:r>
          </w:p>
        </w:tc>
        <w:tc>
          <w:tcPr>
            <w:tcW w:w="1739" w:type="dxa"/>
            <w:vAlign w:val="center"/>
          </w:tcPr>
          <w:p>
            <w:pPr>
              <w:tabs>
                <w:tab w:val="left" w:pos="8040"/>
              </w:tabs>
              <w:spacing w:line="400" w:lineRule="exact"/>
              <w:jc w:val="left"/>
              <w:rPr>
                <w:rFonts w:hint="default" w:eastAsia="Adobe 仿宋 Std R"/>
                <w:color w:val="000000" w:themeColor="text1"/>
                <w:sz w:val="28"/>
                <w:szCs w:val="28"/>
                <w:lang w:val="en-US" w:eastAsia="zh-CN"/>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耽误治疗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7"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由不熟练/未经训练的人员使用</w:t>
            </w:r>
          </w:p>
        </w:tc>
        <w:tc>
          <w:tcPr>
            <w:tcW w:w="3600"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未对使用者进行培训或者使用者未阅读说明书</w:t>
            </w:r>
          </w:p>
        </w:tc>
        <w:tc>
          <w:tcPr>
            <w:tcW w:w="2654"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仪器无法被正确使用</w:t>
            </w:r>
          </w:p>
        </w:tc>
        <w:tc>
          <w:tcPr>
            <w:tcW w:w="1739"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耽误治疗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7"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视觉、听觉或触觉的不充分</w:t>
            </w:r>
          </w:p>
        </w:tc>
        <w:tc>
          <w:tcPr>
            <w:tcW w:w="3600"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显示、声音提示不清</w:t>
            </w:r>
          </w:p>
        </w:tc>
        <w:tc>
          <w:tcPr>
            <w:tcW w:w="2654"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按键被使用者误读、误按</w:t>
            </w:r>
          </w:p>
        </w:tc>
        <w:tc>
          <w:tcPr>
            <w:tcW w:w="1739"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耽误治疗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7"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维修规范缺少或不适当，包括维修后检查规范不适当</w:t>
            </w:r>
          </w:p>
        </w:tc>
        <w:tc>
          <w:tcPr>
            <w:tcW w:w="3600"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未按照规范进行服务和维修</w:t>
            </w:r>
          </w:p>
        </w:tc>
        <w:tc>
          <w:tcPr>
            <w:tcW w:w="2654"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仪器未达到修复使用要求</w:t>
            </w:r>
          </w:p>
        </w:tc>
        <w:tc>
          <w:tcPr>
            <w:tcW w:w="1739"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耽误治疗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7"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维护的不适当</w:t>
            </w:r>
          </w:p>
        </w:tc>
        <w:tc>
          <w:tcPr>
            <w:tcW w:w="3600"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未按要求进行维护</w:t>
            </w:r>
          </w:p>
        </w:tc>
        <w:tc>
          <w:tcPr>
            <w:tcW w:w="2654"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仪器无法被正确维护</w:t>
            </w:r>
          </w:p>
        </w:tc>
        <w:tc>
          <w:tcPr>
            <w:tcW w:w="1739"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耽误治疗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7"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软件失效</w:t>
            </w:r>
          </w:p>
        </w:tc>
        <w:tc>
          <w:tcPr>
            <w:tcW w:w="3600"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软件设计缺陷</w:t>
            </w:r>
          </w:p>
        </w:tc>
        <w:tc>
          <w:tcPr>
            <w:tcW w:w="2654"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仪器无法正常使用</w:t>
            </w:r>
          </w:p>
        </w:tc>
        <w:tc>
          <w:tcPr>
            <w:tcW w:w="1739"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耽误治疗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7" w:type="dxa"/>
            <w:vMerge w:val="restart"/>
            <w:vAlign w:val="center"/>
          </w:tcPr>
          <w:p>
            <w:pPr>
              <w:tabs>
                <w:tab w:val="left" w:pos="8040"/>
              </w:tabs>
              <w:spacing w:line="40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算法与模型风险</w:t>
            </w:r>
          </w:p>
        </w:tc>
        <w:tc>
          <w:tcPr>
            <w:tcW w:w="3600"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图像分割、识别、分类算法准确性不足</w:t>
            </w:r>
          </w:p>
        </w:tc>
        <w:tc>
          <w:tcPr>
            <w:tcW w:w="2654" w:type="dxa"/>
            <w:vAlign w:val="center"/>
          </w:tcPr>
          <w:p>
            <w:pPr>
              <w:tabs>
                <w:tab w:val="left" w:pos="8040"/>
              </w:tabs>
              <w:spacing w:line="400" w:lineRule="exact"/>
              <w:jc w:val="left"/>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误检、漏检（如异常细胞未被识别）</w:t>
            </w:r>
          </w:p>
        </w:tc>
        <w:tc>
          <w:tcPr>
            <w:tcW w:w="1739" w:type="dxa"/>
            <w:vMerge w:val="restart"/>
            <w:vAlign w:val="center"/>
          </w:tcPr>
          <w:p>
            <w:pPr>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导致误诊或漏诊，影响临床治疗决策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7" w:type="dxa"/>
            <w:vMerge w:val="continue"/>
            <w:vAlign w:val="center"/>
          </w:tcPr>
          <w:p>
            <w:pPr>
              <w:tabs>
                <w:tab w:val="left" w:pos="8040"/>
              </w:tabs>
              <w:spacing w:line="400" w:lineRule="exact"/>
              <w:jc w:val="left"/>
              <w:rPr>
                <w:color w:val="000000" w:themeColor="text1"/>
                <w:sz w:val="28"/>
                <w:szCs w:val="28"/>
                <w14:textFill>
                  <w14:solidFill>
                    <w14:schemeClr w14:val="tx1"/>
                  </w14:solidFill>
                </w14:textFill>
              </w:rPr>
            </w:pPr>
          </w:p>
        </w:tc>
        <w:tc>
          <w:tcPr>
            <w:tcW w:w="3600"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训练数据偏倚（样本量不足、分布不均、标注错误）</w:t>
            </w:r>
          </w:p>
        </w:tc>
        <w:tc>
          <w:tcPr>
            <w:tcW w:w="2654" w:type="dxa"/>
            <w:vAlign w:val="center"/>
          </w:tcPr>
          <w:p>
            <w:pPr>
              <w:tabs>
                <w:tab w:val="left" w:pos="8040"/>
              </w:tabs>
              <w:spacing w:line="400" w:lineRule="exact"/>
              <w:jc w:val="left"/>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错误分类（良性判断为恶性或反之）</w:t>
            </w:r>
          </w:p>
        </w:tc>
        <w:tc>
          <w:tcPr>
            <w:tcW w:w="1739" w:type="dxa"/>
            <w:vMerge w:val="continue"/>
            <w:vAlign w:val="center"/>
          </w:tcPr>
          <w:p>
            <w:pPr>
              <w:spacing w:line="400" w:lineRule="exact"/>
              <w:jc w:val="left"/>
              <w:rPr>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7" w:type="dxa"/>
            <w:vMerge w:val="continue"/>
            <w:vAlign w:val="center"/>
          </w:tcPr>
          <w:p>
            <w:pPr>
              <w:tabs>
                <w:tab w:val="left" w:pos="8040"/>
              </w:tabs>
              <w:spacing w:line="400" w:lineRule="exact"/>
              <w:jc w:val="left"/>
              <w:rPr>
                <w:color w:val="000000" w:themeColor="text1"/>
                <w:sz w:val="28"/>
                <w:szCs w:val="28"/>
                <w14:textFill>
                  <w14:solidFill>
                    <w14:schemeClr w14:val="tx1"/>
                  </w14:solidFill>
                </w14:textFill>
              </w:rPr>
            </w:pPr>
          </w:p>
        </w:tc>
        <w:tc>
          <w:tcPr>
            <w:tcW w:w="3600"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模型泛化能力差（对异常样本或边缘病例识别能力弱）</w:t>
            </w:r>
          </w:p>
        </w:tc>
        <w:tc>
          <w:tcPr>
            <w:tcW w:w="2654" w:type="dxa"/>
            <w:vAlign w:val="center"/>
          </w:tcPr>
          <w:p>
            <w:pPr>
              <w:tabs>
                <w:tab w:val="left" w:pos="8040"/>
              </w:tabs>
              <w:spacing w:line="400" w:lineRule="exact"/>
              <w:jc w:val="left"/>
              <w:rPr>
                <w:rFonts w:hint="default" w:eastAsia="Adobe 仿宋 Std R"/>
                <w:color w:val="000000" w:themeColor="text1"/>
                <w:sz w:val="28"/>
                <w:szCs w:val="28"/>
                <w:lang w:val="en-US" w:eastAsia="zh-CN"/>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得到错误的结果</w:t>
            </w:r>
          </w:p>
        </w:tc>
        <w:tc>
          <w:tcPr>
            <w:tcW w:w="1739" w:type="dxa"/>
            <w:vMerge w:val="continue"/>
            <w:vAlign w:val="center"/>
          </w:tcPr>
          <w:p>
            <w:pPr>
              <w:spacing w:line="400" w:lineRule="exact"/>
              <w:jc w:val="left"/>
              <w:rPr>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7" w:type="dxa"/>
            <w:vMerge w:val="restart"/>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图像处理与数据处理风险</w:t>
            </w:r>
          </w:p>
        </w:tc>
        <w:tc>
          <w:tcPr>
            <w:tcW w:w="3600"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图像预处理异常（去噪、增强、归一化算法不稳定）</w:t>
            </w:r>
          </w:p>
        </w:tc>
        <w:tc>
          <w:tcPr>
            <w:tcW w:w="2654" w:type="dxa"/>
            <w:shd w:val="clear" w:color="auto" w:fill="auto"/>
            <w:vAlign w:val="center"/>
          </w:tcPr>
          <w:p>
            <w:pPr>
              <w:tabs>
                <w:tab w:val="left" w:pos="8040"/>
              </w:tabs>
              <w:spacing w:line="400" w:lineRule="exact"/>
              <w:jc w:val="left"/>
              <w:rPr>
                <w:rFonts w:hint="eastAsia" w:ascii="Times New Roman" w:hAnsi="Times New Roman" w:eastAsia="Adobe 仿宋 Std R" w:cs="Times New Roman"/>
                <w:color w:val="000000" w:themeColor="text1"/>
                <w:kern w:val="2"/>
                <w:sz w:val="28"/>
                <w:szCs w:val="28"/>
                <w:lang w:val="en-US" w:eastAsia="zh-CN" w:bidi="ar-SA"/>
                <w14:textFill>
                  <w14:solidFill>
                    <w14:schemeClr w14:val="tx1"/>
                  </w14:solidFill>
                </w14:textFill>
              </w:rPr>
            </w:pPr>
            <w:r>
              <w:rPr>
                <w:rFonts w:hint="eastAsia"/>
                <w:color w:val="000000" w:themeColor="text1"/>
                <w:sz w:val="28"/>
                <w:szCs w:val="28"/>
                <w14:textFill>
                  <w14:solidFill>
                    <w14:schemeClr w14:val="tx1"/>
                  </w14:solidFill>
                </w14:textFill>
              </w:rPr>
              <w:t>图像质量下降，关键特征丢失</w:t>
            </w:r>
          </w:p>
        </w:tc>
        <w:tc>
          <w:tcPr>
            <w:tcW w:w="1739" w:type="dxa"/>
            <w:vMerge w:val="restart"/>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导致误诊或漏诊，影响临床治疗决策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7" w:type="dxa"/>
            <w:vMerge w:val="continue"/>
            <w:vAlign w:val="center"/>
          </w:tcPr>
          <w:p>
            <w:pPr>
              <w:tabs>
                <w:tab w:val="left" w:pos="8040"/>
              </w:tabs>
              <w:spacing w:line="400" w:lineRule="exact"/>
              <w:jc w:val="left"/>
              <w:rPr>
                <w:color w:val="000000" w:themeColor="text1"/>
                <w:sz w:val="28"/>
                <w:szCs w:val="28"/>
                <w14:textFill>
                  <w14:solidFill>
                    <w14:schemeClr w14:val="tx1"/>
                  </w14:solidFill>
                </w14:textFill>
              </w:rPr>
            </w:pPr>
          </w:p>
        </w:tc>
        <w:tc>
          <w:tcPr>
            <w:tcW w:w="3600"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图像采集与处理接口不匹配（分辨率、格式错误）</w:t>
            </w:r>
          </w:p>
        </w:tc>
        <w:tc>
          <w:tcPr>
            <w:tcW w:w="2654" w:type="dxa"/>
            <w:shd w:val="clear" w:color="auto" w:fill="auto"/>
            <w:vAlign w:val="center"/>
          </w:tcPr>
          <w:p>
            <w:pPr>
              <w:tabs>
                <w:tab w:val="left" w:pos="8040"/>
              </w:tabs>
              <w:spacing w:line="400" w:lineRule="exact"/>
              <w:jc w:val="left"/>
              <w:rPr>
                <w:rFonts w:hint="eastAsia" w:ascii="Times New Roman" w:hAnsi="Times New Roman" w:eastAsia="Adobe 仿宋 Std R" w:cs="Times New Roman"/>
                <w:color w:val="000000" w:themeColor="text1"/>
                <w:kern w:val="2"/>
                <w:sz w:val="28"/>
                <w:szCs w:val="28"/>
                <w:lang w:val="en-US" w:eastAsia="zh-CN" w:bidi="ar-SA"/>
                <w14:textFill>
                  <w14:solidFill>
                    <w14:schemeClr w14:val="tx1"/>
                  </w14:solidFill>
                </w14:textFill>
              </w:rPr>
            </w:pPr>
            <w:r>
              <w:rPr>
                <w:rFonts w:hint="eastAsia"/>
                <w:color w:val="000000" w:themeColor="text1"/>
                <w:sz w:val="28"/>
                <w:szCs w:val="28"/>
                <w14:textFill>
                  <w14:solidFill>
                    <w14:schemeClr w14:val="tx1"/>
                  </w14:solidFill>
                </w14:textFill>
              </w:rPr>
              <w:t>分析结果不一致或不可重复</w:t>
            </w:r>
          </w:p>
        </w:tc>
        <w:tc>
          <w:tcPr>
            <w:tcW w:w="1739" w:type="dxa"/>
            <w:vMerge w:val="continue"/>
            <w:vAlign w:val="center"/>
          </w:tcPr>
          <w:p>
            <w:pPr>
              <w:tabs>
                <w:tab w:val="left" w:pos="8040"/>
              </w:tabs>
              <w:spacing w:line="400" w:lineRule="exact"/>
              <w:jc w:val="left"/>
              <w:rPr>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7" w:type="dxa"/>
            <w:vMerge w:val="continue"/>
            <w:vAlign w:val="center"/>
          </w:tcPr>
          <w:p>
            <w:pPr>
              <w:tabs>
                <w:tab w:val="left" w:pos="8040"/>
              </w:tabs>
              <w:spacing w:line="400" w:lineRule="exact"/>
              <w:jc w:val="left"/>
              <w:rPr>
                <w:color w:val="000000" w:themeColor="text1"/>
                <w:sz w:val="28"/>
                <w:szCs w:val="28"/>
                <w14:textFill>
                  <w14:solidFill>
                    <w14:schemeClr w14:val="tx1"/>
                  </w14:solidFill>
                </w14:textFill>
              </w:rPr>
            </w:pPr>
          </w:p>
        </w:tc>
        <w:tc>
          <w:tcPr>
            <w:tcW w:w="3600"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据截断、溢出或精度丢失</w:t>
            </w:r>
          </w:p>
        </w:tc>
        <w:tc>
          <w:tcPr>
            <w:tcW w:w="2654" w:type="dxa"/>
            <w:shd w:val="clear" w:color="auto" w:fill="auto"/>
            <w:vAlign w:val="center"/>
          </w:tcPr>
          <w:p>
            <w:pPr>
              <w:tabs>
                <w:tab w:val="left" w:pos="8040"/>
              </w:tabs>
              <w:spacing w:line="400" w:lineRule="exact"/>
              <w:jc w:val="left"/>
              <w:rPr>
                <w:rFonts w:hint="eastAsia" w:ascii="Times New Roman" w:hAnsi="Times New Roman" w:eastAsia="Adobe 仿宋 Std R" w:cs="Times New Roman"/>
                <w:color w:val="000000" w:themeColor="text1"/>
                <w:kern w:val="2"/>
                <w:sz w:val="28"/>
                <w:szCs w:val="28"/>
                <w:lang w:val="en-US" w:eastAsia="zh-CN" w:bidi="ar-SA"/>
                <w14:textFill>
                  <w14:solidFill>
                    <w14:schemeClr w14:val="tx1"/>
                  </w14:solidFill>
                </w14:textFill>
              </w:rPr>
            </w:pPr>
            <w:r>
              <w:rPr>
                <w:rFonts w:hint="eastAsia"/>
                <w:color w:val="000000" w:themeColor="text1"/>
                <w:sz w:val="28"/>
                <w:szCs w:val="28"/>
                <w14:textFill>
                  <w14:solidFill>
                    <w14:schemeClr w14:val="tx1"/>
                  </w14:solidFill>
                </w14:textFill>
              </w:rPr>
              <w:t>定量参数偏差（如面积、密度计算错误）</w:t>
            </w:r>
          </w:p>
        </w:tc>
        <w:tc>
          <w:tcPr>
            <w:tcW w:w="1739" w:type="dxa"/>
            <w:vMerge w:val="continue"/>
            <w:vAlign w:val="center"/>
          </w:tcPr>
          <w:p>
            <w:pPr>
              <w:tabs>
                <w:tab w:val="left" w:pos="8040"/>
              </w:tabs>
              <w:spacing w:line="400" w:lineRule="exact"/>
              <w:jc w:val="left"/>
              <w:rPr>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7" w:type="dxa"/>
            <w:vMerge w:val="restart"/>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网络与信息安全风险</w:t>
            </w:r>
          </w:p>
        </w:tc>
        <w:tc>
          <w:tcPr>
            <w:tcW w:w="3600"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件存在漏洞</w:t>
            </w:r>
          </w:p>
        </w:tc>
        <w:tc>
          <w:tcPr>
            <w:tcW w:w="2654" w:type="dxa"/>
            <w:shd w:val="clear" w:color="auto" w:fill="auto"/>
            <w:vAlign w:val="center"/>
          </w:tcPr>
          <w:p>
            <w:pPr>
              <w:tabs>
                <w:tab w:val="left" w:pos="8040"/>
              </w:tabs>
              <w:spacing w:line="400" w:lineRule="exact"/>
              <w:jc w:val="left"/>
              <w:rPr>
                <w:rFonts w:hint="default" w:ascii="Times New Roman" w:hAnsi="Times New Roman" w:eastAsia="Adobe 仿宋 Std R" w:cs="Times New Roman"/>
                <w:color w:val="000000" w:themeColor="text1"/>
                <w:kern w:val="2"/>
                <w:sz w:val="28"/>
                <w:szCs w:val="28"/>
                <w:lang w:val="en-US" w:eastAsia="zh-CN" w:bidi="ar-SA"/>
                <w14:textFill>
                  <w14:solidFill>
                    <w14:schemeClr w14:val="tx1"/>
                  </w14:solidFill>
                </w14:textFill>
              </w:rPr>
            </w:pPr>
            <w:r>
              <w:rPr>
                <w:rFonts w:hint="eastAsia"/>
                <w:color w:val="000000" w:themeColor="text1"/>
                <w:sz w:val="28"/>
                <w:szCs w:val="28"/>
                <w14:textFill>
                  <w14:solidFill>
                    <w14:schemeClr w14:val="tx1"/>
                  </w14:solidFill>
                </w14:textFill>
              </w:rPr>
              <w:t>未授权访问、恶意攻击</w:t>
            </w:r>
          </w:p>
        </w:tc>
        <w:tc>
          <w:tcPr>
            <w:tcW w:w="1739" w:type="dxa"/>
            <w:shd w:val="clear" w:color="auto" w:fill="auto"/>
            <w:vAlign w:val="center"/>
          </w:tcPr>
          <w:p>
            <w:pPr>
              <w:tabs>
                <w:tab w:val="left" w:pos="8040"/>
              </w:tabs>
              <w:spacing w:line="400" w:lineRule="exact"/>
              <w:jc w:val="left"/>
              <w:rPr>
                <w:rFonts w:hint="eastAsia" w:ascii="Times New Roman" w:hAnsi="Times New Roman" w:eastAsia="Adobe 仿宋 Std R" w:cs="Times New Roman"/>
                <w:color w:val="000000" w:themeColor="text1"/>
                <w:kern w:val="2"/>
                <w:sz w:val="28"/>
                <w:szCs w:val="28"/>
                <w:lang w:val="en-US" w:eastAsia="zh-CN" w:bidi="ar-SA"/>
                <w14:textFill>
                  <w14:solidFill>
                    <w14:schemeClr w14:val="tx1"/>
                  </w14:solidFill>
                </w14:textFill>
              </w:rPr>
            </w:pPr>
            <w:r>
              <w:rPr>
                <w:rFonts w:hint="eastAsia"/>
                <w:color w:val="000000" w:themeColor="text1"/>
                <w:sz w:val="28"/>
                <w:szCs w:val="28"/>
                <w14:textFill>
                  <w14:solidFill>
                    <w14:schemeClr w14:val="tx1"/>
                  </w14:solidFill>
                </w14:textFill>
              </w:rPr>
              <w:t>患者隐私泄露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7" w:type="dxa"/>
            <w:vMerge w:val="continue"/>
            <w:vAlign w:val="center"/>
          </w:tcPr>
          <w:p>
            <w:pPr>
              <w:tabs>
                <w:tab w:val="left" w:pos="8040"/>
              </w:tabs>
              <w:spacing w:line="400" w:lineRule="exact"/>
              <w:jc w:val="left"/>
              <w:rPr>
                <w:color w:val="000000" w:themeColor="text1"/>
                <w:sz w:val="28"/>
                <w:szCs w:val="28"/>
                <w14:textFill>
                  <w14:solidFill>
                    <w14:schemeClr w14:val="tx1"/>
                  </w14:solidFill>
                </w14:textFill>
              </w:rPr>
            </w:pPr>
          </w:p>
        </w:tc>
        <w:tc>
          <w:tcPr>
            <w:tcW w:w="3600"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数据传输未加密</w:t>
            </w:r>
          </w:p>
        </w:tc>
        <w:tc>
          <w:tcPr>
            <w:tcW w:w="2654" w:type="dxa"/>
            <w:shd w:val="clear" w:color="auto" w:fill="auto"/>
            <w:vAlign w:val="center"/>
          </w:tcPr>
          <w:p>
            <w:pPr>
              <w:tabs>
                <w:tab w:val="left" w:pos="8040"/>
              </w:tabs>
              <w:spacing w:line="400" w:lineRule="exact"/>
              <w:jc w:val="left"/>
              <w:rPr>
                <w:rFonts w:hint="eastAsia" w:ascii="Times New Roman" w:hAnsi="Times New Roman" w:eastAsia="Adobe 仿宋 Std R" w:cs="Times New Roman"/>
                <w:color w:val="000000" w:themeColor="text1"/>
                <w:kern w:val="2"/>
                <w:sz w:val="28"/>
                <w:szCs w:val="28"/>
                <w:lang w:val="en-US" w:eastAsia="zh-CN" w:bidi="ar-SA"/>
                <w14:textFill>
                  <w14:solidFill>
                    <w14:schemeClr w14:val="tx1"/>
                  </w14:solidFill>
                </w14:textFill>
              </w:rPr>
            </w:pPr>
            <w:r>
              <w:rPr>
                <w:rFonts w:hint="eastAsia"/>
                <w:color w:val="000000" w:themeColor="text1"/>
                <w:sz w:val="28"/>
                <w:szCs w:val="28"/>
                <w14:textFill>
                  <w14:solidFill>
                    <w14:schemeClr w14:val="tx1"/>
                  </w14:solidFill>
                </w14:textFill>
              </w:rPr>
              <w:t>分析结果被恶意篡改</w:t>
            </w:r>
          </w:p>
        </w:tc>
        <w:tc>
          <w:tcPr>
            <w:tcW w:w="1739" w:type="dxa"/>
            <w:shd w:val="clear" w:color="auto" w:fill="auto"/>
            <w:vAlign w:val="center"/>
          </w:tcPr>
          <w:p>
            <w:pPr>
              <w:tabs>
                <w:tab w:val="left" w:pos="8040"/>
              </w:tabs>
              <w:spacing w:line="400" w:lineRule="exact"/>
              <w:jc w:val="left"/>
              <w:rPr>
                <w:rFonts w:hint="eastAsia" w:ascii="Times New Roman" w:hAnsi="Times New Roman" w:eastAsia="Adobe 仿宋 Std R" w:cs="Times New Roman"/>
                <w:color w:val="000000" w:themeColor="text1"/>
                <w:kern w:val="2"/>
                <w:sz w:val="28"/>
                <w:szCs w:val="28"/>
                <w:lang w:val="en-US" w:eastAsia="zh-CN" w:bidi="ar-SA"/>
                <w14:textFill>
                  <w14:solidFill>
                    <w14:schemeClr w14:val="tx1"/>
                  </w14:solidFill>
                </w14:textFill>
              </w:rPr>
            </w:pPr>
            <w:r>
              <w:rPr>
                <w:rFonts w:hint="eastAsia"/>
                <w:color w:val="000000" w:themeColor="text1"/>
                <w:sz w:val="28"/>
                <w:szCs w:val="28"/>
                <w14:textFill>
                  <w14:solidFill>
                    <w14:schemeClr w14:val="tx1"/>
                  </w14:solidFill>
                </w14:textFill>
              </w:rPr>
              <w:t>导致误诊或漏诊，影响临床治疗决策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77" w:type="dxa"/>
            <w:vMerge w:val="continue"/>
            <w:vAlign w:val="center"/>
          </w:tcPr>
          <w:p>
            <w:pPr>
              <w:tabs>
                <w:tab w:val="left" w:pos="8040"/>
              </w:tabs>
              <w:spacing w:line="400" w:lineRule="exact"/>
              <w:jc w:val="left"/>
              <w:rPr>
                <w:color w:val="000000" w:themeColor="text1"/>
                <w:sz w:val="28"/>
                <w:szCs w:val="28"/>
                <w14:textFill>
                  <w14:solidFill>
                    <w14:schemeClr w14:val="tx1"/>
                  </w14:solidFill>
                </w14:textFill>
              </w:rPr>
            </w:pPr>
          </w:p>
        </w:tc>
        <w:tc>
          <w:tcPr>
            <w:tcW w:w="3600" w:type="dxa"/>
            <w:vAlign w:val="center"/>
          </w:tcPr>
          <w:p>
            <w:pPr>
              <w:tabs>
                <w:tab w:val="left" w:pos="8040"/>
              </w:tabs>
              <w:spacing w:line="400" w:lineRule="exact"/>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系统被篡改</w:t>
            </w:r>
          </w:p>
        </w:tc>
        <w:tc>
          <w:tcPr>
            <w:tcW w:w="2654" w:type="dxa"/>
            <w:shd w:val="clear" w:color="auto" w:fill="auto"/>
            <w:vAlign w:val="center"/>
          </w:tcPr>
          <w:p>
            <w:pPr>
              <w:tabs>
                <w:tab w:val="left" w:pos="8040"/>
              </w:tabs>
              <w:spacing w:line="400" w:lineRule="exact"/>
              <w:jc w:val="left"/>
              <w:rPr>
                <w:rFonts w:hint="eastAsia" w:ascii="Times New Roman" w:hAnsi="Times New Roman" w:eastAsia="Adobe 仿宋 Std R" w:cs="Times New Roman"/>
                <w:color w:val="000000" w:themeColor="text1"/>
                <w:kern w:val="2"/>
                <w:sz w:val="28"/>
                <w:szCs w:val="28"/>
                <w:lang w:val="en-US" w:eastAsia="zh-CN" w:bidi="ar-SA"/>
                <w14:textFill>
                  <w14:solidFill>
                    <w14:schemeClr w14:val="tx1"/>
                  </w14:solidFill>
                </w14:textFill>
              </w:rPr>
            </w:pPr>
            <w:r>
              <w:rPr>
                <w:rFonts w:hint="eastAsia"/>
                <w:color w:val="000000" w:themeColor="text1"/>
                <w:sz w:val="28"/>
                <w:szCs w:val="28"/>
                <w14:textFill>
                  <w14:solidFill>
                    <w14:schemeClr w14:val="tx1"/>
                  </w14:solidFill>
                </w14:textFill>
              </w:rPr>
              <w:t>算法或结果被修改</w:t>
            </w:r>
          </w:p>
        </w:tc>
        <w:tc>
          <w:tcPr>
            <w:tcW w:w="1739" w:type="dxa"/>
            <w:shd w:val="clear" w:color="auto" w:fill="auto"/>
            <w:vAlign w:val="center"/>
          </w:tcPr>
          <w:p>
            <w:pPr>
              <w:tabs>
                <w:tab w:val="left" w:pos="8040"/>
              </w:tabs>
              <w:spacing w:line="400" w:lineRule="exact"/>
              <w:jc w:val="left"/>
              <w:rPr>
                <w:rFonts w:hint="eastAsia" w:ascii="Times New Roman" w:hAnsi="Times New Roman" w:eastAsia="Adobe 仿宋 Std R" w:cs="Times New Roman"/>
                <w:color w:val="000000" w:themeColor="text1"/>
                <w:kern w:val="2"/>
                <w:sz w:val="28"/>
                <w:szCs w:val="28"/>
                <w:lang w:val="en-US" w:eastAsia="zh-CN" w:bidi="ar-SA"/>
                <w14:textFill>
                  <w14:solidFill>
                    <w14:schemeClr w14:val="tx1"/>
                  </w14:solidFill>
                </w14:textFill>
              </w:rPr>
            </w:pPr>
            <w:r>
              <w:rPr>
                <w:rFonts w:hint="eastAsia"/>
                <w:color w:val="000000" w:themeColor="text1"/>
                <w:sz w:val="28"/>
                <w:szCs w:val="28"/>
                <w14:textFill>
                  <w14:solidFill>
                    <w14:schemeClr w14:val="tx1"/>
                  </w14:solidFill>
                </w14:textFill>
              </w:rPr>
              <w:t>系统瘫痪，影响</w:t>
            </w:r>
            <w:r>
              <w:rPr>
                <w:rFonts w:hint="eastAsia"/>
                <w:color w:val="000000" w:themeColor="text1"/>
                <w:sz w:val="28"/>
                <w:szCs w:val="28"/>
                <w:lang w:val="en-US" w:eastAsia="zh-CN"/>
                <w14:textFill>
                  <w14:solidFill>
                    <w14:schemeClr w14:val="tx1"/>
                  </w14:solidFill>
                </w14:textFill>
              </w:rPr>
              <w:t>仪器</w:t>
            </w:r>
            <w:r>
              <w:rPr>
                <w:rFonts w:hint="eastAsia"/>
                <w:color w:val="000000" w:themeColor="text1"/>
                <w:sz w:val="28"/>
                <w:szCs w:val="28"/>
                <w14:textFill>
                  <w14:solidFill>
                    <w14:schemeClr w14:val="tx1"/>
                  </w14:solidFill>
                </w14:textFill>
              </w:rPr>
              <w:t>运行</w:t>
            </w:r>
          </w:p>
        </w:tc>
      </w:tr>
    </w:tbl>
    <w:p>
      <w:pPr>
        <w:pStyle w:val="2"/>
        <w:rPr>
          <w:rFonts w:ascii="Times New Roman" w:hAnsi="Times New Roman" w:eastAsia="仿宋_GB2312"/>
          <w:color w:val="000000"/>
          <w:szCs w:val="32"/>
        </w:rPr>
      </w:pPr>
    </w:p>
    <w:sectPr>
      <w:footerReference r:id="rId3" w:type="default"/>
      <w:footerReference r:id="rId4" w:type="even"/>
      <w:pgSz w:w="11906" w:h="16838"/>
      <w:pgMar w:top="2098" w:right="1588" w:bottom="2098" w:left="1588" w:header="851" w:footer="992" w:gutter="0"/>
      <w:lnNumType w:countBy="1" w:restart="continuous"/>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AB8FB7C-1C77-4780-A2A6-DE050452891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0000000000000000000"/>
    <w:charset w:val="86"/>
    <w:family w:val="roman"/>
    <w:pitch w:val="default"/>
    <w:sig w:usb0="00000000" w:usb1="00000000" w:usb2="00000016" w:usb3="00000000" w:csb0="00060007" w:csb1="00000000"/>
    <w:embedRegular r:id="rId2" w:fontKey="{A4CCDB52-3535-4CE1-B630-55D78AAFFE69}"/>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DejaVu Sans">
    <w:altName w:val="Times New Roman"/>
    <w:panose1 w:val="00000000000000000000"/>
    <w:charset w:val="00"/>
    <w:family w:val="roman"/>
    <w:pitch w:val="default"/>
    <w:sig w:usb0="00000000" w:usb1="00000000" w:usb2="00000008" w:usb3="00000000" w:csb0="000001FF" w:csb1="00000000"/>
  </w:font>
  <w:font w:name="仿宋_GB2312">
    <w:panose1 w:val="02010609030101010101"/>
    <w:charset w:val="86"/>
    <w:family w:val="modern"/>
    <w:pitch w:val="default"/>
    <w:sig w:usb0="00000001" w:usb1="080E0000" w:usb2="00000000" w:usb3="00000000" w:csb0="00040000" w:csb1="00000000"/>
    <w:embedRegular r:id="rId3" w:fontKey="{2439A9EB-8A26-4775-AE29-4EC5393EC864}"/>
  </w:font>
  <w:font w:name="Calibri Light">
    <w:panose1 w:val="020F03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Source Han Serif CN">
    <w:altName w:val="宋体"/>
    <w:panose1 w:val="02020400000000000000"/>
    <w:charset w:val="86"/>
    <w:family w:val="auto"/>
    <w:pitch w:val="default"/>
    <w:sig w:usb0="00000000" w:usb1="00000000" w:usb2="00000016" w:usb3="00000000" w:csb0="60060107" w:csb1="00000000"/>
    <w:embedRegular r:id="rId4" w:fontKey="{72269E47-322A-4279-AA2B-02EDF7C3D5F7}"/>
  </w:font>
  <w:font w:name="方正小标宋简体">
    <w:panose1 w:val="03000509000000000000"/>
    <w:charset w:val="86"/>
    <w:family w:val="script"/>
    <w:pitch w:val="default"/>
    <w:sig w:usb0="00000001" w:usb1="080E0000" w:usb2="00000000" w:usb3="00000000" w:csb0="00040000" w:csb1="00000000"/>
    <w:embedRegular r:id="rId5" w:fontKey="{B7ED2604-62EA-4961-A70C-A9204C049017}"/>
  </w:font>
  <w:font w:name="楷体_GB2312">
    <w:panose1 w:val="02010609030101010101"/>
    <w:charset w:val="86"/>
    <w:family w:val="modern"/>
    <w:pitch w:val="default"/>
    <w:sig w:usb0="00000001" w:usb1="080E0000" w:usb2="00000000" w:usb3="00000000" w:csb0="00040000" w:csb1="00000000"/>
    <w:embedRegular r:id="rId6" w:fontKey="{8FCDA495-5A46-4602-B260-A4E307086BEF}"/>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rPr>
        <w:sz w:val="28"/>
        <w:szCs w:val="28"/>
      </w:rPr>
    </w:pPr>
    <w:r>
      <w:rPr>
        <w:sz w:val="28"/>
        <w:szCs w:val="28"/>
      </w:rPr>
      <w:t xml:space="preserve">— </w:t>
    </w:r>
    <w:sdt>
      <w:sdtPr>
        <w:rPr>
          <w:sz w:val="28"/>
          <w:szCs w:val="28"/>
        </w:rPr>
        <w:id w:val="90280837"/>
      </w:sdtPr>
      <w:sdtEndPr>
        <w:rPr>
          <w:sz w:val="28"/>
          <w:szCs w:val="28"/>
        </w:rPr>
      </w:sdtEndPr>
      <w:sdtContent>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19</w:t>
        </w:r>
        <w:r>
          <w:rPr>
            <w:sz w:val="28"/>
            <w:szCs w:val="28"/>
          </w:rPr>
          <w:fldChar w:fldCharType="end"/>
        </w:r>
        <w:r>
          <w:rPr>
            <w:sz w:val="28"/>
            <w:szCs w:val="28"/>
          </w:rPr>
          <w:t xml:space="preserve"> —</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0280849"/>
    </w:sdtPr>
    <w:sdtContent>
      <w:p>
        <w:pPr>
          <w:pStyle w:val="7"/>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20</w:t>
        </w:r>
        <w:r>
          <w:rPr>
            <w:sz w:val="28"/>
            <w:szCs w:val="28"/>
          </w:rPr>
          <w:fldChar w:fldCharType="end"/>
        </w:r>
        <w:r>
          <w:rPr>
            <w:sz w:val="28"/>
            <w:szCs w:val="28"/>
          </w:rPr>
          <w:t xml:space="preserve"> —</w:t>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val="0"/>
  <w:bordersDoNotSurroundFooter w:val="0"/>
  <w:documentProtection w:enforcement="0"/>
  <w:defaultTabStop w:val="420"/>
  <w:evenAndOddHeaders w:val="1"/>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3ZDQwMmNiOWFlYzZjYTcwOWJiZGQ0YTA5ODBmZGUifQ=="/>
  </w:docVars>
  <w:rsids>
    <w:rsidRoot w:val="00787F7E"/>
    <w:rsid w:val="00020162"/>
    <w:rsid w:val="00021955"/>
    <w:rsid w:val="000309BB"/>
    <w:rsid w:val="00056A28"/>
    <w:rsid w:val="00060C10"/>
    <w:rsid w:val="0007686E"/>
    <w:rsid w:val="0009278E"/>
    <w:rsid w:val="000B4C9B"/>
    <w:rsid w:val="000C48A1"/>
    <w:rsid w:val="000E5335"/>
    <w:rsid w:val="00145167"/>
    <w:rsid w:val="0015622E"/>
    <w:rsid w:val="0018634C"/>
    <w:rsid w:val="001C3A87"/>
    <w:rsid w:val="001E0961"/>
    <w:rsid w:val="00241E57"/>
    <w:rsid w:val="00242375"/>
    <w:rsid w:val="00244DF7"/>
    <w:rsid w:val="00246390"/>
    <w:rsid w:val="0026293F"/>
    <w:rsid w:val="00275A48"/>
    <w:rsid w:val="00277473"/>
    <w:rsid w:val="00291759"/>
    <w:rsid w:val="00294D2B"/>
    <w:rsid w:val="00295369"/>
    <w:rsid w:val="002A1DAB"/>
    <w:rsid w:val="002B2048"/>
    <w:rsid w:val="002B24A0"/>
    <w:rsid w:val="002D3B6C"/>
    <w:rsid w:val="002F2978"/>
    <w:rsid w:val="0030368E"/>
    <w:rsid w:val="003137C1"/>
    <w:rsid w:val="00332DE8"/>
    <w:rsid w:val="003450A4"/>
    <w:rsid w:val="003549E8"/>
    <w:rsid w:val="00355421"/>
    <w:rsid w:val="00365AB2"/>
    <w:rsid w:val="0037408E"/>
    <w:rsid w:val="00376E28"/>
    <w:rsid w:val="00410598"/>
    <w:rsid w:val="0041581E"/>
    <w:rsid w:val="00422D3A"/>
    <w:rsid w:val="00435AC6"/>
    <w:rsid w:val="00440708"/>
    <w:rsid w:val="00440AA4"/>
    <w:rsid w:val="004410B9"/>
    <w:rsid w:val="0045151A"/>
    <w:rsid w:val="00483A83"/>
    <w:rsid w:val="004B2F13"/>
    <w:rsid w:val="004C4DBC"/>
    <w:rsid w:val="004E39ED"/>
    <w:rsid w:val="004F0151"/>
    <w:rsid w:val="005041BA"/>
    <w:rsid w:val="005277E2"/>
    <w:rsid w:val="00530384"/>
    <w:rsid w:val="00534F4C"/>
    <w:rsid w:val="005609D1"/>
    <w:rsid w:val="005A1410"/>
    <w:rsid w:val="005A204F"/>
    <w:rsid w:val="005D1959"/>
    <w:rsid w:val="006014D4"/>
    <w:rsid w:val="00606EFF"/>
    <w:rsid w:val="00670933"/>
    <w:rsid w:val="00685CC3"/>
    <w:rsid w:val="006A1165"/>
    <w:rsid w:val="006C00CB"/>
    <w:rsid w:val="006E68A9"/>
    <w:rsid w:val="006E7148"/>
    <w:rsid w:val="00716619"/>
    <w:rsid w:val="00725E46"/>
    <w:rsid w:val="00745098"/>
    <w:rsid w:val="007646FC"/>
    <w:rsid w:val="00770DA6"/>
    <w:rsid w:val="00787F7E"/>
    <w:rsid w:val="007904F6"/>
    <w:rsid w:val="007D341A"/>
    <w:rsid w:val="00815364"/>
    <w:rsid w:val="00821079"/>
    <w:rsid w:val="0083192A"/>
    <w:rsid w:val="00845C30"/>
    <w:rsid w:val="008961B3"/>
    <w:rsid w:val="00920A47"/>
    <w:rsid w:val="00937F0E"/>
    <w:rsid w:val="0098100B"/>
    <w:rsid w:val="009C41FF"/>
    <w:rsid w:val="009E2514"/>
    <w:rsid w:val="009F209D"/>
    <w:rsid w:val="00A23EC2"/>
    <w:rsid w:val="00A25C1A"/>
    <w:rsid w:val="00A73BFE"/>
    <w:rsid w:val="00AA4FCB"/>
    <w:rsid w:val="00AB660B"/>
    <w:rsid w:val="00AB7E5C"/>
    <w:rsid w:val="00AD08D9"/>
    <w:rsid w:val="00AF3558"/>
    <w:rsid w:val="00AF5D76"/>
    <w:rsid w:val="00B25163"/>
    <w:rsid w:val="00B41578"/>
    <w:rsid w:val="00B62DA0"/>
    <w:rsid w:val="00B66355"/>
    <w:rsid w:val="00B9118A"/>
    <w:rsid w:val="00BC2983"/>
    <w:rsid w:val="00BC7C84"/>
    <w:rsid w:val="00BD300F"/>
    <w:rsid w:val="00BE669C"/>
    <w:rsid w:val="00BE6F14"/>
    <w:rsid w:val="00BE7E51"/>
    <w:rsid w:val="00C0562D"/>
    <w:rsid w:val="00C151FE"/>
    <w:rsid w:val="00C25F69"/>
    <w:rsid w:val="00C40950"/>
    <w:rsid w:val="00C55908"/>
    <w:rsid w:val="00C55C2E"/>
    <w:rsid w:val="00CA0BE6"/>
    <w:rsid w:val="00CB4CCD"/>
    <w:rsid w:val="00CD1907"/>
    <w:rsid w:val="00CE24E2"/>
    <w:rsid w:val="00D076F0"/>
    <w:rsid w:val="00D256A9"/>
    <w:rsid w:val="00D277BD"/>
    <w:rsid w:val="00D32614"/>
    <w:rsid w:val="00D36F91"/>
    <w:rsid w:val="00D4450D"/>
    <w:rsid w:val="00D6685B"/>
    <w:rsid w:val="00D73732"/>
    <w:rsid w:val="00D865D6"/>
    <w:rsid w:val="00DB1CED"/>
    <w:rsid w:val="00DC26FC"/>
    <w:rsid w:val="00DC3951"/>
    <w:rsid w:val="00DD740E"/>
    <w:rsid w:val="00E07E6A"/>
    <w:rsid w:val="00E113E4"/>
    <w:rsid w:val="00E11D78"/>
    <w:rsid w:val="00E343F9"/>
    <w:rsid w:val="00E72EF4"/>
    <w:rsid w:val="00E7330F"/>
    <w:rsid w:val="00E771F1"/>
    <w:rsid w:val="00EB1A04"/>
    <w:rsid w:val="00EC523A"/>
    <w:rsid w:val="00ED0226"/>
    <w:rsid w:val="00EE1269"/>
    <w:rsid w:val="00EE261B"/>
    <w:rsid w:val="00EE3620"/>
    <w:rsid w:val="00EE4EBB"/>
    <w:rsid w:val="00F31CB3"/>
    <w:rsid w:val="00F45E55"/>
    <w:rsid w:val="00F73440"/>
    <w:rsid w:val="00F801A1"/>
    <w:rsid w:val="00F81D1A"/>
    <w:rsid w:val="00F90809"/>
    <w:rsid w:val="00FA36EA"/>
    <w:rsid w:val="00FB46B2"/>
    <w:rsid w:val="00FC6BE6"/>
    <w:rsid w:val="00FF0F38"/>
    <w:rsid w:val="00FF1F7F"/>
    <w:rsid w:val="016539DF"/>
    <w:rsid w:val="020C3E2A"/>
    <w:rsid w:val="039B6346"/>
    <w:rsid w:val="077625E9"/>
    <w:rsid w:val="09EF451D"/>
    <w:rsid w:val="0ABB157D"/>
    <w:rsid w:val="0B20666A"/>
    <w:rsid w:val="0BF2295A"/>
    <w:rsid w:val="0C676C2C"/>
    <w:rsid w:val="0CC06F0E"/>
    <w:rsid w:val="0D1B1BBB"/>
    <w:rsid w:val="0D3B16B4"/>
    <w:rsid w:val="0ED35772"/>
    <w:rsid w:val="0FD477BE"/>
    <w:rsid w:val="108D4CBA"/>
    <w:rsid w:val="10CB5F6F"/>
    <w:rsid w:val="11B3394F"/>
    <w:rsid w:val="12042B30"/>
    <w:rsid w:val="12A04A9D"/>
    <w:rsid w:val="12D5127D"/>
    <w:rsid w:val="14C17329"/>
    <w:rsid w:val="14CA3977"/>
    <w:rsid w:val="15876EDF"/>
    <w:rsid w:val="1665487A"/>
    <w:rsid w:val="17D925E9"/>
    <w:rsid w:val="183652EF"/>
    <w:rsid w:val="197F17A9"/>
    <w:rsid w:val="1C2E5D6C"/>
    <w:rsid w:val="1C381231"/>
    <w:rsid w:val="1F6B5F3C"/>
    <w:rsid w:val="1F8F25D3"/>
    <w:rsid w:val="1FDE0AF1"/>
    <w:rsid w:val="1FF1373D"/>
    <w:rsid w:val="20F479B4"/>
    <w:rsid w:val="21FF502D"/>
    <w:rsid w:val="22A13E8F"/>
    <w:rsid w:val="2370434A"/>
    <w:rsid w:val="2406212E"/>
    <w:rsid w:val="25C603D0"/>
    <w:rsid w:val="25E43467"/>
    <w:rsid w:val="26600825"/>
    <w:rsid w:val="28E6473B"/>
    <w:rsid w:val="29250036"/>
    <w:rsid w:val="296401CA"/>
    <w:rsid w:val="29657296"/>
    <w:rsid w:val="2A34664D"/>
    <w:rsid w:val="2A577665"/>
    <w:rsid w:val="2D0F6B01"/>
    <w:rsid w:val="3031642A"/>
    <w:rsid w:val="30FE1366"/>
    <w:rsid w:val="34B47F8E"/>
    <w:rsid w:val="36C14EAD"/>
    <w:rsid w:val="385E74CA"/>
    <w:rsid w:val="3A465B5F"/>
    <w:rsid w:val="3A6A35C8"/>
    <w:rsid w:val="3BC22C4A"/>
    <w:rsid w:val="3C010D29"/>
    <w:rsid w:val="3C8618CD"/>
    <w:rsid w:val="3D8C13F0"/>
    <w:rsid w:val="3E047890"/>
    <w:rsid w:val="3F4A6DE1"/>
    <w:rsid w:val="409D1490"/>
    <w:rsid w:val="40D5265C"/>
    <w:rsid w:val="41103CEB"/>
    <w:rsid w:val="412D2400"/>
    <w:rsid w:val="41FB6F03"/>
    <w:rsid w:val="42D530EF"/>
    <w:rsid w:val="437E33A1"/>
    <w:rsid w:val="43D46B67"/>
    <w:rsid w:val="447056E3"/>
    <w:rsid w:val="44AE0E14"/>
    <w:rsid w:val="45190605"/>
    <w:rsid w:val="45294080"/>
    <w:rsid w:val="46A75366"/>
    <w:rsid w:val="46A77952"/>
    <w:rsid w:val="4724340D"/>
    <w:rsid w:val="476E14BB"/>
    <w:rsid w:val="48A57EC2"/>
    <w:rsid w:val="48D03190"/>
    <w:rsid w:val="49E0674B"/>
    <w:rsid w:val="4A5F603F"/>
    <w:rsid w:val="4A971A3B"/>
    <w:rsid w:val="4AFD5D93"/>
    <w:rsid w:val="4BAE6CC3"/>
    <w:rsid w:val="4C146064"/>
    <w:rsid w:val="4C2E2C2E"/>
    <w:rsid w:val="4D08674A"/>
    <w:rsid w:val="4E447F77"/>
    <w:rsid w:val="4E7D6EC5"/>
    <w:rsid w:val="4EA7534F"/>
    <w:rsid w:val="4EDE5C66"/>
    <w:rsid w:val="51C93A7A"/>
    <w:rsid w:val="52366A17"/>
    <w:rsid w:val="586732D8"/>
    <w:rsid w:val="59883164"/>
    <w:rsid w:val="5A7F3412"/>
    <w:rsid w:val="5D7B0DCB"/>
    <w:rsid w:val="5E744166"/>
    <w:rsid w:val="5F3D5379"/>
    <w:rsid w:val="608F3E91"/>
    <w:rsid w:val="62321F19"/>
    <w:rsid w:val="62981C32"/>
    <w:rsid w:val="63B41EBE"/>
    <w:rsid w:val="656C1C28"/>
    <w:rsid w:val="65E7631A"/>
    <w:rsid w:val="661E2547"/>
    <w:rsid w:val="67EC4CA5"/>
    <w:rsid w:val="69012894"/>
    <w:rsid w:val="6A94405A"/>
    <w:rsid w:val="6AD728D1"/>
    <w:rsid w:val="6AE76F44"/>
    <w:rsid w:val="6B737129"/>
    <w:rsid w:val="6C733C7B"/>
    <w:rsid w:val="6C8A34D4"/>
    <w:rsid w:val="6D792DBA"/>
    <w:rsid w:val="6E973F61"/>
    <w:rsid w:val="6EEA55EC"/>
    <w:rsid w:val="6F1F3C7A"/>
    <w:rsid w:val="6FC42448"/>
    <w:rsid w:val="71A65ADA"/>
    <w:rsid w:val="71BC60E8"/>
    <w:rsid w:val="73235862"/>
    <w:rsid w:val="7459534C"/>
    <w:rsid w:val="745D7787"/>
    <w:rsid w:val="75FF07F3"/>
    <w:rsid w:val="76AC2297"/>
    <w:rsid w:val="76DD68F5"/>
    <w:rsid w:val="77804950"/>
    <w:rsid w:val="77ED700C"/>
    <w:rsid w:val="79D14874"/>
    <w:rsid w:val="7E23750D"/>
    <w:rsid w:val="DEF70035"/>
    <w:rsid w:val="DFFFE17D"/>
    <w:rsid w:val="ED776AC6"/>
    <w:rsid w:val="EF9F915E"/>
    <w:rsid w:val="FBB7C68F"/>
    <w:rsid w:val="FDF752B8"/>
    <w:rsid w:val="FF7F9E8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Adobe 仿宋 Std R" w:cs="Times New Roman"/>
      <w:kern w:val="2"/>
      <w:sz w:val="32"/>
      <w:szCs w:val="24"/>
      <w:lang w:val="en-US" w:eastAsia="zh-CN" w:bidi="ar-SA"/>
    </w:rPr>
  </w:style>
  <w:style w:type="paragraph" w:styleId="3">
    <w:name w:val="heading 1"/>
    <w:basedOn w:val="1"/>
    <w:next w:val="1"/>
    <w:link w:val="23"/>
    <w:qFormat/>
    <w:uiPriority w:val="9"/>
    <w:pPr>
      <w:spacing w:beforeLines="50" w:afterLines="50"/>
      <w:ind w:left="1429"/>
      <w:outlineLvl w:val="0"/>
    </w:pPr>
    <w:rPr>
      <w:rFonts w:ascii="Calibri" w:hAnsi="Calibri" w:eastAsia="黑体"/>
      <w:szCs w:val="22"/>
    </w:rPr>
  </w:style>
  <w:style w:type="paragraph" w:styleId="4">
    <w:name w:val="heading 4"/>
    <w:basedOn w:val="1"/>
    <w:next w:val="1"/>
    <w:qFormat/>
    <w:uiPriority w:val="0"/>
    <w:pPr>
      <w:keepNext/>
      <w:keepLines/>
      <w:spacing w:before="280" w:after="290" w:line="376" w:lineRule="auto"/>
      <w:outlineLvl w:val="3"/>
    </w:pPr>
    <w:rPr>
      <w:rFonts w:ascii="等线 Light" w:hAnsi="等线 Light" w:eastAsia="等线 Light"/>
      <w:b/>
      <w:bCs/>
      <w:sz w:val="28"/>
      <w:szCs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 Spacing"/>
    <w:qFormat/>
    <w:uiPriority w:val="0"/>
    <w:pPr>
      <w:adjustRightInd w:val="0"/>
      <w:snapToGrid w:val="0"/>
      <w:spacing w:after="160" w:line="278" w:lineRule="auto"/>
    </w:pPr>
    <w:rPr>
      <w:rFonts w:ascii="Tahoma" w:hAnsi="Tahoma" w:eastAsia="微软雅黑" w:cs="Times New Roman"/>
      <w:sz w:val="22"/>
      <w:szCs w:val="22"/>
      <w:lang w:val="en-US" w:eastAsia="zh-CN" w:bidi="ar-SA"/>
    </w:rPr>
  </w:style>
  <w:style w:type="paragraph" w:styleId="5">
    <w:name w:val="annotation text"/>
    <w:basedOn w:val="1"/>
    <w:link w:val="20"/>
    <w:semiHidden/>
    <w:unhideWhenUsed/>
    <w:qFormat/>
    <w:uiPriority w:val="99"/>
    <w:pPr>
      <w:jc w:val="left"/>
    </w:pPr>
  </w:style>
  <w:style w:type="paragraph" w:styleId="6">
    <w:name w:val="Balloon Text"/>
    <w:basedOn w:val="1"/>
    <w:link w:val="18"/>
    <w:semiHidden/>
    <w:unhideWhenUsed/>
    <w:qFormat/>
    <w:uiPriority w:val="99"/>
    <w:rPr>
      <w:sz w:val="18"/>
      <w:szCs w:val="18"/>
    </w:rPr>
  </w:style>
  <w:style w:type="paragraph" w:styleId="7">
    <w:name w:val="footer"/>
    <w:basedOn w:val="1"/>
    <w:link w:val="22"/>
    <w:unhideWhenUsed/>
    <w:qFormat/>
    <w:uiPriority w:val="99"/>
    <w:pPr>
      <w:tabs>
        <w:tab w:val="center" w:pos="4153"/>
        <w:tab w:val="right" w:pos="8306"/>
      </w:tabs>
      <w:snapToGrid w:val="0"/>
      <w:jc w:val="left"/>
    </w:pPr>
    <w:rPr>
      <w:sz w:val="18"/>
    </w:rPr>
  </w:style>
  <w:style w:type="paragraph" w:styleId="8">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DejaVu Sans" w:hAnsi="DejaVu Sans"/>
      <w:sz w:val="18"/>
    </w:rPr>
  </w:style>
  <w:style w:type="paragraph" w:styleId="9">
    <w:name w:val="Normal (Web)"/>
    <w:basedOn w:val="1"/>
    <w:semiHidden/>
    <w:unhideWhenUsed/>
    <w:qFormat/>
    <w:uiPriority w:val="99"/>
    <w:pPr>
      <w:spacing w:beforeAutospacing="1" w:after="0" w:afterAutospacing="1"/>
      <w:jc w:val="left"/>
    </w:pPr>
    <w:rPr>
      <w:kern w:val="0"/>
      <w:sz w:val="24"/>
    </w:rPr>
  </w:style>
  <w:style w:type="paragraph" w:styleId="10">
    <w:name w:val="annotation subject"/>
    <w:basedOn w:val="5"/>
    <w:next w:val="5"/>
    <w:link w:val="21"/>
    <w:semiHidden/>
    <w:unhideWhenUsed/>
    <w:qFormat/>
    <w:uiPriority w:val="99"/>
    <w:rPr>
      <w:b/>
      <w:bCs/>
    </w:rPr>
  </w:style>
  <w:style w:type="character" w:styleId="13">
    <w:name w:val="Strong"/>
    <w:basedOn w:val="12"/>
    <w:qFormat/>
    <w:uiPriority w:val="0"/>
    <w:rPr>
      <w:b/>
    </w:rPr>
  </w:style>
  <w:style w:type="character" w:styleId="14">
    <w:name w:val="line number"/>
    <w:basedOn w:val="12"/>
    <w:semiHidden/>
    <w:unhideWhenUsed/>
    <w:qFormat/>
    <w:uiPriority w:val="99"/>
  </w:style>
  <w:style w:type="character" w:styleId="15">
    <w:name w:val="annotation reference"/>
    <w:basedOn w:val="12"/>
    <w:semiHidden/>
    <w:unhideWhenUsed/>
    <w:qFormat/>
    <w:uiPriority w:val="99"/>
    <w:rPr>
      <w:sz w:val="21"/>
      <w:szCs w:val="21"/>
    </w:rPr>
  </w:style>
  <w:style w:type="paragraph" w:customStyle="1" w:styleId="16">
    <w:name w:val="列出段落1"/>
    <w:basedOn w:val="1"/>
    <w:link w:val="17"/>
    <w:qFormat/>
    <w:uiPriority w:val="34"/>
    <w:pPr>
      <w:ind w:firstLine="420" w:firstLineChars="200"/>
    </w:pPr>
    <w:rPr>
      <w:rFonts w:eastAsia="仿宋_GB2312"/>
      <w:szCs w:val="32"/>
    </w:rPr>
  </w:style>
  <w:style w:type="character" w:customStyle="1" w:styleId="17">
    <w:name w:val="列出段落 Char"/>
    <w:basedOn w:val="12"/>
    <w:link w:val="16"/>
    <w:qFormat/>
    <w:uiPriority w:val="34"/>
    <w:rPr>
      <w:rFonts w:ascii="Times New Roman" w:hAnsi="Times New Roman" w:eastAsia="仿宋_GB2312" w:cs="Times New Roman"/>
      <w:sz w:val="32"/>
      <w:szCs w:val="32"/>
    </w:rPr>
  </w:style>
  <w:style w:type="character" w:customStyle="1" w:styleId="18">
    <w:name w:val="批注框文本 字符"/>
    <w:basedOn w:val="12"/>
    <w:link w:val="6"/>
    <w:semiHidden/>
    <w:qFormat/>
    <w:uiPriority w:val="99"/>
    <w:rPr>
      <w:rFonts w:ascii="Times New Roman" w:hAnsi="Times New Roman" w:eastAsia="Adobe 仿宋 Std R" w:cs="Times New Roman"/>
      <w:kern w:val="2"/>
      <w:sz w:val="18"/>
      <w:szCs w:val="18"/>
    </w:rPr>
  </w:style>
  <w:style w:type="paragraph" w:styleId="19">
    <w:name w:val="List Paragraph"/>
    <w:basedOn w:val="1"/>
    <w:link w:val="24"/>
    <w:unhideWhenUsed/>
    <w:qFormat/>
    <w:uiPriority w:val="34"/>
    <w:pPr>
      <w:ind w:firstLine="420" w:firstLineChars="200"/>
    </w:pPr>
  </w:style>
  <w:style w:type="character" w:customStyle="1" w:styleId="20">
    <w:name w:val="批注文字 字符"/>
    <w:basedOn w:val="12"/>
    <w:link w:val="5"/>
    <w:semiHidden/>
    <w:qFormat/>
    <w:uiPriority w:val="99"/>
    <w:rPr>
      <w:rFonts w:ascii="Times New Roman" w:hAnsi="Times New Roman" w:eastAsia="Adobe 仿宋 Std R" w:cs="Times New Roman"/>
      <w:kern w:val="2"/>
      <w:sz w:val="32"/>
      <w:szCs w:val="24"/>
    </w:rPr>
  </w:style>
  <w:style w:type="character" w:customStyle="1" w:styleId="21">
    <w:name w:val="批注主题 字符"/>
    <w:basedOn w:val="20"/>
    <w:link w:val="10"/>
    <w:semiHidden/>
    <w:qFormat/>
    <w:uiPriority w:val="99"/>
    <w:rPr>
      <w:rFonts w:ascii="Times New Roman" w:hAnsi="Times New Roman" w:eastAsia="Adobe 仿宋 Std R" w:cs="Times New Roman"/>
      <w:b/>
      <w:bCs/>
      <w:kern w:val="2"/>
      <w:sz w:val="32"/>
      <w:szCs w:val="24"/>
    </w:rPr>
  </w:style>
  <w:style w:type="character" w:customStyle="1" w:styleId="22">
    <w:name w:val="页脚 字符"/>
    <w:basedOn w:val="12"/>
    <w:link w:val="7"/>
    <w:qFormat/>
    <w:uiPriority w:val="99"/>
    <w:rPr>
      <w:rFonts w:ascii="Times New Roman" w:hAnsi="Times New Roman" w:eastAsia="Adobe 仿宋 Std R" w:cs="Times New Roman"/>
      <w:kern w:val="2"/>
      <w:sz w:val="18"/>
      <w:szCs w:val="24"/>
    </w:rPr>
  </w:style>
  <w:style w:type="character" w:customStyle="1" w:styleId="23">
    <w:name w:val="标题 1 字符"/>
    <w:basedOn w:val="12"/>
    <w:link w:val="3"/>
    <w:qFormat/>
    <w:uiPriority w:val="9"/>
    <w:rPr>
      <w:rFonts w:ascii="Calibri" w:hAnsi="Calibri" w:eastAsia="黑体" w:cs="Times New Roman"/>
      <w:kern w:val="2"/>
      <w:sz w:val="32"/>
      <w:szCs w:val="22"/>
    </w:rPr>
  </w:style>
  <w:style w:type="character" w:customStyle="1" w:styleId="24">
    <w:name w:val="列出段落 字符"/>
    <w:link w:val="19"/>
    <w:qFormat/>
    <w:uiPriority w:val="34"/>
    <w:rPr>
      <w:rFonts w:ascii="Times New Roman" w:hAnsi="Times New Roman" w:eastAsia="Adobe 仿宋 Std R" w:cs="Times New Roman"/>
      <w:kern w:val="2"/>
      <w:sz w:val="32"/>
      <w:szCs w:val="24"/>
    </w:rPr>
  </w:style>
  <w:style w:type="paragraph" w:customStyle="1" w:styleId="25">
    <w:name w:val="_Style 19"/>
    <w:basedOn w:val="1"/>
    <w:next w:val="19"/>
    <w:qFormat/>
    <w:uiPriority w:val="34"/>
    <w:pPr>
      <w:ind w:firstLine="420" w:firstLineChars="200"/>
    </w:pPr>
    <w:rPr>
      <w:rFonts w:eastAsia="宋体"/>
      <w:sz w:val="21"/>
    </w:rPr>
  </w:style>
  <w:style w:type="character" w:customStyle="1" w:styleId="26">
    <w:name w:val="不明显强调1"/>
    <w:qFormat/>
    <w:uiPriority w:val="19"/>
    <w:rPr>
      <w:i/>
      <w:iCs/>
      <w:color w:val="548DD4"/>
    </w:rPr>
  </w:style>
  <w:style w:type="paragraph" w:customStyle="1" w:styleId="27">
    <w:name w:val="段"/>
    <w:qFormat/>
    <w:uiPriority w:val="0"/>
    <w:pPr>
      <w:tabs>
        <w:tab w:val="center" w:pos="4201"/>
        <w:tab w:val="right" w:leader="dot" w:pos="9298"/>
      </w:tabs>
      <w:autoSpaceDE w:val="0"/>
      <w:autoSpaceDN w:val="0"/>
      <w:spacing w:after="160" w:line="278" w:lineRule="auto"/>
      <w:ind w:firstLine="420" w:firstLineChars="200"/>
      <w:jc w:val="both"/>
    </w:pPr>
    <w:rPr>
      <w:rFonts w:ascii="宋体" w:hAnsi="Times New Roman" w:eastAsia="宋体" w:cs="Times New Roman"/>
      <w:sz w:val="21"/>
      <w:lang w:val="en-US" w:eastAsia="zh-CN" w:bidi="ar-SA"/>
    </w:rPr>
  </w:style>
  <w:style w:type="paragraph" w:customStyle="1" w:styleId="28">
    <w:name w:val="Heading2"/>
    <w:basedOn w:val="1"/>
    <w:next w:val="1"/>
    <w:qFormat/>
    <w:uiPriority w:val="0"/>
    <w:pPr>
      <w:keepNext/>
      <w:keepLines/>
      <w:spacing w:before="260" w:after="260" w:line="416" w:lineRule="auto"/>
      <w:jc w:val="both"/>
      <w:textAlignment w:val="baseline"/>
    </w:pPr>
    <w:rPr>
      <w:rFonts w:ascii="Calibri Light" w:hAnsi="Calibri Light" w:eastAsia="楷体" w:cs="Times New Roman"/>
      <w:b/>
      <w:bCs/>
      <w:kern w:val="2"/>
      <w:sz w:val="32"/>
      <w:szCs w:val="32"/>
      <w:lang w:val="en-US" w:eastAsia="zh-CN" w:bidi="ar-SA"/>
    </w:rPr>
  </w:style>
  <w:style w:type="paragraph" w:customStyle="1" w:styleId="29">
    <w:name w:val="图片标注"/>
    <w:basedOn w:val="1"/>
    <w:qFormat/>
    <w:uiPriority w:val="0"/>
    <w:pPr>
      <w:jc w:val="center"/>
    </w:pPr>
    <w:rPr>
      <w:rFonts w:ascii="Source Han Serif CN" w:hAnsi="Source Han Serif CN"/>
      <w:kern w:val="0"/>
      <w:szCs w:val="20"/>
      <w:lang w:val="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6D0A5C-0D8F-4F4E-A01E-49B7CE2D989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478</Words>
  <Characters>487</Characters>
  <Lines>62</Lines>
  <Paragraphs>17</Paragraphs>
  <TotalTime>1</TotalTime>
  <ScaleCrop>false</ScaleCrop>
  <LinksUpToDate>false</LinksUpToDate>
  <CharactersWithSpaces>487</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2026-04-13T05:02:00Z</dcterms:created>
  <dc:creator>董利华</dc:creator>
  <cp:lastModifiedBy>陈吕杏</cp:lastModifiedBy>
  <dcterms:modified xsi:type="dcterms:W3CDTF">2026-07-24T03:55:59Z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F25EE98A686C43D591BC32F37F098FD3</vt:lpwstr>
  </property>
  <property fmtid="{D5CDD505-2E9C-101B-9397-08002B2CF9AE}" pid="4" name="KSOTemplateDocerSaveRecord">
    <vt:lpwstr>eyJoZGlkIjoiYTM5ZjdiYWNjMjkyMGJiNWZjYjZjYmU1M2MyNTYzODQiLCJ1c2VySWQiOiIxMTk4NTg3NTIyIn0=</vt:lpwstr>
  </property>
</Properties>
</file>