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LineNumbers/>
        <w:spacing w:line="520" w:lineRule="exact"/>
        <w:rPr>
          <w:rFonts w:eastAsia="仿宋_GB2312"/>
          <w:sz w:val="32"/>
          <w:szCs w:val="32"/>
        </w:rPr>
      </w:pPr>
    </w:p>
    <w:p>
      <w:pPr>
        <w:suppressLineNumbers/>
        <w:spacing w:line="520" w:lineRule="exact"/>
        <w:ind w:left="2" w:hanging="2"/>
        <w:jc w:val="center"/>
        <w:rPr>
          <w:rFonts w:hint="eastAsia" w:eastAsia="方正小标宋简体"/>
          <w:sz w:val="44"/>
          <w:szCs w:val="44"/>
          <w:lang w:eastAsia="zh-CN"/>
        </w:rPr>
      </w:pPr>
      <w:bookmarkStart w:id="7" w:name="_GoBack"/>
      <w:r>
        <w:rPr>
          <w:rFonts w:hint="eastAsia" w:eastAsia="方正小标宋简体"/>
          <w:sz w:val="44"/>
          <w:szCs w:val="44"/>
        </w:rPr>
        <w:t>放射治疗患者用固定装置产品注册审查指导原则</w:t>
      </w:r>
      <w:r>
        <w:rPr>
          <w:rFonts w:hint="eastAsia" w:eastAsia="方正小标宋简体"/>
          <w:sz w:val="44"/>
          <w:szCs w:val="44"/>
          <w:lang w:eastAsia="zh-CN"/>
        </w:rPr>
        <w:t>（征求意见稿）</w:t>
      </w:r>
    </w:p>
    <w:bookmarkEnd w:id="7"/>
    <w:p>
      <w:pPr>
        <w:spacing w:line="520" w:lineRule="exact"/>
        <w:ind w:left="2" w:hanging="2"/>
        <w:jc w:val="center"/>
        <w:rPr>
          <w:rFonts w:eastAsia="方正小标宋简体"/>
          <w:sz w:val="44"/>
          <w:szCs w:val="44"/>
        </w:rPr>
      </w:pP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本指导原则旨在指导注册申请人对放射治疗患者用固定装置</w:t>
      </w:r>
      <w:r>
        <w:rPr>
          <w:rFonts w:eastAsia="仿宋_GB2312"/>
          <w:color w:val="000000"/>
          <w:sz w:val="32"/>
          <w:szCs w:val="32"/>
        </w:rPr>
        <w:t>械</w:t>
      </w:r>
      <w:r>
        <w:rPr>
          <w:rFonts w:hint="eastAsia" w:eastAsia="仿宋_GB2312"/>
          <w:color w:val="000000"/>
          <w:sz w:val="32"/>
          <w:szCs w:val="32"/>
        </w:rPr>
        <w:t>注册申报资料的准备及撰写，同时也为技术审评部门提供参考。</w:t>
      </w: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本指导原则是对放射治疗患者用固定装置</w:t>
      </w:r>
      <w:r>
        <w:rPr>
          <w:rFonts w:hint="eastAsia" w:eastAsia="仿宋_GB2312"/>
          <w:color w:val="000000"/>
          <w:sz w:val="32"/>
          <w:szCs w:val="32"/>
          <w:lang w:eastAsia="zh-CN"/>
        </w:rPr>
        <w:t>注册申报资料</w:t>
      </w:r>
      <w:r>
        <w:rPr>
          <w:rFonts w:hint="eastAsia" w:eastAsia="仿宋_GB2312"/>
          <w:color w:val="000000"/>
          <w:sz w:val="32"/>
          <w:szCs w:val="32"/>
        </w:rPr>
        <w:t>的一般要求，</w:t>
      </w:r>
      <w:r>
        <w:rPr>
          <w:rFonts w:hint="eastAsia" w:eastAsia="仿宋_GB2312"/>
          <w:color w:val="000000"/>
          <w:sz w:val="32"/>
          <w:szCs w:val="32"/>
          <w:lang w:eastAsia="zh-CN"/>
        </w:rPr>
        <w:t>注册</w:t>
      </w:r>
      <w:r>
        <w:rPr>
          <w:rFonts w:hint="eastAsia" w:eastAsia="仿宋_GB2312"/>
          <w:color w:val="000000"/>
          <w:sz w:val="32"/>
          <w:szCs w:val="32"/>
        </w:rPr>
        <w:t>人</w:t>
      </w:r>
      <w:r>
        <w:rPr>
          <w:rFonts w:hint="eastAsia" w:eastAsia="仿宋_GB2312"/>
          <w:color w:val="000000"/>
          <w:sz w:val="32"/>
          <w:szCs w:val="32"/>
          <w:lang w:eastAsia="zh-CN"/>
        </w:rPr>
        <w:t>需</w:t>
      </w:r>
      <w:r>
        <w:rPr>
          <w:rFonts w:hint="eastAsia" w:eastAsia="仿宋_GB2312"/>
          <w:color w:val="000000"/>
          <w:sz w:val="32"/>
          <w:szCs w:val="32"/>
        </w:rPr>
        <w:t>依据产品的具体特性确定其中内容是否适用。若不适用，需具体阐述理由及相应的科学依据，并依据产品的具体特性对注册申报资料的内容进行充实和细化。</w:t>
      </w: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本指导原则是在现行法规和标准体系以及当前认知水平下制定，随着法规和标准的不断完善，以及科学技术的不断发展，相关内容也将适时进行调整。</w:t>
      </w:r>
    </w:p>
    <w:p>
      <w:pPr>
        <w:numPr>
          <w:ilvl w:val="0"/>
          <w:numId w:val="1"/>
        </w:numPr>
        <w:spacing w:line="540" w:lineRule="exact"/>
        <w:ind w:firstLine="640" w:firstLineChars="200"/>
        <w:outlineLvl w:val="0"/>
        <w:rPr>
          <w:rFonts w:eastAsia="黑体"/>
          <w:sz w:val="32"/>
          <w:szCs w:val="32"/>
        </w:rPr>
      </w:pPr>
      <w:r>
        <w:rPr>
          <w:rFonts w:eastAsia="黑体"/>
          <w:sz w:val="32"/>
          <w:szCs w:val="32"/>
        </w:rPr>
        <w:t>适用范围</w:t>
      </w:r>
    </w:p>
    <w:p>
      <w:pPr>
        <w:spacing w:line="540" w:lineRule="exact"/>
        <w:ind w:firstLine="640" w:firstLineChars="200"/>
        <w:rPr>
          <w:rFonts w:eastAsia="黑体"/>
          <w:sz w:val="32"/>
          <w:szCs w:val="32"/>
        </w:rPr>
      </w:pPr>
      <w:r>
        <w:rPr>
          <w:rFonts w:eastAsia="仿宋_GB2312"/>
          <w:sz w:val="32"/>
          <w:szCs w:val="32"/>
        </w:rPr>
        <w:t>本</w:t>
      </w:r>
      <w:r>
        <w:rPr>
          <w:rFonts w:hint="eastAsia" w:eastAsia="仿宋_GB2312"/>
          <w:sz w:val="32"/>
          <w:szCs w:val="32"/>
        </w:rPr>
        <w:t>指导原则</w:t>
      </w:r>
      <w:r>
        <w:rPr>
          <w:rFonts w:eastAsia="仿宋_GB2312"/>
          <w:sz w:val="32"/>
          <w:szCs w:val="32"/>
        </w:rPr>
        <w:t>适用于按第二类医疗器械管理的</w:t>
      </w:r>
      <w:r>
        <w:rPr>
          <w:rFonts w:hint="eastAsia" w:eastAsia="仿宋_GB2312"/>
          <w:sz w:val="32"/>
          <w:szCs w:val="32"/>
        </w:rPr>
        <w:t>放射治疗患者用固定装置</w:t>
      </w:r>
      <w:r>
        <w:rPr>
          <w:rFonts w:eastAsia="仿宋_GB2312"/>
          <w:sz w:val="32"/>
          <w:szCs w:val="32"/>
        </w:rPr>
        <w:t>产</w:t>
      </w:r>
      <w:r>
        <w:rPr>
          <w:rFonts w:hint="eastAsia" w:eastAsia="仿宋_GB2312"/>
          <w:sz w:val="32"/>
          <w:szCs w:val="32"/>
        </w:rPr>
        <w:t>品，该产品通常由高分子材料通过</w:t>
      </w:r>
      <w:r>
        <w:rPr>
          <w:rFonts w:eastAsia="仿宋_GB2312"/>
          <w:sz w:val="32"/>
          <w:szCs w:val="32"/>
        </w:rPr>
        <w:t>3D打印或其他工艺方式成型，具有特定形状。根据固定部位可无菌或非无菌提供。适用于肿瘤放射治疗时对人体部位的固定。参考《医疗器械分类目录》，产品的分类编码为</w:t>
      </w:r>
      <w:bookmarkStart w:id="0" w:name="OLE_LINK3"/>
      <w:r>
        <w:rPr>
          <w:rFonts w:eastAsia="仿宋_GB2312"/>
          <w:sz w:val="32"/>
          <w:szCs w:val="32"/>
        </w:rPr>
        <w:t>05-04（</w:t>
      </w:r>
      <w:r>
        <w:rPr>
          <w:rFonts w:hint="eastAsia" w:eastAsia="仿宋_GB2312"/>
          <w:sz w:val="32"/>
          <w:szCs w:val="32"/>
        </w:rPr>
        <w:t>放射治疗器械</w:t>
      </w:r>
      <w:r>
        <w:rPr>
          <w:rFonts w:eastAsia="仿宋_GB2312"/>
          <w:sz w:val="32"/>
          <w:szCs w:val="32"/>
        </w:rPr>
        <w:t>-</w:t>
      </w:r>
      <w:r>
        <w:rPr>
          <w:rFonts w:hint="eastAsia" w:eastAsia="仿宋_GB2312"/>
          <w:sz w:val="32"/>
          <w:szCs w:val="32"/>
        </w:rPr>
        <w:t>放射治疗配套器械</w:t>
      </w:r>
      <w:r>
        <w:rPr>
          <w:rFonts w:eastAsia="仿宋_GB2312"/>
          <w:sz w:val="32"/>
          <w:szCs w:val="32"/>
        </w:rPr>
        <w:t>）</w:t>
      </w:r>
      <w:bookmarkEnd w:id="0"/>
      <w:r>
        <w:rPr>
          <w:rFonts w:hint="eastAsia" w:eastAsia="仿宋_GB2312"/>
          <w:sz w:val="32"/>
          <w:szCs w:val="32"/>
        </w:rPr>
        <w:t>。</w:t>
      </w:r>
    </w:p>
    <w:p>
      <w:pPr>
        <w:spacing w:line="580" w:lineRule="exact"/>
        <w:ind w:firstLine="640" w:firstLineChars="200"/>
        <w:outlineLvl w:val="0"/>
        <w:rPr>
          <w:rFonts w:eastAsia="黑体"/>
          <w:sz w:val="32"/>
          <w:szCs w:val="32"/>
        </w:rPr>
      </w:pPr>
      <w:r>
        <w:rPr>
          <w:rFonts w:eastAsia="黑体"/>
          <w:sz w:val="32"/>
          <w:szCs w:val="32"/>
        </w:rPr>
        <w:t>二、审查要点</w:t>
      </w:r>
    </w:p>
    <w:p>
      <w:pPr>
        <w:spacing w:line="580" w:lineRule="exact"/>
        <w:ind w:firstLine="640" w:firstLineChars="200"/>
        <w:outlineLvl w:val="1"/>
        <w:rPr>
          <w:rFonts w:eastAsia="楷体_GB2312"/>
          <w:color w:val="000000"/>
          <w:sz w:val="32"/>
          <w:szCs w:val="32"/>
        </w:rPr>
      </w:pPr>
      <w:r>
        <w:rPr>
          <w:rFonts w:eastAsia="楷体_GB2312"/>
          <w:sz w:val="32"/>
          <w:szCs w:val="32"/>
        </w:rPr>
        <w:t>（一）</w:t>
      </w:r>
      <w:r>
        <w:rPr>
          <w:rFonts w:hint="eastAsia" w:eastAsia="楷体_GB2312"/>
          <w:color w:val="000000"/>
          <w:sz w:val="32"/>
          <w:szCs w:val="32"/>
        </w:rPr>
        <w:t>监管信息</w:t>
      </w:r>
    </w:p>
    <w:p>
      <w:pPr>
        <w:spacing w:line="580" w:lineRule="exact"/>
        <w:ind w:firstLine="640" w:firstLineChars="200"/>
        <w:rPr>
          <w:rFonts w:eastAsia="仿宋_GB2312"/>
          <w:color w:val="000000"/>
          <w:sz w:val="32"/>
          <w:szCs w:val="32"/>
        </w:rPr>
      </w:pPr>
      <w:r>
        <w:rPr>
          <w:rFonts w:hint="eastAsia" w:eastAsia="仿宋_GB2312"/>
          <w:color w:val="000000"/>
          <w:sz w:val="32"/>
          <w:szCs w:val="32"/>
        </w:rPr>
        <w:t>1.申请表</w:t>
      </w:r>
    </w:p>
    <w:p>
      <w:pPr>
        <w:spacing w:line="580" w:lineRule="exact"/>
        <w:ind w:firstLine="640" w:firstLineChars="200"/>
        <w:rPr>
          <w:rFonts w:eastAsia="仿宋_GB2312"/>
          <w:color w:val="000000"/>
          <w:sz w:val="32"/>
          <w:szCs w:val="32"/>
        </w:rPr>
      </w:pPr>
      <w:r>
        <w:rPr>
          <w:rFonts w:hint="eastAsia" w:eastAsia="仿宋_GB2312"/>
          <w:color w:val="000000"/>
          <w:sz w:val="32"/>
          <w:szCs w:val="32"/>
        </w:rPr>
        <w:t>1.1产品名称及分类编码</w:t>
      </w:r>
    </w:p>
    <w:p>
      <w:pPr>
        <w:spacing w:line="580" w:lineRule="exact"/>
        <w:ind w:firstLine="640" w:firstLineChars="200"/>
        <w:rPr>
          <w:rFonts w:eastAsia="仿宋_GB2312"/>
          <w:sz w:val="32"/>
          <w:szCs w:val="32"/>
        </w:rPr>
      </w:pPr>
      <w:r>
        <w:rPr>
          <w:rFonts w:eastAsia="仿宋_GB2312"/>
          <w:sz w:val="32"/>
          <w:szCs w:val="32"/>
        </w:rPr>
        <w:t>产品名称</w:t>
      </w:r>
      <w:r>
        <w:rPr>
          <w:rFonts w:hint="eastAsia" w:eastAsia="仿宋_GB2312"/>
          <w:sz w:val="32"/>
          <w:szCs w:val="32"/>
        </w:rPr>
        <w:t>符合</w:t>
      </w:r>
      <w:r>
        <w:rPr>
          <w:rFonts w:eastAsia="仿宋_GB2312"/>
          <w:sz w:val="32"/>
          <w:szCs w:val="32"/>
        </w:rPr>
        <w:t>《医疗器械通用名称命名规则》等</w:t>
      </w:r>
      <w:r>
        <w:rPr>
          <w:rFonts w:hint="eastAsia" w:eastAsia="仿宋_GB2312"/>
          <w:sz w:val="32"/>
          <w:szCs w:val="32"/>
        </w:rPr>
        <w:t>医疗器械命名有关指南的规定</w:t>
      </w:r>
      <w:r>
        <w:rPr>
          <w:rFonts w:eastAsia="仿宋_GB2312"/>
          <w:sz w:val="32"/>
          <w:szCs w:val="32"/>
        </w:rPr>
        <w:t>。产品名称</w:t>
      </w:r>
      <w:r>
        <w:rPr>
          <w:rFonts w:hint="eastAsia" w:eastAsia="仿宋_GB2312"/>
          <w:sz w:val="32"/>
          <w:szCs w:val="32"/>
        </w:rPr>
        <w:t>以体现</w:t>
      </w:r>
      <w:r>
        <w:rPr>
          <w:rFonts w:eastAsia="仿宋_GB2312"/>
          <w:sz w:val="32"/>
          <w:szCs w:val="32"/>
        </w:rPr>
        <w:t>产品</w:t>
      </w:r>
      <w:r>
        <w:rPr>
          <w:rFonts w:hint="eastAsia" w:eastAsia="仿宋_GB2312"/>
          <w:sz w:val="32"/>
          <w:szCs w:val="32"/>
        </w:rPr>
        <w:t>真实属性</w:t>
      </w:r>
      <w:r>
        <w:rPr>
          <w:rFonts w:hint="eastAsia" w:eastAsia="仿宋_GB2312"/>
          <w:color w:val="000000"/>
          <w:sz w:val="32"/>
          <w:szCs w:val="28"/>
        </w:rPr>
        <w:t>和相关特征</w:t>
      </w:r>
      <w:r>
        <w:rPr>
          <w:rFonts w:eastAsia="仿宋_GB2312"/>
          <w:sz w:val="32"/>
          <w:szCs w:val="32"/>
        </w:rPr>
        <w:t>为基本准则</w:t>
      </w:r>
      <w:r>
        <w:rPr>
          <w:rFonts w:hint="eastAsia" w:eastAsia="仿宋_GB2312"/>
          <w:sz w:val="32"/>
          <w:szCs w:val="32"/>
        </w:rPr>
        <w:t>，</w:t>
      </w:r>
      <w:r>
        <w:rPr>
          <w:rFonts w:eastAsia="仿宋_GB2312"/>
          <w:sz w:val="32"/>
          <w:szCs w:val="32"/>
        </w:rPr>
        <w:t>如</w:t>
      </w:r>
      <w:bookmarkStart w:id="1" w:name="OLE_LINK4"/>
      <w:r>
        <w:rPr>
          <w:rFonts w:eastAsia="仿宋_GB2312"/>
          <w:sz w:val="32"/>
          <w:szCs w:val="32"/>
        </w:rPr>
        <w:t>“</w:t>
      </w:r>
      <w:r>
        <w:rPr>
          <w:rFonts w:hint="eastAsia" w:eastAsia="仿宋_GB2312"/>
          <w:sz w:val="32"/>
          <w:szCs w:val="32"/>
        </w:rPr>
        <w:t>放射治疗患者用固定装置</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患者固定框架</w:t>
      </w:r>
      <w:r>
        <w:rPr>
          <w:rFonts w:eastAsia="仿宋_GB2312"/>
          <w:sz w:val="32"/>
          <w:szCs w:val="32"/>
        </w:rPr>
        <w:t>”</w:t>
      </w:r>
      <w:r>
        <w:rPr>
          <w:rFonts w:hint="eastAsia" w:eastAsia="仿宋_GB2312"/>
          <w:sz w:val="32"/>
          <w:szCs w:val="32"/>
        </w:rPr>
        <w:t>等</w:t>
      </w:r>
      <w:bookmarkEnd w:id="1"/>
      <w:r>
        <w:rPr>
          <w:rFonts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根据</w:t>
      </w:r>
      <w:r>
        <w:rPr>
          <w:rFonts w:eastAsia="仿宋_GB2312"/>
          <w:sz w:val="32"/>
          <w:szCs w:val="32"/>
        </w:rPr>
        <w:t>《医疗器械分类目录》，产品的分类编码为05-04-08</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1.2注册单元划分的原则和实例</w:t>
      </w:r>
    </w:p>
    <w:p>
      <w:pPr>
        <w:spacing w:line="520" w:lineRule="exact"/>
        <w:ind w:firstLine="640" w:firstLineChars="200"/>
        <w:rPr>
          <w:rFonts w:eastAsia="仿宋_GB2312"/>
          <w:sz w:val="32"/>
          <w:szCs w:val="32"/>
        </w:rPr>
      </w:pPr>
      <w:r>
        <w:rPr>
          <w:rFonts w:eastAsia="仿宋_GB2312"/>
          <w:sz w:val="32"/>
          <w:szCs w:val="32"/>
        </w:rPr>
        <w:t>依据《医疗器械注册单元划分指导原则》的相关要求，</w:t>
      </w:r>
      <w:r>
        <w:rPr>
          <w:rFonts w:hint="eastAsia" w:eastAsia="仿宋_GB2312"/>
          <w:sz w:val="32"/>
          <w:szCs w:val="32"/>
        </w:rPr>
        <w:t>放射治疗患者用固定装置</w:t>
      </w:r>
      <w:r>
        <w:rPr>
          <w:rFonts w:eastAsia="仿宋_GB2312"/>
          <w:sz w:val="32"/>
          <w:szCs w:val="32"/>
        </w:rPr>
        <w:t>产品的注册单元以产品的技术原理、</w:t>
      </w:r>
      <w:r>
        <w:rPr>
          <w:rFonts w:hint="eastAsia" w:eastAsia="仿宋_GB2312"/>
          <w:sz w:val="32"/>
          <w:szCs w:val="32"/>
        </w:rPr>
        <w:t>制造材料、结构组成、性能指标</w:t>
      </w:r>
      <w:r>
        <w:rPr>
          <w:rFonts w:eastAsia="仿宋_GB2312"/>
          <w:sz w:val="32"/>
          <w:szCs w:val="32"/>
        </w:rPr>
        <w:t>为划分依据。</w:t>
      </w:r>
    </w:p>
    <w:p>
      <w:pPr>
        <w:spacing w:line="520" w:lineRule="exact"/>
        <w:ind w:firstLine="640" w:firstLineChars="200"/>
        <w:rPr>
          <w:rFonts w:eastAsia="仿宋_GB2312"/>
          <w:sz w:val="32"/>
          <w:szCs w:val="32"/>
        </w:rPr>
      </w:pPr>
      <w:r>
        <w:rPr>
          <w:rFonts w:hint="eastAsia" w:eastAsia="仿宋_GB2312"/>
          <w:sz w:val="32"/>
          <w:szCs w:val="32"/>
        </w:rPr>
        <w:t>例：</w:t>
      </w:r>
      <w:r>
        <w:rPr>
          <w:rFonts w:hint="eastAsia" w:eastAsia="仿宋_GB2312"/>
          <w:sz w:val="32"/>
          <w:szCs w:val="32"/>
          <w:lang w:val="en-US" w:eastAsia="zh-CN"/>
        </w:rPr>
        <w:t>如其制造材料、结构组成不同导致产品的适用范围、性能指标不同时，建议划分为不同的注册单元。</w:t>
      </w:r>
      <w:r>
        <w:rPr>
          <w:rFonts w:hint="eastAsia" w:eastAsia="仿宋_GB2312"/>
          <w:sz w:val="32"/>
          <w:szCs w:val="32"/>
        </w:rPr>
        <w:t>。</w:t>
      </w:r>
    </w:p>
    <w:p>
      <w:pPr>
        <w:spacing w:line="520" w:lineRule="exact"/>
        <w:ind w:right="-67" w:rightChars="-32" w:firstLine="640" w:firstLineChars="200"/>
        <w:rPr>
          <w:rFonts w:eastAsia="仿宋_GB2312"/>
          <w:sz w:val="32"/>
          <w:szCs w:val="32"/>
        </w:rPr>
      </w:pPr>
      <w:r>
        <w:rPr>
          <w:rFonts w:hint="eastAsia" w:eastAsia="仿宋_GB2312"/>
          <w:sz w:val="32"/>
          <w:szCs w:val="32"/>
        </w:rPr>
        <w:t>2.</w:t>
      </w:r>
      <w:r>
        <w:rPr>
          <w:rFonts w:eastAsia="仿宋_GB2312"/>
          <w:color w:val="000000"/>
          <w:sz w:val="32"/>
          <w:szCs w:val="32"/>
        </w:rPr>
        <w:t>术语、缩写词列表（如适用）</w:t>
      </w:r>
    </w:p>
    <w:p>
      <w:pPr>
        <w:spacing w:line="580" w:lineRule="exact"/>
        <w:ind w:firstLine="640" w:firstLineChars="200"/>
        <w:rPr>
          <w:rFonts w:eastAsia="仿宋_GB2312"/>
          <w:sz w:val="32"/>
          <w:szCs w:val="32"/>
        </w:rPr>
      </w:pPr>
      <w:r>
        <w:rPr>
          <w:rFonts w:hint="eastAsia" w:eastAsia="仿宋_GB2312"/>
          <w:sz w:val="32"/>
          <w:szCs w:val="32"/>
        </w:rPr>
        <w:t>3.</w:t>
      </w:r>
      <w:r>
        <w:rPr>
          <w:rFonts w:eastAsia="仿宋_GB2312"/>
          <w:color w:val="000000"/>
          <w:sz w:val="32"/>
          <w:szCs w:val="32"/>
        </w:rPr>
        <w:t>产品列表</w:t>
      </w:r>
    </w:p>
    <w:p>
      <w:pPr>
        <w:spacing w:line="580" w:lineRule="exact"/>
        <w:ind w:firstLine="640" w:firstLineChars="200"/>
        <w:rPr>
          <w:rFonts w:eastAsia="仿宋_GB2312"/>
          <w:sz w:val="32"/>
          <w:szCs w:val="32"/>
        </w:rPr>
      </w:pPr>
      <w:r>
        <w:rPr>
          <w:rFonts w:hint="eastAsia" w:eastAsia="仿宋_GB2312"/>
          <w:bCs/>
          <w:color w:val="000000"/>
          <w:sz w:val="32"/>
          <w:szCs w:val="32"/>
        </w:rPr>
        <w:t>3.1关注各型号规格是否属于同一注册单元，</w:t>
      </w:r>
      <w:r>
        <w:rPr>
          <w:rFonts w:hint="eastAsia" w:eastAsia="仿宋_GB2312"/>
          <w:bCs/>
          <w:color w:val="000000"/>
          <w:sz w:val="32"/>
          <w:szCs w:val="32"/>
          <w:lang w:val="en-US" w:eastAsia="zh-CN"/>
        </w:rPr>
        <w:t>以表格形式列出拟申报产品的型号、规格、结构及组成、附件，以及每个型号规格的标识（如型号或部件的编号，器械唯一标识等）和描述说明（如尺寸、材质等）。</w:t>
      </w:r>
      <w:r>
        <w:rPr>
          <w:rFonts w:hint="eastAsia" w:eastAsia="仿宋_GB2312"/>
          <w:sz w:val="32"/>
          <w:szCs w:val="32"/>
        </w:rPr>
        <w:t>放射治疗患者用固定装置</w:t>
      </w:r>
      <w:r>
        <w:rPr>
          <w:rFonts w:eastAsia="仿宋_GB2312"/>
          <w:sz w:val="32"/>
          <w:szCs w:val="32"/>
        </w:rPr>
        <w:t>产品的注册单元以产品的技术原理、</w:t>
      </w:r>
      <w:r>
        <w:rPr>
          <w:rFonts w:hint="eastAsia" w:eastAsia="仿宋_GB2312"/>
          <w:sz w:val="32"/>
          <w:szCs w:val="32"/>
        </w:rPr>
        <w:t>制造材料、结构组成、性能指标为划分依据</w:t>
      </w:r>
      <w:r>
        <w:rPr>
          <w:rFonts w:eastAsia="仿宋_GB2312"/>
          <w:sz w:val="32"/>
          <w:szCs w:val="32"/>
        </w:rPr>
        <w:t>。</w:t>
      </w:r>
    </w:p>
    <w:p>
      <w:pPr>
        <w:spacing w:line="520" w:lineRule="exact"/>
        <w:ind w:firstLine="640" w:firstLineChars="200"/>
        <w:rPr>
          <w:rFonts w:eastAsia="仿宋_GB2312"/>
          <w:color w:val="000000"/>
          <w:spacing w:val="-1"/>
          <w:sz w:val="32"/>
          <w:szCs w:val="32"/>
        </w:rPr>
      </w:pPr>
      <w:r>
        <w:rPr>
          <w:rFonts w:eastAsia="仿宋_GB2312"/>
          <w:color w:val="000000"/>
          <w:sz w:val="32"/>
          <w:szCs w:val="32"/>
        </w:rPr>
        <w:t>4.关联文件</w:t>
      </w:r>
    </w:p>
    <w:p>
      <w:pPr>
        <w:spacing w:line="520" w:lineRule="exact"/>
        <w:ind w:firstLine="640" w:firstLineChars="200"/>
        <w:rPr>
          <w:rFonts w:eastAsia="仿宋_GB2312"/>
          <w:color w:val="000000"/>
          <w:spacing w:val="-1"/>
          <w:sz w:val="32"/>
          <w:szCs w:val="32"/>
        </w:rPr>
      </w:pPr>
      <w:r>
        <w:rPr>
          <w:rFonts w:eastAsia="仿宋_GB2312"/>
          <w:color w:val="000000"/>
          <w:sz w:val="32"/>
          <w:szCs w:val="32"/>
        </w:rPr>
        <w:t>5.</w:t>
      </w:r>
      <w:r>
        <w:rPr>
          <w:rFonts w:eastAsia="仿宋_GB2312"/>
          <w:color w:val="000000"/>
          <w:spacing w:val="-1"/>
          <w:sz w:val="32"/>
          <w:szCs w:val="32"/>
        </w:rPr>
        <w:t>申报前与监管机构的联系情况和沟通记录（如适用）</w:t>
      </w:r>
    </w:p>
    <w:p>
      <w:pPr>
        <w:spacing w:line="520" w:lineRule="exact"/>
        <w:ind w:firstLine="640" w:firstLineChars="200"/>
        <w:rPr>
          <w:rFonts w:eastAsia="楷体_GB2312"/>
          <w:color w:val="000000"/>
          <w:sz w:val="32"/>
          <w:szCs w:val="32"/>
        </w:rPr>
      </w:pPr>
      <w:r>
        <w:rPr>
          <w:rFonts w:eastAsia="仿宋_GB2312"/>
          <w:color w:val="000000"/>
          <w:sz w:val="32"/>
          <w:szCs w:val="32"/>
        </w:rPr>
        <w:t>6.符合性声明</w:t>
      </w:r>
    </w:p>
    <w:p>
      <w:pPr>
        <w:spacing w:line="520" w:lineRule="exact"/>
        <w:ind w:right="-67" w:rightChars="-32" w:firstLine="640" w:firstLineChars="200"/>
        <w:rPr>
          <w:rFonts w:eastAsia="楷体_GB2312"/>
          <w:color w:val="000000"/>
          <w:sz w:val="32"/>
          <w:szCs w:val="32"/>
        </w:rPr>
      </w:pPr>
      <w:r>
        <w:rPr>
          <w:rFonts w:eastAsia="楷体_GB2312"/>
          <w:color w:val="000000"/>
          <w:sz w:val="32"/>
          <w:szCs w:val="32"/>
        </w:rPr>
        <w:t>（二）综述资料</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1.概述</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1.1</w:t>
      </w:r>
      <w:r>
        <w:rPr>
          <w:rFonts w:hint="eastAsia" w:eastAsia="仿宋_GB2312"/>
          <w:color w:val="000000"/>
          <w:sz w:val="32"/>
          <w:szCs w:val="32"/>
        </w:rPr>
        <w:t>依据医疗器械分类目录，</w:t>
      </w:r>
      <w:r>
        <w:rPr>
          <w:rFonts w:hint="eastAsia" w:eastAsia="仿宋_GB2312"/>
          <w:sz w:val="32"/>
          <w:szCs w:val="32"/>
        </w:rPr>
        <w:t>放射治疗患者用固定装置</w:t>
      </w:r>
      <w:r>
        <w:rPr>
          <w:rFonts w:hint="eastAsia" w:eastAsia="仿宋_GB2312"/>
          <w:color w:val="000000"/>
          <w:sz w:val="32"/>
          <w:szCs w:val="32"/>
        </w:rPr>
        <w:t>管理类别为Ⅱ类医疗器械，分类编码为</w:t>
      </w:r>
      <w:r>
        <w:rPr>
          <w:rFonts w:eastAsia="仿宋_GB2312"/>
          <w:sz w:val="32"/>
          <w:szCs w:val="32"/>
        </w:rPr>
        <w:t>05-04（放射治疗器械-放射治疗配套器械—放射治疗患者用固定装置）</w:t>
      </w:r>
      <w:r>
        <w:rPr>
          <w:rFonts w:hint="eastAsia" w:eastAsia="仿宋_GB2312"/>
          <w:color w:val="000000"/>
          <w:sz w:val="32"/>
          <w:szCs w:val="32"/>
        </w:rPr>
        <w:t>。</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1.2</w:t>
      </w:r>
      <w:r>
        <w:rPr>
          <w:rFonts w:hint="eastAsia" w:eastAsia="仿宋_GB2312"/>
          <w:color w:val="000000"/>
          <w:sz w:val="32"/>
          <w:szCs w:val="32"/>
        </w:rPr>
        <w:t>产品命名符合《医疗器械通用名称命名规则》、</w:t>
      </w:r>
      <w:r>
        <w:rPr>
          <w:rFonts w:hint="eastAsia" w:eastAsia="仿宋_GB2312"/>
          <w:sz w:val="32"/>
          <w:szCs w:val="32"/>
        </w:rPr>
        <w:t>《无源手术器械通用名称命名指导原则》</w:t>
      </w:r>
      <w:r>
        <w:rPr>
          <w:rFonts w:hint="eastAsia" w:eastAsia="仿宋_GB2312"/>
          <w:color w:val="000000"/>
          <w:sz w:val="32"/>
          <w:szCs w:val="32"/>
        </w:rPr>
        <w:t>以及国家标准、行业标准中的通用名称要求，如“放射治疗患者用固定装置”、“</w:t>
      </w:r>
      <w:r>
        <w:rPr>
          <w:rFonts w:eastAsia="仿宋_GB2312"/>
          <w:color w:val="000000"/>
          <w:sz w:val="32"/>
          <w:szCs w:val="32"/>
        </w:rPr>
        <w:t xml:space="preserve"> 患者固定框架”等</w:t>
      </w:r>
      <w:r>
        <w:rPr>
          <w:rFonts w:hint="eastAsia" w:eastAsia="仿宋_GB2312"/>
          <w:color w:val="000000"/>
          <w:sz w:val="32"/>
          <w:szCs w:val="32"/>
        </w:rPr>
        <w:t>。</w:t>
      </w:r>
    </w:p>
    <w:p>
      <w:pPr>
        <w:spacing w:line="520" w:lineRule="exact"/>
        <w:ind w:firstLine="640" w:firstLineChars="200"/>
        <w:rPr>
          <w:rFonts w:eastAsia="仿宋_GB2312"/>
          <w:kern w:val="0"/>
          <w:sz w:val="32"/>
        </w:rPr>
      </w:pPr>
      <w:r>
        <w:rPr>
          <w:rFonts w:eastAsia="仿宋_GB2312"/>
          <w:kern w:val="0"/>
          <w:sz w:val="32"/>
        </w:rPr>
        <w:t>1.3适用范</w:t>
      </w:r>
      <w:r>
        <w:rPr>
          <w:rFonts w:hint="eastAsia" w:eastAsia="仿宋_GB2312"/>
          <w:sz w:val="32"/>
          <w:szCs w:val="32"/>
        </w:rPr>
        <w:t>围：</w:t>
      </w:r>
      <w:bookmarkStart w:id="2" w:name="OLE_LINK5"/>
      <w:bookmarkStart w:id="3" w:name="OLE_LINK6"/>
      <w:r>
        <w:rPr>
          <w:rFonts w:hint="eastAsia" w:eastAsia="仿宋_GB2312"/>
          <w:sz w:val="32"/>
          <w:szCs w:val="32"/>
        </w:rPr>
        <w:t>适用于肿瘤放射治疗时对人体部位的固定。</w:t>
      </w:r>
    </w:p>
    <w:bookmarkEnd w:id="2"/>
    <w:bookmarkEnd w:id="3"/>
    <w:p>
      <w:pPr>
        <w:spacing w:line="520" w:lineRule="exact"/>
        <w:ind w:right="-67" w:rightChars="-32" w:firstLine="640" w:firstLineChars="200"/>
        <w:rPr>
          <w:rFonts w:eastAsia="仿宋_GB2312"/>
          <w:color w:val="000000"/>
          <w:sz w:val="32"/>
          <w:szCs w:val="32"/>
        </w:rPr>
      </w:pPr>
      <w:r>
        <w:rPr>
          <w:rFonts w:eastAsia="仿宋_GB2312"/>
          <w:color w:val="000000"/>
          <w:sz w:val="32"/>
          <w:szCs w:val="32"/>
        </w:rPr>
        <w:t>1.4如适用，描述有关申报产品的背景信息概述或特别细节，如：申报产品的历史概述、历次提交的信息，与其他经批准上市产品的关系</w:t>
      </w:r>
      <w:r>
        <w:rPr>
          <w:rFonts w:hint="eastAsia" w:eastAsia="仿宋_GB2312"/>
          <w:color w:val="000000"/>
          <w:sz w:val="32"/>
          <w:szCs w:val="32"/>
        </w:rPr>
        <w:t>等内容</w:t>
      </w:r>
      <w:r>
        <w:rPr>
          <w:rFonts w:eastAsia="仿宋_GB2312"/>
          <w:color w:val="000000"/>
          <w:sz w:val="32"/>
          <w:szCs w:val="32"/>
        </w:rPr>
        <w:t>。</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2.产品描述</w:t>
      </w:r>
    </w:p>
    <w:p>
      <w:pPr>
        <w:spacing w:line="52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1</w:t>
      </w:r>
      <w:r>
        <w:rPr>
          <w:rFonts w:eastAsia="仿宋_GB2312"/>
          <w:kern w:val="0"/>
          <w:sz w:val="32"/>
        </w:rPr>
        <w:t>产品工作原理</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放射治疗患者用固定装置的工作原理是根据影像三维模型，按照临床医生的规划，采用射线辐射衰减率较小的材料经</w:t>
      </w:r>
      <w:r>
        <w:rPr>
          <w:rFonts w:eastAsia="仿宋_GB2312"/>
          <w:color w:val="000000"/>
          <w:sz w:val="32"/>
          <w:szCs w:val="32"/>
        </w:rPr>
        <w:t>3D打印或其他工艺制成的具有仿生结构的固定装置。产品不仅能在放射治疗时支撑固定人体部位，减少治疗过程中放疗目标器官的不自主运动。患者佩戴舒适度高，有效提高放疗精准度，降低放疗副作用</w:t>
      </w:r>
      <w:r>
        <w:rPr>
          <w:rFonts w:hint="eastAsia" w:eastAsia="仿宋_GB2312"/>
          <w:color w:val="000000"/>
          <w:sz w:val="32"/>
          <w:szCs w:val="32"/>
        </w:rPr>
        <w:t>。</w:t>
      </w:r>
    </w:p>
    <w:p>
      <w:pPr>
        <w:tabs>
          <w:tab w:val="left" w:pos="683"/>
        </w:tabs>
        <w:spacing w:line="520" w:lineRule="exact"/>
        <w:ind w:right="-67" w:rightChars="-32"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2产品的结构和组成</w:t>
      </w:r>
    </w:p>
    <w:p>
      <w:pPr>
        <w:spacing w:line="520" w:lineRule="exact"/>
        <w:ind w:right="-67" w:rightChars="-32" w:firstLine="640" w:firstLineChars="200"/>
        <w:rPr>
          <w:rFonts w:eastAsia="仿宋_GB2312"/>
          <w:sz w:val="32"/>
          <w:szCs w:val="32"/>
        </w:rPr>
      </w:pPr>
      <w:r>
        <w:rPr>
          <w:rFonts w:hint="eastAsia" w:eastAsia="仿宋_GB2312"/>
          <w:sz w:val="32"/>
          <w:szCs w:val="32"/>
        </w:rPr>
        <w:t>放射治疗患者用固定装置产品，该产品通常由高分子材料通过</w:t>
      </w:r>
      <w:r>
        <w:rPr>
          <w:rFonts w:eastAsia="仿宋_GB2312"/>
          <w:sz w:val="32"/>
          <w:szCs w:val="32"/>
        </w:rPr>
        <w:t>3D打印或其他工艺方式成型，具有特定形状。根据固定部位可无菌或非无菌提供。适用于肿瘤放射治疗时对人体部位的固定</w:t>
      </w:r>
      <w:r>
        <w:rPr>
          <w:rFonts w:hint="eastAsia" w:eastAsia="仿宋_GB2312"/>
          <w:sz w:val="32"/>
          <w:szCs w:val="32"/>
        </w:rPr>
        <w:t>。一般放射治疗患者用固定装置</w:t>
      </w:r>
      <w:r>
        <w:rPr>
          <w:rFonts w:eastAsia="仿宋_GB2312"/>
          <w:sz w:val="32"/>
          <w:szCs w:val="32"/>
        </w:rPr>
        <w:t>组成如下图所示。</w:t>
      </w:r>
    </w:p>
    <w:p>
      <w:pPr>
        <w:spacing w:line="520" w:lineRule="exact"/>
        <w:ind w:right="-67" w:rightChars="-32" w:firstLine="640" w:firstLineChars="200"/>
        <w:rPr>
          <w:rFonts w:eastAsia="仿宋_GB2312"/>
          <w:sz w:val="32"/>
          <w:szCs w:val="32"/>
        </w:rPr>
      </w:pPr>
    </w:p>
    <w:p>
      <w:pPr>
        <w:spacing w:line="520" w:lineRule="exact"/>
        <w:ind w:right="-67" w:rightChars="-32"/>
        <w:rPr>
          <w:rFonts w:eastAsia="仿宋_GB2312"/>
          <w:sz w:val="32"/>
          <w:szCs w:val="32"/>
        </w:rPr>
      </w:pPr>
      <w:r>
        <w:drawing>
          <wp:anchor distT="0" distB="0" distL="114300" distR="114300" simplePos="0" relativeHeight="251659264" behindDoc="0" locked="0" layoutInCell="1" allowOverlap="1">
            <wp:simplePos x="0" y="0"/>
            <wp:positionH relativeFrom="column">
              <wp:posOffset>1685925</wp:posOffset>
            </wp:positionH>
            <wp:positionV relativeFrom="paragraph">
              <wp:posOffset>8890</wp:posOffset>
            </wp:positionV>
            <wp:extent cx="2143125" cy="1485900"/>
            <wp:effectExtent l="0" t="0" r="9525" b="0"/>
            <wp:wrapNone/>
            <wp:docPr id="3" name="图片 3" descr="C:\Users\ADMINI~1\AppData\Local\Temp\ksohtml7044\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7044\wp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143125" cy="1485900"/>
                    </a:xfrm>
                    <a:prstGeom prst="rect">
                      <a:avLst/>
                    </a:prstGeom>
                    <a:noFill/>
                    <a:ln>
                      <a:noFill/>
                    </a:ln>
                  </pic:spPr>
                </pic:pic>
              </a:graphicData>
            </a:graphic>
          </wp:anchor>
        </w:drawing>
      </w:r>
    </w:p>
    <w:p>
      <w:pPr>
        <w:spacing w:line="520" w:lineRule="exact"/>
        <w:ind w:right="-67" w:rightChars="-32"/>
        <w:rPr>
          <w:rFonts w:eastAsia="仿宋_GB2312"/>
          <w:sz w:val="32"/>
          <w:szCs w:val="32"/>
        </w:rPr>
      </w:pPr>
    </w:p>
    <w:p>
      <w:pPr>
        <w:spacing w:line="520" w:lineRule="exact"/>
        <w:ind w:right="-67" w:rightChars="-32"/>
        <w:rPr>
          <w:rFonts w:eastAsia="仿宋_GB2312"/>
          <w:sz w:val="32"/>
          <w:szCs w:val="32"/>
        </w:rPr>
      </w:pPr>
    </w:p>
    <w:p>
      <w:pPr>
        <w:spacing w:line="520" w:lineRule="exact"/>
        <w:ind w:right="-67" w:rightChars="-32"/>
        <w:rPr>
          <w:rFonts w:eastAsia="仿宋_GB2312"/>
          <w:sz w:val="32"/>
          <w:szCs w:val="32"/>
        </w:rPr>
      </w:pPr>
    </w:p>
    <w:p>
      <w:pPr>
        <w:spacing w:line="520" w:lineRule="exact"/>
        <w:ind w:right="-67" w:rightChars="-32"/>
        <w:rPr>
          <w:rFonts w:eastAsia="仿宋_GB2312"/>
          <w:color w:val="000000"/>
          <w:sz w:val="32"/>
          <w:szCs w:val="32"/>
        </w:rPr>
      </w:pPr>
    </w:p>
    <w:p>
      <w:pPr>
        <w:spacing w:line="520" w:lineRule="exact"/>
        <w:ind w:right="-67" w:rightChars="-32" w:firstLine="560" w:firstLineChars="200"/>
        <w:jc w:val="center"/>
        <w:rPr>
          <w:rFonts w:ascii="黑体" w:hAnsi="黑体" w:eastAsia="黑体" w:cs="黑体"/>
          <w:color w:val="000000"/>
          <w:sz w:val="28"/>
          <w:szCs w:val="28"/>
        </w:rPr>
      </w:pPr>
      <w:r>
        <w:rPr>
          <w:rFonts w:hint="eastAsia" w:ascii="黑体" w:hAnsi="黑体" w:eastAsia="黑体" w:cs="黑体"/>
          <w:color w:val="000000"/>
          <w:sz w:val="28"/>
          <w:szCs w:val="28"/>
        </w:rPr>
        <w:t>图1口腔固定器的结构组成示意图</w:t>
      </w:r>
    </w:p>
    <w:p>
      <w:pPr>
        <w:spacing w:line="520" w:lineRule="exact"/>
        <w:ind w:right="-67" w:rightChars="-32" w:firstLine="560" w:firstLineChars="200"/>
        <w:jc w:val="center"/>
        <w:rPr>
          <w:rFonts w:ascii="黑体" w:hAnsi="黑体" w:eastAsia="黑体" w:cs="黑体"/>
          <w:color w:val="000000"/>
          <w:sz w:val="28"/>
          <w:szCs w:val="28"/>
        </w:rPr>
      </w:pPr>
      <w:r>
        <w:rPr>
          <w:rFonts w:ascii="黑体" w:hAnsi="黑体" w:eastAsia="黑体" w:cs="黑体"/>
          <w:color w:val="000000"/>
          <w:sz w:val="28"/>
          <w:szCs w:val="28"/>
        </w:rPr>
        <w:drawing>
          <wp:anchor distT="0" distB="0" distL="114300" distR="114300" simplePos="0" relativeHeight="251660288" behindDoc="0" locked="0" layoutInCell="1" allowOverlap="1">
            <wp:simplePos x="0" y="0"/>
            <wp:positionH relativeFrom="column">
              <wp:posOffset>2061210</wp:posOffset>
            </wp:positionH>
            <wp:positionV relativeFrom="paragraph">
              <wp:posOffset>165100</wp:posOffset>
            </wp:positionV>
            <wp:extent cx="1466850" cy="1743075"/>
            <wp:effectExtent l="0" t="0" r="0"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6850" cy="1743075"/>
                    </a:xfrm>
                    <a:prstGeom prst="rect">
                      <a:avLst/>
                    </a:prstGeom>
                    <a:noFill/>
                  </pic:spPr>
                </pic:pic>
              </a:graphicData>
            </a:graphic>
          </wp:anchor>
        </w:drawing>
      </w:r>
    </w:p>
    <w:p>
      <w:pPr>
        <w:spacing w:line="520" w:lineRule="exact"/>
        <w:ind w:right="-67" w:rightChars="-32" w:firstLine="560" w:firstLineChars="200"/>
        <w:jc w:val="center"/>
        <w:rPr>
          <w:rFonts w:ascii="黑体" w:hAnsi="黑体" w:eastAsia="黑体" w:cs="黑体"/>
          <w:color w:val="000000"/>
          <w:sz w:val="28"/>
          <w:szCs w:val="28"/>
        </w:rPr>
      </w:pPr>
    </w:p>
    <w:p>
      <w:pPr>
        <w:spacing w:line="520" w:lineRule="exact"/>
        <w:ind w:right="-67" w:rightChars="-32" w:firstLine="560" w:firstLineChars="200"/>
        <w:jc w:val="center"/>
        <w:rPr>
          <w:rFonts w:ascii="黑体" w:hAnsi="黑体" w:eastAsia="黑体" w:cs="黑体"/>
          <w:color w:val="000000"/>
          <w:sz w:val="28"/>
          <w:szCs w:val="28"/>
        </w:rPr>
      </w:pPr>
    </w:p>
    <w:p>
      <w:pPr>
        <w:spacing w:line="520" w:lineRule="exact"/>
        <w:ind w:right="-67" w:rightChars="-32" w:firstLine="560" w:firstLineChars="200"/>
        <w:jc w:val="center"/>
        <w:rPr>
          <w:rFonts w:ascii="黑体" w:hAnsi="黑体" w:eastAsia="黑体" w:cs="黑体"/>
          <w:color w:val="000000"/>
          <w:sz w:val="28"/>
          <w:szCs w:val="28"/>
        </w:rPr>
      </w:pPr>
    </w:p>
    <w:p>
      <w:pPr>
        <w:spacing w:line="520" w:lineRule="exact"/>
        <w:ind w:right="-67" w:rightChars="-32" w:firstLine="560" w:firstLineChars="200"/>
        <w:jc w:val="center"/>
        <w:rPr>
          <w:rFonts w:ascii="黑体" w:hAnsi="黑体" w:eastAsia="黑体" w:cs="黑体"/>
          <w:color w:val="000000"/>
          <w:sz w:val="28"/>
          <w:szCs w:val="28"/>
        </w:rPr>
      </w:pPr>
    </w:p>
    <w:p>
      <w:pPr>
        <w:spacing w:line="520" w:lineRule="exact"/>
        <w:ind w:right="-67" w:rightChars="-32" w:firstLine="560" w:firstLineChars="200"/>
        <w:jc w:val="center"/>
        <w:rPr>
          <w:rFonts w:ascii="黑体" w:hAnsi="黑体" w:eastAsia="黑体" w:cs="黑体"/>
          <w:color w:val="000000"/>
          <w:sz w:val="28"/>
          <w:szCs w:val="28"/>
        </w:rPr>
      </w:pPr>
    </w:p>
    <w:p>
      <w:pPr>
        <w:spacing w:line="520" w:lineRule="exact"/>
        <w:ind w:right="-67" w:rightChars="-32" w:firstLine="560" w:firstLineChars="200"/>
        <w:jc w:val="center"/>
        <w:rPr>
          <w:rFonts w:ascii="黑体" w:hAnsi="黑体" w:eastAsia="黑体" w:cs="黑体"/>
          <w:color w:val="000000"/>
          <w:sz w:val="28"/>
          <w:szCs w:val="28"/>
        </w:rPr>
      </w:pPr>
      <w:r>
        <w:rPr>
          <w:rFonts w:hint="eastAsia" w:ascii="黑体" w:hAnsi="黑体" w:eastAsia="黑体" w:cs="黑体"/>
          <w:color w:val="000000"/>
          <w:sz w:val="28"/>
          <w:szCs w:val="28"/>
        </w:rPr>
        <w:t>图</w:t>
      </w:r>
      <w:r>
        <w:rPr>
          <w:rFonts w:ascii="黑体" w:hAnsi="黑体" w:eastAsia="黑体" w:cs="黑体"/>
          <w:color w:val="000000"/>
          <w:sz w:val="28"/>
          <w:szCs w:val="28"/>
        </w:rPr>
        <w:t>2</w:t>
      </w:r>
      <w:r>
        <w:rPr>
          <w:rFonts w:hint="eastAsia" w:ascii="黑体" w:hAnsi="黑体" w:eastAsia="黑体" w:cs="黑体"/>
          <w:color w:val="000000"/>
          <w:sz w:val="28"/>
          <w:szCs w:val="28"/>
        </w:rPr>
        <w:t>头颈固定器的结构组成示意图</w:t>
      </w:r>
    </w:p>
    <w:p>
      <w:pPr>
        <w:spacing w:line="520" w:lineRule="exact"/>
        <w:ind w:right="-67" w:rightChars="-32" w:firstLine="560" w:firstLineChars="200"/>
        <w:jc w:val="center"/>
        <w:rPr>
          <w:rFonts w:hint="eastAsia" w:ascii="黑体" w:hAnsi="黑体" w:eastAsia="黑体" w:cs="黑体"/>
          <w:color w:val="000000"/>
          <w:sz w:val="28"/>
          <w:szCs w:val="28"/>
        </w:rPr>
      </w:pP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（2）产品各组分的材料牌号及其符合的国家标准、行业标准、国际标准（如适用），材料牌号的描述需与其符合的标准一致。</w:t>
      </w:r>
      <w:r>
        <w:rPr>
          <w:rFonts w:hint="eastAsia" w:eastAsia="仿宋_GB2312"/>
          <w:color w:val="000000"/>
          <w:sz w:val="32"/>
          <w:szCs w:val="32"/>
        </w:rPr>
        <w:t>如高分子零部件</w:t>
      </w:r>
      <w:r>
        <w:rPr>
          <w:rFonts w:eastAsia="仿宋_GB2312"/>
          <w:color w:val="000000"/>
          <w:sz w:val="32"/>
          <w:szCs w:val="32"/>
        </w:rPr>
        <w:t>符合GB/T 12672</w:t>
      </w:r>
      <w:r>
        <w:rPr>
          <w:rFonts w:hint="eastAsia" w:eastAsia="仿宋_GB2312"/>
          <w:color w:val="000000"/>
          <w:sz w:val="32"/>
          <w:szCs w:val="32"/>
        </w:rPr>
        <w:t>、YY/T 0806等标准</w:t>
      </w:r>
      <w:r>
        <w:rPr>
          <w:rFonts w:eastAsia="仿宋_GB2312"/>
          <w:color w:val="000000"/>
          <w:sz w:val="32"/>
          <w:szCs w:val="32"/>
        </w:rPr>
        <w:t>要求</w:t>
      </w:r>
      <w:r>
        <w:rPr>
          <w:rFonts w:hint="eastAsia" w:eastAsia="仿宋_GB2312"/>
          <w:color w:val="000000"/>
          <w:sz w:val="32"/>
          <w:szCs w:val="32"/>
        </w:rPr>
        <w:t>等标准</w:t>
      </w:r>
      <w:r>
        <w:rPr>
          <w:rFonts w:eastAsia="仿宋_GB2312"/>
          <w:color w:val="000000"/>
          <w:sz w:val="32"/>
          <w:szCs w:val="32"/>
        </w:rPr>
        <w:t>要求</w:t>
      </w:r>
      <w:r>
        <w:rPr>
          <w:rFonts w:hint="eastAsia" w:eastAsia="仿宋_GB2312"/>
          <w:color w:val="000000"/>
          <w:sz w:val="32"/>
          <w:szCs w:val="32"/>
        </w:rPr>
        <w:t>。</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2.3原材料</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产品原材料相关资料包括与</w:t>
      </w:r>
      <w:r>
        <w:rPr>
          <w:rFonts w:hint="eastAsia" w:eastAsia="仿宋_GB2312"/>
          <w:color w:val="000000"/>
          <w:sz w:val="32"/>
          <w:szCs w:val="32"/>
        </w:rPr>
        <w:t>人体</w:t>
      </w:r>
      <w:r>
        <w:rPr>
          <w:rFonts w:eastAsia="仿宋_GB2312"/>
          <w:color w:val="000000"/>
          <w:sz w:val="32"/>
          <w:szCs w:val="32"/>
        </w:rPr>
        <w:t>直接接触的原材料的质量控制标准、入厂测试报告、供应商资质证明文件等。申请人宜进一步结合相关资料宜说明各组分的安全性、有效性。</w:t>
      </w:r>
    </w:p>
    <w:p>
      <w:pPr>
        <w:widowControl/>
        <w:autoSpaceDE w:val="0"/>
        <w:autoSpaceDN w:val="0"/>
        <w:adjustRightInd w:val="0"/>
        <w:spacing w:line="520" w:lineRule="exact"/>
        <w:ind w:firstLine="640"/>
        <w:rPr>
          <w:rFonts w:eastAsia="仿宋_GB2312"/>
          <w:color w:val="000000"/>
          <w:sz w:val="32"/>
          <w:szCs w:val="32"/>
        </w:rPr>
      </w:pPr>
      <w:r>
        <w:rPr>
          <w:rFonts w:eastAsia="仿宋_GB2312"/>
          <w:kern w:val="0"/>
          <w:sz w:val="32"/>
          <w:szCs w:val="32"/>
        </w:rPr>
        <w:t>2.</w:t>
      </w:r>
      <w:r>
        <w:rPr>
          <w:rFonts w:hint="eastAsia" w:eastAsia="仿宋_GB2312"/>
          <w:kern w:val="0"/>
          <w:sz w:val="32"/>
          <w:szCs w:val="32"/>
        </w:rPr>
        <w:t>4</w:t>
      </w:r>
      <w:r>
        <w:rPr>
          <w:rFonts w:eastAsia="仿宋_GB2312"/>
          <w:color w:val="000000"/>
          <w:sz w:val="32"/>
          <w:szCs w:val="32"/>
        </w:rPr>
        <w:t>型号规格</w:t>
      </w:r>
    </w:p>
    <w:p>
      <w:pPr>
        <w:spacing w:line="580" w:lineRule="exact"/>
        <w:ind w:firstLine="640" w:firstLineChars="200"/>
        <w:outlineLvl w:val="1"/>
        <w:rPr>
          <w:rFonts w:eastAsia="仿宋_GB2312"/>
          <w:sz w:val="32"/>
          <w:szCs w:val="32"/>
        </w:rPr>
      </w:pPr>
      <w:r>
        <w:rPr>
          <w:rFonts w:hint="eastAsia" w:eastAsia="仿宋_GB2312"/>
          <w:color w:val="000000"/>
          <w:sz w:val="32"/>
          <w:szCs w:val="32"/>
        </w:rPr>
        <w:t>说明产品的型号规格及划分依据，明确各型号规格的区别。</w:t>
      </w:r>
      <w:r>
        <w:rPr>
          <w:rFonts w:hint="eastAsia" w:eastAsia="仿宋_GB2312"/>
          <w:sz w:val="32"/>
          <w:szCs w:val="32"/>
        </w:rPr>
        <w:t>放射治疗患者用固定装置可按照制造材料、结构组成等不同划分为若干型号。</w:t>
      </w:r>
    </w:p>
    <w:p>
      <w:pPr>
        <w:spacing w:line="520" w:lineRule="exact"/>
        <w:ind w:right="-67" w:rightChars="-32" w:firstLine="640" w:firstLineChars="200"/>
        <w:rPr>
          <w:rFonts w:eastAsia="仿宋_GB2312"/>
          <w:sz w:val="32"/>
          <w:szCs w:val="32"/>
        </w:rPr>
      </w:pPr>
      <w:r>
        <w:rPr>
          <w:rFonts w:eastAsia="仿宋_GB2312"/>
          <w:color w:val="000000"/>
          <w:sz w:val="32"/>
          <w:szCs w:val="32"/>
        </w:rPr>
        <w:t>2.</w:t>
      </w:r>
      <w:r>
        <w:rPr>
          <w:rFonts w:hint="eastAsia" w:eastAsia="仿宋_GB2312"/>
          <w:color w:val="000000"/>
          <w:sz w:val="32"/>
          <w:szCs w:val="32"/>
        </w:rPr>
        <w:t>5</w:t>
      </w:r>
      <w:r>
        <w:rPr>
          <w:rFonts w:eastAsia="仿宋_GB2312"/>
          <w:sz w:val="32"/>
          <w:szCs w:val="32"/>
        </w:rPr>
        <w:t>包装说明</w:t>
      </w:r>
    </w:p>
    <w:p>
      <w:pPr>
        <w:spacing w:line="520" w:lineRule="exact"/>
        <w:ind w:right="-67" w:rightChars="-32" w:firstLine="640" w:firstLineChars="200"/>
        <w:rPr>
          <w:rFonts w:eastAsia="仿宋_GB2312"/>
          <w:color w:val="000000"/>
          <w:sz w:val="32"/>
          <w:szCs w:val="32"/>
        </w:rPr>
      </w:pPr>
      <w:r>
        <w:rPr>
          <w:rFonts w:hint="eastAsia" w:eastAsia="仿宋_GB2312"/>
          <w:sz w:val="32"/>
          <w:szCs w:val="32"/>
        </w:rPr>
        <w:t>说明产品的包装层次，写明产品各层次包装（初包装、中包装、大包装）的信息，包括</w:t>
      </w:r>
      <w:r>
        <w:rPr>
          <w:rFonts w:eastAsia="仿宋_GB2312"/>
          <w:color w:val="000000"/>
          <w:sz w:val="32"/>
          <w:szCs w:val="32"/>
        </w:rPr>
        <w:t>包括包装形式、包装材料、包装工艺。必要时，提供相关图示及照片。</w:t>
      </w:r>
      <w:r>
        <w:rPr>
          <w:rFonts w:hint="eastAsia" w:eastAsia="仿宋_GB2312"/>
          <w:color w:val="000000"/>
          <w:sz w:val="32"/>
          <w:szCs w:val="32"/>
        </w:rPr>
        <w:t>此外还说明无菌屏障系统的信息。</w:t>
      </w:r>
    </w:p>
    <w:p>
      <w:pPr>
        <w:spacing w:line="520" w:lineRule="exact"/>
        <w:ind w:right="-67" w:rightChars="-32" w:firstLine="640" w:firstLineChars="200"/>
        <w:rPr>
          <w:rFonts w:eastAsia="仿宋_GB2312"/>
          <w:sz w:val="32"/>
          <w:szCs w:val="32"/>
        </w:rPr>
      </w:pPr>
      <w:r>
        <w:rPr>
          <w:rFonts w:hint="eastAsia" w:eastAsia="仿宋_GB2312"/>
          <w:sz w:val="32"/>
          <w:szCs w:val="32"/>
        </w:rPr>
        <w:t>2.6研发历程</w:t>
      </w:r>
    </w:p>
    <w:p>
      <w:pPr>
        <w:spacing w:line="520" w:lineRule="exact"/>
        <w:ind w:right="-67" w:rightChars="-32" w:firstLine="640" w:firstLineChars="200"/>
        <w:rPr>
          <w:rFonts w:eastAsia="仿宋_GB2312"/>
          <w:sz w:val="32"/>
          <w:szCs w:val="32"/>
        </w:rPr>
      </w:pPr>
      <w:r>
        <w:rPr>
          <w:rFonts w:hint="eastAsia" w:eastAsia="仿宋_GB2312"/>
          <w:sz w:val="32"/>
          <w:szCs w:val="32"/>
        </w:rPr>
        <w:t>2.7与同类和/或前代产品的参考和比较</w:t>
      </w:r>
    </w:p>
    <w:p>
      <w:pPr>
        <w:spacing w:line="520" w:lineRule="exact"/>
        <w:ind w:right="-67" w:rightChars="-32" w:firstLine="640" w:firstLineChars="200"/>
        <w:rPr>
          <w:rFonts w:eastAsia="仿宋_GB2312"/>
          <w:sz w:val="32"/>
          <w:szCs w:val="32"/>
        </w:rPr>
      </w:pPr>
      <w:r>
        <w:rPr>
          <w:rFonts w:hint="eastAsia" w:eastAsia="仿宋_GB2312"/>
          <w:sz w:val="32"/>
          <w:szCs w:val="32"/>
        </w:rPr>
        <w:t>提供同类产品（国内外已上市）或前代产品（如有）的信息，阐述申请注册产品的研发背景和目的。对于同类产品，说明选择其作为研发参考的原因。</w:t>
      </w:r>
    </w:p>
    <w:p>
      <w:pPr>
        <w:pStyle w:val="2"/>
        <w:overflowPunct w:val="0"/>
        <w:spacing w:line="520" w:lineRule="exact"/>
        <w:ind w:firstLine="640" w:firstLineChars="200"/>
        <w:rPr>
          <w:rFonts w:eastAsia="仿宋_GB2312"/>
          <w:sz w:val="32"/>
          <w:szCs w:val="32"/>
        </w:rPr>
      </w:pPr>
      <w:r>
        <w:rPr>
          <w:rFonts w:ascii="Times New Roman" w:hAnsi="Times New Roman" w:eastAsia="仿宋_GB2312"/>
          <w:bCs/>
          <w:color w:val="000000"/>
          <w:sz w:val="32"/>
          <w:szCs w:val="32"/>
        </w:rPr>
        <w:t>注册申请人需列表比较说明本次申报产品与已上市同类或前代产品（如有）的相同点和不同点，比较的项目包括产品名称、工作原理、</w:t>
      </w:r>
      <w:r>
        <w:rPr>
          <w:rFonts w:hint="eastAsia" w:ascii="Times New Roman" w:hAnsi="Times New Roman" w:eastAsia="仿宋_GB2312"/>
          <w:bCs/>
          <w:color w:val="000000"/>
          <w:sz w:val="32"/>
          <w:szCs w:val="32"/>
        </w:rPr>
        <w:t>结构组成</w:t>
      </w:r>
      <w:r>
        <w:rPr>
          <w:rFonts w:ascii="Times New Roman" w:hAnsi="Times New Roman" w:eastAsia="仿宋_GB2312"/>
          <w:bCs/>
          <w:color w:val="000000"/>
          <w:sz w:val="32"/>
          <w:szCs w:val="32"/>
        </w:rPr>
        <w:t>、性能指标、适用范围、生产工艺、有效期，以及与市场上同类产品在技术、设计和应用方面的比较资料等</w:t>
      </w:r>
      <w:r>
        <w:rPr>
          <w:rFonts w:hint="eastAsia" w:ascii="Times New Roman" w:hAnsi="Times New Roman" w:eastAsia="仿宋_GB2312"/>
          <w:bCs/>
          <w:color w:val="000000"/>
          <w:sz w:val="32"/>
          <w:szCs w:val="32"/>
        </w:rPr>
        <w:t>内容，</w:t>
      </w:r>
      <w:r>
        <w:rPr>
          <w:rFonts w:hint="eastAsia" w:ascii="Times New Roman" w:hAnsi="Times New Roman" w:eastAsia="仿宋_GB2312"/>
          <w:sz w:val="32"/>
          <w:szCs w:val="32"/>
        </w:rPr>
        <w:t>详述产品间异同</w:t>
      </w:r>
      <w:r>
        <w:rPr>
          <w:rFonts w:ascii="Times New Roman" w:hAnsi="Times New Roman" w:eastAsia="仿宋_GB2312"/>
          <w:bCs/>
          <w:color w:val="000000"/>
          <w:sz w:val="32"/>
          <w:szCs w:val="32"/>
        </w:rPr>
        <w:t>以及区别于其他同类产品的特征</w:t>
      </w:r>
      <w:r>
        <w:rPr>
          <w:rFonts w:hint="eastAsia" w:ascii="Times New Roman" w:hAnsi="Times New Roman" w:eastAsia="仿宋_GB2312"/>
          <w:sz w:val="32"/>
          <w:szCs w:val="32"/>
        </w:rPr>
        <w:t>。</w:t>
      </w:r>
    </w:p>
    <w:p>
      <w:pPr>
        <w:overflowPunct w:val="0"/>
        <w:spacing w:line="520" w:lineRule="exact"/>
        <w:ind w:firstLine="640" w:firstLineChars="200"/>
        <w:rPr>
          <w:rFonts w:eastAsia="仿宋_GB2312"/>
          <w:color w:val="000000"/>
          <w:sz w:val="32"/>
          <w:szCs w:val="32"/>
        </w:rPr>
      </w:pPr>
      <w:r>
        <w:rPr>
          <w:rFonts w:hint="eastAsia" w:eastAsia="仿宋_GB2312"/>
          <w:sz w:val="32"/>
          <w:szCs w:val="32"/>
        </w:rPr>
        <w:t>3.</w:t>
      </w:r>
      <w:r>
        <w:rPr>
          <w:rFonts w:eastAsia="仿宋_GB2312"/>
          <w:sz w:val="32"/>
          <w:szCs w:val="32"/>
        </w:rPr>
        <w:t>适用范围和</w:t>
      </w:r>
      <w:r>
        <w:rPr>
          <w:rFonts w:hint="eastAsia" w:eastAsia="仿宋_GB2312"/>
          <w:sz w:val="32"/>
          <w:szCs w:val="32"/>
        </w:rPr>
        <w:t>禁忌证</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产品的适用范围、适用人群、禁忌证需与申报产品的性能、功能相符，并需与</w:t>
      </w:r>
      <w:r>
        <w:rPr>
          <w:rFonts w:hint="eastAsia" w:eastAsia="仿宋_GB2312"/>
          <w:color w:val="000000"/>
          <w:sz w:val="32"/>
          <w:szCs w:val="32"/>
          <w:lang w:eastAsia="zh-CN"/>
        </w:rPr>
        <w:t>研究</w:t>
      </w:r>
      <w:r>
        <w:rPr>
          <w:rFonts w:eastAsia="仿宋_GB2312"/>
          <w:color w:val="000000"/>
          <w:sz w:val="32"/>
          <w:szCs w:val="32"/>
        </w:rPr>
        <w:t>资料结论一致。</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3.1</w:t>
      </w:r>
      <w:r>
        <w:rPr>
          <w:rFonts w:eastAsia="仿宋_GB2312"/>
          <w:color w:val="000000"/>
          <w:sz w:val="32"/>
          <w:szCs w:val="32"/>
        </w:rPr>
        <w:t>适用范围：申请人需根据申报产品的设计特征，明确产品的适用范围，并说明预期与其组合使用的器械</w:t>
      </w:r>
      <w:r>
        <w:rPr>
          <w:rFonts w:hint="eastAsia" w:eastAsia="仿宋_GB2312"/>
          <w:color w:val="000000"/>
          <w:sz w:val="32"/>
          <w:szCs w:val="32"/>
        </w:rPr>
        <w:t>（如</w:t>
      </w:r>
      <w:r>
        <w:rPr>
          <w:rFonts w:eastAsia="仿宋_GB2312"/>
          <w:color w:val="000000"/>
          <w:sz w:val="32"/>
          <w:szCs w:val="32"/>
        </w:rPr>
        <w:t>有</w:t>
      </w:r>
      <w:r>
        <w:rPr>
          <w:rFonts w:hint="eastAsia" w:eastAsia="仿宋_GB2312"/>
          <w:color w:val="000000"/>
          <w:sz w:val="32"/>
          <w:szCs w:val="32"/>
        </w:rPr>
        <w:t>）</w:t>
      </w:r>
      <w:r>
        <w:rPr>
          <w:rFonts w:eastAsia="仿宋_GB2312"/>
          <w:color w:val="000000"/>
          <w:sz w:val="32"/>
          <w:szCs w:val="32"/>
        </w:rPr>
        <w:t>。该类产品</w:t>
      </w:r>
      <w:r>
        <w:rPr>
          <w:rFonts w:hint="eastAsia" w:eastAsia="仿宋_GB2312"/>
          <w:kern w:val="0"/>
          <w:sz w:val="32"/>
        </w:rPr>
        <w:t>适用于肿瘤放射治疗时对人体部位的固定。</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3.2适用</w:t>
      </w:r>
      <w:r>
        <w:rPr>
          <w:rFonts w:eastAsia="仿宋_GB2312"/>
          <w:color w:val="000000"/>
          <w:sz w:val="32"/>
          <w:szCs w:val="32"/>
        </w:rPr>
        <w:t>人群</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同时</w:t>
      </w:r>
      <w:r>
        <w:rPr>
          <w:rFonts w:eastAsia="仿宋_GB2312"/>
          <w:color w:val="000000"/>
          <w:sz w:val="32"/>
          <w:szCs w:val="32"/>
        </w:rPr>
        <w:t>宜明确目标患者人群信息、患者选择标准信息以及明确使用过程中需要考虑的因素。</w:t>
      </w:r>
      <w:r>
        <w:rPr>
          <w:rFonts w:eastAsia="仿宋_GB2312"/>
          <w:sz w:val="32"/>
        </w:rPr>
        <w:t>如</w:t>
      </w:r>
      <w:r>
        <w:rPr>
          <w:rFonts w:hint="eastAsia" w:eastAsia="仿宋_GB2312"/>
          <w:sz w:val="32"/>
        </w:rPr>
        <w:t>成人</w:t>
      </w:r>
      <w:r>
        <w:rPr>
          <w:rFonts w:eastAsia="仿宋_GB2312"/>
          <w:sz w:val="32"/>
        </w:rPr>
        <w:t>儿童的适用性、</w:t>
      </w:r>
      <w:r>
        <w:rPr>
          <w:rFonts w:hint="eastAsia" w:eastAsia="仿宋_GB2312"/>
          <w:sz w:val="32"/>
          <w:lang w:eastAsia="zh-CN"/>
        </w:rPr>
        <w:t>非定制式需考虑规格型号的选择等</w:t>
      </w:r>
      <w:r>
        <w:rPr>
          <w:rFonts w:eastAsia="仿宋_GB2312"/>
          <w:color w:val="000000"/>
          <w:sz w:val="32"/>
          <w:szCs w:val="32"/>
        </w:rPr>
        <w:t>。</w:t>
      </w:r>
    </w:p>
    <w:p>
      <w:pPr>
        <w:spacing w:line="520" w:lineRule="exact"/>
        <w:ind w:right="-67" w:rightChars="-32" w:firstLine="640" w:firstLineChars="200"/>
        <w:rPr>
          <w:rFonts w:eastAsia="仿宋_GB2312"/>
          <w:color w:val="000000"/>
          <w:sz w:val="32"/>
          <w:szCs w:val="32"/>
        </w:rPr>
      </w:pPr>
      <w:r>
        <w:rPr>
          <w:rFonts w:hint="eastAsia" w:eastAsia="仿宋_GB2312"/>
          <w:color w:val="000000"/>
          <w:sz w:val="32"/>
          <w:szCs w:val="32"/>
        </w:rPr>
        <w:t>3.</w:t>
      </w:r>
      <w:r>
        <w:rPr>
          <w:rFonts w:eastAsia="仿宋_GB2312"/>
          <w:color w:val="000000"/>
          <w:sz w:val="32"/>
          <w:szCs w:val="32"/>
        </w:rPr>
        <w:t>3禁忌证：</w:t>
      </w:r>
      <w:r>
        <w:rPr>
          <w:rFonts w:hint="eastAsia" w:eastAsia="仿宋_GB2312"/>
          <w:color w:val="000000"/>
          <w:sz w:val="32"/>
          <w:szCs w:val="32"/>
        </w:rPr>
        <w:t>包括但不限于对产品原材料过敏者、放疗部位严重感染患者等医生认为不适合进行放疗固定的情况禁用。</w:t>
      </w:r>
    </w:p>
    <w:p>
      <w:pPr>
        <w:overflowPunct w:val="0"/>
        <w:spacing w:line="52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不良事件情况（如适用）</w:t>
      </w:r>
    </w:p>
    <w:p>
      <w:pPr>
        <w:spacing w:line="580" w:lineRule="exact"/>
        <w:ind w:firstLine="640" w:firstLineChars="200"/>
        <w:outlineLvl w:val="1"/>
        <w:rPr>
          <w:rFonts w:eastAsia="仿宋_GB2312"/>
          <w:color w:val="000000"/>
          <w:sz w:val="32"/>
          <w:szCs w:val="32"/>
        </w:rPr>
      </w:pPr>
      <w:r>
        <w:rPr>
          <w:rFonts w:eastAsia="仿宋_GB2312"/>
          <w:sz w:val="32"/>
          <w:szCs w:val="32"/>
        </w:rPr>
        <w:t>提交申报产品的上市、销售、不良事件和召回等相关情况分析资料。</w:t>
      </w:r>
    </w:p>
    <w:p>
      <w:pPr>
        <w:spacing w:line="520" w:lineRule="exact"/>
        <w:ind w:right="-67" w:rightChars="-32" w:firstLine="640" w:firstLineChars="200"/>
        <w:rPr>
          <w:rFonts w:eastAsia="楷体_GB2312"/>
          <w:color w:val="000000"/>
          <w:sz w:val="32"/>
          <w:szCs w:val="32"/>
        </w:rPr>
      </w:pPr>
      <w:r>
        <w:rPr>
          <w:rFonts w:eastAsia="楷体_GB2312"/>
          <w:color w:val="000000"/>
          <w:sz w:val="32"/>
          <w:szCs w:val="32"/>
        </w:rPr>
        <w:t>（三）</w:t>
      </w:r>
      <w:r>
        <w:rPr>
          <w:rFonts w:hint="eastAsia" w:eastAsia="楷体_GB2312"/>
          <w:color w:val="000000"/>
          <w:sz w:val="32"/>
          <w:szCs w:val="32"/>
        </w:rPr>
        <w:t>非临床资料</w:t>
      </w:r>
    </w:p>
    <w:p>
      <w:pPr>
        <w:spacing w:line="520" w:lineRule="exact"/>
        <w:ind w:right="-67" w:rightChars="-32" w:firstLine="640" w:firstLineChars="200"/>
        <w:rPr>
          <w:rFonts w:eastAsia="仿宋_GB2312"/>
          <w:sz w:val="32"/>
          <w:szCs w:val="32"/>
        </w:rPr>
      </w:pPr>
      <w:r>
        <w:rPr>
          <w:rFonts w:eastAsia="仿宋_GB2312"/>
          <w:sz w:val="32"/>
          <w:szCs w:val="32"/>
        </w:rPr>
        <w:t>1.产品风险管理资料</w:t>
      </w:r>
    </w:p>
    <w:p>
      <w:pPr>
        <w:spacing w:line="520" w:lineRule="exact"/>
        <w:ind w:right="-67" w:rightChars="-32" w:firstLine="640" w:firstLineChars="200"/>
        <w:rPr>
          <w:rFonts w:eastAsia="仿宋_GB2312"/>
          <w:sz w:val="32"/>
          <w:szCs w:val="32"/>
        </w:rPr>
      </w:pPr>
      <w:r>
        <w:rPr>
          <w:rFonts w:eastAsia="仿宋_GB2312"/>
          <w:sz w:val="32"/>
          <w:szCs w:val="28"/>
        </w:rPr>
        <w:t>1.1风险分析方法</w:t>
      </w:r>
    </w:p>
    <w:p>
      <w:pPr>
        <w:overflowPunct w:val="0"/>
        <w:snapToGrid w:val="0"/>
        <w:spacing w:line="520" w:lineRule="exact"/>
        <w:ind w:firstLine="640" w:firstLineChars="200"/>
        <w:rPr>
          <w:rFonts w:eastAsia="仿宋_GB2312"/>
          <w:sz w:val="32"/>
          <w:szCs w:val="28"/>
        </w:rPr>
      </w:pPr>
      <w:r>
        <w:rPr>
          <w:rFonts w:eastAsia="仿宋_GB2312"/>
          <w:sz w:val="32"/>
          <w:szCs w:val="28"/>
        </w:rPr>
        <w:t>1.1.1在对风险的判定及分析中，要考虑合理的可预见的情况，它们包括：正常使用条件下和非正常使用条件下；</w:t>
      </w:r>
    </w:p>
    <w:p>
      <w:pPr>
        <w:overflowPunct w:val="0"/>
        <w:snapToGrid w:val="0"/>
        <w:spacing w:line="520" w:lineRule="exact"/>
        <w:ind w:firstLine="640" w:firstLineChars="200"/>
        <w:rPr>
          <w:rFonts w:eastAsia="仿宋_GB2312"/>
          <w:sz w:val="32"/>
          <w:szCs w:val="28"/>
        </w:rPr>
      </w:pPr>
      <w:r>
        <w:rPr>
          <w:rFonts w:eastAsia="仿宋_GB2312"/>
          <w:sz w:val="32"/>
          <w:szCs w:val="28"/>
        </w:rPr>
        <w:t>1.1.2风险判定及分析包括：对于患者的危害、对于操作者的危害和对于环境的危害；</w:t>
      </w:r>
    </w:p>
    <w:p>
      <w:pPr>
        <w:overflowPunct w:val="0"/>
        <w:snapToGrid w:val="0"/>
        <w:spacing w:line="520" w:lineRule="exact"/>
        <w:ind w:firstLine="640" w:firstLineChars="200"/>
        <w:rPr>
          <w:rFonts w:eastAsia="仿宋_GB2312"/>
          <w:sz w:val="32"/>
          <w:szCs w:val="28"/>
        </w:rPr>
      </w:pPr>
      <w:r>
        <w:rPr>
          <w:rFonts w:eastAsia="仿宋_GB2312"/>
          <w:sz w:val="32"/>
          <w:szCs w:val="28"/>
        </w:rPr>
        <w:t>1.1.3风险形成的初始原因包括：原材料选择不当，设计、生产风险，运输与防护不当等；人为因素包括不合理的操作；适用错误；综合危害；环境条件；</w:t>
      </w:r>
      <w:r>
        <w:rPr>
          <w:rFonts w:hint="eastAsia" w:eastAsia="仿宋_GB2312"/>
          <w:sz w:val="32"/>
          <w:szCs w:val="28"/>
        </w:rPr>
        <w:t>个体差异等。</w:t>
      </w:r>
    </w:p>
    <w:p>
      <w:pPr>
        <w:overflowPunct w:val="0"/>
        <w:snapToGrid w:val="0"/>
        <w:spacing w:line="520" w:lineRule="exact"/>
        <w:ind w:firstLine="640" w:firstLineChars="200"/>
        <w:rPr>
          <w:rFonts w:eastAsia="仿宋_GB2312"/>
          <w:sz w:val="32"/>
          <w:szCs w:val="32"/>
        </w:rPr>
      </w:pPr>
      <w:r>
        <w:rPr>
          <w:rFonts w:eastAsia="仿宋_GB2312"/>
          <w:sz w:val="32"/>
          <w:szCs w:val="28"/>
        </w:rPr>
        <w:t>1.1.4风险判定及分析考虑的问题包括：产品原材料生物学危害；产品质量是否会导致使用中出现不正常结果；操作信息，</w:t>
      </w:r>
      <w:r>
        <w:rPr>
          <w:rFonts w:eastAsia="仿宋_GB2312"/>
          <w:sz w:val="32"/>
          <w:szCs w:val="32"/>
        </w:rPr>
        <w:t>包括警示性语言、注意事项以及使用方法的准确性等。</w:t>
      </w:r>
    </w:p>
    <w:p>
      <w:pPr>
        <w:overflowPunct w:val="0"/>
        <w:spacing w:line="520" w:lineRule="exact"/>
        <w:ind w:firstLine="640" w:firstLineChars="200"/>
        <w:rPr>
          <w:rFonts w:eastAsia="仿宋_GB2312"/>
          <w:sz w:val="32"/>
          <w:szCs w:val="32"/>
        </w:rPr>
      </w:pPr>
      <w:r>
        <w:rPr>
          <w:rFonts w:eastAsia="仿宋_GB2312"/>
          <w:sz w:val="32"/>
          <w:szCs w:val="32"/>
        </w:rPr>
        <w:t>1.2风险分析清单</w:t>
      </w:r>
    </w:p>
    <w:p>
      <w:pPr>
        <w:overflowPunct w:val="0"/>
        <w:snapToGrid w:val="0"/>
        <w:spacing w:line="520" w:lineRule="exact"/>
        <w:ind w:firstLine="640" w:firstLineChars="200"/>
        <w:rPr>
          <w:rFonts w:eastAsia="仿宋_GB2312"/>
          <w:sz w:val="32"/>
          <w:szCs w:val="32"/>
        </w:rPr>
      </w:pPr>
      <w:r>
        <w:rPr>
          <w:rFonts w:hint="eastAsia" w:eastAsia="仿宋_GB2312"/>
          <w:color w:val="000000"/>
          <w:sz w:val="32"/>
          <w:szCs w:val="32"/>
        </w:rPr>
        <w:t>放射治疗患者用固定装置</w:t>
      </w:r>
      <w:r>
        <w:rPr>
          <w:rFonts w:eastAsia="仿宋_GB2312"/>
          <w:sz w:val="32"/>
          <w:szCs w:val="32"/>
        </w:rPr>
        <w:t>产品的风险管理报告符合GB/T 42062《医疗器械</w:t>
      </w:r>
      <w:r>
        <w:rPr>
          <w:rFonts w:hint="eastAsia" w:eastAsia="仿宋_GB2312"/>
          <w:sz w:val="32"/>
          <w:szCs w:val="32"/>
        </w:rPr>
        <w:t xml:space="preserve"> </w:t>
      </w:r>
      <w:r>
        <w:rPr>
          <w:rFonts w:eastAsia="仿宋_GB2312"/>
          <w:sz w:val="32"/>
          <w:szCs w:val="32"/>
        </w:rPr>
        <w:t>风险管理对医疗器械的应用》的有关要求，审查要点包括：</w:t>
      </w:r>
    </w:p>
    <w:p>
      <w:pPr>
        <w:overflowPunct w:val="0"/>
        <w:snapToGrid w:val="0"/>
        <w:spacing w:line="520" w:lineRule="exact"/>
        <w:ind w:firstLine="604" w:firstLineChars="189"/>
        <w:rPr>
          <w:rFonts w:eastAsia="仿宋_GB2312"/>
          <w:sz w:val="32"/>
          <w:szCs w:val="32"/>
        </w:rPr>
      </w:pPr>
      <w:r>
        <w:rPr>
          <w:rFonts w:eastAsia="仿宋_GB2312"/>
          <w:sz w:val="32"/>
          <w:szCs w:val="32"/>
        </w:rPr>
        <w:t>1.2.</w:t>
      </w:r>
      <w:r>
        <w:rPr>
          <w:rFonts w:hint="eastAsia" w:eastAsia="仿宋_GB2312"/>
          <w:sz w:val="32"/>
          <w:szCs w:val="32"/>
        </w:rPr>
        <w:t>1</w:t>
      </w:r>
      <w:r>
        <w:rPr>
          <w:rFonts w:eastAsia="仿宋_GB2312"/>
          <w:sz w:val="32"/>
          <w:szCs w:val="32"/>
        </w:rPr>
        <w:t>危害分析是否全面（依据GB/T 42062附录C）；</w:t>
      </w:r>
    </w:p>
    <w:p>
      <w:pPr>
        <w:overflowPunct w:val="0"/>
        <w:snapToGrid w:val="0"/>
        <w:spacing w:line="520" w:lineRule="exact"/>
        <w:ind w:firstLine="604" w:firstLineChars="189"/>
        <w:rPr>
          <w:rFonts w:eastAsia="仿宋_GB2312"/>
          <w:sz w:val="32"/>
          <w:szCs w:val="32"/>
        </w:rPr>
      </w:pPr>
      <w:r>
        <w:rPr>
          <w:rFonts w:eastAsia="仿宋_GB2312"/>
          <w:sz w:val="32"/>
          <w:szCs w:val="32"/>
        </w:rPr>
        <w:t>1.2.</w:t>
      </w:r>
      <w:r>
        <w:rPr>
          <w:rFonts w:hint="eastAsia" w:eastAsia="仿宋_GB2312"/>
          <w:sz w:val="32"/>
          <w:szCs w:val="32"/>
        </w:rPr>
        <w:t>2</w:t>
      </w:r>
      <w:r>
        <w:rPr>
          <w:rFonts w:eastAsia="仿宋_GB2312"/>
          <w:sz w:val="32"/>
          <w:szCs w:val="32"/>
        </w:rPr>
        <w:t>风险可接受准则，降低风险的措施及采取措施后风险的可接受程度，是否有新的风险产生。根据GB/T 42062《医疗器械风险管理对医疗器械的应用》附录C危险（源）、可预见的事件序列和危险情况示例对“</w:t>
      </w:r>
      <w:r>
        <w:rPr>
          <w:rFonts w:hint="eastAsia" w:eastAsia="仿宋_GB2312"/>
          <w:color w:val="000000"/>
          <w:sz w:val="32"/>
          <w:szCs w:val="32"/>
        </w:rPr>
        <w:t>放射治疗患者用固定装置</w:t>
      </w:r>
      <w:r>
        <w:rPr>
          <w:rFonts w:eastAsia="仿宋_GB2312"/>
          <w:sz w:val="32"/>
          <w:szCs w:val="32"/>
        </w:rPr>
        <w:t>”已知或可预见的风险进行判定，产品在进行风险分析时至少包括以下的主要危害（见表1），注册申请人根据自身产品特点确定其他危害。针对产品的各项风险，注册申请人采取应对措施，确保风险降到可接受的程度。</w:t>
      </w:r>
    </w:p>
    <w:p>
      <w:pPr>
        <w:overflowPunct w:val="0"/>
        <w:snapToGrid w:val="0"/>
        <w:spacing w:line="520" w:lineRule="exact"/>
        <w:ind w:firstLine="604" w:firstLineChars="189"/>
        <w:rPr>
          <w:rFonts w:eastAsia="仿宋_GB2312"/>
          <w:sz w:val="32"/>
          <w:szCs w:val="32"/>
        </w:rPr>
      </w:pPr>
    </w:p>
    <w:p>
      <w:pPr>
        <w:overflowPunct w:val="0"/>
        <w:spacing w:line="520" w:lineRule="exact"/>
        <w:jc w:val="center"/>
        <w:rPr>
          <w:rFonts w:eastAsia="黑体"/>
          <w:sz w:val="28"/>
          <w:szCs w:val="28"/>
        </w:rPr>
      </w:pPr>
      <w:r>
        <w:rPr>
          <w:rFonts w:eastAsia="黑体"/>
          <w:sz w:val="28"/>
          <w:szCs w:val="28"/>
        </w:rPr>
        <w:t>表1产品主要危害</w:t>
      </w:r>
    </w:p>
    <w:tbl>
      <w:tblPr>
        <w:tblStyle w:val="6"/>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901"/>
        <w:gridCol w:w="3321"/>
        <w:gridCol w:w="2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黑体"/>
                <w:bCs/>
                <w:sz w:val="28"/>
                <w:szCs w:val="28"/>
              </w:rPr>
            </w:pPr>
            <w:r>
              <w:rPr>
                <w:rFonts w:ascii="黑体" w:hAnsi="黑体" w:eastAsia="黑体"/>
                <w:bCs/>
                <w:sz w:val="28"/>
                <w:szCs w:val="28"/>
              </w:rPr>
              <w:t>危害类型</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黑体"/>
                <w:bCs/>
                <w:sz w:val="28"/>
                <w:szCs w:val="28"/>
              </w:rPr>
            </w:pPr>
            <w:r>
              <w:rPr>
                <w:rFonts w:ascii="黑体" w:hAnsi="黑体" w:eastAsia="黑体"/>
                <w:bCs/>
                <w:sz w:val="28"/>
                <w:szCs w:val="28"/>
              </w:rPr>
              <w:t>可预见的事件序列</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黑体"/>
                <w:bCs/>
                <w:sz w:val="28"/>
                <w:szCs w:val="28"/>
              </w:rPr>
            </w:pPr>
            <w:r>
              <w:rPr>
                <w:rFonts w:ascii="黑体" w:hAnsi="黑体" w:eastAsia="黑体"/>
                <w:bCs/>
                <w:sz w:val="28"/>
                <w:szCs w:val="28"/>
              </w:rPr>
              <w:t>可能产生的危害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生物学危害和化学危害</w:t>
            </w: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生物污染</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包装破损或使用时操作不规范造成生物污染</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产品引入致病菌，引起患者身体不适或感染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环境污染</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生产环境污染产品，如外来的粉尘、微生物、其他杂质等</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3" w:hRule="atLeast"/>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生物相容性</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采用了不合格原辅材料；生产引入了外来物质</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hint="eastAsia" w:ascii="仿宋_GB2312" w:hAnsi="Times New Roman" w:eastAsia="仿宋_GB2312"/>
                <w:bCs/>
                <w:sz w:val="28"/>
                <w:szCs w:val="28"/>
                <w:lang w:val="en-US" w:eastAsia="zh-CN"/>
              </w:rPr>
              <w:t>造成患者放疗定位不准、放射性损伤、延误治疗；引起患者过敏、放射部位感染等。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化学危害</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仿宋_GB2312"/>
                <w:bCs/>
                <w:sz w:val="28"/>
                <w:szCs w:val="28"/>
              </w:rPr>
            </w:pPr>
            <w:r>
              <w:rPr>
                <w:rFonts w:ascii="仿宋_GB2312" w:hAnsi="Times New Roman" w:eastAsia="仿宋_GB2312"/>
                <w:bCs/>
                <w:sz w:val="28"/>
                <w:szCs w:val="28"/>
              </w:rPr>
              <w:t>生产工艺控制不严</w:t>
            </w:r>
          </w:p>
          <w:p>
            <w:pPr>
              <w:spacing w:line="520" w:lineRule="exact"/>
              <w:rPr>
                <w:rFonts w:ascii="Times New Roman" w:hAnsi="Times New Roman" w:eastAsia="仿宋_GB2312"/>
                <w:bCs/>
                <w:sz w:val="28"/>
                <w:szCs w:val="28"/>
              </w:rPr>
            </w:pPr>
            <w:r>
              <w:rPr>
                <w:rFonts w:ascii="仿宋_GB2312" w:hAnsi="Times New Roman" w:eastAsia="仿宋_GB2312"/>
                <w:bCs/>
                <w:sz w:val="28"/>
                <w:szCs w:val="28"/>
              </w:rPr>
              <w:t>不正确的配方（化学成分）</w:t>
            </w:r>
          </w:p>
          <w:p>
            <w:pPr>
              <w:spacing w:line="520" w:lineRule="exact"/>
              <w:rPr>
                <w:rFonts w:ascii="Times New Roman" w:hAnsi="Times New Roman" w:eastAsia="仿宋_GB2312"/>
                <w:bCs/>
                <w:sz w:val="28"/>
                <w:szCs w:val="28"/>
              </w:rPr>
            </w:pPr>
            <w:r>
              <w:rPr>
                <w:rFonts w:ascii="仿宋_GB2312" w:hAnsi="Times New Roman" w:eastAsia="仿宋_GB2312"/>
                <w:bCs/>
                <w:sz w:val="28"/>
                <w:szCs w:val="28"/>
              </w:rPr>
              <w:t>未按照工艺要求配料</w:t>
            </w:r>
          </w:p>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添加剂或助剂使用比例不正确</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操作</w:t>
            </w:r>
          </w:p>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危害</w:t>
            </w: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由不熟练的人员使用</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操作不熟练、操作失误</w:t>
            </w:r>
            <w:r>
              <w:rPr>
                <w:rFonts w:ascii="Times New Roman" w:hAnsi="Times New Roman" w:eastAsia="仿宋_GB2312"/>
                <w:bCs/>
                <w:sz w:val="28"/>
                <w:szCs w:val="28"/>
              </w:rPr>
              <w:t xml:space="preserve"> </w:t>
            </w:r>
          </w:p>
        </w:tc>
        <w:tc>
          <w:tcPr>
            <w:tcW w:w="2832" w:type="dxa"/>
            <w:tcBorders>
              <w:top w:val="single" w:color="auto" w:sz="4" w:space="0"/>
              <w:left w:val="single" w:color="auto" w:sz="4" w:space="0"/>
              <w:bottom w:val="single" w:color="auto" w:sz="4" w:space="0"/>
              <w:right w:val="single" w:color="auto" w:sz="4" w:space="0"/>
            </w:tcBorders>
          </w:tcPr>
          <w:p>
            <w:pPr>
              <w:spacing w:line="520" w:lineRule="exact"/>
              <w:rPr>
                <w:rFonts w:ascii="Times New Roman" w:hAnsi="Times New Roman" w:eastAsia="仿宋_GB2312"/>
                <w:bCs/>
                <w:sz w:val="28"/>
                <w:szCs w:val="28"/>
              </w:rPr>
            </w:pPr>
            <w:r>
              <w:rPr>
                <w:rFonts w:hint="eastAsia" w:ascii="仿宋_GB2312" w:hAnsi="Times New Roman" w:eastAsia="仿宋_GB2312"/>
                <w:bCs/>
                <w:sz w:val="28"/>
                <w:szCs w:val="28"/>
                <w:lang w:val="en-US" w:eastAsia="zh-CN"/>
              </w:rPr>
              <w:t>造成患者放疗定位不准、放射性损伤、延误治疗；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使用产品时未按照说明书中操作方法操作</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错误操作；未采取相应的保护措施</w:t>
            </w:r>
          </w:p>
        </w:tc>
        <w:tc>
          <w:tcPr>
            <w:tcW w:w="2832" w:type="dxa"/>
            <w:tcBorders>
              <w:top w:val="single" w:color="auto" w:sz="4" w:space="0"/>
              <w:left w:val="single" w:color="auto" w:sz="4" w:space="0"/>
              <w:bottom w:val="single" w:color="auto" w:sz="4" w:space="0"/>
              <w:right w:val="single" w:color="auto" w:sz="4" w:space="0"/>
            </w:tcBorders>
          </w:tcPr>
          <w:p>
            <w:pPr>
              <w:spacing w:line="520" w:lineRule="exact"/>
              <w:rPr>
                <w:rFonts w:ascii="Times New Roman" w:hAnsi="Times New Roman" w:eastAsia="仿宋"/>
                <w:sz w:val="28"/>
                <w:szCs w:val="28"/>
              </w:rPr>
            </w:pPr>
            <w:r>
              <w:rPr>
                <w:rFonts w:hint="eastAsia" w:ascii="仿宋_GB2312" w:hAnsi="Times New Roman" w:eastAsia="仿宋_GB2312"/>
                <w:bCs/>
                <w:sz w:val="28"/>
                <w:szCs w:val="28"/>
                <w:lang w:val="en-US" w:eastAsia="zh-CN"/>
              </w:rPr>
              <w:t>造成患者放疗定位不准、放射性损伤、延误治疗；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仿宋_GB2312"/>
                <w:bCs/>
                <w:sz w:val="28"/>
                <w:szCs w:val="28"/>
              </w:rPr>
            </w:pPr>
            <w:r>
              <w:rPr>
                <w:rFonts w:ascii="仿宋_GB2312" w:hAnsi="Times New Roman" w:eastAsia="仿宋_GB2312"/>
                <w:bCs/>
                <w:sz w:val="28"/>
                <w:szCs w:val="28"/>
              </w:rPr>
              <w:t>忽视说明书中</w:t>
            </w:r>
            <w:r>
              <w:rPr>
                <w:rFonts w:hint="eastAsia" w:ascii="仿宋_GB2312" w:hAnsi="Times New Roman" w:eastAsia="仿宋_GB2312"/>
                <w:bCs/>
                <w:sz w:val="28"/>
                <w:szCs w:val="28"/>
              </w:rPr>
              <w:t>禁忌证</w:t>
            </w:r>
            <w:r>
              <w:rPr>
                <w:rFonts w:ascii="仿宋_GB2312" w:hAnsi="Times New Roman" w:eastAsia="仿宋_GB2312"/>
                <w:bCs/>
                <w:sz w:val="28"/>
                <w:szCs w:val="28"/>
              </w:rPr>
              <w:t>、警示信息等内容</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患者在使用过程中出现过敏；</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仿宋_GB2312" w:hAnsi="Times New Roman" w:eastAsia="仿宋_GB2312"/>
                <w:bCs/>
                <w:sz w:val="28"/>
                <w:szCs w:val="28"/>
              </w:rPr>
            </w:pPr>
            <w:r>
              <w:rPr>
                <w:rFonts w:ascii="仿宋_GB2312" w:hAnsi="Times New Roman" w:eastAsia="仿宋_GB2312"/>
                <w:bCs/>
                <w:sz w:val="28"/>
                <w:szCs w:val="28"/>
              </w:rPr>
              <w:t>引起患者过敏，</w:t>
            </w:r>
            <w:r>
              <w:rPr>
                <w:rFonts w:hint="eastAsia" w:ascii="仿宋_GB2312" w:hAnsi="Times New Roman" w:eastAsia="仿宋_GB2312"/>
                <w:bCs/>
                <w:sz w:val="28"/>
                <w:szCs w:val="28"/>
              </w:rPr>
              <w:t>手术失败、术后感染等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信息</w:t>
            </w:r>
          </w:p>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危害</w:t>
            </w:r>
          </w:p>
          <w:p>
            <w:pPr>
              <w:spacing w:line="520" w:lineRule="exact"/>
              <w:ind w:right="-67" w:rightChars="-32"/>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不正确的标签</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外部标记不全面、标记不正确或不能够清楚易认</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错误使用；储存错误；</w:t>
            </w:r>
          </w:p>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不正确的说明书；说明书上的</w:t>
            </w:r>
            <w:r>
              <w:rPr>
                <w:rFonts w:hint="eastAsia" w:ascii="仿宋_GB2312" w:hAnsi="Times New Roman" w:eastAsia="仿宋_GB2312"/>
                <w:bCs/>
                <w:sz w:val="28"/>
                <w:szCs w:val="28"/>
              </w:rPr>
              <w:t>规格型号选择建议、</w:t>
            </w:r>
            <w:r>
              <w:rPr>
                <w:rFonts w:ascii="仿宋_GB2312" w:hAnsi="Times New Roman" w:eastAsia="仿宋_GB2312"/>
                <w:bCs/>
                <w:sz w:val="28"/>
                <w:szCs w:val="28"/>
              </w:rPr>
              <w:t>注意事项、</w:t>
            </w:r>
            <w:r>
              <w:rPr>
                <w:rFonts w:hint="eastAsia" w:ascii="仿宋_GB2312" w:hAnsi="Times New Roman" w:eastAsia="仿宋_GB2312"/>
                <w:bCs/>
                <w:sz w:val="28"/>
                <w:szCs w:val="28"/>
              </w:rPr>
              <w:t>禁忌证</w:t>
            </w:r>
            <w:r>
              <w:rPr>
                <w:rFonts w:ascii="仿宋_GB2312" w:hAnsi="Times New Roman" w:eastAsia="仿宋_GB2312"/>
                <w:bCs/>
                <w:sz w:val="28"/>
                <w:szCs w:val="28"/>
              </w:rPr>
              <w:t>不全</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缺少详细的使用方法、必要的警告说明</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仿宋_GB2312" w:hAnsi="Times New Roman" w:eastAsia="仿宋_GB2312"/>
                <w:bCs/>
                <w:sz w:val="28"/>
                <w:szCs w:val="28"/>
              </w:rPr>
            </w:pPr>
            <w:r>
              <w:rPr>
                <w:rFonts w:hint="eastAsia" w:ascii="仿宋_GB2312" w:hAnsi="Times New Roman" w:eastAsia="仿宋_GB2312"/>
                <w:bCs/>
                <w:sz w:val="28"/>
                <w:szCs w:val="28"/>
                <w:lang w:val="en-US" w:eastAsia="zh-CN"/>
              </w:rPr>
              <w:t>造成患者放疗定位不准、放射性损伤、延误治疗；</w:t>
            </w:r>
            <w:r>
              <w:rPr>
                <w:rFonts w:ascii="仿宋_GB2312" w:hAnsi="Times New Roman" w:eastAsia="仿宋_GB2312"/>
                <w:bCs/>
                <w:sz w:val="28"/>
                <w:szCs w:val="28"/>
              </w:rPr>
              <w:t>无法保证使用安全有效性</w:t>
            </w:r>
            <w:r>
              <w:rPr>
                <w:rFonts w:hint="eastAsia" w:ascii="仿宋_GB2312" w:hAnsi="Times New Roman" w:eastAsia="仿宋_GB2312"/>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对医疗器械寿命终止缺少适当的决定</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没有标识产品有效期</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超出有效期的产品被使用，可能会引起患者细菌感染，或因材料老化产生而导致产品性能不符合要求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298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bCs/>
                <w:sz w:val="28"/>
                <w:szCs w:val="28"/>
              </w:rPr>
            </w:pPr>
          </w:p>
        </w:tc>
        <w:tc>
          <w:tcPr>
            <w:tcW w:w="190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不适当的产品包装（产品污染和／或变性）</w:t>
            </w:r>
          </w:p>
        </w:tc>
        <w:tc>
          <w:tcPr>
            <w:tcW w:w="3321"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生产、运输、搬运和储存过程中导致包装破损；包装封口不严密；包装材料选择不适当；使用前未检查产品包装状态</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67" w:rightChars="-32"/>
              <w:rPr>
                <w:rFonts w:ascii="Times New Roman" w:hAnsi="Times New Roman" w:eastAsia="仿宋_GB2312"/>
                <w:bCs/>
                <w:sz w:val="28"/>
                <w:szCs w:val="28"/>
              </w:rPr>
            </w:pPr>
            <w:r>
              <w:rPr>
                <w:rFonts w:ascii="仿宋_GB2312" w:hAnsi="Times New Roman" w:eastAsia="仿宋_GB2312"/>
                <w:bCs/>
                <w:sz w:val="28"/>
                <w:szCs w:val="28"/>
              </w:rPr>
              <w:t>产品使用性能无法得到保证</w:t>
            </w:r>
          </w:p>
        </w:tc>
      </w:tr>
    </w:tbl>
    <w:p>
      <w:pPr>
        <w:adjustRightInd w:val="0"/>
        <w:snapToGrid w:val="0"/>
        <w:spacing w:line="520" w:lineRule="exact"/>
        <w:ind w:firstLine="636" w:firstLineChars="200"/>
        <w:rPr>
          <w:rFonts w:eastAsia="仿宋_GB2312"/>
          <w:color w:val="000000"/>
          <w:spacing w:val="-1"/>
          <w:sz w:val="32"/>
          <w:szCs w:val="32"/>
        </w:rPr>
      </w:pPr>
    </w:p>
    <w:p>
      <w:pPr>
        <w:adjustRightInd w:val="0"/>
        <w:snapToGrid w:val="0"/>
        <w:spacing w:line="520" w:lineRule="exact"/>
        <w:ind w:firstLine="636" w:firstLineChars="200"/>
        <w:rPr>
          <w:rFonts w:eastAsia="仿宋_GB2312"/>
          <w:color w:val="000000"/>
          <w:spacing w:val="-1"/>
          <w:sz w:val="32"/>
          <w:szCs w:val="32"/>
        </w:rPr>
      </w:pPr>
      <w:r>
        <w:rPr>
          <w:rFonts w:hint="eastAsia" w:eastAsia="仿宋_GB2312"/>
          <w:color w:val="000000"/>
          <w:spacing w:val="-1"/>
          <w:sz w:val="32"/>
          <w:szCs w:val="32"/>
        </w:rPr>
        <w:t>注册人申请人</w:t>
      </w:r>
      <w:r>
        <w:rPr>
          <w:rFonts w:eastAsia="仿宋_GB2312"/>
          <w:color w:val="000000"/>
          <w:spacing w:val="-1"/>
          <w:sz w:val="32"/>
          <w:szCs w:val="32"/>
        </w:rPr>
        <w:t>根据自身产品特点确定其他危害，可通过产品设计控制、产品原材料选择、产品技术性能指标的制定、正确的标签标识、生产和检验控制、产品说明书等多项措施以降低风险至可接受水平。</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2.医疗器械安全和性能基本原则清单</w:t>
      </w:r>
    </w:p>
    <w:p>
      <w:pPr>
        <w:pStyle w:val="5"/>
        <w:widowControl/>
        <w:spacing w:beforeAutospacing="0" w:afterAutospacing="0"/>
        <w:ind w:firstLine="636" w:firstLineChars="200"/>
        <w:rPr>
          <w:rFonts w:eastAsia="仿宋_GB2312"/>
          <w:color w:val="000000"/>
          <w:spacing w:val="-1"/>
          <w:kern w:val="2"/>
          <w:sz w:val="32"/>
          <w:szCs w:val="32"/>
        </w:rPr>
      </w:pPr>
      <w:r>
        <w:rPr>
          <w:rFonts w:hint="eastAsia" w:eastAsia="仿宋_GB2312"/>
          <w:color w:val="000000"/>
          <w:spacing w:val="-1"/>
          <w:kern w:val="2"/>
          <w:sz w:val="32"/>
          <w:szCs w:val="32"/>
        </w:rPr>
        <w:t>企业按照《</w:t>
      </w:r>
      <w:r>
        <w:rPr>
          <w:rFonts w:eastAsia="仿宋_GB2312"/>
          <w:color w:val="000000"/>
          <w:spacing w:val="-1"/>
          <w:kern w:val="2"/>
          <w:sz w:val="32"/>
          <w:szCs w:val="32"/>
        </w:rPr>
        <w:t>医疗器械安全和性能基本原则符合性技术指南</w:t>
      </w:r>
      <w:r>
        <w:rPr>
          <w:rFonts w:hint="eastAsia" w:eastAsia="仿宋_GB2312"/>
          <w:color w:val="000000"/>
          <w:spacing w:val="-1"/>
          <w:kern w:val="2"/>
          <w:sz w:val="32"/>
          <w:szCs w:val="32"/>
        </w:rPr>
        <w:t>》的要求，结合申报产品特性，逐一判断指南中各项具体要求的适用性，确定证明符合性采用的方法，按照确定的方法形成相应的符合性证据，并将这些符合性证据整理形成注册申报资料提交。</w:t>
      </w:r>
    </w:p>
    <w:p>
      <w:pPr>
        <w:spacing w:line="520" w:lineRule="exact"/>
        <w:ind w:right="-67" w:rightChars="-32" w:firstLine="636" w:firstLineChars="200"/>
        <w:rPr>
          <w:rFonts w:eastAsia="仿宋_GB2312"/>
          <w:color w:val="000000"/>
          <w:spacing w:val="-1"/>
          <w:sz w:val="32"/>
          <w:szCs w:val="32"/>
        </w:rPr>
      </w:pPr>
      <w:r>
        <w:rPr>
          <w:rFonts w:eastAsia="仿宋_GB2312"/>
          <w:color w:val="000000"/>
          <w:spacing w:val="-1"/>
          <w:sz w:val="32"/>
          <w:szCs w:val="32"/>
        </w:rPr>
        <w:t>3.产品技术要求及检验报告</w:t>
      </w:r>
    </w:p>
    <w:p>
      <w:pPr>
        <w:adjustRightInd w:val="0"/>
        <w:snapToGrid w:val="0"/>
        <w:spacing w:line="520" w:lineRule="exact"/>
        <w:ind w:firstLine="640" w:firstLineChars="200"/>
        <w:rPr>
          <w:rFonts w:eastAsia="仿宋_GB2312"/>
          <w:sz w:val="32"/>
          <w:szCs w:val="32"/>
        </w:rPr>
      </w:pPr>
      <w:r>
        <w:rPr>
          <w:rFonts w:eastAsia="仿宋_GB2312"/>
          <w:sz w:val="32"/>
          <w:szCs w:val="32"/>
        </w:rPr>
        <w:t>3.1申报产品适用标准情况</w:t>
      </w:r>
    </w:p>
    <w:p>
      <w:pPr>
        <w:adjustRightInd w:val="0"/>
        <w:snapToGrid w:val="0"/>
        <w:spacing w:line="520" w:lineRule="exact"/>
        <w:ind w:firstLine="636" w:firstLineChars="200"/>
        <w:rPr>
          <w:rFonts w:eastAsia="仿宋_GB2312"/>
          <w:color w:val="000000"/>
          <w:spacing w:val="-1"/>
          <w:sz w:val="32"/>
          <w:szCs w:val="32"/>
        </w:rPr>
      </w:pPr>
      <w:r>
        <w:rPr>
          <w:rFonts w:eastAsia="仿宋_GB2312"/>
          <w:color w:val="000000"/>
          <w:spacing w:val="-1"/>
          <w:sz w:val="32"/>
          <w:szCs w:val="32"/>
        </w:rPr>
        <w:t>3.2产品技术要求</w:t>
      </w:r>
    </w:p>
    <w:p>
      <w:pPr>
        <w:spacing w:line="520" w:lineRule="exact"/>
        <w:ind w:firstLine="640" w:firstLineChars="200"/>
        <w:rPr>
          <w:rFonts w:eastAsia="仿宋_GB2312"/>
          <w:color w:val="000000"/>
          <w:sz w:val="32"/>
          <w:szCs w:val="32"/>
        </w:rPr>
      </w:pPr>
      <w:r>
        <w:rPr>
          <w:rFonts w:eastAsia="仿宋_GB2312"/>
          <w:sz w:val="32"/>
          <w:szCs w:val="32"/>
        </w:rPr>
        <w:t>产品技术要求的制定符合《医疗器械产品技术要求编写指导原则》的法规要求。申请人依据产品的技术特征和临床使用情况来确定产品安全有效、质量可控的技术要求和检验方法。本指导原则给出</w:t>
      </w:r>
      <w:r>
        <w:rPr>
          <w:rFonts w:hint="eastAsia" w:eastAsia="仿宋_GB2312"/>
          <w:sz w:val="32"/>
          <w:szCs w:val="32"/>
        </w:rPr>
        <w:t>放射治疗患者用固定装置</w:t>
      </w:r>
      <w:r>
        <w:rPr>
          <w:rFonts w:eastAsia="仿宋_GB2312"/>
          <w:sz w:val="32"/>
          <w:szCs w:val="32"/>
        </w:rPr>
        <w:t>需要考虑的产品基本技术性能指标，申请人根据自身产品的技术特点和用途制定相应的性能指标，且性能指标不得低于强制性国家标准、行业标准。</w:t>
      </w:r>
    </w:p>
    <w:p>
      <w:pPr>
        <w:spacing w:line="520" w:lineRule="exact"/>
        <w:ind w:left="2" w:firstLine="636" w:firstLineChars="200"/>
        <w:rPr>
          <w:rFonts w:eastAsia="仿宋_GB2312"/>
          <w:sz w:val="32"/>
          <w:szCs w:val="32"/>
        </w:rPr>
      </w:pPr>
      <w:r>
        <w:rPr>
          <w:rFonts w:hint="eastAsia" w:eastAsia="仿宋_GB2312"/>
          <w:color w:val="000000"/>
          <w:spacing w:val="-1"/>
          <w:sz w:val="32"/>
          <w:szCs w:val="32"/>
        </w:rPr>
        <w:t>放射治疗患者用固定装置</w:t>
      </w:r>
      <w:r>
        <w:rPr>
          <w:rFonts w:eastAsia="仿宋_GB2312"/>
          <w:sz w:val="32"/>
          <w:szCs w:val="32"/>
        </w:rPr>
        <w:t>基本技术性能指标包括但不限于以下内容，</w:t>
      </w:r>
      <w:r>
        <w:rPr>
          <w:rFonts w:hint="eastAsia" w:eastAsia="仿宋_GB2312"/>
          <w:sz w:val="32"/>
          <w:szCs w:val="32"/>
        </w:rPr>
        <w:t>注册申请人</w:t>
      </w:r>
      <w:r>
        <w:rPr>
          <w:rFonts w:eastAsia="仿宋_GB2312"/>
          <w:sz w:val="32"/>
          <w:szCs w:val="32"/>
        </w:rPr>
        <w:t>可根据产品自身特点，参考相应的国家、行业标准制定产品技术要求，如有不适用条款（包括国家标准、行业标准要求），</w:t>
      </w:r>
      <w:r>
        <w:rPr>
          <w:rFonts w:hint="eastAsia" w:eastAsia="仿宋_GB2312"/>
          <w:sz w:val="32"/>
          <w:szCs w:val="32"/>
        </w:rPr>
        <w:t>注册申请人</w:t>
      </w:r>
      <w:r>
        <w:rPr>
          <w:rFonts w:eastAsia="仿宋_GB2312"/>
          <w:sz w:val="32"/>
          <w:szCs w:val="32"/>
        </w:rPr>
        <w:t>在申报资料中说明理由</w:t>
      </w:r>
      <w:r>
        <w:rPr>
          <w:rFonts w:hint="eastAsia" w:eastAsia="仿宋_GB2312"/>
          <w:sz w:val="32"/>
          <w:szCs w:val="32"/>
        </w:rPr>
        <w:t>。</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设计</w:t>
      </w:r>
      <w:r>
        <w:rPr>
          <w:rFonts w:hint="eastAsia" w:eastAsia="仿宋_GB2312"/>
          <w:sz w:val="32"/>
          <w:szCs w:val="32"/>
          <w:lang w:eastAsia="zh-CN"/>
        </w:rPr>
        <w:t>与制造</w:t>
      </w:r>
      <w:r>
        <w:rPr>
          <w:rFonts w:hint="eastAsia" w:eastAsia="仿宋_GB2312"/>
          <w:sz w:val="32"/>
          <w:szCs w:val="32"/>
        </w:rPr>
        <w:t>；</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外观；</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尺寸；</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表面形态</w:t>
      </w:r>
      <w:r>
        <w:rPr>
          <w:rFonts w:hint="eastAsia" w:eastAsia="仿宋_GB2312"/>
          <w:sz w:val="32"/>
          <w:szCs w:val="32"/>
          <w:lang w:eastAsia="zh-CN"/>
        </w:rPr>
        <w:t>、表面粗糙度</w:t>
      </w:r>
      <w:r>
        <w:rPr>
          <w:rFonts w:hint="eastAsia" w:eastAsia="仿宋_GB2312"/>
          <w:sz w:val="32"/>
          <w:szCs w:val="32"/>
        </w:rPr>
        <w:t>；</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使用性能；</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物理</w:t>
      </w:r>
      <w:r>
        <w:rPr>
          <w:rFonts w:eastAsia="仿宋_GB2312"/>
          <w:sz w:val="32"/>
          <w:szCs w:val="32"/>
        </w:rPr>
        <w:t>性能：如硬度</w:t>
      </w:r>
      <w:r>
        <w:rPr>
          <w:rFonts w:hint="eastAsia" w:eastAsia="仿宋_GB2312"/>
          <w:sz w:val="32"/>
          <w:szCs w:val="32"/>
          <w:lang w:eastAsia="zh-CN"/>
        </w:rPr>
        <w:t>、抗压能力</w:t>
      </w:r>
      <w:r>
        <w:rPr>
          <w:rFonts w:hint="eastAsia" w:eastAsia="仿宋_GB2312"/>
          <w:sz w:val="32"/>
          <w:szCs w:val="32"/>
        </w:rPr>
        <w:t>等</w:t>
      </w:r>
      <w:r>
        <w:rPr>
          <w:rFonts w:eastAsia="仿宋_GB2312"/>
          <w:sz w:val="32"/>
          <w:szCs w:val="32"/>
        </w:rPr>
        <w:t>力学性能；</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lang w:eastAsia="zh-CN"/>
        </w:rPr>
        <w:t>配合性（如适用）</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无菌（如有）；</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环氧乙烷</w:t>
      </w:r>
      <w:r>
        <w:rPr>
          <w:rFonts w:eastAsia="仿宋_GB2312"/>
          <w:sz w:val="32"/>
          <w:szCs w:val="32"/>
        </w:rPr>
        <w:t>残留</w:t>
      </w:r>
      <w:r>
        <w:rPr>
          <w:rFonts w:hint="eastAsia" w:eastAsia="仿宋_GB2312"/>
          <w:sz w:val="32"/>
          <w:szCs w:val="32"/>
        </w:rPr>
        <w:t>量</w:t>
      </w:r>
      <w:bookmarkStart w:id="4" w:name="OLE_LINK7"/>
      <w:bookmarkStart w:id="5" w:name="OLE_LINK8"/>
      <w:r>
        <w:rPr>
          <w:rFonts w:hint="eastAsia" w:eastAsia="仿宋_GB2312"/>
          <w:sz w:val="32"/>
          <w:szCs w:val="32"/>
        </w:rPr>
        <w:t>（如有）</w:t>
      </w:r>
      <w:bookmarkEnd w:id="4"/>
      <w:bookmarkEnd w:id="5"/>
      <w:r>
        <w:rPr>
          <w:rFonts w:hint="eastAsia" w:eastAsia="仿宋_GB2312"/>
          <w:sz w:val="32"/>
          <w:szCs w:val="32"/>
        </w:rPr>
        <w:t>；</w:t>
      </w:r>
    </w:p>
    <w:p>
      <w:pPr>
        <w:numPr>
          <w:ilvl w:val="0"/>
          <w:numId w:val="2"/>
        </w:numPr>
        <w:spacing w:line="520" w:lineRule="exact"/>
        <w:ind w:left="2" w:firstLine="640" w:firstLineChars="200"/>
        <w:rPr>
          <w:rFonts w:eastAsia="仿宋_GB2312"/>
          <w:sz w:val="32"/>
          <w:szCs w:val="32"/>
        </w:rPr>
      </w:pPr>
      <w:r>
        <w:rPr>
          <w:rFonts w:hint="eastAsia" w:eastAsia="仿宋_GB2312"/>
          <w:sz w:val="32"/>
          <w:szCs w:val="32"/>
        </w:rPr>
        <w:t>化学</w:t>
      </w:r>
      <w:r>
        <w:rPr>
          <w:rFonts w:eastAsia="仿宋_GB2312"/>
          <w:sz w:val="32"/>
          <w:szCs w:val="32"/>
        </w:rPr>
        <w:t>性能</w:t>
      </w:r>
      <w:r>
        <w:rPr>
          <w:rFonts w:hint="eastAsia" w:eastAsia="仿宋_GB2312"/>
          <w:sz w:val="32"/>
          <w:szCs w:val="32"/>
        </w:rPr>
        <w:t>：</w:t>
      </w:r>
      <w:r>
        <w:rPr>
          <w:rFonts w:eastAsia="仿宋_GB2312"/>
          <w:sz w:val="32"/>
          <w:szCs w:val="32"/>
        </w:rPr>
        <w:t>酸碱度、重金属含量、还原物质</w:t>
      </w:r>
      <w:r>
        <w:rPr>
          <w:rFonts w:hint="eastAsia" w:eastAsia="仿宋_GB2312"/>
          <w:sz w:val="32"/>
          <w:szCs w:val="32"/>
          <w:lang w:eastAsia="zh-CN"/>
        </w:rPr>
        <w:t>、蒸发残渣、紫外吸光度</w:t>
      </w:r>
      <w:r>
        <w:rPr>
          <w:rFonts w:hint="eastAsia" w:eastAsia="仿宋_GB2312"/>
          <w:sz w:val="32"/>
          <w:szCs w:val="32"/>
        </w:rPr>
        <w:t>等；</w:t>
      </w:r>
    </w:p>
    <w:p>
      <w:pPr>
        <w:spacing w:line="520" w:lineRule="exact"/>
        <w:ind w:left="420" w:leftChars="200" w:firstLine="320" w:firstLineChars="100"/>
        <w:rPr>
          <w:rFonts w:eastAsia="仿宋_GB2312"/>
          <w:sz w:val="32"/>
          <w:szCs w:val="32"/>
        </w:rPr>
      </w:pPr>
      <w:r>
        <w:rPr>
          <w:rFonts w:hint="eastAsia" w:eastAsia="仿宋_GB2312"/>
          <w:sz w:val="32"/>
          <w:szCs w:val="32"/>
        </w:rPr>
        <w:t>3.3检验报告</w:t>
      </w:r>
    </w:p>
    <w:p>
      <w:pPr>
        <w:spacing w:line="520" w:lineRule="exact"/>
        <w:ind w:right="-67" w:rightChars="-32" w:firstLine="640" w:firstLineChars="200"/>
        <w:rPr>
          <w:rFonts w:eastAsia="仿宋_GB2312"/>
          <w:color w:val="000000"/>
          <w:sz w:val="32"/>
          <w:szCs w:val="32"/>
        </w:rPr>
      </w:pPr>
      <w:r>
        <w:rPr>
          <w:rFonts w:eastAsia="仿宋_GB2312"/>
          <w:color w:val="000000"/>
          <w:sz w:val="32"/>
          <w:szCs w:val="32"/>
        </w:rPr>
        <w:t>3.3.1检验报告可以是申请人按照《医疗器械注册自检管理规定》出具的自检报告，也可以是委托有资质的医疗器械检验机构出具的检验报告。</w:t>
      </w:r>
    </w:p>
    <w:p>
      <w:pPr>
        <w:spacing w:line="520" w:lineRule="exact"/>
        <w:ind w:firstLine="640" w:firstLineChars="200"/>
        <w:rPr>
          <w:rFonts w:hint="eastAsia" w:eastAsia="仿宋_GB2312"/>
          <w:sz w:val="32"/>
          <w:szCs w:val="32"/>
          <w:lang w:val="en-US" w:eastAsia="zh-CN"/>
        </w:rPr>
      </w:pPr>
      <w:r>
        <w:rPr>
          <w:rFonts w:eastAsia="仿宋_GB2312"/>
          <w:color w:val="000000"/>
          <w:sz w:val="32"/>
          <w:szCs w:val="32"/>
        </w:rPr>
        <w:t>3.3.2</w:t>
      </w:r>
      <w:r>
        <w:rPr>
          <w:rFonts w:eastAsia="仿宋_GB2312"/>
          <w:sz w:val="32"/>
          <w:szCs w:val="32"/>
        </w:rPr>
        <w:t>同一注册单元内所检验的产品能够代表本注册单元内其他产品的安全性和有效性</w:t>
      </w:r>
      <w:r>
        <w:rPr>
          <w:rFonts w:hint="eastAsia" w:eastAsia="仿宋_GB2312"/>
          <w:sz w:val="32"/>
          <w:szCs w:val="32"/>
          <w:lang w:eastAsia="zh-CN"/>
        </w:rPr>
        <w:t>，</w:t>
      </w:r>
      <w:r>
        <w:rPr>
          <w:rFonts w:hint="eastAsia" w:eastAsia="仿宋_GB2312"/>
          <w:sz w:val="32"/>
          <w:szCs w:val="32"/>
          <w:lang w:val="en-US" w:eastAsia="zh-CN"/>
        </w:rPr>
        <w:t>并提供典型性检验样品的确定依据</w:t>
      </w:r>
      <w:r>
        <w:rPr>
          <w:rFonts w:eastAsia="仿宋_GB2312"/>
          <w:sz w:val="32"/>
          <w:szCs w:val="32"/>
        </w:rPr>
        <w:t>。</w:t>
      </w:r>
    </w:p>
    <w:p>
      <w:pPr>
        <w:overflowPunct w:val="0"/>
        <w:spacing w:line="520" w:lineRule="exact"/>
        <w:ind w:firstLine="640" w:firstLineChars="200"/>
        <w:jc w:val="left"/>
        <w:outlineLvl w:val="0"/>
        <w:rPr>
          <w:rFonts w:eastAsia="仿宋_GB2312"/>
          <w:sz w:val="32"/>
          <w:szCs w:val="32"/>
        </w:rPr>
      </w:pPr>
      <w:r>
        <w:rPr>
          <w:rFonts w:hint="eastAsia" w:eastAsia="仿宋_GB2312"/>
          <w:sz w:val="32"/>
          <w:szCs w:val="32"/>
        </w:rPr>
        <w:t>4</w:t>
      </w:r>
      <w:r>
        <w:rPr>
          <w:rFonts w:eastAsia="仿宋_GB2312"/>
          <w:sz w:val="32"/>
          <w:szCs w:val="32"/>
        </w:rPr>
        <w:t>.研究资料</w:t>
      </w:r>
    </w:p>
    <w:p>
      <w:pPr>
        <w:overflowPunct w:val="0"/>
        <w:spacing w:line="520" w:lineRule="exact"/>
        <w:ind w:firstLine="640" w:firstLineChars="200"/>
        <w:rPr>
          <w:rFonts w:eastAsia="仿宋_GB2312"/>
          <w:sz w:val="32"/>
          <w:szCs w:val="32"/>
        </w:rPr>
      </w:pPr>
      <w:bookmarkStart w:id="6" w:name="_Toc498607698"/>
      <w:r>
        <w:rPr>
          <w:rFonts w:hint="eastAsia" w:eastAsia="仿宋_GB2312"/>
          <w:sz w:val="32"/>
          <w:szCs w:val="32"/>
        </w:rPr>
        <w:t>4</w:t>
      </w:r>
      <w:r>
        <w:rPr>
          <w:rFonts w:eastAsia="仿宋_GB2312"/>
          <w:sz w:val="32"/>
          <w:szCs w:val="32"/>
        </w:rPr>
        <w:t>.1</w:t>
      </w:r>
      <w:r>
        <w:rPr>
          <w:rFonts w:hint="eastAsia" w:eastAsia="仿宋_GB2312"/>
          <w:sz w:val="32"/>
          <w:szCs w:val="32"/>
        </w:rPr>
        <w:t>化学和物理性能研究</w:t>
      </w:r>
    </w:p>
    <w:p>
      <w:pPr>
        <w:overflowPunct w:val="0"/>
        <w:spacing w:line="520" w:lineRule="exact"/>
        <w:ind w:firstLine="640" w:firstLineChars="200"/>
        <w:rPr>
          <w:rFonts w:eastAsia="仿宋_GB2312"/>
          <w:sz w:val="32"/>
          <w:szCs w:val="32"/>
        </w:rPr>
      </w:pPr>
      <w:r>
        <w:rPr>
          <w:rFonts w:eastAsia="仿宋_GB2312"/>
          <w:sz w:val="32"/>
          <w:szCs w:val="32"/>
        </w:rPr>
        <w:t>明确各种原料的化学名称、化学结构式/分子式、分子量、来源和纯度（如适用）、使用量或组成比例、符合的标准、申请人的验收标准及相关的安全性评价报告，建议以列表的形式提供，并说明原材料的选择依据及来源。</w:t>
      </w:r>
    </w:p>
    <w:p>
      <w:pPr>
        <w:spacing w:line="520" w:lineRule="exact"/>
        <w:ind w:firstLine="640" w:firstLineChars="200"/>
        <w:rPr>
          <w:rFonts w:eastAsia="仿宋_GB2312"/>
          <w:sz w:val="32"/>
          <w:szCs w:val="32"/>
        </w:rPr>
      </w:pPr>
      <w:r>
        <w:rPr>
          <w:rFonts w:hint="eastAsia" w:eastAsia="仿宋_GB2312"/>
          <w:sz w:val="32"/>
          <w:szCs w:val="32"/>
        </w:rPr>
        <w:t>申报资料中包括产品性能研究资料以及产品技术要求的研究和编制说明，包括所有指标的确定依据，所采用的标准或方法、采用的原因及理论基础。</w:t>
      </w:r>
      <w:bookmarkEnd w:id="6"/>
    </w:p>
    <w:p>
      <w:pPr>
        <w:spacing w:line="520" w:lineRule="exact"/>
        <w:ind w:firstLine="640" w:firstLineChars="200"/>
        <w:outlineLvl w:val="2"/>
        <w:rPr>
          <w:rFonts w:eastAsia="仿宋_GB2312"/>
          <w:sz w:val="32"/>
          <w:szCs w:val="32"/>
        </w:rPr>
      </w:pPr>
      <w:r>
        <w:rPr>
          <w:rFonts w:hint="eastAsia" w:eastAsia="仿宋_GB2312"/>
          <w:sz w:val="32"/>
          <w:szCs w:val="32"/>
        </w:rPr>
        <w:t>4.2</w:t>
      </w:r>
      <w:r>
        <w:rPr>
          <w:rFonts w:eastAsia="仿宋_GB2312"/>
          <w:sz w:val="32"/>
          <w:szCs w:val="32"/>
        </w:rPr>
        <w:t>生物相容性的评价研究</w:t>
      </w:r>
    </w:p>
    <w:p>
      <w:pPr>
        <w:spacing w:line="520" w:lineRule="exact"/>
        <w:ind w:firstLine="640" w:firstLineChars="200"/>
        <w:rPr>
          <w:rFonts w:eastAsia="仿宋_GB2312"/>
          <w:kern w:val="0"/>
          <w:sz w:val="32"/>
          <w:szCs w:val="32"/>
        </w:rPr>
      </w:pPr>
      <w:r>
        <w:rPr>
          <w:rFonts w:eastAsia="仿宋_GB2312"/>
          <w:kern w:val="0"/>
          <w:sz w:val="32"/>
          <w:szCs w:val="32"/>
        </w:rPr>
        <w:t>生物相容性评价研究资料包括：生物相容性评价的依据和方法；产品所用材料的描述及与人体接触的性质和时间；实施或豁免生物学试验的理由和论证</w:t>
      </w:r>
      <w:r>
        <w:rPr>
          <w:rFonts w:hint="eastAsia" w:eastAsia="仿宋_GB2312"/>
          <w:kern w:val="0"/>
          <w:sz w:val="32"/>
          <w:szCs w:val="32"/>
        </w:rPr>
        <w:t>；</w:t>
      </w:r>
      <w:r>
        <w:rPr>
          <w:rFonts w:eastAsia="仿宋_GB2312"/>
          <w:kern w:val="0"/>
          <w:sz w:val="32"/>
          <w:szCs w:val="32"/>
        </w:rPr>
        <w:t>对于现有数据或试验结果的评价。若开展生物学评价试验，按照GB/T 16886.1《医疗器械生物学评价 第1部分：风险管理过程中的评价与试验》标准进行评价，</w:t>
      </w:r>
      <w:r>
        <w:rPr>
          <w:rFonts w:hint="eastAsia" w:eastAsia="仿宋_GB2312"/>
          <w:kern w:val="0"/>
          <w:sz w:val="32"/>
          <w:szCs w:val="32"/>
        </w:rPr>
        <w:t>至少</w:t>
      </w:r>
      <w:r>
        <w:rPr>
          <w:rFonts w:eastAsia="仿宋_GB2312"/>
          <w:kern w:val="0"/>
          <w:sz w:val="32"/>
          <w:szCs w:val="32"/>
        </w:rPr>
        <w:t>进行细胞毒性、</w:t>
      </w:r>
      <w:r>
        <w:rPr>
          <w:rFonts w:hint="eastAsia" w:eastAsia="仿宋_GB2312"/>
          <w:kern w:val="0"/>
          <w:sz w:val="32"/>
          <w:szCs w:val="32"/>
        </w:rPr>
        <w:t>致敏</w:t>
      </w:r>
      <w:r>
        <w:rPr>
          <w:rFonts w:eastAsia="仿宋_GB2312"/>
          <w:kern w:val="0"/>
          <w:sz w:val="32"/>
          <w:szCs w:val="32"/>
        </w:rPr>
        <w:t>、</w:t>
      </w:r>
      <w:r>
        <w:rPr>
          <w:rFonts w:hint="eastAsia" w:eastAsia="仿宋_GB2312"/>
          <w:kern w:val="0"/>
          <w:sz w:val="32"/>
          <w:szCs w:val="32"/>
        </w:rPr>
        <w:t>刺激或皮内</w:t>
      </w:r>
      <w:r>
        <w:rPr>
          <w:rFonts w:eastAsia="仿宋_GB2312"/>
          <w:kern w:val="0"/>
          <w:sz w:val="32"/>
          <w:szCs w:val="32"/>
        </w:rPr>
        <w:t>反应的生物学评价研究。</w:t>
      </w:r>
      <w:r>
        <w:rPr>
          <w:rFonts w:hint="eastAsia" w:eastAsia="仿宋_GB2312"/>
          <w:kern w:val="0"/>
          <w:sz w:val="32"/>
          <w:szCs w:val="32"/>
        </w:rPr>
        <w:t>如存在</w:t>
      </w:r>
      <w:r>
        <w:rPr>
          <w:rFonts w:eastAsia="仿宋_GB2312"/>
          <w:kern w:val="0"/>
          <w:sz w:val="32"/>
          <w:szCs w:val="32"/>
        </w:rPr>
        <w:t>产品累积使用时间超过24</w:t>
      </w:r>
      <w:r>
        <w:rPr>
          <w:rFonts w:hint="eastAsia" w:eastAsia="仿宋_GB2312"/>
          <w:kern w:val="0"/>
          <w:sz w:val="32"/>
          <w:szCs w:val="32"/>
        </w:rPr>
        <w:t>小时</w:t>
      </w:r>
      <w:r>
        <w:rPr>
          <w:rFonts w:eastAsia="仿宋_GB2312"/>
          <w:kern w:val="0"/>
          <w:sz w:val="32"/>
          <w:szCs w:val="32"/>
        </w:rPr>
        <w:t>等</w:t>
      </w:r>
      <w:r>
        <w:rPr>
          <w:rFonts w:hint="eastAsia" w:eastAsia="仿宋_GB2312"/>
          <w:kern w:val="0"/>
          <w:sz w:val="32"/>
          <w:szCs w:val="32"/>
        </w:rPr>
        <w:t>特殊</w:t>
      </w:r>
      <w:r>
        <w:rPr>
          <w:rFonts w:eastAsia="仿宋_GB2312"/>
          <w:kern w:val="0"/>
          <w:sz w:val="32"/>
          <w:szCs w:val="32"/>
        </w:rPr>
        <w:t>情形，则根据</w:t>
      </w:r>
      <w:r>
        <w:rPr>
          <w:rFonts w:hint="eastAsia" w:eastAsia="仿宋_GB2312"/>
          <w:kern w:val="0"/>
          <w:sz w:val="32"/>
          <w:szCs w:val="32"/>
        </w:rPr>
        <w:t>GB/T 16886.1《医疗器械生物学评价 第1部分：风险管理过程中的评价与试验》标准</w:t>
      </w:r>
      <w:r>
        <w:rPr>
          <w:rFonts w:eastAsia="仿宋_GB2312"/>
          <w:kern w:val="0"/>
          <w:sz w:val="32"/>
          <w:szCs w:val="32"/>
        </w:rPr>
        <w:t>进行评价，</w:t>
      </w:r>
      <w:r>
        <w:rPr>
          <w:rFonts w:hint="eastAsia" w:eastAsia="仿宋_GB2312"/>
          <w:kern w:val="0"/>
          <w:sz w:val="32"/>
          <w:szCs w:val="32"/>
        </w:rPr>
        <w:t>可</w:t>
      </w:r>
      <w:r>
        <w:rPr>
          <w:rFonts w:eastAsia="仿宋_GB2312"/>
          <w:kern w:val="0"/>
          <w:sz w:val="32"/>
          <w:szCs w:val="32"/>
        </w:rPr>
        <w:t>采用适用的</w:t>
      </w:r>
      <w:r>
        <w:rPr>
          <w:rFonts w:hint="eastAsia" w:eastAsia="仿宋_GB2312"/>
          <w:kern w:val="0"/>
          <w:sz w:val="32"/>
          <w:szCs w:val="32"/>
        </w:rPr>
        <w:t>生物学</w:t>
      </w:r>
      <w:r>
        <w:rPr>
          <w:rFonts w:eastAsia="仿宋_GB2312"/>
          <w:kern w:val="0"/>
          <w:sz w:val="32"/>
          <w:szCs w:val="32"/>
        </w:rPr>
        <w:t>试验项目作为评价终点</w:t>
      </w:r>
      <w:r>
        <w:rPr>
          <w:rFonts w:hint="eastAsia" w:eastAsia="仿宋_GB2312"/>
          <w:kern w:val="0"/>
          <w:sz w:val="32"/>
          <w:szCs w:val="32"/>
        </w:rPr>
        <w:t>。</w:t>
      </w:r>
    </w:p>
    <w:p>
      <w:pPr>
        <w:pStyle w:val="9"/>
      </w:pPr>
    </w:p>
    <w:p>
      <w:pPr>
        <w:spacing w:line="520" w:lineRule="exact"/>
        <w:ind w:firstLine="640" w:firstLineChars="200"/>
        <w:rPr>
          <w:rFonts w:hint="eastAsia" w:eastAsia="仿宋_GB2312"/>
          <w:sz w:val="32"/>
          <w:szCs w:val="32"/>
          <w:lang w:eastAsia="zh-CN"/>
        </w:rPr>
      </w:pPr>
      <w:r>
        <w:rPr>
          <w:rFonts w:hint="eastAsia" w:eastAsia="仿宋_GB2312"/>
          <w:sz w:val="32"/>
          <w:szCs w:val="32"/>
        </w:rPr>
        <w:t>4.3.</w:t>
      </w:r>
      <w:r>
        <w:rPr>
          <w:rFonts w:hint="eastAsia" w:eastAsia="仿宋_GB2312"/>
          <w:sz w:val="32"/>
          <w:szCs w:val="32"/>
          <w:lang w:eastAsia="zh-CN"/>
        </w:rPr>
        <w:t>清洁、消毒、灭菌研究</w:t>
      </w:r>
    </w:p>
    <w:p>
      <w:pPr>
        <w:spacing w:line="52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4.3.1 清洁、消毒研究</w:t>
      </w:r>
    </w:p>
    <w:p>
      <w:pPr>
        <w:spacing w:line="520" w:lineRule="exact"/>
        <w:ind w:firstLine="640" w:firstLineChars="200"/>
        <w:rPr>
          <w:rFonts w:hint="default" w:eastAsia="仿宋_GB2312"/>
          <w:sz w:val="32"/>
          <w:szCs w:val="32"/>
          <w:lang w:val="en-US" w:eastAsia="zh-CN"/>
        </w:rPr>
      </w:pPr>
      <w:r>
        <w:rPr>
          <w:rFonts w:hint="eastAsia" w:eastAsia="仿宋_GB2312"/>
          <w:bCs/>
          <w:color w:val="000000"/>
          <w:sz w:val="32"/>
          <w:szCs w:val="32"/>
          <w:lang w:eastAsia="zh-CN"/>
        </w:rPr>
        <w:t>使用前由使用者清洁、消毒的产品</w:t>
      </w:r>
      <w:r>
        <w:rPr>
          <w:rFonts w:eastAsia="仿宋_GB2312"/>
          <w:bCs/>
          <w:color w:val="000000"/>
          <w:sz w:val="32"/>
          <w:szCs w:val="32"/>
        </w:rPr>
        <w:t>应当明确推荐的清洗和消毒工艺（方法和参数）、工艺的确定依据以及验证的相关研究资料。</w:t>
      </w:r>
    </w:p>
    <w:p>
      <w:pPr>
        <w:spacing w:line="520" w:lineRule="exact"/>
        <w:ind w:firstLine="640" w:firstLineChars="200"/>
        <w:rPr>
          <w:rFonts w:eastAsia="仿宋_GB2312"/>
          <w:sz w:val="32"/>
          <w:szCs w:val="32"/>
        </w:rPr>
      </w:pPr>
      <w:r>
        <w:rPr>
          <w:rFonts w:hint="eastAsia" w:eastAsia="仿宋_GB2312"/>
          <w:sz w:val="32"/>
          <w:szCs w:val="32"/>
          <w:lang w:val="en-US" w:eastAsia="zh-CN"/>
        </w:rPr>
        <w:t>4.3.2</w:t>
      </w:r>
      <w:r>
        <w:rPr>
          <w:rFonts w:hint="eastAsia" w:eastAsia="仿宋_GB2312"/>
          <w:sz w:val="32"/>
          <w:szCs w:val="32"/>
        </w:rPr>
        <w:t>灭菌</w:t>
      </w:r>
      <w:r>
        <w:rPr>
          <w:rFonts w:eastAsia="仿宋_GB2312"/>
          <w:sz w:val="32"/>
          <w:szCs w:val="32"/>
        </w:rPr>
        <w:t>工艺研究</w:t>
      </w:r>
      <w:r>
        <w:rPr>
          <w:rFonts w:hint="eastAsia" w:eastAsia="仿宋_GB2312"/>
          <w:sz w:val="32"/>
          <w:szCs w:val="32"/>
        </w:rPr>
        <w:t>（如涉及）</w:t>
      </w:r>
    </w:p>
    <w:p>
      <w:pPr>
        <w:spacing w:line="540" w:lineRule="exact"/>
        <w:ind w:firstLine="640" w:firstLineChars="200"/>
        <w:rPr>
          <w:rFonts w:eastAsia="仿宋_GB2312"/>
          <w:color w:val="000000"/>
          <w:sz w:val="32"/>
          <w:szCs w:val="32"/>
        </w:rPr>
      </w:pPr>
      <w:r>
        <w:rPr>
          <w:rFonts w:eastAsia="仿宋_GB2312"/>
          <w:color w:val="000000"/>
          <w:sz w:val="32"/>
          <w:szCs w:val="32"/>
        </w:rPr>
        <w:t>应明确灭菌工艺（方法和参数）及其选择依据和无菌保证水平（SAL），并提供灭菌确认报告，无菌保证水平（SAL）应保证达到1×10</w:t>
      </w:r>
      <w:r>
        <w:rPr>
          <w:rFonts w:eastAsia="仿宋_GB2312"/>
          <w:color w:val="000000"/>
          <w:sz w:val="40"/>
          <w:szCs w:val="40"/>
          <w:vertAlign w:val="superscript"/>
        </w:rPr>
        <w:t>-6</w:t>
      </w:r>
      <w:r>
        <w:rPr>
          <w:rFonts w:eastAsia="仿宋_GB2312"/>
          <w:color w:val="000000"/>
          <w:sz w:val="32"/>
          <w:szCs w:val="32"/>
        </w:rPr>
        <w:t>。灭菌过程的选择应至少考虑以下因素：产品与灭菌过程的适应性；包装材料与灭菌过程的适应性；灭菌对产品安全有效性的影响。</w:t>
      </w:r>
    </w:p>
    <w:p>
      <w:pPr>
        <w:spacing w:line="540" w:lineRule="exact"/>
        <w:ind w:firstLine="640" w:firstLineChars="200"/>
        <w:rPr>
          <w:rFonts w:eastAsia="仿宋_GB2312"/>
          <w:color w:val="000000"/>
          <w:sz w:val="32"/>
          <w:szCs w:val="32"/>
        </w:rPr>
      </w:pPr>
      <w:r>
        <w:rPr>
          <w:rFonts w:eastAsia="仿宋_GB2312"/>
          <w:color w:val="000000"/>
          <w:sz w:val="32"/>
          <w:szCs w:val="32"/>
        </w:rPr>
        <w:t>若灭菌使用的方法易出现残留，应明确残留物的名称、限量及其确定依据、采取的处理措施及相应的残留量检测报告。</w:t>
      </w:r>
    </w:p>
    <w:p>
      <w:pPr>
        <w:spacing w:line="52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4</w:t>
      </w:r>
      <w:r>
        <w:rPr>
          <w:rFonts w:hint="eastAsia" w:eastAsia="仿宋_GB2312"/>
          <w:sz w:val="32"/>
          <w:szCs w:val="32"/>
        </w:rPr>
        <w:t>.</w:t>
      </w:r>
      <w:r>
        <w:rPr>
          <w:rFonts w:eastAsia="仿宋_GB2312"/>
          <w:sz w:val="32"/>
          <w:szCs w:val="32"/>
        </w:rPr>
        <w:t>非临床文献</w:t>
      </w:r>
    </w:p>
    <w:p>
      <w:pPr>
        <w:spacing w:line="520" w:lineRule="exact"/>
        <w:ind w:firstLine="640" w:firstLineChars="200"/>
        <w:rPr>
          <w:rFonts w:eastAsia="仿宋_GB2312"/>
          <w:kern w:val="0"/>
          <w:sz w:val="32"/>
          <w:szCs w:val="32"/>
        </w:rPr>
      </w:pPr>
      <w:r>
        <w:rPr>
          <w:rFonts w:hint="eastAsia" w:eastAsia="仿宋_GB2312"/>
          <w:sz w:val="32"/>
          <w:szCs w:val="32"/>
        </w:rPr>
        <w:t>4.</w:t>
      </w:r>
      <w:r>
        <w:rPr>
          <w:rFonts w:eastAsia="仿宋_GB2312"/>
          <w:sz w:val="32"/>
          <w:szCs w:val="32"/>
        </w:rPr>
        <w:t>5</w:t>
      </w:r>
      <w:r>
        <w:rPr>
          <w:rFonts w:hint="eastAsia" w:eastAsia="仿宋_GB2312"/>
          <w:sz w:val="32"/>
          <w:szCs w:val="32"/>
        </w:rPr>
        <w:t>.</w:t>
      </w:r>
      <w:r>
        <w:rPr>
          <w:rFonts w:eastAsia="仿宋_GB2312"/>
          <w:sz w:val="32"/>
          <w:szCs w:val="32"/>
        </w:rPr>
        <w:t>稳定性研究</w:t>
      </w:r>
    </w:p>
    <w:p>
      <w:pPr>
        <w:overflowPunct w:val="0"/>
        <w:spacing w:line="520" w:lineRule="exact"/>
        <w:ind w:firstLine="640" w:firstLineChars="200"/>
        <w:rPr>
          <w:rFonts w:eastAsia="仿宋"/>
          <w:sz w:val="32"/>
          <w:szCs w:val="32"/>
        </w:rPr>
      </w:pPr>
      <w:r>
        <w:rPr>
          <w:rFonts w:hint="eastAsia" w:eastAsia="仿宋"/>
          <w:sz w:val="32"/>
          <w:szCs w:val="32"/>
        </w:rPr>
        <w:t>4.</w:t>
      </w:r>
      <w:r>
        <w:rPr>
          <w:rFonts w:eastAsia="仿宋"/>
          <w:sz w:val="32"/>
          <w:szCs w:val="32"/>
        </w:rPr>
        <w:t>5</w:t>
      </w:r>
      <w:r>
        <w:rPr>
          <w:rFonts w:hint="eastAsia" w:eastAsia="仿宋"/>
          <w:sz w:val="32"/>
          <w:szCs w:val="32"/>
        </w:rPr>
        <w:t>.1</w:t>
      </w:r>
      <w:r>
        <w:rPr>
          <w:rFonts w:hint="eastAsia" w:eastAsia="仿宋_GB2312"/>
          <w:sz w:val="32"/>
          <w:szCs w:val="32"/>
        </w:rPr>
        <w:t>货架有效期</w:t>
      </w:r>
    </w:p>
    <w:p>
      <w:pPr>
        <w:overflowPunct w:val="0"/>
        <w:spacing w:line="520" w:lineRule="exact"/>
        <w:ind w:firstLine="640" w:firstLineChars="200"/>
        <w:jc w:val="left"/>
        <w:outlineLvl w:val="0"/>
        <w:rPr>
          <w:rFonts w:eastAsia="仿宋_GB2312"/>
          <w:sz w:val="32"/>
          <w:szCs w:val="32"/>
        </w:rPr>
      </w:pPr>
      <w:r>
        <w:rPr>
          <w:rFonts w:eastAsia="仿宋_GB2312"/>
          <w:sz w:val="32"/>
          <w:szCs w:val="32"/>
        </w:rPr>
        <w:t>明确产品有效期，提供产品有效期的验证资料。可参考YY/T 0681系列标准提供加速老化验证资料。</w:t>
      </w:r>
    </w:p>
    <w:p>
      <w:pPr>
        <w:spacing w:line="52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5</w:t>
      </w:r>
      <w:r>
        <w:rPr>
          <w:rFonts w:hint="eastAsia" w:eastAsia="仿宋_GB2312"/>
          <w:sz w:val="32"/>
          <w:szCs w:val="32"/>
        </w:rPr>
        <w:t>.2使用稳定性</w:t>
      </w:r>
    </w:p>
    <w:p>
      <w:pPr>
        <w:spacing w:line="520" w:lineRule="exact"/>
        <w:ind w:firstLine="640" w:firstLineChars="200"/>
        <w:rPr>
          <w:rFonts w:eastAsia="仿宋_GB2312"/>
          <w:sz w:val="32"/>
          <w:szCs w:val="32"/>
        </w:rPr>
      </w:pPr>
      <w:r>
        <w:rPr>
          <w:rFonts w:hint="eastAsia" w:eastAsia="仿宋_GB2312"/>
          <w:bCs/>
          <w:color w:val="000000"/>
          <w:sz w:val="32"/>
          <w:szCs w:val="32"/>
        </w:rPr>
        <w:t>产品可</w:t>
      </w:r>
      <w:r>
        <w:rPr>
          <w:rFonts w:eastAsia="仿宋_GB2312"/>
          <w:bCs/>
          <w:color w:val="000000"/>
          <w:sz w:val="32"/>
          <w:szCs w:val="32"/>
        </w:rPr>
        <w:t>重复使用</w:t>
      </w:r>
      <w:r>
        <w:rPr>
          <w:rFonts w:hint="eastAsia" w:eastAsia="仿宋_GB2312"/>
          <w:bCs/>
          <w:color w:val="000000"/>
          <w:sz w:val="32"/>
          <w:szCs w:val="32"/>
        </w:rPr>
        <w:t>或</w:t>
      </w:r>
      <w:r>
        <w:rPr>
          <w:rFonts w:eastAsia="仿宋_GB2312"/>
          <w:bCs/>
          <w:color w:val="000000"/>
          <w:sz w:val="32"/>
          <w:szCs w:val="32"/>
        </w:rPr>
        <w:t>一次性使用，重复使用</w:t>
      </w:r>
      <w:r>
        <w:rPr>
          <w:rFonts w:hint="eastAsia" w:eastAsia="仿宋_GB2312"/>
          <w:bCs/>
          <w:color w:val="000000"/>
          <w:sz w:val="32"/>
          <w:szCs w:val="32"/>
        </w:rPr>
        <w:t>产品</w:t>
      </w:r>
      <w:r>
        <w:rPr>
          <w:rFonts w:eastAsia="仿宋_GB2312"/>
          <w:bCs/>
          <w:color w:val="000000"/>
          <w:sz w:val="32"/>
          <w:szCs w:val="32"/>
        </w:rPr>
        <w:t>需要进行重复性次数使用限制验证。</w:t>
      </w:r>
    </w:p>
    <w:p>
      <w:pPr>
        <w:overflowPunct w:val="0"/>
        <w:spacing w:line="520" w:lineRule="exact"/>
        <w:ind w:firstLine="640" w:firstLineChars="200"/>
        <w:jc w:val="left"/>
        <w:outlineLvl w:val="0"/>
        <w:rPr>
          <w:rFonts w:eastAsia="仿宋_GB2312"/>
          <w:sz w:val="32"/>
          <w:szCs w:val="32"/>
        </w:rPr>
      </w:pPr>
      <w:r>
        <w:rPr>
          <w:rFonts w:hint="eastAsia" w:eastAsia="仿宋_GB2312"/>
          <w:sz w:val="32"/>
          <w:szCs w:val="32"/>
        </w:rPr>
        <w:t>4.</w:t>
      </w:r>
      <w:r>
        <w:rPr>
          <w:rFonts w:eastAsia="仿宋_GB2312"/>
          <w:sz w:val="32"/>
          <w:szCs w:val="32"/>
        </w:rPr>
        <w:t>5</w:t>
      </w:r>
      <w:r>
        <w:rPr>
          <w:rFonts w:hint="eastAsia" w:eastAsia="仿宋_GB2312"/>
          <w:sz w:val="32"/>
          <w:szCs w:val="32"/>
        </w:rPr>
        <w:t>.3运输稳定性</w:t>
      </w:r>
    </w:p>
    <w:p>
      <w:pPr>
        <w:spacing w:line="560" w:lineRule="exact"/>
        <w:ind w:firstLine="640" w:firstLineChars="200"/>
        <w:rPr>
          <w:rFonts w:eastAsia="仿宋_GB2312"/>
          <w:sz w:val="32"/>
          <w:szCs w:val="32"/>
        </w:rPr>
      </w:pPr>
      <w:r>
        <w:rPr>
          <w:rFonts w:hint="eastAsia" w:eastAsia="仿宋_GB2312"/>
          <w:bCs/>
          <w:color w:val="000000"/>
          <w:sz w:val="32"/>
          <w:szCs w:val="32"/>
        </w:rPr>
        <w:t>运输稳定性：</w:t>
      </w:r>
      <w:r>
        <w:rPr>
          <w:rFonts w:eastAsia="仿宋_GB2312"/>
          <w:bCs/>
          <w:color w:val="000000"/>
          <w:sz w:val="32"/>
          <w:szCs w:val="32"/>
        </w:rPr>
        <w:t>提供运输稳定性和包装研究资料，证明在生产企业规定的运输条件下，运输过程中的环境条件（例如：震动、振动、温度和湿度的波动）不会对医疗器械的特性和性能，包括完整性和清洁度，造成不利影响。</w:t>
      </w:r>
    </w:p>
    <w:p>
      <w:pPr>
        <w:overflowPunct w:val="0"/>
        <w:spacing w:line="520" w:lineRule="exact"/>
        <w:ind w:firstLine="640" w:firstLineChars="200"/>
        <w:jc w:val="left"/>
        <w:outlineLvl w:val="0"/>
        <w:rPr>
          <w:rFonts w:eastAsia="仿宋_GB2312"/>
          <w:sz w:val="32"/>
          <w:szCs w:val="32"/>
        </w:rPr>
      </w:pPr>
      <w:r>
        <w:rPr>
          <w:rFonts w:eastAsia="仿宋_GB2312"/>
          <w:sz w:val="32"/>
          <w:szCs w:val="32"/>
        </w:rPr>
        <w:t>包装及包装完整性</w:t>
      </w:r>
      <w:r>
        <w:rPr>
          <w:rFonts w:hint="eastAsia" w:eastAsia="仿宋_GB2312"/>
          <w:sz w:val="32"/>
          <w:szCs w:val="32"/>
        </w:rPr>
        <w:t>：</w:t>
      </w:r>
      <w:r>
        <w:rPr>
          <w:rFonts w:eastAsia="仿宋_GB2312"/>
          <w:sz w:val="32"/>
          <w:szCs w:val="32"/>
        </w:rPr>
        <w:t>明确产品的内包装形式并确保包装在宣称的运输储存条件下，在产品有效期内能够对产品起到防护作用并保持产品清洁。产品包装验证可依据有关国内、国际标准进行（如GB/T19633、ISO11607、ASTM D-4169等），提交产品的包装验证报告。包装材料的选择考虑以下因素：包装材料的物理化学性能；是否会引入重金属、微生物等外来物质；包装材料与成型和密封过程的适应性；包装材料与产品的适应性；包装材料与标签系统的适应性；包装材料与贮存运输过程的适合性；包装有效期。包装验证的资料内容与包装说明中给出的信息相符。</w:t>
      </w:r>
    </w:p>
    <w:p>
      <w:pPr>
        <w:overflowPunct w:val="0"/>
        <w:spacing w:line="520" w:lineRule="exact"/>
        <w:ind w:firstLine="640" w:firstLineChars="200"/>
        <w:jc w:val="left"/>
        <w:outlineLvl w:val="0"/>
        <w:rPr>
          <w:rFonts w:hint="eastAsia" w:eastAsia="仿宋_GB2312"/>
          <w:sz w:val="32"/>
          <w:szCs w:val="32"/>
          <w:lang w:val="en-US" w:eastAsia="zh-CN"/>
        </w:rPr>
      </w:pPr>
      <w:r>
        <w:rPr>
          <w:rFonts w:hint="eastAsia" w:eastAsia="仿宋_GB2312"/>
          <w:sz w:val="32"/>
          <w:szCs w:val="32"/>
          <w:lang w:val="en-US" w:eastAsia="zh-CN"/>
        </w:rPr>
        <w:t>4.6 可用性研究资料</w:t>
      </w:r>
    </w:p>
    <w:p>
      <w:pPr>
        <w:overflowPunct w:val="0"/>
        <w:spacing w:line="520" w:lineRule="exact"/>
        <w:ind w:firstLine="640" w:firstLineChars="200"/>
        <w:jc w:val="left"/>
        <w:outlineLvl w:val="0"/>
        <w:rPr>
          <w:rFonts w:hint="default" w:eastAsia="仿宋_GB2312"/>
          <w:sz w:val="32"/>
          <w:szCs w:val="32"/>
          <w:lang w:val="en-US" w:eastAsia="zh-CN"/>
        </w:rPr>
      </w:pPr>
      <w:r>
        <w:rPr>
          <w:rFonts w:hint="eastAsia" w:eastAsia="仿宋_GB2312"/>
          <w:sz w:val="32"/>
          <w:szCs w:val="32"/>
          <w:lang w:val="en-US" w:eastAsia="zh-CN"/>
        </w:rPr>
        <w:t>参照《医疗器械可用性工程注册审查指导原则》，按照中、低使用风险医疗器械要求提交使用错误评估报告，包括基本信息、使用风险级别、核心要素、同类医疗器械上市后使用问题分析、使用风险管理、结论等内容。若前期已开展可用性工程工作，亦可提交可用性工程研究报告，用于替代使用错误评估报告。</w:t>
      </w:r>
    </w:p>
    <w:p>
      <w:pPr>
        <w:spacing w:line="520" w:lineRule="exact"/>
        <w:ind w:firstLine="640" w:firstLineChars="200"/>
        <w:rPr>
          <w:rFonts w:eastAsia="仿宋_GB2312"/>
          <w:sz w:val="32"/>
          <w:szCs w:val="32"/>
        </w:rPr>
      </w:pPr>
      <w:r>
        <w:rPr>
          <w:rFonts w:hint="eastAsia" w:eastAsia="仿宋_GB2312"/>
          <w:sz w:val="32"/>
          <w:szCs w:val="32"/>
        </w:rPr>
        <w:t>4.</w:t>
      </w:r>
      <w:r>
        <w:rPr>
          <w:rFonts w:hint="eastAsia" w:eastAsia="仿宋_GB2312"/>
          <w:sz w:val="32"/>
          <w:szCs w:val="32"/>
          <w:lang w:val="en-US" w:eastAsia="zh-CN"/>
        </w:rPr>
        <w:t>7</w:t>
      </w:r>
      <w:r>
        <w:rPr>
          <w:rFonts w:hint="eastAsia"/>
        </w:rPr>
        <w:t xml:space="preserve"> </w:t>
      </w:r>
      <w:r>
        <w:rPr>
          <w:rFonts w:hint="eastAsia" w:eastAsia="仿宋_GB2312"/>
          <w:sz w:val="32"/>
          <w:szCs w:val="32"/>
        </w:rPr>
        <w:t>其他资料</w:t>
      </w:r>
    </w:p>
    <w:p>
      <w:pPr>
        <w:spacing w:line="560" w:lineRule="exact"/>
        <w:ind w:firstLine="640" w:firstLineChars="200"/>
        <w:rPr>
          <w:rFonts w:eastAsia="仿宋_GB2312"/>
          <w:color w:val="000000"/>
          <w:sz w:val="32"/>
          <w:szCs w:val="32"/>
        </w:rPr>
      </w:pPr>
      <w:r>
        <w:rPr>
          <w:rFonts w:eastAsia="仿宋_GB2312"/>
          <w:color w:val="000000"/>
          <w:sz w:val="32"/>
          <w:szCs w:val="32"/>
        </w:rPr>
        <w:t>申请人应当按照《列入免于进行临床评价医疗器械目录产品对比说明技术指导原则》，从基本原理、结构组成、性能、安全性、适用范围等方面，证明产品的安全有效性。</w:t>
      </w:r>
    </w:p>
    <w:p>
      <w:pPr>
        <w:spacing w:line="560" w:lineRule="exact"/>
        <w:ind w:firstLine="640" w:firstLineChars="200"/>
        <w:rPr>
          <w:rFonts w:hint="eastAsia" w:eastAsia="仿宋_GB2312"/>
          <w:color w:val="000000"/>
          <w:sz w:val="32"/>
          <w:szCs w:val="32"/>
          <w:lang w:eastAsia="zh-CN"/>
        </w:rPr>
      </w:pPr>
      <w:r>
        <w:rPr>
          <w:rFonts w:hint="eastAsia" w:eastAsia="仿宋_GB2312"/>
          <w:color w:val="000000"/>
          <w:sz w:val="32"/>
          <w:szCs w:val="32"/>
          <w:lang w:eastAsia="zh-CN"/>
        </w:rPr>
        <w:t>此外，申请人还需提交模拟使用研究、</w:t>
      </w:r>
      <w:r>
        <w:rPr>
          <w:rFonts w:hint="eastAsia" w:eastAsia="仿宋_GB2312"/>
          <w:color w:val="000000"/>
          <w:sz w:val="32"/>
          <w:szCs w:val="32"/>
          <w:lang w:val="en-US" w:eastAsia="zh-CN"/>
        </w:rPr>
        <w:t>3D打印精确度验证、耐辐射验证、存储稳定性</w:t>
      </w:r>
      <w:r>
        <w:rPr>
          <w:rFonts w:hint="eastAsia" w:eastAsia="仿宋_GB2312"/>
          <w:color w:val="000000"/>
          <w:sz w:val="32"/>
          <w:szCs w:val="32"/>
          <w:lang w:eastAsia="zh-CN"/>
        </w:rPr>
        <w:t>等研究资料确保产品的安全、有效性。</w:t>
      </w:r>
    </w:p>
    <w:p>
      <w:pPr>
        <w:spacing w:line="560" w:lineRule="exact"/>
        <w:ind w:right="-67" w:rightChars="-32" w:firstLine="640" w:firstLineChars="200"/>
        <w:rPr>
          <w:rFonts w:eastAsia="楷体_GB2312"/>
          <w:color w:val="000000"/>
          <w:sz w:val="32"/>
          <w:szCs w:val="32"/>
        </w:rPr>
      </w:pPr>
      <w:r>
        <w:rPr>
          <w:rFonts w:eastAsia="楷体_GB2312"/>
          <w:color w:val="000000"/>
          <w:sz w:val="32"/>
          <w:szCs w:val="32"/>
        </w:rPr>
        <w:t>（四）</w:t>
      </w:r>
      <w:r>
        <w:rPr>
          <w:rFonts w:hint="eastAsia" w:eastAsia="楷体_GB2312"/>
          <w:color w:val="000000"/>
          <w:sz w:val="32"/>
          <w:szCs w:val="32"/>
        </w:rPr>
        <w:t>临床评价资料</w:t>
      </w:r>
    </w:p>
    <w:p>
      <w:pPr>
        <w:spacing w:line="520" w:lineRule="exact"/>
        <w:ind w:firstLine="640" w:firstLineChars="200"/>
        <w:rPr>
          <w:rFonts w:eastAsia="仿宋_GB2312"/>
          <w:color w:val="000000"/>
          <w:sz w:val="32"/>
          <w:szCs w:val="32"/>
        </w:rPr>
      </w:pPr>
      <w:r>
        <w:rPr>
          <w:rFonts w:hint="eastAsia" w:eastAsia="仿宋_GB2312"/>
          <w:color w:val="000000"/>
          <w:sz w:val="32"/>
          <w:szCs w:val="32"/>
        </w:rPr>
        <w:t>放射治疗患者用固定装置</w:t>
      </w:r>
      <w:r>
        <w:rPr>
          <w:rFonts w:eastAsia="仿宋_GB2312"/>
          <w:color w:val="000000"/>
          <w:sz w:val="32"/>
          <w:szCs w:val="32"/>
        </w:rPr>
        <w:t>列入《</w:t>
      </w:r>
      <w:r>
        <w:rPr>
          <w:rFonts w:hint="eastAsia" w:eastAsia="仿宋_GB2312"/>
          <w:color w:val="000000"/>
          <w:sz w:val="32"/>
          <w:szCs w:val="32"/>
        </w:rPr>
        <w:t>免于临床评价医疗器械目录</w:t>
      </w:r>
      <w:r>
        <w:rPr>
          <w:rFonts w:eastAsia="仿宋_GB2312"/>
          <w:color w:val="000000"/>
          <w:sz w:val="32"/>
          <w:szCs w:val="32"/>
        </w:rPr>
        <w:t>》</w:t>
      </w:r>
      <w:r>
        <w:rPr>
          <w:rFonts w:hint="eastAsia" w:eastAsia="仿宋_GB2312"/>
          <w:color w:val="000000"/>
          <w:sz w:val="32"/>
          <w:szCs w:val="32"/>
        </w:rPr>
        <w:t>，申请人</w:t>
      </w:r>
      <w:r>
        <w:rPr>
          <w:rFonts w:eastAsia="仿宋_GB2312"/>
          <w:color w:val="000000"/>
          <w:sz w:val="32"/>
          <w:szCs w:val="32"/>
        </w:rPr>
        <w:t>无需提交</w:t>
      </w:r>
      <w:r>
        <w:rPr>
          <w:rFonts w:hint="eastAsia" w:eastAsia="仿宋_GB2312"/>
          <w:color w:val="000000"/>
          <w:sz w:val="32"/>
          <w:szCs w:val="32"/>
        </w:rPr>
        <w:t>临床</w:t>
      </w:r>
      <w:r>
        <w:rPr>
          <w:rFonts w:eastAsia="仿宋_GB2312"/>
          <w:color w:val="000000"/>
          <w:sz w:val="32"/>
          <w:szCs w:val="32"/>
        </w:rPr>
        <w:t>评价资料</w:t>
      </w:r>
      <w:r>
        <w:rPr>
          <w:rFonts w:hint="eastAsia" w:eastAsia="仿宋_GB2312"/>
          <w:color w:val="000000"/>
          <w:sz w:val="32"/>
          <w:szCs w:val="32"/>
        </w:rPr>
        <w:t>。</w:t>
      </w:r>
    </w:p>
    <w:p>
      <w:pPr>
        <w:spacing w:line="520" w:lineRule="exact"/>
        <w:ind w:firstLine="640" w:firstLineChars="200"/>
        <w:rPr>
          <w:rFonts w:eastAsia="仿宋"/>
          <w:color w:val="000000"/>
          <w:kern w:val="0"/>
          <w:sz w:val="32"/>
          <w:szCs w:val="32"/>
        </w:rPr>
      </w:pPr>
      <w:r>
        <w:rPr>
          <w:rFonts w:eastAsia="仿宋_GB2312"/>
          <w:color w:val="000000"/>
          <w:sz w:val="32"/>
          <w:szCs w:val="32"/>
        </w:rPr>
        <w:t>对于与《</w:t>
      </w:r>
      <w:r>
        <w:rPr>
          <w:rFonts w:hint="eastAsia" w:eastAsia="仿宋_GB2312"/>
          <w:color w:val="000000"/>
          <w:sz w:val="32"/>
          <w:szCs w:val="32"/>
        </w:rPr>
        <w:t>免于临床评价医疗器械目录</w:t>
      </w:r>
      <w:r>
        <w:rPr>
          <w:rFonts w:eastAsia="仿宋_GB2312"/>
          <w:color w:val="000000"/>
          <w:sz w:val="32"/>
          <w:szCs w:val="32"/>
        </w:rPr>
        <w:t>》描述不相符的</w:t>
      </w:r>
      <w:r>
        <w:rPr>
          <w:rFonts w:hint="eastAsia" w:eastAsia="仿宋_GB2312"/>
          <w:color w:val="000000"/>
          <w:sz w:val="32"/>
          <w:szCs w:val="32"/>
        </w:rPr>
        <w:t>放射治疗患者用固定装置</w:t>
      </w:r>
      <w:r>
        <w:rPr>
          <w:rFonts w:eastAsia="仿宋_GB2312"/>
          <w:color w:val="000000"/>
          <w:sz w:val="32"/>
          <w:szCs w:val="32"/>
        </w:rPr>
        <w:t>产品，例如新型作用机理产品</w:t>
      </w:r>
      <w:r>
        <w:rPr>
          <w:rFonts w:hint="eastAsia" w:eastAsia="仿宋_GB2312"/>
          <w:color w:val="000000"/>
          <w:sz w:val="32"/>
          <w:szCs w:val="32"/>
        </w:rPr>
        <w:t>等</w:t>
      </w:r>
      <w:r>
        <w:rPr>
          <w:rFonts w:eastAsia="仿宋_GB2312"/>
          <w:color w:val="000000"/>
          <w:sz w:val="32"/>
          <w:szCs w:val="32"/>
        </w:rPr>
        <w:t>，应按照《医疗器械临床评价技术指导原则》</w:t>
      </w:r>
      <w:r>
        <w:rPr>
          <w:rFonts w:hint="eastAsia" w:eastAsia="仿宋_GB2312"/>
          <w:color w:val="000000"/>
          <w:sz w:val="32"/>
          <w:szCs w:val="32"/>
        </w:rPr>
        <w:t>第六条或第七条</w:t>
      </w:r>
      <w:r>
        <w:rPr>
          <w:rFonts w:eastAsia="仿宋_GB2312"/>
          <w:color w:val="000000"/>
          <w:sz w:val="32"/>
          <w:szCs w:val="32"/>
        </w:rPr>
        <w:t>的要求提交临床评价资料</w:t>
      </w:r>
      <w:r>
        <w:rPr>
          <w:rFonts w:eastAsia="仿宋"/>
          <w:kern w:val="0"/>
          <w:sz w:val="32"/>
          <w:szCs w:val="32"/>
        </w:rPr>
        <w:t>。</w:t>
      </w:r>
    </w:p>
    <w:p>
      <w:pPr>
        <w:spacing w:line="560" w:lineRule="exact"/>
        <w:ind w:firstLine="640" w:firstLineChars="200"/>
        <w:outlineLvl w:val="1"/>
        <w:rPr>
          <w:rFonts w:eastAsia="楷体_GB2312"/>
          <w:sz w:val="32"/>
          <w:szCs w:val="32"/>
        </w:rPr>
      </w:pPr>
      <w:r>
        <w:rPr>
          <w:rFonts w:hint="eastAsia" w:eastAsia="楷体_GB2312"/>
          <w:sz w:val="32"/>
          <w:szCs w:val="32"/>
        </w:rPr>
        <w:t>（五）产品说明书和标签样稿</w:t>
      </w:r>
    </w:p>
    <w:p>
      <w:pPr>
        <w:snapToGrid w:val="0"/>
        <w:spacing w:line="560" w:lineRule="exact"/>
        <w:ind w:firstLine="640" w:firstLineChars="200"/>
        <w:rPr>
          <w:rFonts w:eastAsia="仿宋_GB2312"/>
          <w:sz w:val="32"/>
          <w:szCs w:val="32"/>
        </w:rPr>
      </w:pPr>
      <w:r>
        <w:rPr>
          <w:rFonts w:eastAsia="仿宋_GB2312"/>
          <w:sz w:val="32"/>
          <w:szCs w:val="32"/>
        </w:rPr>
        <w:t>产品说明书和标签的编写符合《医疗器械说明书和标签管理规定》及</w:t>
      </w:r>
      <w:r>
        <w:rPr>
          <w:rFonts w:hint="eastAsia" w:eastAsia="仿宋_GB2312"/>
          <w:sz w:val="32"/>
          <w:szCs w:val="32"/>
          <w:lang w:val="en-US" w:eastAsia="zh-CN"/>
        </w:rPr>
        <w:t>YY/T 0466.1等</w:t>
      </w:r>
      <w:r>
        <w:rPr>
          <w:rFonts w:eastAsia="仿宋_GB2312"/>
          <w:sz w:val="32"/>
          <w:szCs w:val="32"/>
        </w:rPr>
        <w:t>相关</w:t>
      </w:r>
      <w:r>
        <w:rPr>
          <w:rFonts w:hint="eastAsia" w:eastAsia="仿宋_GB2312"/>
          <w:sz w:val="32"/>
          <w:szCs w:val="32"/>
          <w:lang w:val="en-US" w:eastAsia="zh-CN"/>
        </w:rPr>
        <w:t>法规、规范性文件及相关标准</w:t>
      </w:r>
      <w:r>
        <w:rPr>
          <w:rFonts w:eastAsia="仿宋_GB2312"/>
          <w:sz w:val="32"/>
          <w:szCs w:val="32"/>
        </w:rPr>
        <w:t>的要求。同时注意以下内容</w:t>
      </w:r>
      <w:r>
        <w:rPr>
          <w:rFonts w:hint="eastAsia" w:eastAsia="仿宋_GB2312"/>
          <w:sz w:val="32"/>
          <w:szCs w:val="32"/>
        </w:rPr>
        <w:t>（不限于此）</w:t>
      </w:r>
      <w:r>
        <w:rPr>
          <w:rFonts w:eastAsia="仿宋_GB2312"/>
          <w:sz w:val="32"/>
          <w:szCs w:val="32"/>
        </w:rPr>
        <w:t>：</w:t>
      </w:r>
    </w:p>
    <w:p>
      <w:pPr>
        <w:tabs>
          <w:tab w:val="left" w:pos="312"/>
        </w:tabs>
        <w:spacing w:line="56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产品的主要结构组成及性能指标与产品技术要求内容一致。</w:t>
      </w:r>
    </w:p>
    <w:p>
      <w:pPr>
        <w:tabs>
          <w:tab w:val="left" w:pos="312"/>
        </w:tabs>
        <w:spacing w:line="52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列出禁忌</w:t>
      </w:r>
      <w:r>
        <w:rPr>
          <w:rFonts w:hint="eastAsia" w:eastAsia="仿宋_GB2312"/>
          <w:sz w:val="32"/>
          <w:szCs w:val="32"/>
        </w:rPr>
        <w:t>证，</w:t>
      </w:r>
      <w:r>
        <w:rPr>
          <w:rFonts w:eastAsia="仿宋_GB2312"/>
          <w:sz w:val="32"/>
          <w:szCs w:val="32"/>
        </w:rPr>
        <w:t>针对某些疾病、情况或特定的人群，认为不推荐使用该产品，明确说明</w:t>
      </w:r>
      <w:r>
        <w:rPr>
          <w:rFonts w:hint="eastAsia" w:eastAsia="仿宋_GB2312"/>
          <w:sz w:val="32"/>
          <w:szCs w:val="32"/>
        </w:rPr>
        <w:t>。</w:t>
      </w:r>
    </w:p>
    <w:p>
      <w:pPr>
        <w:overflowPunct w:val="0"/>
        <w:spacing w:line="520" w:lineRule="exact"/>
        <w:ind w:firstLine="640" w:firstLineChars="200"/>
        <w:rPr>
          <w:rFonts w:eastAsia="仿宋_GB2312"/>
          <w:sz w:val="32"/>
          <w:szCs w:val="32"/>
        </w:rPr>
      </w:pPr>
      <w:r>
        <w:rPr>
          <w:rFonts w:hint="eastAsia" w:eastAsia="仿宋_GB2312"/>
          <w:sz w:val="32"/>
          <w:szCs w:val="32"/>
        </w:rPr>
        <w:t>3.产品使用方法和步骤。</w:t>
      </w:r>
    </w:p>
    <w:p>
      <w:pPr>
        <w:overflowPunct w:val="0"/>
        <w:spacing w:line="52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贮存、运输过程中的要求。</w:t>
      </w:r>
    </w:p>
    <w:p>
      <w:pPr>
        <w:overflowPunct w:val="0"/>
        <w:spacing w:line="520" w:lineRule="exact"/>
        <w:ind w:firstLine="640" w:firstLineChars="200"/>
        <w:rPr>
          <w:rFonts w:eastAsia="仿宋_GB2312"/>
          <w:bCs/>
          <w:sz w:val="32"/>
          <w:szCs w:val="32"/>
        </w:rPr>
      </w:pPr>
      <w:r>
        <w:rPr>
          <w:rFonts w:hint="eastAsia" w:eastAsia="仿宋_GB2312"/>
          <w:sz w:val="32"/>
          <w:szCs w:val="32"/>
        </w:rPr>
        <w:t>5.</w:t>
      </w:r>
      <w:r>
        <w:rPr>
          <w:rFonts w:eastAsia="仿宋_GB2312"/>
          <w:bCs/>
          <w:sz w:val="32"/>
          <w:szCs w:val="32"/>
        </w:rPr>
        <w:t>警示信息和预防措施</w:t>
      </w:r>
    </w:p>
    <w:p>
      <w:pPr>
        <w:overflowPunct w:val="0"/>
        <w:spacing w:line="520" w:lineRule="exact"/>
        <w:ind w:firstLine="640" w:firstLineChars="200"/>
        <w:rPr>
          <w:rFonts w:hint="default" w:eastAsia="仿宋_GB2312"/>
          <w:bCs/>
          <w:sz w:val="32"/>
          <w:szCs w:val="32"/>
          <w:lang w:val="en-US" w:eastAsia="zh-CN"/>
        </w:rPr>
      </w:pPr>
      <w:r>
        <w:rPr>
          <w:rFonts w:hint="eastAsia" w:eastAsia="仿宋_GB2312"/>
          <w:bCs/>
          <w:sz w:val="32"/>
          <w:szCs w:val="32"/>
          <w:lang w:val="en-US" w:eastAsia="zh-CN"/>
        </w:rPr>
        <w:t>6.清洁和消毒的方法及参数（如适用）</w:t>
      </w:r>
    </w:p>
    <w:p>
      <w:pPr>
        <w:tabs>
          <w:tab w:val="left" w:pos="312"/>
        </w:tabs>
        <w:spacing w:line="520" w:lineRule="exact"/>
        <w:ind w:firstLine="640" w:firstLineChars="200"/>
        <w:rPr>
          <w:rFonts w:eastAsia="仿宋_GB2312"/>
          <w:sz w:val="32"/>
          <w:szCs w:val="32"/>
        </w:rPr>
      </w:pPr>
      <w:r>
        <w:rPr>
          <w:rFonts w:eastAsia="仿宋_GB2312"/>
          <w:bCs/>
          <w:sz w:val="32"/>
          <w:szCs w:val="32"/>
        </w:rPr>
        <w:t>列出适用于</w:t>
      </w:r>
      <w:r>
        <w:rPr>
          <w:rFonts w:hint="eastAsia" w:eastAsia="仿宋_GB2312"/>
          <w:bCs/>
          <w:sz w:val="32"/>
          <w:szCs w:val="32"/>
        </w:rPr>
        <w:t>放射治疗患者用固定装置</w:t>
      </w:r>
      <w:r>
        <w:rPr>
          <w:rFonts w:eastAsia="仿宋_GB2312"/>
          <w:bCs/>
          <w:sz w:val="32"/>
          <w:szCs w:val="32"/>
        </w:rPr>
        <w:t>的警告，警告中包括器械相关的严重不良事件或潜在的安全危害，并且包含可能的后果。</w:t>
      </w:r>
      <w:r>
        <w:rPr>
          <w:rFonts w:hint="eastAsia" w:eastAsia="仿宋_GB2312"/>
          <w:bCs/>
          <w:sz w:val="32"/>
          <w:szCs w:val="32"/>
        </w:rPr>
        <w:t>包括但不限于以下内容：</w:t>
      </w:r>
    </w:p>
    <w:p>
      <w:pPr>
        <w:tabs>
          <w:tab w:val="left" w:pos="312"/>
        </w:tabs>
        <w:spacing w:line="520" w:lineRule="exact"/>
        <w:ind w:firstLine="640" w:firstLineChars="200"/>
        <w:rPr>
          <w:rFonts w:eastAsia="仿宋_GB2312"/>
          <w:sz w:val="32"/>
          <w:szCs w:val="32"/>
        </w:rPr>
      </w:pPr>
      <w:r>
        <w:rPr>
          <w:rFonts w:hint="eastAsia" w:eastAsia="仿宋_GB2312"/>
          <w:sz w:val="32"/>
          <w:szCs w:val="32"/>
        </w:rPr>
        <w:t>5.1</w:t>
      </w:r>
      <w:r>
        <w:rPr>
          <w:rFonts w:eastAsia="仿宋_GB2312"/>
          <w:sz w:val="32"/>
          <w:szCs w:val="32"/>
        </w:rPr>
        <w:t>注明与人体直接接触的原材料，并对材料过敏者进行提示。</w:t>
      </w:r>
    </w:p>
    <w:p>
      <w:pPr>
        <w:tabs>
          <w:tab w:val="left" w:pos="312"/>
        </w:tabs>
        <w:spacing w:line="520" w:lineRule="exact"/>
        <w:ind w:firstLine="640" w:firstLineChars="200"/>
        <w:rPr>
          <w:rFonts w:eastAsia="仿宋_GB2312"/>
          <w:sz w:val="32"/>
          <w:szCs w:val="32"/>
        </w:rPr>
      </w:pPr>
      <w:r>
        <w:rPr>
          <w:rFonts w:hint="eastAsia" w:eastAsia="仿宋_GB2312"/>
          <w:sz w:val="32"/>
          <w:szCs w:val="32"/>
        </w:rPr>
        <w:t>5.2使用前应检查包装是否破损、漏气现象，如有严禁使用</w:t>
      </w:r>
      <w:r>
        <w:rPr>
          <w:rFonts w:eastAsia="仿宋_GB2312"/>
          <w:sz w:val="32"/>
          <w:szCs w:val="32"/>
        </w:rPr>
        <w:t>。</w:t>
      </w:r>
    </w:p>
    <w:p>
      <w:pPr>
        <w:tabs>
          <w:tab w:val="left" w:pos="312"/>
        </w:tabs>
        <w:spacing w:line="520" w:lineRule="exact"/>
        <w:ind w:firstLine="640" w:firstLineChars="200"/>
        <w:rPr>
          <w:rFonts w:eastAsia="仿宋_GB2312"/>
          <w:sz w:val="32"/>
          <w:szCs w:val="32"/>
        </w:rPr>
      </w:pPr>
      <w:r>
        <w:rPr>
          <w:rFonts w:hint="eastAsia" w:eastAsia="仿宋_GB2312"/>
          <w:sz w:val="32"/>
          <w:szCs w:val="32"/>
        </w:rPr>
        <w:t>5.</w:t>
      </w:r>
      <w:r>
        <w:rPr>
          <w:rFonts w:eastAsia="仿宋_GB2312"/>
          <w:sz w:val="32"/>
          <w:szCs w:val="32"/>
        </w:rPr>
        <w:t>3</w:t>
      </w:r>
      <w:r>
        <w:rPr>
          <w:rFonts w:hint="eastAsia" w:eastAsia="仿宋_GB2312"/>
          <w:sz w:val="32"/>
          <w:szCs w:val="32"/>
        </w:rPr>
        <w:t>本品可重复使用或一次性使用，重复使用产品次数需要与重复性次数使用限制验证资料</w:t>
      </w:r>
      <w:r>
        <w:rPr>
          <w:rFonts w:eastAsia="仿宋_GB2312"/>
          <w:sz w:val="32"/>
          <w:szCs w:val="32"/>
        </w:rPr>
        <w:t>保持一致</w:t>
      </w:r>
      <w:r>
        <w:rPr>
          <w:rFonts w:hint="eastAsia" w:eastAsia="仿宋_GB2312"/>
          <w:sz w:val="32"/>
          <w:szCs w:val="32"/>
        </w:rPr>
        <w:t>。</w:t>
      </w:r>
    </w:p>
    <w:p>
      <w:pPr>
        <w:tabs>
          <w:tab w:val="left" w:pos="312"/>
        </w:tabs>
        <w:spacing w:line="520" w:lineRule="exact"/>
        <w:ind w:firstLine="640" w:firstLineChars="200"/>
        <w:rPr>
          <w:rFonts w:eastAsia="仿宋_GB2312"/>
          <w:sz w:val="32"/>
          <w:szCs w:val="32"/>
        </w:rPr>
      </w:pPr>
      <w:r>
        <w:rPr>
          <w:rFonts w:hint="eastAsia" w:eastAsia="仿宋_GB2312"/>
          <w:sz w:val="32"/>
          <w:szCs w:val="32"/>
        </w:rPr>
        <w:t>5.</w:t>
      </w:r>
      <w:r>
        <w:rPr>
          <w:rFonts w:eastAsia="仿宋_GB2312"/>
          <w:sz w:val="32"/>
          <w:szCs w:val="32"/>
        </w:rPr>
        <w:t>4</w:t>
      </w:r>
      <w:r>
        <w:rPr>
          <w:rFonts w:hint="eastAsia" w:eastAsia="仿宋_GB2312"/>
          <w:sz w:val="32"/>
          <w:szCs w:val="32"/>
        </w:rPr>
        <w:t>本品使用后、超过有效期的应按照《医疗废物管理条例》处理。</w:t>
      </w:r>
    </w:p>
    <w:p>
      <w:pPr>
        <w:tabs>
          <w:tab w:val="left" w:pos="411"/>
        </w:tabs>
        <w:spacing w:line="520" w:lineRule="exact"/>
        <w:ind w:firstLine="640" w:firstLineChars="200"/>
        <w:outlineLvl w:val="1"/>
        <w:rPr>
          <w:rFonts w:eastAsia="楷体_GB2312"/>
          <w:sz w:val="32"/>
          <w:szCs w:val="32"/>
        </w:rPr>
      </w:pPr>
      <w:r>
        <w:rPr>
          <w:rFonts w:hint="eastAsia" w:eastAsia="楷体_GB2312"/>
          <w:sz w:val="32"/>
          <w:szCs w:val="32"/>
        </w:rPr>
        <w:t>（六）质量管理体系文件</w:t>
      </w:r>
    </w:p>
    <w:p>
      <w:pPr>
        <w:spacing w:line="520" w:lineRule="exact"/>
        <w:ind w:right="-67" w:rightChars="-32" w:firstLine="640" w:firstLineChars="200"/>
        <w:rPr>
          <w:rFonts w:eastAsia="仿宋_GB2312"/>
          <w:sz w:val="32"/>
          <w:szCs w:val="32"/>
        </w:rPr>
      </w:pPr>
      <w:r>
        <w:rPr>
          <w:rFonts w:eastAsia="仿宋_GB2312"/>
          <w:sz w:val="32"/>
          <w:szCs w:val="32"/>
        </w:rPr>
        <w:t>1.综述</w:t>
      </w:r>
    </w:p>
    <w:p>
      <w:pPr>
        <w:spacing w:line="520" w:lineRule="exact"/>
        <w:ind w:right="-67" w:rightChars="-32" w:firstLine="640" w:firstLineChars="200"/>
        <w:rPr>
          <w:rFonts w:eastAsia="仿宋_GB2312"/>
          <w:sz w:val="32"/>
          <w:szCs w:val="32"/>
        </w:rPr>
      </w:pPr>
      <w:r>
        <w:rPr>
          <w:rFonts w:eastAsia="仿宋_GB2312"/>
          <w:sz w:val="32"/>
          <w:szCs w:val="32"/>
        </w:rPr>
        <w:t>2.生产制造信息</w:t>
      </w:r>
    </w:p>
    <w:p>
      <w:pPr>
        <w:spacing w:line="520" w:lineRule="exact"/>
        <w:ind w:firstLine="640" w:firstLineChars="200"/>
        <w:rPr>
          <w:rFonts w:eastAsia="仿宋_GB2312"/>
          <w:sz w:val="32"/>
          <w:szCs w:val="32"/>
        </w:rPr>
      </w:pPr>
      <w:r>
        <w:rPr>
          <w:rFonts w:eastAsia="仿宋_GB2312"/>
          <w:sz w:val="32"/>
          <w:szCs w:val="32"/>
        </w:rPr>
        <w:t>3.质量管理体系程序</w:t>
      </w:r>
    </w:p>
    <w:p>
      <w:pPr>
        <w:spacing w:line="520" w:lineRule="exact"/>
        <w:ind w:firstLine="640" w:firstLineChars="200"/>
        <w:rPr>
          <w:rFonts w:eastAsia="仿宋_GB2312"/>
          <w:sz w:val="32"/>
          <w:szCs w:val="32"/>
        </w:rPr>
      </w:pPr>
      <w:r>
        <w:rPr>
          <w:rFonts w:eastAsia="仿宋_GB2312"/>
          <w:sz w:val="32"/>
          <w:szCs w:val="32"/>
        </w:rPr>
        <w:t>4.管理职责程序</w:t>
      </w:r>
    </w:p>
    <w:p>
      <w:pPr>
        <w:spacing w:line="520" w:lineRule="exact"/>
        <w:ind w:firstLine="640" w:firstLineChars="200"/>
        <w:rPr>
          <w:rFonts w:eastAsia="仿宋_GB2312"/>
          <w:sz w:val="32"/>
          <w:szCs w:val="32"/>
        </w:rPr>
      </w:pPr>
      <w:r>
        <w:rPr>
          <w:rFonts w:eastAsia="仿宋_GB2312"/>
          <w:sz w:val="32"/>
          <w:szCs w:val="32"/>
        </w:rPr>
        <w:t>5.资源管理程序</w:t>
      </w:r>
    </w:p>
    <w:p>
      <w:pPr>
        <w:spacing w:line="520" w:lineRule="exact"/>
        <w:ind w:firstLine="640" w:firstLineChars="200"/>
        <w:rPr>
          <w:rFonts w:eastAsia="仿宋_GB2312"/>
          <w:sz w:val="32"/>
          <w:szCs w:val="32"/>
        </w:rPr>
      </w:pPr>
      <w:r>
        <w:rPr>
          <w:rFonts w:eastAsia="仿宋_GB2312"/>
          <w:sz w:val="32"/>
          <w:szCs w:val="32"/>
        </w:rPr>
        <w:t>6.产品实现程序</w:t>
      </w:r>
    </w:p>
    <w:p>
      <w:pPr>
        <w:spacing w:line="520" w:lineRule="exact"/>
        <w:ind w:firstLine="640" w:firstLineChars="200"/>
        <w:rPr>
          <w:rFonts w:eastAsia="仿宋_GB2312"/>
          <w:sz w:val="32"/>
          <w:szCs w:val="32"/>
        </w:rPr>
      </w:pPr>
      <w:r>
        <w:rPr>
          <w:rFonts w:eastAsia="仿宋_GB2312"/>
          <w:sz w:val="32"/>
          <w:szCs w:val="32"/>
        </w:rPr>
        <w:t>7.质量管理体系的测量、分析和改进程序</w:t>
      </w:r>
    </w:p>
    <w:p>
      <w:pPr>
        <w:spacing w:line="520" w:lineRule="exact"/>
        <w:ind w:firstLine="640" w:firstLineChars="200"/>
        <w:rPr>
          <w:rFonts w:eastAsia="仿宋_GB2312"/>
          <w:sz w:val="32"/>
          <w:szCs w:val="32"/>
        </w:rPr>
      </w:pPr>
      <w:r>
        <w:rPr>
          <w:rFonts w:eastAsia="仿宋_GB2312"/>
          <w:sz w:val="32"/>
          <w:szCs w:val="32"/>
        </w:rPr>
        <w:t>8.其他质量体系程序信息</w:t>
      </w:r>
    </w:p>
    <w:p>
      <w:pPr>
        <w:spacing w:line="520" w:lineRule="exact"/>
        <w:ind w:firstLine="640" w:firstLineChars="200"/>
        <w:rPr>
          <w:rFonts w:eastAsia="仿宋_GB2312"/>
          <w:sz w:val="32"/>
          <w:szCs w:val="32"/>
        </w:rPr>
      </w:pPr>
      <w:r>
        <w:rPr>
          <w:rFonts w:eastAsia="仿宋_GB2312"/>
          <w:sz w:val="32"/>
          <w:szCs w:val="32"/>
        </w:rPr>
        <w:t>9.质量管理体系核查文件</w:t>
      </w:r>
    </w:p>
    <w:p>
      <w:pPr>
        <w:spacing w:line="520" w:lineRule="exact"/>
        <w:ind w:firstLine="640" w:firstLineChars="200"/>
        <w:outlineLvl w:val="0"/>
        <w:rPr>
          <w:rFonts w:eastAsia="黑体"/>
          <w:sz w:val="32"/>
          <w:szCs w:val="32"/>
        </w:rPr>
      </w:pPr>
      <w:r>
        <w:rPr>
          <w:rFonts w:hint="eastAsia" w:eastAsia="黑体"/>
          <w:sz w:val="32"/>
          <w:szCs w:val="32"/>
        </w:rPr>
        <w:t>三、参考文献</w:t>
      </w:r>
    </w:p>
    <w:p>
      <w:pPr>
        <w:spacing w:line="520" w:lineRule="exact"/>
        <w:ind w:left="2" w:firstLine="640" w:firstLineChars="200"/>
        <w:rPr>
          <w:rFonts w:eastAsia="仿宋_GB2312"/>
          <w:spacing w:val="-4"/>
          <w:sz w:val="32"/>
          <w:szCs w:val="28"/>
        </w:rPr>
      </w:pPr>
      <w:r>
        <w:rPr>
          <w:rFonts w:eastAsia="仿宋_GB2312"/>
          <w:sz w:val="32"/>
          <w:szCs w:val="32"/>
        </w:rPr>
        <w:t>[1]</w:t>
      </w:r>
      <w:r>
        <w:rPr>
          <w:rFonts w:hint="eastAsia" w:eastAsia="仿宋_GB2312"/>
          <w:spacing w:val="-4"/>
          <w:sz w:val="32"/>
          <w:szCs w:val="28"/>
        </w:rPr>
        <w:t>《医疗器械监督管理条例》（国务院令第739号）</w:t>
      </w:r>
    </w:p>
    <w:p>
      <w:pPr>
        <w:spacing w:line="520" w:lineRule="exact"/>
        <w:ind w:left="2" w:firstLine="640" w:firstLineChars="200"/>
        <w:rPr>
          <w:rFonts w:eastAsia="仿宋_GB2312"/>
          <w:spacing w:val="-4"/>
          <w:sz w:val="32"/>
          <w:szCs w:val="28"/>
        </w:rPr>
      </w:pPr>
      <w:r>
        <w:rPr>
          <w:rFonts w:eastAsia="仿宋_GB2312"/>
          <w:sz w:val="32"/>
          <w:szCs w:val="32"/>
        </w:rPr>
        <w:t>[</w:t>
      </w:r>
      <w:r>
        <w:rPr>
          <w:rFonts w:hint="eastAsia" w:eastAsia="仿宋_GB2312"/>
          <w:sz w:val="32"/>
          <w:szCs w:val="32"/>
        </w:rPr>
        <w:t>2</w:t>
      </w:r>
      <w:r>
        <w:rPr>
          <w:rFonts w:eastAsia="仿宋_GB2312"/>
          <w:sz w:val="32"/>
          <w:szCs w:val="32"/>
        </w:rPr>
        <w:t>]</w:t>
      </w:r>
      <w:r>
        <w:rPr>
          <w:rFonts w:hint="eastAsia" w:eastAsia="仿宋_GB2312"/>
          <w:spacing w:val="-4"/>
          <w:sz w:val="32"/>
          <w:szCs w:val="28"/>
        </w:rPr>
        <w:t>《医疗器械注册与备案管理办法》（国家市场监督管理总局令第47号）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3</w:t>
      </w:r>
      <w:r>
        <w:rPr>
          <w:rFonts w:eastAsia="仿宋_GB2312"/>
          <w:sz w:val="32"/>
          <w:szCs w:val="32"/>
        </w:rPr>
        <w:t>]</w:t>
      </w:r>
      <w:r>
        <w:rPr>
          <w:rFonts w:hint="eastAsia" w:eastAsia="仿宋_GB2312"/>
          <w:spacing w:val="-4"/>
          <w:sz w:val="32"/>
          <w:szCs w:val="28"/>
        </w:rPr>
        <w:t>《医疗器械说明书和标签管理规定》（原国家食品药品监督管理总局令第6号）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4</w:t>
      </w:r>
      <w:r>
        <w:rPr>
          <w:rFonts w:eastAsia="仿宋_GB2312"/>
          <w:sz w:val="32"/>
          <w:szCs w:val="32"/>
        </w:rPr>
        <w:t>]</w:t>
      </w:r>
      <w:r>
        <w:rPr>
          <w:rFonts w:hint="eastAsia" w:eastAsia="仿宋_GB2312"/>
          <w:spacing w:val="-4"/>
          <w:sz w:val="32"/>
          <w:szCs w:val="28"/>
        </w:rPr>
        <w:t>《医疗器械通用名称命名规则》（原国家食品药品监督管理总局令第19号）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5</w:t>
      </w:r>
      <w:r>
        <w:rPr>
          <w:rFonts w:eastAsia="仿宋_GB2312"/>
          <w:sz w:val="32"/>
          <w:szCs w:val="32"/>
        </w:rPr>
        <w:t>]</w:t>
      </w:r>
      <w:r>
        <w:rPr>
          <w:rFonts w:hint="eastAsia" w:eastAsia="仿宋_GB2312"/>
          <w:spacing w:val="-4"/>
          <w:sz w:val="32"/>
          <w:szCs w:val="28"/>
        </w:rPr>
        <w:t>《关于发布医疗器械产品技术要求编写指导原则的通告》（原国家食品药品监督管理总局通告2014年第9号）</w:t>
      </w:r>
    </w:p>
    <w:p>
      <w:pPr>
        <w:spacing w:line="52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6</w:t>
      </w:r>
      <w:r>
        <w:rPr>
          <w:rFonts w:eastAsia="仿宋_GB2312"/>
          <w:sz w:val="32"/>
          <w:szCs w:val="32"/>
        </w:rPr>
        <w:t>]</w:t>
      </w:r>
      <w:r>
        <w:rPr>
          <w:rFonts w:hint="eastAsia" w:eastAsia="仿宋_GB2312"/>
          <w:spacing w:val="-4"/>
          <w:sz w:val="32"/>
          <w:szCs w:val="28"/>
        </w:rPr>
        <w:t>《关于公布医疗器械注册申报资料要求和批准证明文件格式的公告》（国家药品监督管理局公告2021年第121号）</w:t>
      </w:r>
    </w:p>
    <w:p>
      <w:pPr>
        <w:tabs>
          <w:tab w:val="left" w:pos="532"/>
        </w:tabs>
        <w:spacing w:line="520" w:lineRule="exact"/>
        <w:ind w:left="2" w:firstLine="640" w:firstLineChars="200"/>
        <w:rPr>
          <w:rFonts w:eastAsia="仿宋_GB2312"/>
          <w:spacing w:val="-4"/>
          <w:sz w:val="32"/>
          <w:szCs w:val="28"/>
        </w:rPr>
      </w:pPr>
      <w:r>
        <w:rPr>
          <w:rFonts w:eastAsia="仿宋_GB2312"/>
          <w:sz w:val="32"/>
          <w:szCs w:val="32"/>
        </w:rPr>
        <w:t>[</w:t>
      </w:r>
      <w:r>
        <w:rPr>
          <w:rFonts w:hint="eastAsia" w:eastAsia="仿宋_GB2312"/>
          <w:sz w:val="32"/>
          <w:szCs w:val="32"/>
        </w:rPr>
        <w:t>7</w:t>
      </w:r>
      <w:r>
        <w:rPr>
          <w:rFonts w:eastAsia="仿宋_GB2312"/>
          <w:sz w:val="32"/>
          <w:szCs w:val="32"/>
        </w:rPr>
        <w:t>]</w:t>
      </w:r>
      <w:r>
        <w:rPr>
          <w:rFonts w:hint="eastAsia" w:eastAsia="仿宋_GB2312"/>
          <w:spacing w:val="-4"/>
          <w:sz w:val="32"/>
          <w:szCs w:val="28"/>
        </w:rPr>
        <w:t>《</w:t>
      </w:r>
      <w:r>
        <w:rPr>
          <w:rFonts w:hint="eastAsia" w:eastAsia="仿宋_GB2312"/>
          <w:sz w:val="32"/>
          <w:szCs w:val="32"/>
        </w:rPr>
        <w:t>列入免于进行临床评价医疗器械目录产品对比说明技术指导原则</w:t>
      </w:r>
      <w:r>
        <w:rPr>
          <w:rFonts w:hint="eastAsia" w:eastAsia="仿宋_GB2312"/>
          <w:spacing w:val="-4"/>
          <w:sz w:val="32"/>
          <w:szCs w:val="28"/>
        </w:rPr>
        <w:t>》（国家药品监督管理局通告2021年第73号）</w:t>
      </w:r>
    </w:p>
    <w:p>
      <w:pPr>
        <w:tabs>
          <w:tab w:val="left" w:pos="532"/>
        </w:tabs>
        <w:spacing w:line="520" w:lineRule="exact"/>
        <w:ind w:left="2" w:firstLine="640" w:firstLineChars="200"/>
        <w:rPr>
          <w:rFonts w:eastAsia="仿宋_GB2312"/>
          <w:spacing w:val="-4"/>
          <w:sz w:val="32"/>
          <w:szCs w:val="28"/>
        </w:rPr>
      </w:pPr>
      <w:r>
        <w:rPr>
          <w:rFonts w:eastAsia="仿宋_GB2312"/>
          <w:sz w:val="32"/>
          <w:szCs w:val="32"/>
        </w:rPr>
        <w:t>[8]</w:t>
      </w:r>
      <w:r>
        <w:rPr>
          <w:rFonts w:eastAsia="仿宋_GB2312"/>
          <w:color w:val="000000"/>
          <w:sz w:val="32"/>
          <w:szCs w:val="32"/>
        </w:rPr>
        <w:t>《医疗器械临床试验质量管理规范》（国家食品药品监督管理总局、中华人民共和国国家卫生和计生委员会令第25号）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9</w:t>
      </w:r>
      <w:r>
        <w:rPr>
          <w:rFonts w:eastAsia="仿宋_GB2312"/>
          <w:sz w:val="32"/>
          <w:szCs w:val="32"/>
        </w:rPr>
        <w:t>]</w:t>
      </w:r>
      <w:r>
        <w:rPr>
          <w:rFonts w:hint="eastAsia" w:eastAsia="仿宋_GB2312"/>
          <w:sz w:val="32"/>
          <w:szCs w:val="32"/>
        </w:rPr>
        <w:t>国家药监局关于发布免于临床评价医疗器械目录的通告（2021第71号）[Z].</w:t>
      </w:r>
    </w:p>
    <w:p>
      <w:pPr>
        <w:tabs>
          <w:tab w:val="left" w:pos="532"/>
        </w:tabs>
        <w:spacing w:line="520" w:lineRule="exact"/>
        <w:ind w:left="2" w:firstLine="640" w:firstLineChars="200"/>
        <w:rPr>
          <w:rFonts w:eastAsia="仿宋_GB2312"/>
          <w:sz w:val="32"/>
          <w:szCs w:val="28"/>
        </w:rPr>
      </w:pPr>
      <w:r>
        <w:rPr>
          <w:rFonts w:eastAsia="仿宋_GB2312"/>
          <w:sz w:val="32"/>
          <w:szCs w:val="32"/>
        </w:rPr>
        <w:t>[</w:t>
      </w:r>
      <w:r>
        <w:rPr>
          <w:rFonts w:hint="eastAsia" w:eastAsia="仿宋_GB2312"/>
          <w:sz w:val="32"/>
          <w:szCs w:val="32"/>
        </w:rPr>
        <w:t>10</w:t>
      </w:r>
      <w:r>
        <w:rPr>
          <w:rFonts w:eastAsia="仿宋_GB2312"/>
          <w:sz w:val="32"/>
          <w:szCs w:val="32"/>
        </w:rPr>
        <w:t>]《医疗器械分类目录》（国家食品药品监督管理总局公告2017年第104号）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11</w:t>
      </w:r>
      <w:r>
        <w:rPr>
          <w:rFonts w:eastAsia="仿宋_GB2312"/>
          <w:sz w:val="32"/>
          <w:szCs w:val="32"/>
        </w:rPr>
        <w:t>]</w:t>
      </w:r>
      <w:r>
        <w:rPr>
          <w:rFonts w:hint="eastAsia" w:eastAsia="仿宋_GB2312"/>
          <w:sz w:val="32"/>
          <w:szCs w:val="32"/>
        </w:rPr>
        <w:t>《医疗器械通用名称命名指导原则》（2019年第99号）</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12</w:t>
      </w:r>
      <w:r>
        <w:rPr>
          <w:rFonts w:eastAsia="仿宋_GB2312"/>
          <w:sz w:val="32"/>
          <w:szCs w:val="32"/>
        </w:rPr>
        <w:t>]</w:t>
      </w:r>
      <w:r>
        <w:rPr>
          <w:rFonts w:hint="eastAsia" w:eastAsia="仿宋_GB2312"/>
          <w:sz w:val="32"/>
          <w:szCs w:val="32"/>
        </w:rPr>
        <w:t xml:space="preserve"> </w:t>
      </w:r>
      <w:r>
        <w:rPr>
          <w:rFonts w:eastAsia="仿宋_GB2312"/>
          <w:sz w:val="32"/>
          <w:szCs w:val="32"/>
        </w:rPr>
        <w:t>GB/T 12672-2009</w:t>
      </w:r>
      <w:r>
        <w:rPr>
          <w:rFonts w:hint="eastAsia" w:eastAsia="仿宋_GB2312"/>
          <w:sz w:val="32"/>
          <w:szCs w:val="32"/>
        </w:rPr>
        <w:t>,《丙烯腈</w:t>
      </w:r>
      <w:r>
        <w:rPr>
          <w:rFonts w:eastAsia="仿宋_GB2312"/>
          <w:sz w:val="32"/>
          <w:szCs w:val="32"/>
        </w:rPr>
        <w:t>-丁二烯-苯乙烯(ABS)树脂</w:t>
      </w:r>
      <w:r>
        <w:rPr>
          <w:rFonts w:hint="eastAsia" w:eastAsia="仿宋_GB2312"/>
          <w:sz w:val="32"/>
          <w:szCs w:val="32"/>
        </w:rPr>
        <w:t>》</w:t>
      </w:r>
      <w:r>
        <w:rPr>
          <w:rFonts w:eastAsia="仿宋_GB2312"/>
          <w:sz w:val="32"/>
          <w:szCs w:val="32"/>
        </w:rPr>
        <w:t>[S].</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13</w:t>
      </w:r>
      <w:r>
        <w:rPr>
          <w:rFonts w:eastAsia="仿宋_GB2312"/>
          <w:sz w:val="32"/>
          <w:szCs w:val="32"/>
        </w:rPr>
        <w:t>]</w:t>
      </w:r>
      <w:r>
        <w:rPr>
          <w:rFonts w:hint="eastAsia" w:eastAsia="仿宋_GB2312"/>
          <w:sz w:val="32"/>
          <w:szCs w:val="32"/>
        </w:rPr>
        <w:t xml:space="preserve"> YY/T </w:t>
      </w:r>
      <w:r>
        <w:rPr>
          <w:rFonts w:eastAsia="仿宋_GB2312"/>
          <w:sz w:val="32"/>
          <w:szCs w:val="32"/>
        </w:rPr>
        <w:t>0806-2010</w:t>
      </w:r>
      <w:r>
        <w:rPr>
          <w:rFonts w:hint="eastAsia" w:eastAsia="仿宋_GB2312"/>
          <w:sz w:val="32"/>
          <w:szCs w:val="32"/>
        </w:rPr>
        <w:t>,《医用输液、输血、注射及其他医疗器械用聚碳酸酯专用料》</w:t>
      </w:r>
      <w:r>
        <w:rPr>
          <w:rFonts w:eastAsia="仿宋_GB2312"/>
          <w:sz w:val="32"/>
          <w:szCs w:val="32"/>
        </w:rPr>
        <w:t>[S].</w:t>
      </w:r>
    </w:p>
    <w:p>
      <w:pPr>
        <w:tabs>
          <w:tab w:val="left" w:pos="532"/>
        </w:tabs>
        <w:spacing w:line="520" w:lineRule="exact"/>
        <w:ind w:left="2" w:firstLine="640" w:firstLineChars="200"/>
        <w:rPr>
          <w:rFonts w:eastAsia="仿宋_GB2312"/>
          <w:sz w:val="32"/>
          <w:szCs w:val="32"/>
        </w:rPr>
      </w:pPr>
      <w:r>
        <w:rPr>
          <w:rFonts w:hint="eastAsia" w:eastAsia="仿宋_GB2312"/>
          <w:sz w:val="32"/>
          <w:szCs w:val="32"/>
        </w:rPr>
        <w:t xml:space="preserve">[14] YY/T </w:t>
      </w:r>
      <w:r>
        <w:rPr>
          <w:rFonts w:eastAsia="仿宋_GB2312"/>
          <w:sz w:val="32"/>
          <w:szCs w:val="32"/>
        </w:rPr>
        <w:t>1866</w:t>
      </w:r>
      <w:r>
        <w:rPr>
          <w:rFonts w:hint="eastAsia" w:eastAsia="仿宋_GB2312"/>
          <w:sz w:val="32"/>
          <w:szCs w:val="32"/>
        </w:rPr>
        <w:t>-20</w:t>
      </w:r>
      <w:r>
        <w:rPr>
          <w:rFonts w:eastAsia="仿宋_GB2312"/>
          <w:sz w:val="32"/>
          <w:szCs w:val="32"/>
        </w:rPr>
        <w:t>23</w:t>
      </w:r>
      <w:r>
        <w:rPr>
          <w:rFonts w:hint="eastAsia" w:eastAsia="仿宋_GB2312"/>
          <w:sz w:val="32"/>
          <w:szCs w:val="32"/>
        </w:rPr>
        <w:t>,《一次性使用</w:t>
      </w:r>
      <w:r>
        <w:rPr>
          <w:rFonts w:eastAsia="仿宋_GB2312"/>
          <w:sz w:val="32"/>
          <w:szCs w:val="32"/>
        </w:rPr>
        <w:t>无菌肛肠套扎器</w:t>
      </w:r>
      <w:r>
        <w:rPr>
          <w:rFonts w:hint="eastAsia" w:eastAsia="仿宋_GB2312"/>
          <w:sz w:val="32"/>
          <w:szCs w:val="32"/>
        </w:rPr>
        <w:t>》</w:t>
      </w:r>
      <w:r>
        <w:rPr>
          <w:rFonts w:eastAsia="仿宋_GB2312"/>
          <w:sz w:val="32"/>
          <w:szCs w:val="32"/>
        </w:rPr>
        <w:t>[S].</w:t>
      </w:r>
    </w:p>
    <w:p>
      <w:pPr>
        <w:tabs>
          <w:tab w:val="left" w:pos="532"/>
        </w:tabs>
        <w:spacing w:line="520" w:lineRule="exact"/>
        <w:ind w:firstLine="640" w:firstLineChars="200"/>
        <w:rPr>
          <w:rStyle w:val="11"/>
          <w:rFonts w:eastAsia="仿宋_GB2312"/>
          <w:color w:val="000000"/>
          <w:sz w:val="32"/>
          <w:szCs w:val="32"/>
        </w:rPr>
      </w:pPr>
      <w:r>
        <w:rPr>
          <w:rStyle w:val="11"/>
          <w:rFonts w:eastAsia="仿宋_GB2312"/>
          <w:color w:val="000000"/>
          <w:sz w:val="32"/>
          <w:szCs w:val="32"/>
        </w:rPr>
        <w:t>[</w:t>
      </w:r>
      <w:r>
        <w:rPr>
          <w:rStyle w:val="11"/>
          <w:rFonts w:hint="eastAsia" w:eastAsia="仿宋_GB2312"/>
          <w:color w:val="000000"/>
          <w:sz w:val="32"/>
          <w:szCs w:val="32"/>
        </w:rPr>
        <w:t>15</w:t>
      </w:r>
      <w:r>
        <w:rPr>
          <w:rStyle w:val="11"/>
          <w:rFonts w:eastAsia="仿宋_GB2312"/>
          <w:color w:val="000000"/>
          <w:sz w:val="32"/>
          <w:szCs w:val="32"/>
        </w:rPr>
        <w:t>]</w:t>
      </w:r>
      <w:r>
        <w:rPr>
          <w:rStyle w:val="11"/>
          <w:rFonts w:hint="eastAsia" w:eastAsia="仿宋_GB2312"/>
          <w:color w:val="000000"/>
          <w:sz w:val="32"/>
          <w:szCs w:val="32"/>
        </w:rPr>
        <w:t xml:space="preserve"> </w:t>
      </w:r>
      <w:r>
        <w:rPr>
          <w:rStyle w:val="11"/>
          <w:rFonts w:eastAsia="仿宋_GB2312"/>
          <w:color w:val="000000"/>
          <w:sz w:val="32"/>
          <w:szCs w:val="32"/>
        </w:rPr>
        <w:t>GB/T 16886.1</w:t>
      </w:r>
      <w:r>
        <w:rPr>
          <w:rFonts w:eastAsia="仿宋_GB2312"/>
          <w:sz w:val="32"/>
          <w:szCs w:val="32"/>
        </w:rPr>
        <w:t>,</w:t>
      </w:r>
      <w:r>
        <w:rPr>
          <w:rStyle w:val="11"/>
          <w:rFonts w:eastAsia="仿宋_GB2312"/>
          <w:color w:val="000000"/>
          <w:sz w:val="32"/>
          <w:szCs w:val="32"/>
        </w:rPr>
        <w:t>《医疗器械生物学评价 第1部分：风险管理过</w:t>
      </w:r>
      <w:r>
        <w:rPr>
          <w:rStyle w:val="11"/>
          <w:rFonts w:hint="eastAsia" w:eastAsia="仿宋_GB2312"/>
          <w:color w:val="000000"/>
          <w:sz w:val="32"/>
          <w:szCs w:val="32"/>
        </w:rPr>
        <w:t>程中的评价与试验》</w:t>
      </w:r>
      <w:r>
        <w:rPr>
          <w:rFonts w:eastAsia="仿宋_GB2312"/>
          <w:sz w:val="32"/>
          <w:szCs w:val="32"/>
        </w:rPr>
        <w:t>[S].</w:t>
      </w:r>
    </w:p>
    <w:p>
      <w:pPr>
        <w:tabs>
          <w:tab w:val="left" w:pos="532"/>
        </w:tabs>
        <w:spacing w:line="520" w:lineRule="exact"/>
        <w:ind w:left="2" w:firstLine="640" w:firstLineChars="200"/>
        <w:rPr>
          <w:rStyle w:val="11"/>
          <w:rFonts w:eastAsia="仿宋_GB2312"/>
          <w:color w:val="000000"/>
          <w:sz w:val="32"/>
          <w:szCs w:val="32"/>
        </w:rPr>
      </w:pPr>
      <w:r>
        <w:rPr>
          <w:rStyle w:val="11"/>
          <w:rFonts w:hint="eastAsia" w:eastAsia="仿宋_GB2312"/>
          <w:color w:val="000000"/>
          <w:sz w:val="32"/>
          <w:szCs w:val="32"/>
        </w:rPr>
        <w:t>[16] GB/T 16886.5</w:t>
      </w:r>
      <w:r>
        <w:rPr>
          <w:rFonts w:eastAsia="仿宋_GB2312"/>
          <w:sz w:val="32"/>
          <w:szCs w:val="32"/>
        </w:rPr>
        <w:t>,</w:t>
      </w:r>
      <w:r>
        <w:rPr>
          <w:rStyle w:val="11"/>
          <w:rFonts w:hint="eastAsia" w:eastAsia="仿宋_GB2312"/>
          <w:color w:val="000000"/>
          <w:sz w:val="32"/>
          <w:szCs w:val="32"/>
        </w:rPr>
        <w:t>《医疗器械生物学评价 第5部分：体外细胞毒性试验》</w:t>
      </w:r>
      <w:r>
        <w:rPr>
          <w:rFonts w:eastAsia="仿宋_GB2312"/>
          <w:sz w:val="32"/>
          <w:szCs w:val="32"/>
        </w:rPr>
        <w:t>[S].</w:t>
      </w:r>
    </w:p>
    <w:p>
      <w:pPr>
        <w:tabs>
          <w:tab w:val="left" w:pos="532"/>
        </w:tabs>
        <w:spacing w:line="520" w:lineRule="exact"/>
        <w:ind w:left="2" w:firstLine="640" w:firstLineChars="200"/>
        <w:rPr>
          <w:rStyle w:val="11"/>
          <w:rFonts w:eastAsia="仿宋_GB2312"/>
          <w:color w:val="000000"/>
          <w:sz w:val="32"/>
          <w:szCs w:val="32"/>
        </w:rPr>
      </w:pPr>
      <w:r>
        <w:rPr>
          <w:rStyle w:val="11"/>
          <w:rFonts w:hint="eastAsia" w:eastAsia="仿宋_GB2312"/>
          <w:color w:val="000000"/>
          <w:sz w:val="32"/>
          <w:szCs w:val="32"/>
        </w:rPr>
        <w:t>[17] GB/T 16886.7</w:t>
      </w:r>
      <w:r>
        <w:rPr>
          <w:rFonts w:eastAsia="仿宋_GB2312"/>
          <w:sz w:val="32"/>
          <w:szCs w:val="32"/>
        </w:rPr>
        <w:t>,</w:t>
      </w:r>
      <w:r>
        <w:rPr>
          <w:rStyle w:val="11"/>
          <w:rFonts w:hint="eastAsia" w:eastAsia="仿宋_GB2312"/>
          <w:color w:val="000000"/>
          <w:sz w:val="32"/>
          <w:szCs w:val="32"/>
        </w:rPr>
        <w:t>《医疗器械生物学评价 第7部分：环氧乙烷灭菌残留量》</w:t>
      </w:r>
      <w:r>
        <w:rPr>
          <w:rFonts w:eastAsia="仿宋_GB2312"/>
          <w:sz w:val="32"/>
          <w:szCs w:val="32"/>
        </w:rPr>
        <w:t>[S].</w:t>
      </w:r>
    </w:p>
    <w:p>
      <w:pPr>
        <w:tabs>
          <w:tab w:val="left" w:pos="532"/>
        </w:tabs>
        <w:spacing w:line="520" w:lineRule="exact"/>
        <w:ind w:left="2" w:firstLine="640" w:firstLineChars="200"/>
        <w:rPr>
          <w:rStyle w:val="11"/>
          <w:rFonts w:eastAsia="仿宋_GB2312"/>
          <w:color w:val="000000"/>
          <w:sz w:val="32"/>
          <w:szCs w:val="32"/>
        </w:rPr>
      </w:pPr>
      <w:r>
        <w:rPr>
          <w:rStyle w:val="11"/>
          <w:rFonts w:hint="eastAsia" w:eastAsia="仿宋_GB2312"/>
          <w:color w:val="000000"/>
          <w:sz w:val="32"/>
          <w:szCs w:val="32"/>
        </w:rPr>
        <w:t>[18] GB/T 16886.10</w:t>
      </w:r>
      <w:r>
        <w:rPr>
          <w:rFonts w:eastAsia="仿宋_GB2312"/>
          <w:sz w:val="32"/>
          <w:szCs w:val="32"/>
        </w:rPr>
        <w:t>,</w:t>
      </w:r>
      <w:r>
        <w:rPr>
          <w:rStyle w:val="11"/>
          <w:rFonts w:hint="eastAsia" w:eastAsia="仿宋_GB2312"/>
          <w:color w:val="000000"/>
          <w:sz w:val="32"/>
          <w:szCs w:val="32"/>
        </w:rPr>
        <w:t>《医疗器械生物学评价 第10部分：刺激与皮肤致敏试验》</w:t>
      </w:r>
      <w:r>
        <w:rPr>
          <w:rFonts w:eastAsia="仿宋_GB2312"/>
          <w:sz w:val="32"/>
          <w:szCs w:val="32"/>
        </w:rPr>
        <w:t>[S].</w:t>
      </w:r>
    </w:p>
    <w:p>
      <w:pPr>
        <w:tabs>
          <w:tab w:val="left" w:pos="532"/>
        </w:tabs>
        <w:spacing w:line="520" w:lineRule="exact"/>
        <w:ind w:left="2" w:firstLine="640" w:firstLineChars="200"/>
        <w:rPr>
          <w:rStyle w:val="11"/>
          <w:rFonts w:eastAsia="仿宋_GB2312"/>
          <w:color w:val="000000"/>
          <w:sz w:val="32"/>
          <w:szCs w:val="32"/>
        </w:rPr>
      </w:pPr>
      <w:r>
        <w:rPr>
          <w:rStyle w:val="11"/>
          <w:rFonts w:hint="eastAsia" w:eastAsia="仿宋_GB2312"/>
          <w:color w:val="000000"/>
          <w:sz w:val="32"/>
          <w:szCs w:val="32"/>
        </w:rPr>
        <w:t>[19] GB/T 16886.12</w:t>
      </w:r>
      <w:r>
        <w:rPr>
          <w:rFonts w:eastAsia="仿宋_GB2312"/>
          <w:sz w:val="32"/>
          <w:szCs w:val="32"/>
        </w:rPr>
        <w:t>,</w:t>
      </w:r>
      <w:r>
        <w:rPr>
          <w:rStyle w:val="11"/>
          <w:rFonts w:hint="eastAsia" w:eastAsia="仿宋_GB2312"/>
          <w:color w:val="000000"/>
          <w:sz w:val="32"/>
          <w:szCs w:val="32"/>
        </w:rPr>
        <w:t>《医疗器械生物学评价 第12部分：样品制备与参照材料》</w:t>
      </w:r>
      <w:r>
        <w:rPr>
          <w:rFonts w:eastAsia="仿宋_GB2312"/>
          <w:sz w:val="32"/>
          <w:szCs w:val="32"/>
        </w:rPr>
        <w:t>[S].</w:t>
      </w:r>
    </w:p>
    <w:p>
      <w:pPr>
        <w:tabs>
          <w:tab w:val="left" w:pos="532"/>
        </w:tabs>
        <w:spacing w:line="520" w:lineRule="exact"/>
        <w:ind w:left="2" w:firstLine="640" w:firstLineChars="200"/>
        <w:rPr>
          <w:rStyle w:val="11"/>
          <w:rFonts w:eastAsia="仿宋_GB2312"/>
          <w:color w:val="000000"/>
          <w:sz w:val="32"/>
          <w:szCs w:val="32"/>
        </w:rPr>
      </w:pPr>
      <w:r>
        <w:rPr>
          <w:rStyle w:val="11"/>
          <w:rFonts w:hint="eastAsia" w:eastAsia="仿宋_GB2312"/>
          <w:color w:val="000000"/>
          <w:sz w:val="32"/>
          <w:szCs w:val="32"/>
        </w:rPr>
        <w:t>[20] GB/T 19633</w:t>
      </w:r>
      <w:r>
        <w:rPr>
          <w:rFonts w:eastAsia="仿宋_GB2312"/>
          <w:sz w:val="32"/>
          <w:szCs w:val="32"/>
        </w:rPr>
        <w:t>,</w:t>
      </w:r>
      <w:r>
        <w:rPr>
          <w:rStyle w:val="11"/>
          <w:rFonts w:hint="eastAsia" w:eastAsia="仿宋_GB2312"/>
          <w:color w:val="000000"/>
          <w:sz w:val="32"/>
          <w:szCs w:val="32"/>
        </w:rPr>
        <w:t>《最终灭菌医疗器械包装》系列标准</w:t>
      </w:r>
      <w:r>
        <w:rPr>
          <w:rFonts w:eastAsia="仿宋_GB2312"/>
          <w:sz w:val="32"/>
          <w:szCs w:val="32"/>
        </w:rPr>
        <w:t>[S].</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21</w:t>
      </w:r>
      <w:r>
        <w:rPr>
          <w:rFonts w:eastAsia="仿宋_GB2312"/>
          <w:sz w:val="32"/>
          <w:szCs w:val="32"/>
        </w:rPr>
        <w:t>]</w:t>
      </w:r>
      <w:r>
        <w:rPr>
          <w:rFonts w:hint="eastAsia" w:eastAsia="仿宋_GB2312"/>
          <w:sz w:val="32"/>
          <w:szCs w:val="32"/>
        </w:rPr>
        <w:t xml:space="preserve"> </w:t>
      </w:r>
      <w:r>
        <w:rPr>
          <w:rStyle w:val="11"/>
          <w:rFonts w:eastAsia="仿宋_GB2312"/>
          <w:color w:val="000000"/>
          <w:sz w:val="32"/>
          <w:szCs w:val="32"/>
        </w:rPr>
        <w:t>GB/T 42062-2022</w:t>
      </w:r>
      <w:r>
        <w:rPr>
          <w:rFonts w:eastAsia="仿宋_GB2312"/>
          <w:sz w:val="32"/>
          <w:szCs w:val="32"/>
        </w:rPr>
        <w:t>,</w:t>
      </w:r>
      <w:r>
        <w:rPr>
          <w:rStyle w:val="11"/>
          <w:rFonts w:eastAsia="仿宋_GB2312"/>
          <w:color w:val="000000"/>
          <w:sz w:val="32"/>
          <w:szCs w:val="32"/>
        </w:rPr>
        <w:t>《医疗器械</w:t>
      </w:r>
      <w:r>
        <w:rPr>
          <w:rStyle w:val="11"/>
          <w:rFonts w:hint="eastAsia" w:eastAsia="仿宋_GB2312"/>
          <w:color w:val="000000"/>
          <w:sz w:val="32"/>
          <w:szCs w:val="32"/>
        </w:rPr>
        <w:t xml:space="preserve"> </w:t>
      </w:r>
      <w:r>
        <w:rPr>
          <w:rStyle w:val="11"/>
          <w:rFonts w:eastAsia="仿宋_GB2312"/>
          <w:color w:val="000000"/>
          <w:sz w:val="32"/>
          <w:szCs w:val="32"/>
        </w:rPr>
        <w:t>风险管理对医疗器械的应用》</w:t>
      </w:r>
      <w:r>
        <w:rPr>
          <w:rFonts w:eastAsia="仿宋_GB2312"/>
          <w:sz w:val="32"/>
          <w:szCs w:val="32"/>
        </w:rPr>
        <w:t>[S].</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22</w:t>
      </w:r>
      <w:r>
        <w:rPr>
          <w:rFonts w:eastAsia="仿宋_GB2312"/>
          <w:sz w:val="32"/>
          <w:szCs w:val="32"/>
        </w:rPr>
        <w:t>]</w:t>
      </w:r>
      <w:r>
        <w:rPr>
          <w:rFonts w:hint="eastAsia" w:eastAsia="仿宋_GB2312"/>
          <w:sz w:val="32"/>
          <w:szCs w:val="32"/>
        </w:rPr>
        <w:t xml:space="preserve"> </w:t>
      </w:r>
      <w:r>
        <w:rPr>
          <w:rStyle w:val="11"/>
          <w:rFonts w:eastAsia="仿宋_GB2312"/>
          <w:color w:val="000000"/>
          <w:sz w:val="32"/>
          <w:szCs w:val="32"/>
        </w:rPr>
        <w:t>YY/T 0466</w:t>
      </w:r>
      <w:r>
        <w:rPr>
          <w:rFonts w:eastAsia="仿宋_GB2312"/>
          <w:sz w:val="32"/>
          <w:szCs w:val="32"/>
        </w:rPr>
        <w:t>,</w:t>
      </w:r>
      <w:r>
        <w:rPr>
          <w:rStyle w:val="11"/>
          <w:rFonts w:eastAsia="仿宋_GB2312"/>
          <w:color w:val="000000"/>
          <w:sz w:val="32"/>
          <w:szCs w:val="32"/>
        </w:rPr>
        <w:t>《医疗器械 用于医疗器械标签、标记和提供信息的符号》</w:t>
      </w:r>
      <w:r>
        <w:rPr>
          <w:rStyle w:val="11"/>
          <w:rFonts w:hint="eastAsia" w:eastAsia="仿宋_GB2312"/>
          <w:color w:val="000000"/>
          <w:sz w:val="32"/>
          <w:szCs w:val="32"/>
        </w:rPr>
        <w:t>系列标准</w:t>
      </w:r>
      <w:r>
        <w:rPr>
          <w:rFonts w:eastAsia="仿宋_GB2312"/>
          <w:sz w:val="32"/>
          <w:szCs w:val="32"/>
        </w:rPr>
        <w:t>[S].</w:t>
      </w:r>
    </w:p>
    <w:p>
      <w:pPr>
        <w:tabs>
          <w:tab w:val="left" w:pos="532"/>
        </w:tabs>
        <w:spacing w:line="520" w:lineRule="exact"/>
        <w:ind w:left="2" w:firstLine="640" w:firstLineChars="200"/>
        <w:rPr>
          <w:rFonts w:eastAsia="仿宋_GB2312"/>
          <w:sz w:val="32"/>
          <w:szCs w:val="32"/>
        </w:rPr>
      </w:pPr>
      <w:r>
        <w:rPr>
          <w:rFonts w:eastAsia="仿宋_GB2312"/>
          <w:sz w:val="32"/>
          <w:szCs w:val="32"/>
        </w:rPr>
        <w:t>[</w:t>
      </w:r>
      <w:r>
        <w:rPr>
          <w:rFonts w:hint="eastAsia" w:eastAsia="仿宋_GB2312"/>
          <w:sz w:val="32"/>
          <w:szCs w:val="32"/>
        </w:rPr>
        <w:t>23</w:t>
      </w:r>
      <w:r>
        <w:rPr>
          <w:rFonts w:eastAsia="仿宋_GB2312"/>
          <w:sz w:val="32"/>
          <w:szCs w:val="32"/>
        </w:rPr>
        <w:t>]</w:t>
      </w:r>
      <w:r>
        <w:rPr>
          <w:rFonts w:eastAsia="仿宋_GB2312"/>
          <w:color w:val="000000"/>
          <w:sz w:val="32"/>
          <w:szCs w:val="32"/>
        </w:rPr>
        <w:t>《中华人民共和国药典》</w:t>
      </w:r>
      <w:r>
        <w:rPr>
          <w:rFonts w:eastAsia="仿宋_GB2312"/>
          <w:sz w:val="32"/>
          <w:szCs w:val="32"/>
        </w:rPr>
        <w:t>[S].</w:t>
      </w:r>
    </w:p>
    <w:p>
      <w:pPr>
        <w:spacing w:line="520" w:lineRule="exact"/>
        <w:ind w:firstLine="640" w:firstLineChars="200"/>
        <w:outlineLvl w:val="0"/>
        <w:rPr>
          <w:rFonts w:eastAsia="黑体"/>
          <w:sz w:val="32"/>
          <w:szCs w:val="32"/>
        </w:rPr>
      </w:pPr>
      <w:r>
        <w:rPr>
          <w:rFonts w:hint="eastAsia" w:eastAsia="黑体"/>
          <w:sz w:val="32"/>
          <w:szCs w:val="32"/>
        </w:rPr>
        <w:t>四、编写单位</w:t>
      </w:r>
    </w:p>
    <w:p>
      <w:pPr>
        <w:tabs>
          <w:tab w:val="left" w:pos="532"/>
        </w:tabs>
        <w:spacing w:line="520" w:lineRule="exact"/>
        <w:ind w:left="2" w:firstLine="640" w:firstLineChars="200"/>
        <w:rPr>
          <w:rFonts w:eastAsia="黑体"/>
          <w:sz w:val="32"/>
          <w:szCs w:val="32"/>
        </w:rPr>
      </w:pPr>
      <w:r>
        <w:rPr>
          <w:rFonts w:hint="eastAsia" w:eastAsia="仿宋_GB2312"/>
          <w:sz w:val="32"/>
          <w:szCs w:val="32"/>
        </w:rPr>
        <w:t>重庆市药品技术审评查验中心。</w:t>
      </w:r>
    </w:p>
    <w:p/>
    <w:sectPr>
      <w:footerReference r:id="rId3" w:type="default"/>
      <w:pgSz w:w="11906" w:h="16838"/>
      <w:pgMar w:top="1440" w:right="1797" w:bottom="1440" w:left="1797" w:header="851" w:footer="992" w:gutter="0"/>
      <w:lnNumType w:countBy="1" w:restart="continuous"/>
      <w:pgNumType w:fmt="numberInDash"/>
      <w:cols w:space="425" w:num="1"/>
      <w:titlePg/>
      <w:docGrid w:linePitch="312" w:charSpace="0"/>
      <mc:AlternateContent>
        <mc:Choice Requires="wpsCustomData">
          <wpsCustomData:blankLineNoLineNum/>
        </mc:Choice>
      </mc:AlternateConten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3000509000000000000"/>
    <w:charset w:val="86"/>
    <w:family w:val="auto"/>
    <w:pitch w:val="default"/>
    <w:sig w:usb0="00000001" w:usb1="080E0000" w:usb2="00000000" w:usb3="00000000" w:csb0="00040000" w:csb1="00000000"/>
  </w:font>
  <w:font w:name="DengXian">
    <w:altName w:val="华文仿宋"/>
    <w:panose1 w:val="02010600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val="zh-CN"/>
      </w:rPr>
      <w:t>-</w:t>
    </w:r>
    <w:r>
      <w:rPr>
        <w:rFonts w:ascii="Times New Roman" w:hAnsi="Times New Roman"/>
        <w:sz w:val="24"/>
      </w:rPr>
      <w:t xml:space="preserve"> 21 -</w:t>
    </w:r>
    <w:r>
      <w:rPr>
        <w:rFonts w:ascii="Times New Roman" w:hAnsi="Times New Roman"/>
        <w:sz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96D02A"/>
    <w:multiLevelType w:val="singleLevel"/>
    <w:tmpl w:val="E996D02A"/>
    <w:lvl w:ilvl="0" w:tentative="0">
      <w:start w:val="1"/>
      <w:numFmt w:val="decimal"/>
      <w:suff w:val="nothing"/>
      <w:lvlText w:val="（%1）"/>
      <w:lvlJc w:val="left"/>
    </w:lvl>
  </w:abstractNum>
  <w:abstractNum w:abstractNumId="1">
    <w:nsid w:val="0F17B4D0"/>
    <w:multiLevelType w:val="singleLevel"/>
    <w:tmpl w:val="0F17B4D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2YWI0MzU3MzlhZjFmOGFjYjMwYWM5NmVlMmIxY2EifQ=="/>
  </w:docVars>
  <w:rsids>
    <w:rsidRoot w:val="01D012CF"/>
    <w:rsid w:val="00001FE9"/>
    <w:rsid w:val="00020160"/>
    <w:rsid w:val="0002557C"/>
    <w:rsid w:val="000500E9"/>
    <w:rsid w:val="00055C73"/>
    <w:rsid w:val="00093081"/>
    <w:rsid w:val="00096F78"/>
    <w:rsid w:val="000A0631"/>
    <w:rsid w:val="000A1E2E"/>
    <w:rsid w:val="000D13E3"/>
    <w:rsid w:val="000E2880"/>
    <w:rsid w:val="000E512A"/>
    <w:rsid w:val="00140088"/>
    <w:rsid w:val="001567FE"/>
    <w:rsid w:val="00161F95"/>
    <w:rsid w:val="00167BDE"/>
    <w:rsid w:val="00176F99"/>
    <w:rsid w:val="001A5522"/>
    <w:rsid w:val="001B2A29"/>
    <w:rsid w:val="002036C2"/>
    <w:rsid w:val="00212E9D"/>
    <w:rsid w:val="00222FE1"/>
    <w:rsid w:val="002639B1"/>
    <w:rsid w:val="00296528"/>
    <w:rsid w:val="002B6EFA"/>
    <w:rsid w:val="002C1A6E"/>
    <w:rsid w:val="002E7F4C"/>
    <w:rsid w:val="00301947"/>
    <w:rsid w:val="003024C8"/>
    <w:rsid w:val="0031405B"/>
    <w:rsid w:val="00320960"/>
    <w:rsid w:val="00323854"/>
    <w:rsid w:val="00334E1A"/>
    <w:rsid w:val="00344A48"/>
    <w:rsid w:val="00364C28"/>
    <w:rsid w:val="00380C44"/>
    <w:rsid w:val="003B1D56"/>
    <w:rsid w:val="003E6B00"/>
    <w:rsid w:val="00452805"/>
    <w:rsid w:val="00486AC2"/>
    <w:rsid w:val="004965B5"/>
    <w:rsid w:val="004B6D21"/>
    <w:rsid w:val="004C4AB5"/>
    <w:rsid w:val="004D225A"/>
    <w:rsid w:val="004F7AF5"/>
    <w:rsid w:val="00501AB7"/>
    <w:rsid w:val="0051468B"/>
    <w:rsid w:val="00556D5C"/>
    <w:rsid w:val="0059244C"/>
    <w:rsid w:val="00594451"/>
    <w:rsid w:val="005B0257"/>
    <w:rsid w:val="005C16CC"/>
    <w:rsid w:val="005D0051"/>
    <w:rsid w:val="005F1504"/>
    <w:rsid w:val="00654DAC"/>
    <w:rsid w:val="00665188"/>
    <w:rsid w:val="00666881"/>
    <w:rsid w:val="00666BA9"/>
    <w:rsid w:val="006B259F"/>
    <w:rsid w:val="006C0397"/>
    <w:rsid w:val="006C43B7"/>
    <w:rsid w:val="006D12EF"/>
    <w:rsid w:val="00726160"/>
    <w:rsid w:val="007C4300"/>
    <w:rsid w:val="007E631F"/>
    <w:rsid w:val="007F34B6"/>
    <w:rsid w:val="00826918"/>
    <w:rsid w:val="0083346A"/>
    <w:rsid w:val="00845A00"/>
    <w:rsid w:val="008472F2"/>
    <w:rsid w:val="00857881"/>
    <w:rsid w:val="00864159"/>
    <w:rsid w:val="0087085A"/>
    <w:rsid w:val="00882535"/>
    <w:rsid w:val="00885251"/>
    <w:rsid w:val="00885E18"/>
    <w:rsid w:val="008A61AC"/>
    <w:rsid w:val="008F4455"/>
    <w:rsid w:val="008F5CFC"/>
    <w:rsid w:val="00903155"/>
    <w:rsid w:val="0090398A"/>
    <w:rsid w:val="00904013"/>
    <w:rsid w:val="009108A0"/>
    <w:rsid w:val="00915105"/>
    <w:rsid w:val="00943BC3"/>
    <w:rsid w:val="00954478"/>
    <w:rsid w:val="00972A84"/>
    <w:rsid w:val="00981CD1"/>
    <w:rsid w:val="009969CF"/>
    <w:rsid w:val="009D7837"/>
    <w:rsid w:val="009E1286"/>
    <w:rsid w:val="009E6CEA"/>
    <w:rsid w:val="009E7130"/>
    <w:rsid w:val="009E7534"/>
    <w:rsid w:val="009F62EC"/>
    <w:rsid w:val="00A06141"/>
    <w:rsid w:val="00A42753"/>
    <w:rsid w:val="00A533F8"/>
    <w:rsid w:val="00A54212"/>
    <w:rsid w:val="00A579B1"/>
    <w:rsid w:val="00A86758"/>
    <w:rsid w:val="00A90697"/>
    <w:rsid w:val="00A92D60"/>
    <w:rsid w:val="00AB6E1F"/>
    <w:rsid w:val="00AD5020"/>
    <w:rsid w:val="00B175CC"/>
    <w:rsid w:val="00B40DBF"/>
    <w:rsid w:val="00B41C57"/>
    <w:rsid w:val="00B55573"/>
    <w:rsid w:val="00B623DA"/>
    <w:rsid w:val="00B754B8"/>
    <w:rsid w:val="00B7741E"/>
    <w:rsid w:val="00B91AF5"/>
    <w:rsid w:val="00B94F2D"/>
    <w:rsid w:val="00BC36D8"/>
    <w:rsid w:val="00BC68F9"/>
    <w:rsid w:val="00BD7BC0"/>
    <w:rsid w:val="00BF7E23"/>
    <w:rsid w:val="00C05D19"/>
    <w:rsid w:val="00C11C67"/>
    <w:rsid w:val="00C35EF7"/>
    <w:rsid w:val="00C370CA"/>
    <w:rsid w:val="00C515CE"/>
    <w:rsid w:val="00C65C91"/>
    <w:rsid w:val="00C82A38"/>
    <w:rsid w:val="00C96F4B"/>
    <w:rsid w:val="00CB26CE"/>
    <w:rsid w:val="00CB496A"/>
    <w:rsid w:val="00CC1CCC"/>
    <w:rsid w:val="00CC3D4C"/>
    <w:rsid w:val="00CE0529"/>
    <w:rsid w:val="00CE51EA"/>
    <w:rsid w:val="00D167AD"/>
    <w:rsid w:val="00D16C14"/>
    <w:rsid w:val="00D2570F"/>
    <w:rsid w:val="00D94BEF"/>
    <w:rsid w:val="00D96728"/>
    <w:rsid w:val="00DA1832"/>
    <w:rsid w:val="00DA6826"/>
    <w:rsid w:val="00DB09E6"/>
    <w:rsid w:val="00DB3DAD"/>
    <w:rsid w:val="00DC3829"/>
    <w:rsid w:val="00DD40F3"/>
    <w:rsid w:val="00E14998"/>
    <w:rsid w:val="00E264A7"/>
    <w:rsid w:val="00E512F9"/>
    <w:rsid w:val="00E57BF6"/>
    <w:rsid w:val="00E64331"/>
    <w:rsid w:val="00E94520"/>
    <w:rsid w:val="00E94C1C"/>
    <w:rsid w:val="00EB26C7"/>
    <w:rsid w:val="00EB6D0C"/>
    <w:rsid w:val="00EC6075"/>
    <w:rsid w:val="00F10076"/>
    <w:rsid w:val="00F26951"/>
    <w:rsid w:val="00F31772"/>
    <w:rsid w:val="00F73BF6"/>
    <w:rsid w:val="00F7790B"/>
    <w:rsid w:val="00F8463A"/>
    <w:rsid w:val="00F91D5B"/>
    <w:rsid w:val="00F93EC3"/>
    <w:rsid w:val="01D012CF"/>
    <w:rsid w:val="0CDF65F2"/>
    <w:rsid w:val="1674297A"/>
    <w:rsid w:val="1ABC16D6"/>
    <w:rsid w:val="22544E42"/>
    <w:rsid w:val="35B25333"/>
    <w:rsid w:val="3C5662FB"/>
    <w:rsid w:val="3ED951C1"/>
    <w:rsid w:val="50210FB2"/>
    <w:rsid w:val="50B05137"/>
    <w:rsid w:val="566649D2"/>
    <w:rsid w:val="69F745C9"/>
    <w:rsid w:val="6BF7279B"/>
    <w:rsid w:val="732D105C"/>
    <w:rsid w:val="7F0F2A6D"/>
    <w:rsid w:val="BF4D3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DengXian" w:hAnsi="DengXian" w:eastAsia="DengXian"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unhideWhenUsed/>
    <w:qFormat/>
    <w:uiPriority w:val="99"/>
    <w:rPr>
      <w:rFonts w:ascii="宋体" w:hAnsi="Courier New" w:eastAsia="宋体"/>
      <w:kern w:val="0"/>
      <w:sz w:val="20"/>
      <w:szCs w:val="21"/>
    </w:rPr>
  </w:style>
  <w:style w:type="paragraph" w:styleId="3">
    <w:name w:val="footer"/>
    <w:basedOn w:val="1"/>
    <w:unhideWhenUsed/>
    <w:qFormat/>
    <w:uiPriority w:val="99"/>
    <w:pPr>
      <w:tabs>
        <w:tab w:val="center" w:pos="4153"/>
        <w:tab w:val="right" w:pos="8306"/>
      </w:tabs>
      <w:snapToGrid w:val="0"/>
      <w:jc w:val="left"/>
    </w:pPr>
    <w:rPr>
      <w:rFonts w:ascii="Calibri" w:hAnsi="Calibri" w:eastAsia="宋体"/>
      <w:kern w:val="0"/>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Autospacing="1" w:afterAutospacing="1"/>
      <w:jc w:val="left"/>
    </w:pPr>
    <w:rPr>
      <w:rFonts w:ascii="Times New Roman" w:hAnsi="Times New Roman" w:eastAsia="宋体"/>
      <w:kern w:val="0"/>
      <w:sz w:val="24"/>
      <w:szCs w:val="24"/>
    </w:rPr>
  </w:style>
  <w:style w:type="character" w:customStyle="1" w:styleId="8">
    <w:name w:val="页眉 字符"/>
    <w:basedOn w:val="7"/>
    <w:link w:val="4"/>
    <w:qFormat/>
    <w:uiPriority w:val="0"/>
    <w:rPr>
      <w:rFonts w:ascii="DengXian" w:hAnsi="DengXian" w:eastAsia="DengXian" w:cs="Times New Roman"/>
      <w:kern w:val="2"/>
      <w:sz w:val="18"/>
      <w:szCs w:val="18"/>
    </w:rPr>
  </w:style>
  <w:style w:type="paragraph" w:customStyle="1" w:styleId="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0">
    <w:name w:val="纯文本 字符"/>
    <w:basedOn w:val="7"/>
    <w:link w:val="2"/>
    <w:qFormat/>
    <w:uiPriority w:val="99"/>
    <w:rPr>
      <w:rFonts w:ascii="宋体" w:hAnsi="Courier New" w:eastAsia="宋体" w:cs="Times New Roman"/>
      <w:szCs w:val="21"/>
    </w:rPr>
  </w:style>
  <w:style w:type="character" w:customStyle="1" w:styleId="11">
    <w:name w:val="f101"/>
    <w:qFormat/>
    <w:uiPriority w:val="99"/>
    <w:rPr>
      <w:sz w:val="24"/>
      <w:szCs w:val="24"/>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16</Pages>
  <Words>6879</Words>
  <Characters>7402</Characters>
  <Lines>108</Lines>
  <Paragraphs>30</Paragraphs>
  <TotalTime>54</TotalTime>
  <ScaleCrop>false</ScaleCrop>
  <LinksUpToDate>false</LinksUpToDate>
  <CharactersWithSpaces>7449</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2021-09-30T23:42:00Z</dcterms:created>
  <dc:creator>Liuqianqian</dc:creator>
  <cp:lastModifiedBy>huawei</cp:lastModifiedBy>
  <dcterms:modified xsi:type="dcterms:W3CDTF">2026-07-28T18:06:04Z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A685F14C43294FC0B4280372424A83E5_13</vt:lpwstr>
  </property>
  <property fmtid="{D5CDD505-2E9C-101B-9397-08002B2CF9AE}" pid="4" name="KSOTemplateDocerSaveRecord">
    <vt:lpwstr>eyJoZGlkIjoiZThlZWE1NWY1ODQ1OTc2NjJmNzY4ZmEyMDcwNTQ1ODgiLCJ1c2VySWQiOiIyODk4OTAzOTYifQ==</vt:lpwstr>
  </property>
</Properties>
</file>