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9C70B">
      <w:pPr>
        <w:spacing w:line="520" w:lineRule="exact"/>
        <w:ind w:right="-67" w:rightChars="-32"/>
        <w:jc w:val="center"/>
        <w:rPr>
          <w:rFonts w:hint="eastAsia" w:ascii="Times New Roman" w:hAnsi="Times New Roman" w:eastAsia="方正小标宋简体" w:cs="Times New Roman"/>
          <w:color w:val="000000"/>
          <w:sz w:val="44"/>
        </w:rPr>
      </w:pPr>
      <w:r>
        <w:rPr>
          <w:rFonts w:hint="eastAsia" w:ascii="Times New Roman" w:hAnsi="Times New Roman" w:eastAsia="方正小标宋简体" w:cs="Times New Roman"/>
          <w:color w:val="000000"/>
          <w:sz w:val="44"/>
        </w:rPr>
        <w:t>鼻腔润滑剂注册审查指导原则</w:t>
      </w:r>
    </w:p>
    <w:p w14:paraId="24743BD1">
      <w:pPr>
        <w:spacing w:line="520" w:lineRule="exact"/>
        <w:ind w:right="-67" w:rightChars="-32"/>
        <w:jc w:val="center"/>
        <w:rPr>
          <w:rFonts w:hint="eastAsia" w:ascii="Times New Roman" w:hAnsi="Times New Roman" w:eastAsia="方正小标宋简体" w:cs="Times New Roman"/>
          <w:color w:val="000000"/>
          <w:sz w:val="44"/>
          <w:lang w:eastAsia="zh-CN"/>
        </w:rPr>
      </w:pPr>
      <w:bookmarkStart w:id="3" w:name="_GoBack"/>
      <w:bookmarkEnd w:id="3"/>
      <w:r>
        <w:rPr>
          <w:rFonts w:hint="eastAsia" w:ascii="Times New Roman" w:hAnsi="Times New Roman" w:eastAsia="方正小标宋简体" w:cs="Times New Roman"/>
          <w:color w:val="000000"/>
          <w:sz w:val="44"/>
          <w:lang w:eastAsia="zh-CN"/>
        </w:rPr>
        <w:t>（</w:t>
      </w:r>
      <w:r>
        <w:rPr>
          <w:rFonts w:hint="eastAsia" w:ascii="Times New Roman" w:hAnsi="Times New Roman" w:eastAsia="方正小标宋简体" w:cs="Times New Roman"/>
          <w:color w:val="000000"/>
          <w:sz w:val="44"/>
          <w:lang w:val="en-US" w:eastAsia="zh-CN"/>
        </w:rPr>
        <w:t>征求意见稿</w:t>
      </w:r>
      <w:r>
        <w:rPr>
          <w:rFonts w:hint="eastAsia" w:ascii="Times New Roman" w:hAnsi="Times New Roman" w:eastAsia="方正小标宋简体" w:cs="Times New Roman"/>
          <w:color w:val="000000"/>
          <w:sz w:val="44"/>
          <w:lang w:eastAsia="zh-CN"/>
        </w:rPr>
        <w:t>）</w:t>
      </w:r>
    </w:p>
    <w:p w14:paraId="6F17ED3D">
      <w:pPr>
        <w:pStyle w:val="2"/>
        <w:rPr>
          <w:rFonts w:hint="eastAsia"/>
          <w:lang w:eastAsia="zh-CN"/>
        </w:rPr>
      </w:pPr>
    </w:p>
    <w:p w14:paraId="682D0115">
      <w:pPr>
        <w:keepNext w:val="0"/>
        <w:keepLines w:val="0"/>
        <w:pageBreakBefore w:val="0"/>
        <w:kinsoku/>
        <w:wordWrap/>
        <w:overflowPunct/>
        <w:topLinePunct w:val="0"/>
        <w:autoSpaceDE/>
        <w:autoSpaceDN/>
        <w:bidi w:val="0"/>
        <w:snapToGrid w:val="0"/>
        <w:spacing w:line="52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rPr>
        <w:t>本指导原则旨在指导注册申请人对</w:t>
      </w:r>
      <w:r>
        <w:rPr>
          <w:rFonts w:hint="eastAsia" w:ascii="Times New Roman" w:hAnsi="Times New Roman" w:eastAsia="仿宋_GB2312" w:cs="Times New Roman"/>
          <w:color w:val="000000"/>
          <w:sz w:val="32"/>
          <w:szCs w:val="32"/>
          <w:highlight w:val="none"/>
          <w:lang w:val="en-US" w:eastAsia="zh-CN"/>
        </w:rPr>
        <w:t>鼻腔润滑剂</w:t>
      </w:r>
      <w:r>
        <w:rPr>
          <w:rFonts w:ascii="Times New Roman" w:hAnsi="Times New Roman" w:eastAsia="仿宋_GB2312" w:cs="Times New Roman"/>
          <w:color w:val="000000"/>
          <w:sz w:val="32"/>
          <w:szCs w:val="32"/>
          <w:highlight w:val="none"/>
        </w:rPr>
        <w:t>产品</w:t>
      </w:r>
      <w:r>
        <w:rPr>
          <w:rFonts w:hint="eastAsia" w:ascii="Times New Roman" w:hAnsi="Times New Roman" w:eastAsia="仿宋_GB2312" w:cs="Times New Roman"/>
          <w:color w:val="000000"/>
          <w:sz w:val="32"/>
          <w:szCs w:val="32"/>
          <w:highlight w:val="none"/>
          <w:lang w:val="en-US" w:eastAsia="zh-CN"/>
        </w:rPr>
        <w:t>的</w:t>
      </w:r>
      <w:r>
        <w:rPr>
          <w:rFonts w:ascii="Times New Roman" w:hAnsi="Times New Roman" w:eastAsia="仿宋_GB2312" w:cs="Times New Roman"/>
          <w:color w:val="000000"/>
          <w:sz w:val="32"/>
          <w:szCs w:val="32"/>
          <w:highlight w:val="none"/>
        </w:rPr>
        <w:t>注册申报资料</w:t>
      </w:r>
      <w:r>
        <w:rPr>
          <w:rFonts w:hint="eastAsia" w:ascii="Times New Roman" w:hAnsi="Times New Roman" w:eastAsia="仿宋_GB2312" w:cs="Times New Roman"/>
          <w:color w:val="000000"/>
          <w:sz w:val="32"/>
          <w:szCs w:val="32"/>
          <w:highlight w:val="none"/>
          <w:lang w:val="en-US" w:eastAsia="zh-CN"/>
        </w:rPr>
        <w:t>进行</w:t>
      </w:r>
      <w:r>
        <w:rPr>
          <w:rFonts w:ascii="Times New Roman" w:hAnsi="Times New Roman" w:eastAsia="仿宋_GB2312" w:cs="Times New Roman"/>
          <w:color w:val="000000"/>
          <w:sz w:val="32"/>
          <w:szCs w:val="32"/>
          <w:highlight w:val="none"/>
        </w:rPr>
        <w:t>准备及撰写，同时也为技术审评部门对注册申报资料的审评提供技术参考。</w:t>
      </w:r>
    </w:p>
    <w:p w14:paraId="682C42C5">
      <w:pPr>
        <w:keepNext w:val="0"/>
        <w:keepLines w:val="0"/>
        <w:pageBreakBefore w:val="0"/>
        <w:kinsoku/>
        <w:wordWrap/>
        <w:overflowPunct/>
        <w:topLinePunct w:val="0"/>
        <w:autoSpaceDE/>
        <w:autoSpaceDN/>
        <w:bidi w:val="0"/>
        <w:snapToGrid w:val="0"/>
        <w:spacing w:line="520" w:lineRule="exact"/>
        <w:ind w:firstLine="640" w:firstLineChars="200"/>
        <w:jc w:val="both"/>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highlight w:val="none"/>
        </w:rPr>
        <w:t>本指导原则是对</w:t>
      </w:r>
      <w:r>
        <w:rPr>
          <w:rFonts w:hint="eastAsia" w:ascii="Times New Roman" w:hAnsi="Times New Roman" w:eastAsia="仿宋_GB2312" w:cs="Times New Roman"/>
          <w:color w:val="000000"/>
          <w:sz w:val="32"/>
          <w:szCs w:val="32"/>
          <w:highlight w:val="none"/>
          <w:lang w:val="en-US" w:eastAsia="zh-CN"/>
        </w:rPr>
        <w:t>鼻腔润滑剂</w:t>
      </w:r>
      <w:r>
        <w:rPr>
          <w:rFonts w:ascii="Times New Roman" w:hAnsi="Times New Roman" w:eastAsia="仿宋_GB2312" w:cs="Times New Roman"/>
          <w:color w:val="000000"/>
          <w:sz w:val="32"/>
          <w:szCs w:val="32"/>
          <w:highlight w:val="none"/>
        </w:rPr>
        <w:t>注册申报</w:t>
      </w:r>
      <w:r>
        <w:rPr>
          <w:rFonts w:ascii="Times New Roman" w:hAnsi="Times New Roman" w:eastAsia="仿宋_GB2312" w:cs="Times New Roman"/>
          <w:color w:val="000000"/>
          <w:sz w:val="32"/>
          <w:szCs w:val="32"/>
        </w:rPr>
        <w:t>资料的一般要求，注册申请人需依据产品的具体特性确定其中内容是否</w:t>
      </w:r>
      <w:r>
        <w:rPr>
          <w:rFonts w:hint="eastAsia" w:ascii="Times New Roman" w:hAnsi="Times New Roman" w:eastAsia="仿宋_GB2312" w:cs="Times New Roman"/>
          <w:color w:val="000000"/>
          <w:sz w:val="32"/>
          <w:szCs w:val="32"/>
          <w:lang w:val="en-US" w:eastAsia="zh-CN"/>
        </w:rPr>
        <w:t>适</w:t>
      </w:r>
      <w:r>
        <w:rPr>
          <w:rFonts w:ascii="Times New Roman" w:hAnsi="Times New Roman" w:eastAsia="仿宋_GB2312" w:cs="Times New Roman"/>
          <w:color w:val="000000"/>
          <w:sz w:val="32"/>
          <w:szCs w:val="32"/>
        </w:rPr>
        <w:t>用。若不适用，需具体阐述理由及相应的科学依据，并依据产品的具体特性对注册申报资料的内容进行充实和细化。</w:t>
      </w:r>
    </w:p>
    <w:p w14:paraId="3E5BAD4F">
      <w:pPr>
        <w:keepNext w:val="0"/>
        <w:keepLines w:val="0"/>
        <w:pageBreakBefore w:val="0"/>
        <w:kinsoku/>
        <w:wordWrap/>
        <w:overflowPunct/>
        <w:topLinePunct w:val="0"/>
        <w:autoSpaceDE/>
        <w:autoSpaceDN/>
        <w:bidi w:val="0"/>
        <w:snapToGrid w:val="0"/>
        <w:spacing w:line="520" w:lineRule="exact"/>
        <w:ind w:firstLine="640" w:firstLineChars="200"/>
        <w:jc w:val="both"/>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68EE663E">
      <w:pPr>
        <w:keepNext w:val="0"/>
        <w:keepLines w:val="0"/>
        <w:pageBreakBefore w:val="0"/>
        <w:kinsoku/>
        <w:wordWrap/>
        <w:overflowPunct/>
        <w:topLinePunct w:val="0"/>
        <w:autoSpaceDE/>
        <w:autoSpaceDN/>
        <w:bidi w:val="0"/>
        <w:snapToGrid w:val="0"/>
        <w:spacing w:line="520" w:lineRule="exact"/>
        <w:ind w:firstLine="640" w:firstLineChars="200"/>
        <w:jc w:val="both"/>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本指导原则是在现行法规和标准体系以及当前认知水平下制定的，随着法规和标准的不断完善，以及科学技术的不断发展，本指导原则相关内容也将进行适时的调整。</w:t>
      </w:r>
    </w:p>
    <w:p w14:paraId="1020A492">
      <w:pPr>
        <w:keepNext w:val="0"/>
        <w:keepLines w:val="0"/>
        <w:pageBreakBefore w:val="0"/>
        <w:kinsoku/>
        <w:wordWrap/>
        <w:overflowPunct/>
        <w:topLinePunct w:val="0"/>
        <w:autoSpaceDE/>
        <w:autoSpaceDN/>
        <w:bidi w:val="0"/>
        <w:snapToGrid w:val="0"/>
        <w:spacing w:line="520" w:lineRule="exact"/>
        <w:ind w:firstLine="640" w:firstLineChars="200"/>
        <w:jc w:val="both"/>
        <w:textAlignment w:val="auto"/>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一、适用范围</w:t>
      </w:r>
    </w:p>
    <w:p w14:paraId="763914B2">
      <w:pPr>
        <w:adjustRightInd w:val="0"/>
        <w:snapToGrid w:val="0"/>
        <w:spacing w:line="520" w:lineRule="atLeas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本指导原则适用于《医疗器械分类目录》中分类编码为14-1</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-0</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项下按第二类医疗器械管理的</w:t>
      </w:r>
      <w:r>
        <w:rPr>
          <w:rFonts w:hint="eastAsia" w:ascii="Times New Roman" w:hAnsi="Times New Roman" w:eastAsia="仿宋_GB2312" w:cs="Times New Roman"/>
          <w:sz w:val="32"/>
          <w:szCs w:val="32"/>
          <w:lang w:val="en-US" w:eastAsia="zh-CN"/>
        </w:rPr>
        <w:t>通气辅助器械</w:t>
      </w:r>
      <w:r>
        <w:rPr>
          <w:rFonts w:hint="eastAsia" w:ascii="Times New Roman" w:hAnsi="Times New Roman" w:eastAsia="仿宋_GB2312" w:cs="Times New Roman"/>
          <w:sz w:val="32"/>
          <w:szCs w:val="32"/>
        </w:rPr>
        <w:t>，通常为溶液</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以无菌或非无菌形式提供。所含成分不具有药理学作用。</w:t>
      </w:r>
    </w:p>
    <w:p w14:paraId="157F310A">
      <w:pPr>
        <w:adjustRightInd w:val="0"/>
        <w:snapToGrid w:val="0"/>
        <w:spacing w:line="520" w:lineRule="atLeast"/>
        <w:ind w:firstLine="640" w:firstLineChars="200"/>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本指导原则不适用于含有药物成分、抑菌成分、发挥药理学作用成分、免疫调节成分、激素类成分及能释放活性物质/能量的物质（如银离子、负离子等）的产品；不适用于通过新作用机理（如化学性松弛咽喉肌肉、改变组织形态等）</w:t>
      </w:r>
      <w:r>
        <w:rPr>
          <w:rFonts w:hint="eastAsia" w:ascii="Times New Roman" w:hAnsi="Times New Roman" w:eastAsia="仿宋_GB2312" w:cs="Times New Roman"/>
          <w:color w:val="000000"/>
          <w:sz w:val="32"/>
          <w:szCs w:val="32"/>
          <w:highlight w:val="none"/>
          <w:lang w:val="en-US" w:eastAsia="zh-CN"/>
        </w:rPr>
        <w:t>减轻呼吸受阻状况</w:t>
      </w:r>
      <w:r>
        <w:rPr>
          <w:rFonts w:hint="eastAsia" w:ascii="Times New Roman" w:hAnsi="Times New Roman" w:eastAsia="仿宋_GB2312" w:cs="Times New Roman"/>
          <w:sz w:val="32"/>
          <w:szCs w:val="32"/>
          <w:highlight w:val="none"/>
          <w:lang w:val="en-US" w:eastAsia="zh-CN"/>
        </w:rPr>
        <w:t>的产品。对产品分类不明确或作用机理超出本指导原则范围的，应申请产品的属性界定或分类界定，本指导原则不再赘述。</w:t>
      </w:r>
    </w:p>
    <w:p w14:paraId="5ECF548B">
      <w:pPr>
        <w:keepNext w:val="0"/>
        <w:keepLines w:val="0"/>
        <w:pageBreakBefore w:val="0"/>
        <w:kinsoku/>
        <w:wordWrap/>
        <w:overflowPunct/>
        <w:topLinePunct w:val="0"/>
        <w:autoSpaceDE/>
        <w:autoSpaceDN/>
        <w:bidi w:val="0"/>
        <w:snapToGrid w:val="0"/>
        <w:spacing w:line="520" w:lineRule="exact"/>
        <w:ind w:firstLine="640" w:firstLineChars="200"/>
        <w:jc w:val="both"/>
        <w:textAlignment w:val="auto"/>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二、注册审查要点</w:t>
      </w:r>
    </w:p>
    <w:p w14:paraId="61F2687D">
      <w:pPr>
        <w:spacing w:line="520" w:lineRule="exact"/>
        <w:ind w:firstLine="640" w:firstLineChars="200"/>
        <w:rPr>
          <w:rFonts w:ascii="Times New Roman" w:hAnsi="Times New Roman" w:eastAsia="楷体_GB2312" w:cs="Times New Roman"/>
          <w:color w:val="000000"/>
          <w:sz w:val="32"/>
          <w:szCs w:val="32"/>
        </w:rPr>
      </w:pPr>
      <w:r>
        <w:rPr>
          <w:rFonts w:ascii="Times New Roman" w:hAnsi="Times New Roman" w:eastAsia="楷体_GB2312" w:cs="Times New Roman"/>
          <w:color w:val="000000"/>
          <w:sz w:val="32"/>
          <w:szCs w:val="32"/>
        </w:rPr>
        <w:t>（一）监管信息</w:t>
      </w:r>
    </w:p>
    <w:p w14:paraId="3FC2053D">
      <w:pPr>
        <w:adjustRightInd w:val="0"/>
        <w:snapToGrid w:val="0"/>
        <w:spacing w:line="520" w:lineRule="atLeas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注册申请人应提供</w:t>
      </w:r>
      <w:r>
        <w:rPr>
          <w:rFonts w:ascii="Times New Roman" w:hAnsi="Times New Roman" w:eastAsia="仿宋_GB2312" w:cs="Times New Roman"/>
          <w:sz w:val="32"/>
          <w:szCs w:val="32"/>
        </w:rPr>
        <w:t>申请表、术语和缩写词列表（如适用）、产品列表、既往沟通记录</w:t>
      </w:r>
      <w:r>
        <w:rPr>
          <w:rFonts w:hint="eastAsia" w:ascii="Times New Roman" w:hAnsi="Times New Roman" w:eastAsia="仿宋_GB2312" w:cs="Times New Roman"/>
          <w:sz w:val="32"/>
          <w:szCs w:val="32"/>
        </w:rPr>
        <w:t>（如不适用，应当明确声明申报产品没有既往申报和/或申报前沟通）</w:t>
      </w:r>
      <w:r>
        <w:rPr>
          <w:rFonts w:ascii="Times New Roman" w:hAnsi="Times New Roman" w:eastAsia="仿宋_GB2312" w:cs="Times New Roman"/>
          <w:sz w:val="32"/>
          <w:szCs w:val="32"/>
        </w:rPr>
        <w:t>、主文档授权信（如适用）以及符合性声明等</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需符合《医疗器械注册申报资料要求及说明》的要求。</w:t>
      </w:r>
    </w:p>
    <w:p w14:paraId="357CD326">
      <w:pPr>
        <w:pStyle w:val="5"/>
        <w:keepNext/>
        <w:keepLines/>
        <w:spacing w:before="0" w:beforeAutospacing="0" w:after="0" w:afterAutospacing="0" w:line="520" w:lineRule="exact"/>
        <w:ind w:firstLine="640" w:firstLineChars="200"/>
        <w:jc w:val="both"/>
        <w:rPr>
          <w:rFonts w:hint="default" w:ascii="Times New Roman" w:hAnsi="Times New Roman" w:eastAsia="仿宋_GB2312" w:cs="仿宋_GB2312"/>
          <w:b w:val="0"/>
          <w:bCs w:val="0"/>
          <w:kern w:val="2"/>
          <w:sz w:val="32"/>
          <w:szCs w:val="32"/>
          <w:lang w:bidi="ar-SA"/>
        </w:rPr>
      </w:pPr>
      <w:r>
        <w:rPr>
          <w:rFonts w:hint="default" w:ascii="Times New Roman" w:hAnsi="Times New Roman" w:eastAsia="仿宋_GB2312" w:cs="仿宋_GB2312"/>
          <w:b w:val="0"/>
          <w:bCs w:val="0"/>
          <w:kern w:val="2"/>
          <w:sz w:val="32"/>
          <w:szCs w:val="32"/>
          <w:lang w:bidi="ar-SA"/>
        </w:rPr>
        <w:t>1.申请表</w:t>
      </w:r>
    </w:p>
    <w:p w14:paraId="6B127B61">
      <w:pPr>
        <w:pStyle w:val="5"/>
        <w:keepNext/>
        <w:keepLines/>
        <w:spacing w:before="0" w:beforeAutospacing="0" w:after="0" w:afterAutospacing="0" w:line="520" w:lineRule="exact"/>
        <w:ind w:firstLine="640" w:firstLineChars="200"/>
        <w:jc w:val="both"/>
        <w:rPr>
          <w:rFonts w:hint="eastAsia" w:ascii="Times New Roman" w:hAnsi="Times New Roman" w:eastAsia="仿宋_GB2312" w:cs="仿宋_GB2312"/>
          <w:b w:val="0"/>
          <w:bCs w:val="0"/>
          <w:kern w:val="2"/>
          <w:sz w:val="32"/>
          <w:szCs w:val="32"/>
          <w:lang w:eastAsia="zh-CN" w:bidi="ar-SA"/>
        </w:rPr>
      </w:pPr>
      <w:r>
        <w:rPr>
          <w:rFonts w:hint="eastAsia" w:ascii="Times New Roman" w:hAnsi="Times New Roman" w:eastAsia="仿宋_GB2312" w:cs="仿宋_GB2312"/>
          <w:b w:val="0"/>
          <w:bCs w:val="0"/>
          <w:kern w:val="2"/>
          <w:sz w:val="32"/>
          <w:szCs w:val="32"/>
          <w:lang w:bidi="ar-SA"/>
        </w:rPr>
        <w:t>1.1产品名称</w:t>
      </w:r>
    </w:p>
    <w:p w14:paraId="5A7C4AC5">
      <w:pPr>
        <w:spacing w:line="520" w:lineRule="exact"/>
        <w:ind w:firstLine="640" w:firstLineChars="200"/>
        <w:rPr>
          <w:rFonts w:hint="default" w:ascii="Times New Roman" w:hAnsi="Times New Roman" w:eastAsia="仿宋_GB2312" w:cs="仿宋_GB2312"/>
          <w:bCs/>
          <w:sz w:val="32"/>
          <w:szCs w:val="32"/>
          <w:lang w:val="en-US" w:eastAsia="zh-CN"/>
        </w:rPr>
      </w:pPr>
      <w:r>
        <w:rPr>
          <w:rFonts w:hint="eastAsia" w:ascii="Times New Roman" w:hAnsi="Times New Roman" w:eastAsia="仿宋_GB2312" w:cs="仿宋_GB2312"/>
          <w:bCs/>
          <w:sz w:val="32"/>
          <w:szCs w:val="32"/>
        </w:rPr>
        <w:t>产品名称需采用《医疗器械分类目录》或国家标准、行业标准中的通用名称，或以产品结构和预期目的为依据命名，应符合《医疗器械通用名称命名规则》</w:t>
      </w:r>
      <w:r>
        <w:rPr>
          <w:rFonts w:ascii="Times New Roman" w:hAnsi="Times New Roman" w:eastAsia="仿宋_GB2312" w:cs="Times New Roman"/>
          <w:sz w:val="32"/>
          <w:szCs w:val="32"/>
        </w:rPr>
        <w:t>《注输、护理和防护器械通用名称命名指导原则》</w:t>
      </w:r>
      <w:r>
        <w:rPr>
          <w:rFonts w:hint="eastAsia" w:ascii="Times New Roman" w:hAnsi="Times New Roman" w:eastAsia="仿宋_GB2312" w:cs="仿宋_GB2312"/>
          <w:bCs/>
          <w:sz w:val="32"/>
          <w:szCs w:val="32"/>
        </w:rPr>
        <w:t>等相关法规、规范性文件的要求。</w:t>
      </w:r>
      <w:r>
        <w:rPr>
          <w:rFonts w:hint="eastAsia" w:ascii="Times New Roman" w:hAnsi="Times New Roman" w:eastAsia="仿宋_GB2312" w:cs="仿宋_GB2312"/>
          <w:bCs/>
          <w:sz w:val="32"/>
          <w:szCs w:val="32"/>
          <w:lang w:val="en-US" w:eastAsia="zh-CN"/>
        </w:rPr>
        <w:t>例如：鼻腔润滑剂等。</w:t>
      </w:r>
    </w:p>
    <w:p w14:paraId="306BA0E3">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1.2分类编码</w:t>
      </w:r>
    </w:p>
    <w:p w14:paraId="041BC907">
      <w:pPr>
        <w:spacing w:line="520" w:lineRule="exact"/>
        <w:ind w:firstLine="640" w:firstLineChars="200"/>
        <w:rPr>
          <w:rFonts w:eastAsia="仿宋_GB2312"/>
          <w:color w:val="000000"/>
          <w:szCs w:val="32"/>
          <w:highlight w:val="none"/>
        </w:rPr>
      </w:pPr>
      <w:r>
        <w:rPr>
          <w:rFonts w:ascii="Times New Roman" w:hAnsi="Times New Roman" w:eastAsia="仿宋_GB2312" w:cs="Times New Roman"/>
          <w:sz w:val="32"/>
          <w:szCs w:val="32"/>
        </w:rPr>
        <w:t>依据《</w:t>
      </w:r>
      <w:r>
        <w:rPr>
          <w:rFonts w:hint="eastAsia" w:ascii="Times New Roman" w:hAnsi="Times New Roman" w:eastAsia="仿宋_GB2312" w:cs="Times New Roman"/>
          <w:sz w:val="32"/>
          <w:szCs w:val="32"/>
          <w:lang w:val="en-US" w:eastAsia="zh-CN"/>
        </w:rPr>
        <w:t>医疗器械分类目录》，鼻腔润滑剂的分类编码为14注输、护理和防护器械-16其它器械-05通气辅助器械。管理类别为</w:t>
      </w:r>
      <w:r>
        <w:rPr>
          <w:rFonts w:hint="eastAsia" w:ascii="宋体" w:hAnsi="宋体" w:eastAsia="宋体" w:cs="宋体"/>
          <w:sz w:val="32"/>
          <w:szCs w:val="32"/>
          <w:lang w:val="en-US" w:eastAsia="zh-CN"/>
        </w:rPr>
        <w:t>Ⅱ</w:t>
      </w:r>
      <w:r>
        <w:rPr>
          <w:rFonts w:hint="eastAsia" w:ascii="Times New Roman" w:hAnsi="Times New Roman" w:eastAsia="仿宋_GB2312" w:cs="Times New Roman"/>
          <w:sz w:val="32"/>
          <w:szCs w:val="32"/>
          <w:lang w:val="en-US" w:eastAsia="zh-CN"/>
        </w:rPr>
        <w:t>类。</w:t>
      </w:r>
    </w:p>
    <w:p w14:paraId="065D5613">
      <w:pPr>
        <w:spacing w:line="520" w:lineRule="exact"/>
        <w:ind w:firstLine="640" w:firstLineChars="200"/>
        <w:rPr>
          <w:rFonts w:hint="eastAsia" w:ascii="Times New Roman" w:hAnsi="Times New Roman" w:eastAsia="仿宋_GB2312" w:cs="仿宋_GB2312"/>
          <w:bCs/>
          <w:snapToGrid w:val="0"/>
          <w:kern w:val="0"/>
          <w:sz w:val="32"/>
          <w:szCs w:val="32"/>
          <w:highlight w:val="none"/>
        </w:rPr>
      </w:pPr>
      <w:r>
        <w:rPr>
          <w:rFonts w:hint="eastAsia" w:ascii="Times New Roman" w:hAnsi="Times New Roman" w:eastAsia="仿宋_GB2312" w:cs="仿宋_GB2312"/>
          <w:bCs/>
          <w:snapToGrid w:val="0"/>
          <w:kern w:val="0"/>
          <w:sz w:val="32"/>
          <w:szCs w:val="32"/>
          <w:highlight w:val="none"/>
        </w:rPr>
        <w:t>1.3注册单元划分的原则和实例</w:t>
      </w:r>
    </w:p>
    <w:p w14:paraId="74182548">
      <w:pPr>
        <w:spacing w:line="520" w:lineRule="exact"/>
        <w:ind w:firstLine="640" w:firstLineChars="200"/>
        <w:rPr>
          <w:rFonts w:hint="eastAsia" w:ascii="Times New Roman" w:hAnsi="Times New Roman" w:eastAsia="仿宋_GB2312" w:cs="Times New Roman"/>
          <w:color w:val="000000"/>
          <w:sz w:val="32"/>
          <w:szCs w:val="32"/>
          <w:lang w:val="en-US" w:eastAsia="zh-CN"/>
        </w:rPr>
      </w:pPr>
      <w:r>
        <w:rPr>
          <w:rFonts w:ascii="Times New Roman" w:hAnsi="Times New Roman" w:eastAsia="仿宋_GB2312" w:cs="Times New Roman"/>
          <w:color w:val="000000"/>
          <w:sz w:val="32"/>
          <w:szCs w:val="32"/>
          <w:highlight w:val="none"/>
        </w:rPr>
        <w:t>产品注册单元的划分需符合《医疗</w:t>
      </w:r>
      <w:r>
        <w:rPr>
          <w:rFonts w:ascii="Times New Roman" w:hAnsi="Times New Roman" w:eastAsia="仿宋_GB2312" w:cs="Times New Roman"/>
          <w:color w:val="000000"/>
          <w:sz w:val="32"/>
          <w:szCs w:val="32"/>
        </w:rPr>
        <w:t>器械注册单元划分指导原则》的要求。医疗器械产品的注册单元原则上以技术原理、结构组成、性能指标和适用范围为划分依据。</w:t>
      </w:r>
      <w:r>
        <w:rPr>
          <w:rFonts w:hint="eastAsia" w:ascii="Times New Roman" w:hAnsi="Times New Roman" w:eastAsia="仿宋_GB2312" w:cs="Times New Roman"/>
          <w:color w:val="000000"/>
          <w:sz w:val="32"/>
          <w:szCs w:val="32"/>
          <w:lang w:val="en-US" w:eastAsia="zh-CN"/>
        </w:rPr>
        <w:t>例如：</w:t>
      </w:r>
    </w:p>
    <w:p w14:paraId="2DEBFE59">
      <w:pPr>
        <w:spacing w:line="520" w:lineRule="exact"/>
        <w:ind w:firstLine="64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1.3.1</w:t>
      </w:r>
      <w:r>
        <w:rPr>
          <w:rFonts w:hint="eastAsia" w:ascii="Times New Roman" w:hAnsi="Times New Roman" w:eastAsia="仿宋_GB2312" w:cs="Times New Roman"/>
          <w:color w:val="000000"/>
          <w:sz w:val="32"/>
          <w:szCs w:val="32"/>
          <w:highlight w:val="none"/>
        </w:rPr>
        <w:t>主要组成成分相同但配比不同，性能指标存在差异而影响产品安全有效性时，建议划分为不同的注册单元。</w:t>
      </w:r>
    </w:p>
    <w:p w14:paraId="6A65362A">
      <w:pPr>
        <w:spacing w:line="520" w:lineRule="exact"/>
        <w:ind w:firstLine="64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1.3.2</w:t>
      </w:r>
      <w:r>
        <w:rPr>
          <w:rFonts w:hint="eastAsia" w:ascii="Times New Roman" w:hAnsi="Times New Roman" w:eastAsia="仿宋_GB2312" w:cs="Times New Roman"/>
          <w:color w:val="000000"/>
          <w:sz w:val="32"/>
          <w:szCs w:val="32"/>
          <w:highlight w:val="none"/>
        </w:rPr>
        <w:t>主要组成成分和配比相同，包装材质不同（包装对产品性能无影响）时，如</w:t>
      </w:r>
      <w:r>
        <w:rPr>
          <w:rFonts w:hint="eastAsia" w:ascii="Times New Roman" w:hAnsi="Times New Roman" w:eastAsia="仿宋_GB2312" w:cs="Times New Roman"/>
          <w:color w:val="000000"/>
          <w:sz w:val="32"/>
          <w:szCs w:val="32"/>
          <w:highlight w:val="none"/>
          <w:lang w:val="en-US" w:eastAsia="zh-CN"/>
        </w:rPr>
        <w:t>铝瓶</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聚酯瓶和</w:t>
      </w:r>
      <w:r>
        <w:rPr>
          <w:rFonts w:hint="eastAsia" w:ascii="Times New Roman" w:hAnsi="Times New Roman" w:eastAsia="仿宋_GB2312" w:cs="Times New Roman"/>
          <w:color w:val="000000"/>
          <w:sz w:val="32"/>
          <w:szCs w:val="32"/>
          <w:highlight w:val="none"/>
        </w:rPr>
        <w:t>塑料瓶喷瓶，建议划分为同一个注册单元。</w:t>
      </w:r>
    </w:p>
    <w:p w14:paraId="7599CB88">
      <w:pPr>
        <w:spacing w:line="520" w:lineRule="exact"/>
        <w:ind w:firstLine="64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1.3.3</w:t>
      </w:r>
      <w:r>
        <w:rPr>
          <w:rFonts w:hint="eastAsia" w:ascii="Times New Roman" w:hAnsi="Times New Roman" w:eastAsia="仿宋_GB2312" w:cs="Times New Roman"/>
          <w:color w:val="000000"/>
          <w:sz w:val="32"/>
          <w:szCs w:val="32"/>
          <w:highlight w:val="none"/>
          <w:lang w:val="en-US" w:eastAsia="zh-CN"/>
        </w:rPr>
        <w:t>鼻腔润滑剂</w:t>
      </w:r>
      <w:r>
        <w:rPr>
          <w:rFonts w:hint="eastAsia" w:ascii="Times New Roman" w:hAnsi="Times New Roman" w:eastAsia="仿宋_GB2312" w:cs="Times New Roman"/>
          <w:color w:val="000000"/>
          <w:sz w:val="32"/>
          <w:szCs w:val="32"/>
          <w:highlight w:val="none"/>
        </w:rPr>
        <w:t>是否无菌提供影响产品的预期用途，应划分为不同注册单元。</w:t>
      </w:r>
    </w:p>
    <w:p w14:paraId="4F7E7203">
      <w:pPr>
        <w:spacing w:line="520" w:lineRule="exact"/>
        <w:ind w:firstLine="64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1.3.4</w:t>
      </w:r>
      <w:r>
        <w:rPr>
          <w:rFonts w:hint="eastAsia" w:ascii="Times New Roman" w:hAnsi="Times New Roman" w:eastAsia="仿宋_GB2312" w:cs="Times New Roman"/>
          <w:color w:val="000000"/>
          <w:sz w:val="32"/>
          <w:szCs w:val="32"/>
          <w:highlight w:val="none"/>
          <w:lang w:val="en-US" w:eastAsia="zh-CN"/>
        </w:rPr>
        <w:t>鼻腔润滑剂</w:t>
      </w:r>
      <w:r>
        <w:rPr>
          <w:rFonts w:hint="eastAsia" w:ascii="Times New Roman" w:hAnsi="Times New Roman" w:eastAsia="仿宋_GB2312" w:cs="Times New Roman"/>
          <w:color w:val="000000"/>
          <w:sz w:val="32"/>
          <w:szCs w:val="32"/>
          <w:highlight w:val="none"/>
        </w:rPr>
        <w:t>使用不同灭菌方式对产品的安全有效性的影响不同，应划分为不同的注册单元。</w:t>
      </w:r>
    </w:p>
    <w:p w14:paraId="4A409C13">
      <w:pPr>
        <w:spacing w:line="520" w:lineRule="exact"/>
        <w:ind w:firstLine="640" w:firstLineChars="200"/>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rPr>
        <w:t>1.4型号规格</w:t>
      </w:r>
    </w:p>
    <w:p w14:paraId="176EC509">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需提供产品各型号规格的划分原则。对于存在多种型号、规格的产品，需明确各型号、规格的区别。需采用对比表及带有说明性文字的图片、图表，对各种型号、规格的结构组成、功能、产品特征、性能指标等方面加以描述。</w:t>
      </w:r>
    </w:p>
    <w:p w14:paraId="52956032">
      <w:pPr>
        <w:spacing w:line="52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5结构组成</w:t>
      </w:r>
    </w:p>
    <w:p w14:paraId="31318543">
      <w:pPr>
        <w:spacing w:line="5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结构组成中组分名称应规范。</w:t>
      </w:r>
      <w:r>
        <w:rPr>
          <w:rFonts w:hint="eastAsia" w:ascii="Times New Roman" w:hAnsi="Times New Roman" w:eastAsia="仿宋_GB2312" w:cs="Times New Roman"/>
          <w:color w:val="000000"/>
          <w:sz w:val="32"/>
          <w:szCs w:val="32"/>
          <w:highlight w:val="none"/>
          <w:lang w:val="en-US" w:eastAsia="zh-CN"/>
        </w:rPr>
        <w:t>鼻腔润滑剂</w:t>
      </w:r>
      <w:r>
        <w:rPr>
          <w:rFonts w:hint="eastAsia" w:ascii="Times New Roman" w:hAnsi="Times New Roman" w:eastAsia="仿宋_GB2312" w:cs="Times New Roman"/>
          <w:sz w:val="32"/>
          <w:szCs w:val="32"/>
          <w:highlight w:val="none"/>
          <w:lang w:val="en-US" w:eastAsia="zh-CN"/>
        </w:rPr>
        <w:t>由</w:t>
      </w:r>
      <w:r>
        <w:rPr>
          <w:rFonts w:hint="eastAsia" w:ascii="Times New Roman" w:hAnsi="Times New Roman" w:eastAsia="仿宋_GB2312" w:cs="Times New Roman"/>
          <w:color w:val="000000"/>
          <w:sz w:val="32"/>
          <w:szCs w:val="32"/>
          <w:highlight w:val="none"/>
          <w:lang w:val="en-US" w:eastAsia="zh-CN"/>
        </w:rPr>
        <w:t>润滑剂</w:t>
      </w:r>
      <w:r>
        <w:rPr>
          <w:rFonts w:hint="eastAsia" w:ascii="Times New Roman" w:hAnsi="Times New Roman" w:eastAsia="仿宋_GB2312" w:cs="Times New Roman"/>
          <w:sz w:val="32"/>
          <w:szCs w:val="32"/>
          <w:highlight w:val="none"/>
          <w:lang w:val="en-US" w:eastAsia="zh-CN"/>
        </w:rPr>
        <w:t>和器具组成，其中</w:t>
      </w:r>
      <w:r>
        <w:rPr>
          <w:rFonts w:hint="eastAsia" w:ascii="Times New Roman" w:hAnsi="Times New Roman" w:eastAsia="仿宋_GB2312" w:cs="Times New Roman"/>
          <w:color w:val="000000"/>
          <w:sz w:val="32"/>
          <w:szCs w:val="32"/>
          <w:highlight w:val="none"/>
          <w:lang w:val="en-US" w:eastAsia="zh-CN"/>
        </w:rPr>
        <w:t>润滑剂</w:t>
      </w:r>
      <w:r>
        <w:rPr>
          <w:rFonts w:hint="eastAsia" w:ascii="Times New Roman" w:hAnsi="Times New Roman" w:eastAsia="仿宋_GB2312" w:cs="Times New Roman"/>
          <w:sz w:val="32"/>
          <w:szCs w:val="32"/>
          <w:highlight w:val="none"/>
          <w:lang w:val="en-US" w:eastAsia="zh-CN"/>
        </w:rPr>
        <w:t>通常由聚</w:t>
      </w:r>
      <w:r>
        <w:rPr>
          <w:rFonts w:hint="eastAsia" w:ascii="Times New Roman" w:hAnsi="Times New Roman" w:eastAsia="仿宋_GB2312" w:cs="Times New Roman"/>
          <w:sz w:val="32"/>
          <w:szCs w:val="32"/>
          <w:lang w:val="en-US" w:eastAsia="zh-CN"/>
        </w:rPr>
        <w:t>山梨醇酯80、甘油、氯化钠、依地酸钠、山梨酸钾和纯净水组成。</w:t>
      </w:r>
      <w:r>
        <w:rPr>
          <w:rFonts w:hint="eastAsia" w:ascii="Times New Roman" w:hAnsi="Times New Roman" w:eastAsia="仿宋_GB2312" w:cs="Times New Roman"/>
          <w:color w:val="auto"/>
          <w:sz w:val="32"/>
          <w:szCs w:val="32"/>
        </w:rPr>
        <w:t>产品所含成分可能涉及很多种类，但所含成分不应具有药理学作用。</w:t>
      </w:r>
    </w:p>
    <w:p w14:paraId="34B86143">
      <w:pPr>
        <w:spacing w:line="520" w:lineRule="exact"/>
        <w:ind w:firstLine="640" w:firstLineChars="200"/>
        <w:rPr>
          <w:rFonts w:hint="eastAsia" w:ascii="Times New Roman" w:hAnsi="Times New Roman" w:eastAsia="仿宋_GB2312" w:cs="仿宋_GB2312"/>
          <w:bCs/>
          <w:color w:val="000000"/>
          <w:sz w:val="32"/>
          <w:szCs w:val="32"/>
        </w:rPr>
      </w:pPr>
      <w:r>
        <w:rPr>
          <w:rFonts w:hint="eastAsia" w:ascii="Times New Roman" w:hAnsi="Times New Roman" w:eastAsia="仿宋_GB2312" w:cs="仿宋_GB2312"/>
          <w:bCs/>
          <w:color w:val="000000"/>
          <w:sz w:val="32"/>
          <w:szCs w:val="32"/>
        </w:rPr>
        <w:t>2.产品列表</w:t>
      </w:r>
    </w:p>
    <w:p w14:paraId="6A65C367">
      <w:pPr>
        <w:pStyle w:val="2"/>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应明确列出拟申报产品的型号、规格、结构及组成、附件，以及每个规格型号的标识和描述说明。</w:t>
      </w:r>
    </w:p>
    <w:p w14:paraId="7A0543F4">
      <w:pPr>
        <w:tabs>
          <w:tab w:val="left" w:pos="6720"/>
        </w:tabs>
        <w:spacing w:line="520" w:lineRule="exact"/>
        <w:ind w:firstLine="640" w:firstLineChars="200"/>
        <w:outlineLvl w:val="0"/>
        <w:rPr>
          <w:rFonts w:hint="eastAsia" w:ascii="楷体" w:hAnsi="楷体" w:eastAsia="楷体" w:cs="仿宋_GB2312"/>
          <w:bCs/>
          <w:sz w:val="32"/>
          <w:szCs w:val="32"/>
        </w:rPr>
      </w:pPr>
      <w:r>
        <w:rPr>
          <w:rFonts w:hint="eastAsia" w:ascii="楷体" w:hAnsi="楷体" w:eastAsia="楷体" w:cs="仿宋_GB2312"/>
          <w:bCs/>
          <w:sz w:val="32"/>
          <w:szCs w:val="32"/>
        </w:rPr>
        <w:t>（二）综述资料</w:t>
      </w:r>
    </w:p>
    <w:p w14:paraId="206328E2">
      <w:pPr>
        <w:spacing w:line="520" w:lineRule="exact"/>
        <w:ind w:firstLine="640" w:firstLineChars="200"/>
        <w:rPr>
          <w:rFonts w:ascii="Times New Roman" w:hAnsi="Times New Roman" w:eastAsia="仿宋_GB2312" w:cs="Times New Roman"/>
          <w:sz w:val="32"/>
          <w:szCs w:val="32"/>
        </w:rPr>
      </w:pPr>
      <w:bookmarkStart w:id="0" w:name="_Toc431215378"/>
      <w:r>
        <w:rPr>
          <w:rFonts w:ascii="Times New Roman" w:hAnsi="Times New Roman" w:eastAsia="仿宋_GB2312" w:cs="Times New Roman"/>
          <w:sz w:val="32"/>
          <w:szCs w:val="32"/>
        </w:rPr>
        <w:t>综述资料应详细论述产品的设计开发、生产控制、货架寿命，以及相关验证内容，所提交的资料应完整、标题明确、目录清晰并具有系统性，至少应包括以下内容：</w:t>
      </w:r>
    </w:p>
    <w:p w14:paraId="1C55E2B1">
      <w:pPr>
        <w:adjustRightInd w:val="0"/>
        <w:snapToGrid w:val="0"/>
        <w:spacing w:line="52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1.概述</w:t>
      </w:r>
      <w:bookmarkEnd w:id="0"/>
    </w:p>
    <w:p w14:paraId="606E436A">
      <w:pPr>
        <w:widowControl/>
        <w:spacing w:line="52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描述申报产品通用名称及其确定依据</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明确产品的管理类别，包括：所属分类子目录名称、一级产品类别、二级产品类别，管理类别，分类编码；明确产品的适用范围；明确产品的背景信息概述或特别细节，如：申报产品的历史概述、历次提交的信息，与其他经批准上市产品的关系等。如不适用，需说明。</w:t>
      </w:r>
    </w:p>
    <w:p w14:paraId="4A58211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1"/>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lang w:val="en-US" w:eastAsia="zh-CN"/>
        </w:rPr>
        <w:t>2.</w:t>
      </w:r>
      <w:r>
        <w:rPr>
          <w:rFonts w:hint="eastAsia" w:ascii="Times New Roman" w:hAnsi="Times New Roman" w:eastAsia="仿宋_GB2312" w:cs="仿宋_GB2312"/>
          <w:bCs/>
          <w:sz w:val="32"/>
          <w:szCs w:val="32"/>
        </w:rPr>
        <w:t>产品描述</w:t>
      </w:r>
    </w:p>
    <w:p w14:paraId="5E2545AF">
      <w:pPr>
        <w:spacing w:line="52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2.1</w:t>
      </w:r>
      <w:r>
        <w:rPr>
          <w:rFonts w:hint="eastAsia" w:ascii="Times New Roman" w:hAnsi="Times New Roman" w:eastAsia="仿宋_GB2312" w:cs="Times New Roman"/>
          <w:color w:val="000000"/>
          <w:sz w:val="32"/>
          <w:szCs w:val="32"/>
          <w:highlight w:val="none"/>
          <w:lang w:val="en-US" w:eastAsia="zh-CN"/>
        </w:rPr>
        <w:t>产品工作原理</w:t>
      </w:r>
    </w:p>
    <w:p w14:paraId="0CFDAD76">
      <w:pPr>
        <w:spacing w:line="52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鼻腔润滑剂主要作用于鼻腔或咽喉部与上颚等黏膜，其中的表面活性成分可降低上气道黏膜的表面张力，保湿成分保持黏膜湿润，避免干燥所致的黏滞性增加，降低上呼吸道的气流阻力，减轻因黏膜干燥、黏滞所导致的呼吸受阻状况。</w:t>
      </w:r>
    </w:p>
    <w:p w14:paraId="34ED88C4">
      <w:pPr>
        <w:spacing w:line="52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2.2</w:t>
      </w:r>
      <w:r>
        <w:rPr>
          <w:rFonts w:ascii="Times New Roman" w:hAnsi="Times New Roman" w:eastAsia="仿宋_GB2312" w:cs="Times New Roman"/>
          <w:color w:val="000000"/>
          <w:sz w:val="32"/>
          <w:szCs w:val="32"/>
        </w:rPr>
        <w:t>型号规格</w:t>
      </w:r>
    </w:p>
    <w:p w14:paraId="26AAF9D8">
      <w:pPr>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需提供产品各型号规格的划分原则。对于存在多种型号规格的产品，需明确各型号规格的区别。推荐采用对比表及带有说明性文字的图片、图表，如提供各组件组配关系示意图等，对各种型号规格的结构组成、产品特征、技术参数、功能等方面加以描述。在同一注册单元内，建议具有不同外形结构的产品划分为不同型号；具有相同外形结构、不同尺寸的产品划分为不同规格。对于申报产品存在多种型号的情形，以结构示意图和文字说明相结合的形式描述不同型号产品的外形结构特征，定义并标示关键尺寸。</w:t>
      </w:r>
    </w:p>
    <w:p w14:paraId="55E30EDB">
      <w:pPr>
        <w:spacing w:line="52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2.3</w:t>
      </w:r>
      <w:r>
        <w:rPr>
          <w:rFonts w:ascii="Times New Roman" w:hAnsi="Times New Roman" w:eastAsia="仿宋_GB2312" w:cs="Times New Roman"/>
          <w:color w:val="000000"/>
          <w:sz w:val="32"/>
          <w:szCs w:val="32"/>
        </w:rPr>
        <w:t>包装说明</w:t>
      </w:r>
    </w:p>
    <w:p w14:paraId="33D9FE28">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提供产品的包装信息，包括包装形式、包装材料、包装工艺。对于具有微生物限度要求的医疗器械，应当说明保持其微生物限度的包装信息。说明如何确保最终使用者可清晰地辨识包装的完整性。</w:t>
      </w:r>
    </w:p>
    <w:p w14:paraId="0D5A04FE">
      <w:pPr>
        <w:spacing w:line="52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常见</w:t>
      </w:r>
      <w:r>
        <w:rPr>
          <w:rFonts w:hint="eastAsia" w:ascii="Times New Roman" w:hAnsi="Times New Roman" w:eastAsia="仿宋_GB2312" w:cs="Times New Roman"/>
          <w:color w:val="000000"/>
          <w:sz w:val="32"/>
          <w:szCs w:val="32"/>
          <w:lang w:eastAsia="zh-CN"/>
        </w:rPr>
        <w:t>鼻腔润滑剂</w:t>
      </w:r>
      <w:r>
        <w:rPr>
          <w:rFonts w:hint="eastAsia" w:ascii="Times New Roman" w:hAnsi="Times New Roman" w:eastAsia="仿宋_GB2312" w:cs="Times New Roman"/>
          <w:color w:val="000000"/>
          <w:sz w:val="32"/>
          <w:szCs w:val="32"/>
        </w:rPr>
        <w:t>产品包装示意图（包括但不限于）如下：</w:t>
      </w:r>
    </w:p>
    <w:tbl>
      <w:tblPr>
        <w:tblStyle w:val="8"/>
        <w:tblW w:w="7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5"/>
        <w:gridCol w:w="1974"/>
      </w:tblGrid>
      <w:tr w14:paraId="215F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505" w:type="dxa"/>
            <w:vAlign w:val="center"/>
          </w:tcPr>
          <w:p w14:paraId="2A765277">
            <w:pPr>
              <w:jc w:val="center"/>
              <w:rPr>
                <w:rFonts w:eastAsia="仿宋_GB2312" w:cs="仿宋_GB2312"/>
                <w:color w:val="auto"/>
                <w:kern w:val="0"/>
                <w:sz w:val="28"/>
                <w:szCs w:val="32"/>
              </w:rPr>
            </w:pPr>
            <w:r>
              <w:rPr>
                <w:rFonts w:hint="eastAsia" w:eastAsia="仿宋_GB2312" w:cs="仿宋_GB2312"/>
                <w:color w:val="auto"/>
                <w:kern w:val="0"/>
                <w:sz w:val="28"/>
                <w:szCs w:val="32"/>
              </w:rPr>
              <w:t>产品示意图</w:t>
            </w:r>
          </w:p>
        </w:tc>
        <w:tc>
          <w:tcPr>
            <w:tcW w:w="1974" w:type="dxa"/>
            <w:vAlign w:val="center"/>
          </w:tcPr>
          <w:p w14:paraId="1E9A052A">
            <w:pPr>
              <w:jc w:val="center"/>
              <w:rPr>
                <w:rFonts w:eastAsia="仿宋_GB2312" w:cs="仿宋_GB2312"/>
                <w:color w:val="auto"/>
                <w:kern w:val="0"/>
                <w:sz w:val="28"/>
                <w:szCs w:val="32"/>
              </w:rPr>
            </w:pPr>
            <w:r>
              <w:rPr>
                <w:rFonts w:hint="eastAsia" w:eastAsia="仿宋_GB2312" w:cs="仿宋_GB2312"/>
                <w:color w:val="auto"/>
                <w:kern w:val="0"/>
                <w:sz w:val="28"/>
                <w:szCs w:val="32"/>
              </w:rPr>
              <w:t>包装材质</w:t>
            </w:r>
          </w:p>
        </w:tc>
      </w:tr>
      <w:tr w14:paraId="687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05" w:type="dxa"/>
            <w:vAlign w:val="center"/>
          </w:tcPr>
          <w:p w14:paraId="6F479BB7">
            <w:pPr>
              <w:jc w:val="center"/>
              <w:rPr>
                <w:rFonts w:hint="eastAsia" w:eastAsiaTheme="minorEastAsia"/>
                <w:color w:val="FF0000"/>
                <w:kern w:val="0"/>
                <w:sz w:val="28"/>
                <w:lang w:eastAsia="zh-CN"/>
              </w:rPr>
            </w:pPr>
            <w:r>
              <w:drawing>
                <wp:inline distT="0" distB="0" distL="114300" distR="114300">
                  <wp:extent cx="901065" cy="2016125"/>
                  <wp:effectExtent l="0" t="0" r="635" b="317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5"/>
                          <a:stretch>
                            <a:fillRect/>
                          </a:stretch>
                        </pic:blipFill>
                        <pic:spPr>
                          <a:xfrm>
                            <a:off x="0" y="0"/>
                            <a:ext cx="901065" cy="201612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760730" cy="2016125"/>
                  <wp:effectExtent l="0" t="0" r="1270" b="317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6"/>
                          <a:stretch>
                            <a:fillRect/>
                          </a:stretch>
                        </pic:blipFill>
                        <pic:spPr>
                          <a:xfrm>
                            <a:off x="0" y="0"/>
                            <a:ext cx="760730" cy="2016125"/>
                          </a:xfrm>
                          <a:prstGeom prst="rect">
                            <a:avLst/>
                          </a:prstGeom>
                          <a:noFill/>
                          <a:ln>
                            <a:noFill/>
                          </a:ln>
                        </pic:spPr>
                      </pic:pic>
                    </a:graphicData>
                  </a:graphic>
                </wp:inline>
              </w:drawing>
            </w:r>
          </w:p>
        </w:tc>
        <w:tc>
          <w:tcPr>
            <w:tcW w:w="1974" w:type="dxa"/>
            <w:vAlign w:val="center"/>
          </w:tcPr>
          <w:p w14:paraId="66555A85">
            <w:pPr>
              <w:jc w:val="center"/>
              <w:rPr>
                <w:rFonts w:hint="eastAsia" w:eastAsia="仿宋_GB2312" w:cs="仿宋_GB2312"/>
                <w:color w:val="auto"/>
                <w:kern w:val="0"/>
                <w:sz w:val="28"/>
                <w:szCs w:val="32"/>
                <w:lang w:eastAsia="zh-CN"/>
              </w:rPr>
            </w:pPr>
            <w:r>
              <w:rPr>
                <w:rFonts w:hint="eastAsia" w:eastAsia="仿宋_GB2312" w:cs="仿宋_GB2312"/>
                <w:color w:val="auto"/>
                <w:kern w:val="0"/>
                <w:sz w:val="28"/>
                <w:szCs w:val="32"/>
                <w:lang w:val="en-US" w:eastAsia="zh-CN"/>
              </w:rPr>
              <w:t>铝</w:t>
            </w:r>
          </w:p>
        </w:tc>
      </w:tr>
      <w:tr w14:paraId="0938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05" w:type="dxa"/>
            <w:vAlign w:val="center"/>
          </w:tcPr>
          <w:p w14:paraId="3DF0A64D">
            <w:pPr>
              <w:jc w:val="center"/>
              <w:rPr>
                <w:rFonts w:hint="eastAsia" w:eastAsiaTheme="minorEastAsia"/>
                <w:color w:val="FF0000"/>
                <w:kern w:val="0"/>
                <w:sz w:val="28"/>
                <w:lang w:eastAsia="zh-CN"/>
              </w:rPr>
            </w:pPr>
            <w:r>
              <w:rPr>
                <w:rFonts w:hint="eastAsia"/>
                <w:lang w:val="en-US" w:eastAsia="zh-CN"/>
              </w:rPr>
              <w:t xml:space="preserve">  </w:t>
            </w:r>
            <w:r>
              <w:drawing>
                <wp:inline distT="0" distB="0" distL="114300" distR="114300">
                  <wp:extent cx="928370" cy="2016125"/>
                  <wp:effectExtent l="0" t="0" r="11430" b="317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7"/>
                          <a:stretch>
                            <a:fillRect/>
                          </a:stretch>
                        </pic:blipFill>
                        <pic:spPr>
                          <a:xfrm>
                            <a:off x="0" y="0"/>
                            <a:ext cx="928370" cy="201612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780415" cy="2016125"/>
                  <wp:effectExtent l="0" t="0" r="6985" b="317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8"/>
                          <a:stretch>
                            <a:fillRect/>
                          </a:stretch>
                        </pic:blipFill>
                        <pic:spPr>
                          <a:xfrm>
                            <a:off x="0" y="0"/>
                            <a:ext cx="780415" cy="201612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740410" cy="2016125"/>
                  <wp:effectExtent l="0" t="0" r="8890" b="317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9"/>
                          <a:stretch>
                            <a:fillRect/>
                          </a:stretch>
                        </pic:blipFill>
                        <pic:spPr>
                          <a:xfrm>
                            <a:off x="0" y="0"/>
                            <a:ext cx="740410" cy="2016125"/>
                          </a:xfrm>
                          <a:prstGeom prst="rect">
                            <a:avLst/>
                          </a:prstGeom>
                          <a:noFill/>
                          <a:ln>
                            <a:noFill/>
                          </a:ln>
                        </pic:spPr>
                      </pic:pic>
                    </a:graphicData>
                  </a:graphic>
                </wp:inline>
              </w:drawing>
            </w:r>
          </w:p>
        </w:tc>
        <w:tc>
          <w:tcPr>
            <w:tcW w:w="1974" w:type="dxa"/>
            <w:vAlign w:val="center"/>
          </w:tcPr>
          <w:p w14:paraId="62C424CA">
            <w:pPr>
              <w:jc w:val="center"/>
              <w:rPr>
                <w:rFonts w:hint="eastAsia" w:eastAsia="仿宋_GB2312" w:cs="仿宋_GB2312"/>
                <w:color w:val="auto"/>
                <w:kern w:val="0"/>
                <w:sz w:val="28"/>
                <w:szCs w:val="32"/>
                <w:lang w:val="en-US" w:eastAsia="zh-CN"/>
              </w:rPr>
            </w:pPr>
            <w:r>
              <w:rPr>
                <w:rFonts w:hint="eastAsia" w:eastAsia="仿宋_GB2312" w:cs="仿宋_GB2312"/>
                <w:color w:val="auto"/>
                <w:kern w:val="0"/>
                <w:sz w:val="28"/>
                <w:szCs w:val="32"/>
              </w:rPr>
              <w:t>PE（</w:t>
            </w:r>
            <w:r>
              <w:rPr>
                <w:rFonts w:hint="eastAsia" w:eastAsia="仿宋_GB2312" w:cs="仿宋_GB2312"/>
                <w:color w:val="auto"/>
                <w:kern w:val="0"/>
                <w:sz w:val="28"/>
                <w:szCs w:val="32"/>
                <w:lang w:val="en-US" w:eastAsia="zh-CN"/>
              </w:rPr>
              <w:t>聚乙烯</w:t>
            </w:r>
            <w:r>
              <w:rPr>
                <w:rFonts w:hint="eastAsia" w:eastAsia="仿宋_GB2312" w:cs="仿宋_GB2312"/>
                <w:color w:val="auto"/>
                <w:kern w:val="0"/>
                <w:sz w:val="28"/>
                <w:szCs w:val="32"/>
              </w:rPr>
              <w:t>）</w:t>
            </w:r>
            <w:r>
              <w:rPr>
                <w:rFonts w:hint="eastAsia" w:eastAsia="仿宋_GB2312" w:cs="仿宋_GB2312"/>
                <w:color w:val="auto"/>
                <w:kern w:val="0"/>
                <w:sz w:val="28"/>
                <w:szCs w:val="32"/>
                <w:lang w:val="en-US" w:eastAsia="zh-CN"/>
              </w:rPr>
              <w:t>或PET（聚对苯二甲酸乙二醇酯）</w:t>
            </w:r>
          </w:p>
        </w:tc>
      </w:tr>
    </w:tbl>
    <w:p w14:paraId="501DEB0F">
      <w:pPr>
        <w:pStyle w:val="2"/>
      </w:pPr>
    </w:p>
    <w:p w14:paraId="73261D8C">
      <w:pPr>
        <w:tabs>
          <w:tab w:val="left" w:pos="675"/>
        </w:tabs>
        <w:spacing w:line="52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val="en-US" w:eastAsia="zh-CN"/>
        </w:rPr>
        <w:t>3</w:t>
      </w:r>
      <w:r>
        <w:rPr>
          <w:rFonts w:hint="eastAsia" w:ascii="Times New Roman" w:hAnsi="Times New Roman" w:eastAsia="仿宋_GB2312" w:cs="仿宋_GB2312"/>
          <w:bCs/>
          <w:kern w:val="0"/>
          <w:sz w:val="32"/>
          <w:szCs w:val="32"/>
        </w:rPr>
        <w:t>.适用范围和禁忌证</w:t>
      </w:r>
    </w:p>
    <w:p w14:paraId="0E2926AC">
      <w:pPr>
        <w:tabs>
          <w:tab w:val="left" w:pos="675"/>
        </w:tabs>
        <w:spacing w:line="520" w:lineRule="exact"/>
        <w:ind w:firstLine="640" w:firstLineChars="200"/>
        <w:rPr>
          <w:rFonts w:hint="eastAsia" w:ascii="Times New Roman" w:hAnsi="Times New Roman" w:eastAsia="仿宋_GB2312" w:cs="Times New Roman"/>
          <w:iCs/>
          <w:color w:val="000000"/>
          <w:sz w:val="32"/>
          <w:szCs w:val="20"/>
        </w:rPr>
      </w:pPr>
      <w:r>
        <w:rPr>
          <w:rFonts w:hint="eastAsia" w:ascii="Times New Roman" w:hAnsi="Times New Roman" w:eastAsia="仿宋_GB2312" w:cs="Times New Roman"/>
          <w:iCs/>
          <w:color w:val="000000"/>
          <w:sz w:val="32"/>
          <w:szCs w:val="20"/>
          <w:lang w:val="en-US" w:eastAsia="zh-CN"/>
        </w:rPr>
        <w:t>3</w:t>
      </w:r>
      <w:r>
        <w:rPr>
          <w:rFonts w:hint="eastAsia" w:ascii="Times New Roman" w:hAnsi="Times New Roman" w:eastAsia="仿宋_GB2312" w:cs="Times New Roman"/>
          <w:iCs/>
          <w:color w:val="000000"/>
          <w:sz w:val="32"/>
          <w:szCs w:val="20"/>
        </w:rPr>
        <w:t>.1适用范围</w:t>
      </w:r>
    </w:p>
    <w:p w14:paraId="08CEA54F">
      <w:pPr>
        <w:spacing w:line="520" w:lineRule="exact"/>
        <w:ind w:firstLine="640" w:firstLineChars="200"/>
        <w:rPr>
          <w:rFonts w:hint="eastAsia" w:ascii="Times New Roman" w:hAnsi="Times New Roman" w:eastAsia="仿宋_GB2312" w:cs="仿宋_GB2312"/>
          <w:bCs/>
          <w:color w:val="000000"/>
          <w:sz w:val="32"/>
          <w:szCs w:val="32"/>
          <w:lang w:eastAsia="zh-CN"/>
        </w:rPr>
      </w:pPr>
      <w:r>
        <w:rPr>
          <w:rFonts w:hint="eastAsia" w:ascii="Times New Roman" w:hAnsi="Times New Roman" w:eastAsia="仿宋_GB2312" w:cs="Times New Roman"/>
          <w:iCs/>
          <w:color w:val="000000"/>
          <w:sz w:val="32"/>
          <w:szCs w:val="20"/>
          <w:lang w:val="en-US" w:eastAsia="zh-CN"/>
        </w:rPr>
        <w:t>3</w:t>
      </w:r>
      <w:r>
        <w:rPr>
          <w:rFonts w:hint="eastAsia" w:ascii="Times New Roman" w:hAnsi="Times New Roman" w:eastAsia="仿宋_GB2312" w:cs="Times New Roman"/>
          <w:iCs/>
          <w:color w:val="000000"/>
          <w:sz w:val="32"/>
          <w:szCs w:val="20"/>
        </w:rPr>
        <w:t>.1.1</w:t>
      </w:r>
      <w:r>
        <w:rPr>
          <w:rFonts w:hint="eastAsia" w:ascii="Times New Roman" w:hAnsi="Times New Roman" w:eastAsia="仿宋_GB2312" w:cs="仿宋_GB2312"/>
          <w:bCs/>
          <w:color w:val="000000"/>
          <w:sz w:val="32"/>
          <w:szCs w:val="32"/>
        </w:rPr>
        <w:t>应当描述申报产品的适用范围，明确预期用途。如通过润滑和保持粘膜湿润，降低上呼吸道阻力，以改善呼吸受阻状况</w:t>
      </w:r>
      <w:r>
        <w:rPr>
          <w:rFonts w:hint="eastAsia" w:ascii="Times New Roman" w:hAnsi="Times New Roman" w:eastAsia="仿宋_GB2312" w:cs="仿宋_GB2312"/>
          <w:bCs/>
          <w:color w:val="000000"/>
          <w:sz w:val="32"/>
          <w:szCs w:val="32"/>
          <w:lang w:eastAsia="zh-CN"/>
        </w:rPr>
        <w:t>。</w:t>
      </w:r>
    </w:p>
    <w:p w14:paraId="0EEEFB12">
      <w:pPr>
        <w:overflowPunct w:val="0"/>
        <w:autoSpaceDE w:val="0"/>
        <w:autoSpaceDN w:val="0"/>
        <w:adjustRightInd w:val="0"/>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Times New Roman"/>
          <w:iCs/>
          <w:color w:val="000000"/>
          <w:sz w:val="32"/>
          <w:szCs w:val="20"/>
          <w:lang w:val="en-US" w:eastAsia="zh-CN"/>
        </w:rPr>
        <w:t>3</w:t>
      </w:r>
      <w:r>
        <w:rPr>
          <w:rFonts w:hint="eastAsia" w:ascii="Times New Roman" w:hAnsi="Times New Roman" w:eastAsia="仿宋_GB2312" w:cs="Times New Roman"/>
          <w:iCs/>
          <w:color w:val="000000"/>
          <w:sz w:val="32"/>
          <w:szCs w:val="20"/>
        </w:rPr>
        <w:t>.1.2明</w:t>
      </w:r>
      <w:r>
        <w:rPr>
          <w:rFonts w:hint="eastAsia" w:ascii="Times New Roman" w:hAnsi="Times New Roman" w:eastAsia="仿宋_GB2312" w:cs="仿宋_GB2312"/>
          <w:bCs/>
          <w:color w:val="000000"/>
          <w:sz w:val="32"/>
          <w:szCs w:val="32"/>
        </w:rPr>
        <w:t>确目标用户及</w:t>
      </w:r>
      <w:r>
        <w:rPr>
          <w:rFonts w:hint="eastAsia" w:ascii="Times New Roman" w:hAnsi="Times New Roman" w:eastAsia="仿宋_GB2312" w:cs="仿宋_GB2312"/>
          <w:bCs/>
          <w:snapToGrid w:val="0"/>
          <w:kern w:val="0"/>
          <w:sz w:val="32"/>
          <w:szCs w:val="32"/>
        </w:rPr>
        <w:t>其操作或使用申报产品应当具备的技能/知识/培训。明确申报产品为一次性使用或</w:t>
      </w:r>
      <w:r>
        <w:rPr>
          <w:rFonts w:hint="eastAsia" w:ascii="Times New Roman" w:hAnsi="Times New Roman" w:eastAsia="仿宋_GB2312" w:cs="仿宋_GB2312"/>
          <w:bCs/>
          <w:sz w:val="32"/>
          <w:szCs w:val="32"/>
        </w:rPr>
        <w:t>开封后多次使用</w:t>
      </w:r>
      <w:r>
        <w:rPr>
          <w:rFonts w:hint="eastAsia" w:ascii="Times New Roman" w:hAnsi="Times New Roman" w:eastAsia="仿宋_GB2312" w:cs="仿宋_GB2312"/>
          <w:bCs/>
          <w:snapToGrid w:val="0"/>
          <w:kern w:val="0"/>
          <w:sz w:val="32"/>
          <w:szCs w:val="32"/>
        </w:rPr>
        <w:t>。</w:t>
      </w:r>
    </w:p>
    <w:p w14:paraId="572AA487">
      <w:pPr>
        <w:widowControl w:val="0"/>
        <w:spacing w:line="520" w:lineRule="exact"/>
        <w:ind w:firstLine="640" w:firstLineChars="200"/>
        <w:jc w:val="both"/>
        <w:rPr>
          <w:rFonts w:hint="eastAsia" w:ascii="Times New Roman" w:hAnsi="Times New Roman" w:eastAsia="仿宋_GB2312" w:cs="仿宋_GB2312"/>
          <w:bCs/>
          <w:snapToGrid w:val="0"/>
          <w:kern w:val="0"/>
          <w:sz w:val="32"/>
          <w:szCs w:val="32"/>
          <w:lang w:val="en-US" w:eastAsia="zh-CN" w:bidi="ar-SA"/>
        </w:rPr>
      </w:pPr>
      <w:r>
        <w:rPr>
          <w:rFonts w:hint="eastAsia" w:ascii="Times New Roman" w:hAnsi="Times New Roman" w:eastAsia="仿宋_GB2312" w:cs="仿宋_GB2312"/>
          <w:bCs/>
          <w:snapToGrid w:val="0"/>
          <w:kern w:val="0"/>
          <w:sz w:val="32"/>
          <w:szCs w:val="32"/>
          <w:lang w:val="en-US" w:eastAsia="zh-CN" w:bidi="ar-SA"/>
        </w:rPr>
        <w:t>3.2预期使用环境</w:t>
      </w:r>
    </w:p>
    <w:p w14:paraId="54029C30">
      <w:pPr>
        <w:widowControl w:val="0"/>
        <w:overflowPunct w:val="0"/>
        <w:autoSpaceDE w:val="0"/>
        <w:autoSpaceDN w:val="0"/>
        <w:spacing w:line="520" w:lineRule="exact"/>
        <w:ind w:firstLine="640" w:firstLineChars="200"/>
        <w:jc w:val="both"/>
        <w:rPr>
          <w:rFonts w:hint="eastAsia" w:ascii="Times New Roman" w:hAnsi="Times New Roman" w:eastAsia="仿宋_GB2312" w:cs="仿宋_GB2312"/>
          <w:bCs/>
          <w:snapToGrid w:val="0"/>
          <w:kern w:val="0"/>
          <w:sz w:val="32"/>
          <w:szCs w:val="32"/>
          <w:lang w:val="en-US" w:eastAsia="zh-CN" w:bidi="ar-SA"/>
        </w:rPr>
      </w:pPr>
      <w:r>
        <w:rPr>
          <w:rFonts w:hint="eastAsia" w:ascii="Times New Roman" w:hAnsi="Times New Roman" w:eastAsia="仿宋_GB2312" w:cs="仿宋_GB2312"/>
          <w:bCs/>
          <w:snapToGrid w:val="0"/>
          <w:kern w:val="0"/>
          <w:sz w:val="32"/>
          <w:szCs w:val="32"/>
          <w:lang w:val="en-US" w:eastAsia="zh-CN" w:bidi="ar-SA"/>
        </w:rPr>
        <w:t>应明确申报产品使用场所要求，如医疗机构、家庭等，明确使用环境要求。</w:t>
      </w:r>
    </w:p>
    <w:p w14:paraId="3C2C05EA">
      <w:pPr>
        <w:widowControl w:val="0"/>
        <w:spacing w:line="520" w:lineRule="exact"/>
        <w:ind w:firstLine="640" w:firstLineChars="200"/>
        <w:jc w:val="both"/>
        <w:rPr>
          <w:rFonts w:hint="eastAsia" w:ascii="Times New Roman" w:hAnsi="Times New Roman" w:eastAsia="仿宋_GB2312" w:cs="仿宋_GB2312"/>
          <w:bCs/>
          <w:snapToGrid w:val="0"/>
          <w:kern w:val="0"/>
          <w:sz w:val="32"/>
          <w:szCs w:val="32"/>
          <w:lang w:val="en-US" w:eastAsia="zh-CN" w:bidi="ar-SA"/>
        </w:rPr>
      </w:pPr>
      <w:r>
        <w:rPr>
          <w:rFonts w:hint="eastAsia" w:ascii="Times New Roman" w:hAnsi="Times New Roman" w:eastAsia="仿宋_GB2312" w:cs="仿宋_GB2312"/>
          <w:bCs/>
          <w:snapToGrid w:val="0"/>
          <w:kern w:val="0"/>
          <w:sz w:val="32"/>
          <w:szCs w:val="32"/>
          <w:lang w:val="en-US" w:eastAsia="zh-CN" w:bidi="ar-SA"/>
        </w:rPr>
        <w:t>3.3适用人群</w:t>
      </w:r>
    </w:p>
    <w:p w14:paraId="4E165C8A">
      <w:pPr>
        <w:widowControl w:val="0"/>
        <w:overflowPunct w:val="0"/>
        <w:autoSpaceDE w:val="0"/>
        <w:autoSpaceDN w:val="0"/>
        <w:adjustRightInd w:val="0"/>
        <w:spacing w:line="520" w:lineRule="exact"/>
        <w:ind w:firstLine="640" w:firstLineChars="200"/>
        <w:jc w:val="both"/>
        <w:rPr>
          <w:rFonts w:hint="eastAsia" w:ascii="Times New Roman" w:hAnsi="Times New Roman" w:eastAsia="仿宋_GB2312" w:cs="仿宋_GB2312"/>
          <w:bCs/>
          <w:snapToGrid w:val="0"/>
          <w:kern w:val="0"/>
          <w:sz w:val="32"/>
          <w:szCs w:val="32"/>
          <w:lang w:val="en-US" w:eastAsia="zh-CN" w:bidi="ar-SA"/>
        </w:rPr>
      </w:pPr>
      <w:r>
        <w:rPr>
          <w:rFonts w:hint="eastAsia" w:ascii="Times New Roman" w:hAnsi="Times New Roman" w:eastAsia="仿宋_GB2312" w:cs="仿宋_GB2312"/>
          <w:bCs/>
          <w:snapToGrid w:val="0"/>
          <w:kern w:val="0"/>
          <w:sz w:val="32"/>
          <w:szCs w:val="32"/>
          <w:lang w:val="en-US" w:eastAsia="zh-CN" w:bidi="ar-SA"/>
        </w:rPr>
        <w:t>应详述申报产品的适用人群。</w:t>
      </w:r>
    </w:p>
    <w:p w14:paraId="59CA01BA">
      <w:pPr>
        <w:overflowPunct w:val="0"/>
        <w:autoSpaceDE w:val="0"/>
        <w:autoSpaceDN w:val="0"/>
        <w:adjustRightInd w:val="0"/>
        <w:spacing w:line="520" w:lineRule="exact"/>
        <w:ind w:firstLine="640" w:firstLineChars="200"/>
        <w:rPr>
          <w:rFonts w:hint="eastAsia" w:ascii="Times New Roman" w:hAnsi="Times New Roman" w:eastAsia="仿宋_GB2312" w:cs="仿宋_GB2312"/>
          <w:bCs/>
          <w:snapToGrid w:val="0"/>
          <w:kern w:val="0"/>
          <w:sz w:val="32"/>
          <w:szCs w:val="32"/>
        </w:rPr>
      </w:pPr>
      <w:r>
        <w:rPr>
          <w:rFonts w:hint="eastAsia" w:ascii="Times New Roman" w:hAnsi="Times New Roman" w:eastAsia="仿宋_GB2312" w:cs="仿宋_GB2312"/>
          <w:bCs/>
          <w:snapToGrid w:val="0"/>
          <w:kern w:val="0"/>
          <w:sz w:val="32"/>
          <w:szCs w:val="32"/>
          <w:lang w:val="en-US" w:eastAsia="zh-CN"/>
        </w:rPr>
        <w:t>3</w:t>
      </w:r>
      <w:r>
        <w:rPr>
          <w:rFonts w:hint="eastAsia" w:ascii="Times New Roman" w:hAnsi="Times New Roman" w:eastAsia="仿宋_GB2312" w:cs="仿宋_GB2312"/>
          <w:bCs/>
          <w:snapToGrid w:val="0"/>
          <w:kern w:val="0"/>
          <w:sz w:val="32"/>
          <w:szCs w:val="32"/>
        </w:rPr>
        <w:t>.4禁忌证</w:t>
      </w:r>
    </w:p>
    <w:p w14:paraId="291E0A94">
      <w:pPr>
        <w:spacing w:line="520" w:lineRule="exact"/>
        <w:ind w:firstLine="640" w:firstLineChars="200"/>
        <w:rPr>
          <w:color w:val="auto"/>
          <w:highlight w:val="none"/>
        </w:rPr>
      </w:pPr>
      <w:r>
        <w:rPr>
          <w:rFonts w:hint="eastAsia" w:ascii="Times New Roman" w:hAnsi="Times New Roman" w:eastAsia="仿宋_GB2312" w:cs="仿宋_GB2312"/>
          <w:bCs/>
          <w:snapToGrid w:val="0"/>
          <w:color w:val="auto"/>
          <w:kern w:val="0"/>
          <w:sz w:val="32"/>
          <w:szCs w:val="32"/>
          <w:highlight w:val="none"/>
        </w:rPr>
        <w:t>应说明申报产品临床应用的禁忌证，</w:t>
      </w:r>
      <w:r>
        <w:rPr>
          <w:rFonts w:hint="eastAsia" w:ascii="Times New Roman" w:hAnsi="Times New Roman" w:eastAsia="仿宋_GB2312" w:cs="仿宋_GB2312"/>
          <w:bCs/>
          <w:color w:val="auto"/>
          <w:sz w:val="32"/>
          <w:szCs w:val="32"/>
          <w:highlight w:val="none"/>
        </w:rPr>
        <w:t>应当明确说明申报产品不适宜应用的特定的人群或特定情况等信息，如：对原材料过敏者禁用，</w:t>
      </w:r>
      <w:r>
        <w:rPr>
          <w:rFonts w:hint="eastAsia" w:ascii="Times New Roman" w:hAnsi="Times New Roman" w:eastAsia="仿宋_GB2312" w:cs="仿宋_GB2312"/>
          <w:bCs/>
          <w:color w:val="auto"/>
          <w:sz w:val="32"/>
          <w:szCs w:val="32"/>
          <w:highlight w:val="none"/>
          <w:lang w:val="en-US" w:eastAsia="zh-CN"/>
        </w:rPr>
        <w:t>鼻腔粘膜</w:t>
      </w:r>
      <w:r>
        <w:rPr>
          <w:rFonts w:hint="eastAsia" w:ascii="Times New Roman" w:hAnsi="Times New Roman" w:eastAsia="仿宋_GB2312" w:cs="仿宋_GB2312"/>
          <w:bCs/>
          <w:color w:val="auto"/>
          <w:sz w:val="32"/>
          <w:szCs w:val="32"/>
          <w:highlight w:val="none"/>
        </w:rPr>
        <w:t>破损或发炎禁止使用</w:t>
      </w:r>
      <w:r>
        <w:rPr>
          <w:rFonts w:hint="eastAsia" w:ascii="Times New Roman" w:hAnsi="Times New Roman" w:eastAsia="仿宋_GB2312" w:cs="仿宋_GB2312"/>
          <w:bCs/>
          <w:color w:val="auto"/>
          <w:sz w:val="32"/>
          <w:szCs w:val="32"/>
          <w:highlight w:val="none"/>
          <w:lang w:eastAsia="zh-CN"/>
        </w:rPr>
        <w:t>，</w:t>
      </w:r>
      <w:r>
        <w:rPr>
          <w:rFonts w:hint="eastAsia" w:ascii="Times New Roman" w:hAnsi="Times New Roman" w:eastAsia="仿宋_GB2312" w:cs="仿宋_GB2312"/>
          <w:bCs/>
          <w:color w:val="auto"/>
          <w:sz w:val="32"/>
          <w:szCs w:val="32"/>
          <w:highlight w:val="none"/>
        </w:rPr>
        <w:t>对不明确过敏者慎用等。如适用，通过风险/受益评估后，针对某些疾病、情况或特定的人群（如儿童、老年人、孕妇及哺乳期妇女、过敏体质人群），认为不推荐使用该产品，应当明确说明。</w:t>
      </w:r>
    </w:p>
    <w:p w14:paraId="49B81336">
      <w:pPr>
        <w:tabs>
          <w:tab w:val="left" w:pos="993"/>
        </w:tabs>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与同类和/或前代产品的参考和比较</w:t>
      </w:r>
    </w:p>
    <w:p w14:paraId="27B6C593">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需提供同类产品（国内外已上市）或前代产品（如有）的信息，阐述申请注册产品的研发背景和目的。对于同类产品，应当说明选择其作为研发参考的原因。</w:t>
      </w:r>
    </w:p>
    <w:p w14:paraId="772B2F44">
      <w:pPr>
        <w:widowControl/>
        <w:spacing w:line="520" w:lineRule="exact"/>
        <w:ind w:firstLine="640" w:firstLineChars="200"/>
        <w:rPr>
          <w:rFonts w:hint="default" w:ascii="Times New Roman" w:hAnsi="Times New Roman" w:eastAsia="仿宋_GB2312" w:cs="Times New Roman"/>
          <w:color w:val="0000FF"/>
          <w:sz w:val="32"/>
          <w:szCs w:val="32"/>
          <w:lang w:val="en-US" w:eastAsia="zh-CN"/>
        </w:rPr>
      </w:pPr>
      <w:r>
        <w:rPr>
          <w:rFonts w:ascii="Times New Roman" w:hAnsi="Times New Roman" w:eastAsia="仿宋_GB2312" w:cs="Times New Roman"/>
          <w:sz w:val="32"/>
          <w:szCs w:val="32"/>
        </w:rPr>
        <w:t>需综述同类产品国内外研究、临床使用现状及发展趋势。同时列表比较说明申报产品与参考产品（同类产品或前代产品）在工作原理、结构组成、制造材料、性能指标、适用范围、作用方式、应用技术等方面的异同。</w:t>
      </w:r>
    </w:p>
    <w:p w14:paraId="4794FF38">
      <w:pPr>
        <w:spacing w:line="52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申报产品上市历史</w:t>
      </w:r>
    </w:p>
    <w:p w14:paraId="2CAB01BF">
      <w:pPr>
        <w:adjustRightInd w:val="0"/>
        <w:snapToGrid w:val="0"/>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如适用，提交申报产品在各国家或地区的上市批准时间、销售情况。如有不良事件和召回，分别对申报产品上市后发生的不良事件、召回的发生时间、注册申请人采取的处理和解决方案、相关部门的调查处理情况等进行描述。</w:t>
      </w:r>
    </w:p>
    <w:p w14:paraId="7ADF485C">
      <w:pPr>
        <w:tabs>
          <w:tab w:val="left" w:pos="6720"/>
        </w:tabs>
        <w:spacing w:line="520" w:lineRule="exact"/>
        <w:ind w:firstLine="640" w:firstLineChars="200"/>
        <w:outlineLvl w:val="0"/>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（三）非临床资料</w:t>
      </w:r>
    </w:p>
    <w:p w14:paraId="37B75B6B">
      <w:pPr>
        <w:tabs>
          <w:tab w:val="left" w:pos="6720"/>
        </w:tabs>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kern w:val="0"/>
          <w:sz w:val="32"/>
          <w:szCs w:val="32"/>
        </w:rPr>
        <w:t>1.产品风险管理资料</w:t>
      </w:r>
    </w:p>
    <w:p w14:paraId="7BAC3710">
      <w:pPr>
        <w:autoSpaceDE w:val="0"/>
        <w:autoSpaceDN w:val="0"/>
        <w:spacing w:line="520" w:lineRule="exact"/>
        <w:ind w:firstLine="640" w:firstLineChars="200"/>
        <w:outlineLvl w:val="2"/>
        <w:rPr>
          <w:rFonts w:hint="eastAsia" w:ascii="Times New Roman" w:hAnsi="Times New Roman" w:eastAsia="仿宋_GB2312" w:cs="仿宋_GB2312"/>
          <w:bCs/>
          <w:color w:val="auto"/>
          <w:kern w:val="0"/>
          <w:sz w:val="32"/>
          <w:szCs w:val="32"/>
          <w:lang w:val="zh-CN"/>
        </w:rPr>
      </w:pPr>
      <w:r>
        <w:rPr>
          <w:rFonts w:hint="eastAsia" w:ascii="Times New Roman" w:hAnsi="Times New Roman" w:eastAsia="仿宋_GB2312" w:cs="仿宋_GB2312"/>
          <w:bCs/>
          <w:color w:val="auto"/>
          <w:kern w:val="0"/>
          <w:sz w:val="32"/>
          <w:szCs w:val="32"/>
        </w:rPr>
        <w:t>应依据GB/T 42062《医疗器械风险管理对医疗器械的应用</w:t>
      </w:r>
      <w:r>
        <w:rPr>
          <w:rFonts w:hint="eastAsia" w:ascii="Times New Roman" w:hAnsi="Times New Roman" w:eastAsia="仿宋_GB2312" w:cs="仿宋_GB2312"/>
          <w:bCs/>
          <w:color w:val="auto"/>
          <w:kern w:val="0"/>
          <w:sz w:val="32"/>
          <w:szCs w:val="32"/>
          <w:lang w:val="zh-CN"/>
        </w:rPr>
        <w:t>》对产品全生命周期实施风险管理，提交风险管理资料。注册申请人应重点说明：申报产品的研制阶段已对有关可能的危害及产生的风险进行了估计和评价，针对性地实施了降低风险的技术和管理方面的措施。产品性能测试对上述措施的有效性进行了部分验证，达到了通用和专用标准的要求。注册申请人对所有剩余风险进行了评价，全部达到可接受的水平。申报资料格式需符合现行有效的《医疗器械注册申报资料要求和批准证明文件格式》的要求。</w:t>
      </w:r>
    </w:p>
    <w:p w14:paraId="387DBE79">
      <w:pPr>
        <w:autoSpaceDE w:val="0"/>
        <w:autoSpaceDN w:val="0"/>
        <w:spacing w:line="520" w:lineRule="exact"/>
        <w:ind w:firstLine="640" w:firstLineChars="200"/>
        <w:outlineLvl w:val="2"/>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2.医疗器械安全和性能基本原则清单</w:t>
      </w:r>
    </w:p>
    <w:p w14:paraId="6CDEA11D">
      <w:pPr>
        <w:widowControl w:val="0"/>
        <w:spacing w:before="0" w:line="520" w:lineRule="exact"/>
        <w:ind w:firstLine="640" w:firstLineChars="200"/>
        <w:jc w:val="both"/>
        <w:outlineLvl w:val="9"/>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说明申报产品符合《医疗器械安全和性能基本原则清单》各项适用要求所采用的方法，以及证明其符合性的文件。对于《医疗器械安全和性能基本原则清单》中不适用的各项要求，应当说明理由。</w:t>
      </w:r>
    </w:p>
    <w:p w14:paraId="0F5073E1">
      <w:pPr>
        <w:widowControl w:val="0"/>
        <w:spacing w:before="0" w:line="520" w:lineRule="exact"/>
        <w:ind w:firstLine="640" w:firstLineChars="200"/>
        <w:jc w:val="both"/>
        <w:outlineLvl w:val="9"/>
        <w:rPr>
          <w:rFonts w:ascii="Times New Roman" w:hAnsi="Times New Roman" w:eastAsia="仿宋_GB2312" w:cs="仿宋_GB2312"/>
          <w:bCs w:val="0"/>
          <w:snapToGrid w:val="0"/>
          <w:kern w:val="2"/>
          <w:sz w:val="32"/>
          <w:szCs w:val="32"/>
          <w:lang w:val="zh-CN" w:eastAsia="zh-CN" w:bidi="ar-SA"/>
        </w:rPr>
      </w:pPr>
      <w:r>
        <w:rPr>
          <w:rFonts w:ascii="Times New Roman" w:hAnsi="Times New Roman" w:eastAsia="仿宋_GB2312" w:cs="仿宋_GB2312"/>
          <w:bCs w:val="0"/>
          <w:kern w:val="2"/>
          <w:sz w:val="32"/>
          <w:szCs w:val="32"/>
          <w:lang w:val="en-US" w:eastAsia="zh-CN" w:bidi="ar-SA"/>
        </w:rPr>
        <w:t>3.</w:t>
      </w:r>
      <w:r>
        <w:rPr>
          <w:rFonts w:ascii="Times New Roman" w:hAnsi="Times New Roman" w:eastAsia="仿宋_GB2312" w:cs="仿宋_GB2312"/>
          <w:bCs w:val="0"/>
          <w:snapToGrid w:val="0"/>
          <w:kern w:val="2"/>
          <w:sz w:val="32"/>
          <w:szCs w:val="32"/>
          <w:lang w:val="zh-CN" w:eastAsia="zh-CN" w:bidi="ar-SA"/>
        </w:rPr>
        <w:t>产品技术要求及检验报告</w:t>
      </w:r>
    </w:p>
    <w:p w14:paraId="7130E8F2">
      <w:pPr>
        <w:keepNext/>
        <w:keepLines/>
        <w:widowControl w:val="0"/>
        <w:spacing w:line="520" w:lineRule="exact"/>
        <w:ind w:firstLine="640" w:firstLineChars="200"/>
        <w:jc w:val="both"/>
        <w:outlineLvl w:val="2"/>
        <w:rPr>
          <w:rFonts w:ascii="Times New Roman" w:hAnsi="Times New Roman" w:eastAsia="仿宋_GB2312" w:cs="仿宋_GB2312"/>
          <w:bCs w:val="0"/>
          <w:snapToGrid w:val="0"/>
          <w:kern w:val="2"/>
          <w:sz w:val="32"/>
          <w:szCs w:val="32"/>
          <w:lang w:val="zh-CN" w:eastAsia="zh-CN" w:bidi="ar-SA"/>
        </w:rPr>
      </w:pPr>
      <w:r>
        <w:rPr>
          <w:rFonts w:ascii="Times New Roman" w:hAnsi="Times New Roman" w:eastAsia="仿宋_GB2312" w:cs="仿宋_GB2312"/>
          <w:bCs w:val="0"/>
          <w:kern w:val="2"/>
          <w:sz w:val="32"/>
          <w:szCs w:val="32"/>
          <w:lang w:val="en-US" w:eastAsia="zh-CN" w:bidi="ar-SA"/>
        </w:rPr>
        <w:t>3.1</w:t>
      </w:r>
      <w:r>
        <w:rPr>
          <w:rFonts w:ascii="Times New Roman" w:hAnsi="Times New Roman" w:eastAsia="仿宋_GB2312" w:cs="仿宋_GB2312"/>
          <w:bCs w:val="0"/>
          <w:snapToGrid w:val="0"/>
          <w:kern w:val="2"/>
          <w:sz w:val="32"/>
          <w:szCs w:val="32"/>
          <w:lang w:val="zh-CN" w:eastAsia="zh-CN" w:bidi="ar-SA"/>
        </w:rPr>
        <w:t>产品技术要求</w:t>
      </w:r>
    </w:p>
    <w:p w14:paraId="0AE723E6">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产品技术要求需符合相关国家标准、行业标准和有关法律、法规的相应要求。在此基础上，注册申请人需根据产品的特点，制定保证产品安全、有效的技术要求。产品技术要求中试验方法需依据有关国家标准、行业标准、国际标准制订，或经过验证。</w:t>
      </w:r>
    </w:p>
    <w:p w14:paraId="6819DFF7">
      <w:pPr>
        <w:keepNext/>
        <w:keepLines/>
        <w:widowControl w:val="0"/>
        <w:spacing w:line="520" w:lineRule="exact"/>
        <w:ind w:firstLine="640" w:firstLineChars="200"/>
        <w:jc w:val="both"/>
        <w:outlineLvl w:val="2"/>
        <w:rPr>
          <w:rFonts w:ascii="Times New Roman" w:hAnsi="Times New Roman" w:eastAsia="仿宋_GB2312" w:cs="仿宋_GB2312"/>
          <w:bCs w:val="0"/>
          <w:kern w:val="2"/>
          <w:sz w:val="32"/>
          <w:szCs w:val="32"/>
          <w:lang w:val="en-US" w:eastAsia="zh-CN" w:bidi="ar-SA"/>
        </w:rPr>
      </w:pPr>
      <w:r>
        <w:rPr>
          <w:rFonts w:ascii="Times New Roman" w:hAnsi="Times New Roman" w:eastAsia="仿宋_GB2312" w:cs="仿宋_GB2312"/>
          <w:bCs w:val="0"/>
          <w:kern w:val="2"/>
          <w:sz w:val="32"/>
          <w:szCs w:val="32"/>
          <w:lang w:val="en-US" w:eastAsia="zh-CN" w:bidi="ar-SA"/>
        </w:rPr>
        <w:t>3.1.1产品型号/规格及其划分说明</w:t>
      </w:r>
    </w:p>
    <w:p w14:paraId="00E02FD1">
      <w:pPr>
        <w:pStyle w:val="2"/>
        <w:keepNext w:val="0"/>
        <w:keepLines w:val="0"/>
        <w:pageBreakBefore w:val="0"/>
        <w:kinsoku/>
        <w:wordWrap/>
        <w:overflowPunct/>
        <w:topLinePunct w:val="0"/>
        <w:autoSpaceDE/>
        <w:autoSpaceDN/>
        <w:bidi w:val="0"/>
        <w:snapToGrid w:val="0"/>
        <w:spacing w:line="520" w:lineRule="exact"/>
        <w:ind w:firstLine="640" w:firstLineChars="200"/>
        <w:jc w:val="both"/>
        <w:textAlignment w:val="auto"/>
        <w:rPr>
          <w:rFonts w:hint="eastAsia" w:ascii="Times New Roman" w:hAnsi="Times New Roman" w:eastAsia="仿宋_GB2312" w:cs="仿宋_GB2312"/>
          <w:bCs/>
          <w:snapToGrid w:val="0"/>
          <w:kern w:val="0"/>
          <w:sz w:val="32"/>
          <w:szCs w:val="32"/>
          <w:lang w:val="zh-CN"/>
        </w:rPr>
      </w:pPr>
      <w:r>
        <w:rPr>
          <w:rFonts w:hint="eastAsia" w:ascii="Times New Roman" w:hAnsi="Times New Roman" w:eastAsia="仿宋_GB2312" w:cs="仿宋_GB2312"/>
          <w:bCs/>
          <w:snapToGrid w:val="0"/>
          <w:kern w:val="0"/>
          <w:sz w:val="32"/>
          <w:szCs w:val="32"/>
          <w:lang w:val="zh-CN"/>
        </w:rPr>
        <w:t>应说明申报产品的型号</w:t>
      </w:r>
      <w:r>
        <w:rPr>
          <w:rFonts w:hint="eastAsia" w:ascii="Times New Roman" w:hAnsi="Times New Roman" w:eastAsia="仿宋_GB2312" w:cs="仿宋_GB2312"/>
          <w:bCs/>
          <w:sz w:val="32"/>
          <w:szCs w:val="32"/>
        </w:rPr>
        <w:t>/</w:t>
      </w:r>
      <w:r>
        <w:rPr>
          <w:rFonts w:hint="eastAsia" w:ascii="Times New Roman" w:hAnsi="Times New Roman" w:eastAsia="仿宋_GB2312" w:cs="仿宋_GB2312"/>
          <w:bCs/>
          <w:snapToGrid w:val="0"/>
          <w:kern w:val="0"/>
          <w:sz w:val="32"/>
          <w:szCs w:val="32"/>
          <w:lang w:val="zh-CN"/>
        </w:rPr>
        <w:t>规格，明确产品型号</w:t>
      </w:r>
      <w:r>
        <w:rPr>
          <w:rFonts w:hint="eastAsia" w:ascii="Times New Roman" w:hAnsi="Times New Roman" w:eastAsia="仿宋_GB2312" w:cs="仿宋_GB2312"/>
          <w:bCs/>
          <w:sz w:val="32"/>
          <w:szCs w:val="32"/>
        </w:rPr>
        <w:t>/</w:t>
      </w:r>
      <w:r>
        <w:rPr>
          <w:rFonts w:hint="eastAsia" w:ascii="Times New Roman" w:hAnsi="Times New Roman" w:eastAsia="仿宋_GB2312" w:cs="仿宋_GB2312"/>
          <w:bCs/>
          <w:snapToGrid w:val="0"/>
          <w:kern w:val="0"/>
          <w:sz w:val="32"/>
          <w:szCs w:val="32"/>
          <w:lang w:val="zh-CN"/>
        </w:rPr>
        <w:t>规格的划分说明。</w:t>
      </w:r>
    </w:p>
    <w:p w14:paraId="5F90F7D3">
      <w:pPr>
        <w:spacing w:line="520" w:lineRule="exact"/>
        <w:ind w:firstLine="640" w:firstLineChars="200"/>
        <w:rPr>
          <w:rFonts w:hint="eastAsia" w:ascii="Times New Roman" w:hAnsi="Times New Roman" w:eastAsia="仿宋_GB2312" w:cs="仿宋_GB2312"/>
          <w:bCs/>
          <w:sz w:val="32"/>
          <w:szCs w:val="32"/>
          <w:lang w:eastAsia="zh-CN"/>
        </w:rPr>
      </w:pPr>
      <w:r>
        <w:rPr>
          <w:rFonts w:hint="eastAsia" w:ascii="Times New Roman" w:hAnsi="Times New Roman" w:eastAsia="仿宋_GB2312" w:cs="仿宋_GB2312"/>
          <w:bCs/>
          <w:sz w:val="32"/>
          <w:szCs w:val="32"/>
        </w:rPr>
        <w:t>3.1.2性能指标</w:t>
      </w:r>
    </w:p>
    <w:p w14:paraId="34719C93">
      <w:pPr>
        <w:spacing w:line="520" w:lineRule="exact"/>
        <w:ind w:firstLine="640" w:firstLineChars="200"/>
        <w:rPr>
          <w:rFonts w:hint="eastAsia" w:ascii="Times New Roman" w:hAnsi="Times New Roman" w:eastAsia="仿宋_GB2312" w:cs="仿宋_GB2312"/>
          <w:bCs/>
          <w:color w:val="000000"/>
          <w:sz w:val="32"/>
          <w:szCs w:val="32"/>
        </w:rPr>
      </w:pPr>
      <w:r>
        <w:rPr>
          <w:rFonts w:hint="eastAsia" w:ascii="Times New Roman" w:hAnsi="Times New Roman" w:eastAsia="仿宋_GB2312" w:cs="仿宋_GB2312"/>
          <w:bCs/>
          <w:color w:val="000000"/>
          <w:sz w:val="32"/>
          <w:szCs w:val="32"/>
        </w:rPr>
        <w:t>申报产品的性能指标建议包含以下几点（包括但不限于此）：外观、</w:t>
      </w:r>
      <w:r>
        <w:rPr>
          <w:rFonts w:hint="eastAsia" w:ascii="Times New Roman" w:hAnsi="Times New Roman" w:eastAsia="仿宋_GB2312" w:cs="仿宋_GB2312"/>
          <w:bCs/>
          <w:color w:val="000000"/>
          <w:sz w:val="32"/>
          <w:szCs w:val="32"/>
          <w:lang w:val="en-US" w:eastAsia="zh-CN"/>
        </w:rPr>
        <w:t>黏度（如适用）、</w:t>
      </w:r>
      <w:r>
        <w:rPr>
          <w:rFonts w:hint="eastAsia" w:ascii="Times New Roman" w:hAnsi="Times New Roman" w:eastAsia="仿宋_GB2312" w:cs="仿宋_GB2312"/>
          <w:bCs/>
          <w:color w:val="000000"/>
          <w:sz w:val="32"/>
          <w:szCs w:val="32"/>
        </w:rPr>
        <w:t>装量、</w:t>
      </w:r>
      <w:r>
        <w:rPr>
          <w:rFonts w:hint="eastAsia" w:ascii="Times New Roman" w:hAnsi="Times New Roman" w:eastAsia="仿宋_GB2312" w:cs="仿宋_GB2312"/>
          <w:bCs/>
          <w:color w:val="000000"/>
          <w:sz w:val="32"/>
          <w:szCs w:val="32"/>
          <w:lang w:val="en-US" w:eastAsia="zh-CN"/>
        </w:rPr>
        <w:t>含量（主要成分）、</w:t>
      </w:r>
      <w:r>
        <w:rPr>
          <w:rFonts w:hint="eastAsia" w:ascii="Times New Roman" w:hAnsi="Times New Roman" w:eastAsia="仿宋_GB2312" w:cs="仿宋_GB2312"/>
          <w:bCs/>
          <w:color w:val="000000"/>
          <w:sz w:val="32"/>
          <w:szCs w:val="32"/>
        </w:rPr>
        <w:t>化学性能（如酸碱度、重金属等）、无菌（或微生物指标），如有配合使用的附件（如喷瓶、滴管等）应制定相应要求等。</w:t>
      </w:r>
    </w:p>
    <w:p w14:paraId="1D215FB3">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color w:val="000000"/>
          <w:sz w:val="32"/>
          <w:szCs w:val="32"/>
        </w:rPr>
        <w:t>注册申请人如宣称其他技术参数和功能，应在产品技术要求中予以规定</w:t>
      </w:r>
      <w:r>
        <w:rPr>
          <w:rFonts w:hint="eastAsia" w:ascii="Times New Roman" w:hAnsi="Times New Roman" w:eastAsia="仿宋_GB2312" w:cs="仿宋_GB2312"/>
          <w:bCs/>
          <w:sz w:val="32"/>
          <w:szCs w:val="32"/>
        </w:rPr>
        <w:t>，符合《医疗器械产品技术要求编写指导原则》的相关法规要求。</w:t>
      </w:r>
    </w:p>
    <w:p w14:paraId="63FCCDB3">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3</w:t>
      </w:r>
      <w:r>
        <w:rPr>
          <w:rFonts w:hint="eastAsia" w:ascii="Times New Roman" w:hAnsi="Times New Roman" w:eastAsia="仿宋_GB2312" w:cs="Times New Roman"/>
          <w:color w:val="000000"/>
          <w:sz w:val="32"/>
          <w:szCs w:val="32"/>
          <w:lang w:val="en-US" w:eastAsia="zh-CN"/>
        </w:rPr>
        <w:t>.1.3</w:t>
      </w:r>
      <w:r>
        <w:rPr>
          <w:rFonts w:ascii="Times New Roman" w:hAnsi="Times New Roman" w:eastAsia="仿宋_GB2312" w:cs="Times New Roman"/>
          <w:color w:val="000000"/>
          <w:sz w:val="32"/>
          <w:szCs w:val="32"/>
        </w:rPr>
        <w:t>检验方法</w:t>
      </w:r>
    </w:p>
    <w:p w14:paraId="64D65DA5">
      <w:pPr>
        <w:spacing w:line="52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14:paraId="07C72D7B">
      <w:pPr>
        <w:keepNext/>
        <w:keepLines/>
        <w:widowControl w:val="0"/>
        <w:spacing w:line="520" w:lineRule="exact"/>
        <w:ind w:firstLine="640" w:firstLineChars="200"/>
        <w:jc w:val="both"/>
        <w:outlineLvl w:val="2"/>
        <w:rPr>
          <w:rFonts w:ascii="Times New Roman" w:hAnsi="Times New Roman" w:eastAsia="仿宋_GB2312" w:cs="仿宋_GB2312"/>
          <w:bCs w:val="0"/>
          <w:kern w:val="2"/>
          <w:sz w:val="32"/>
          <w:szCs w:val="32"/>
          <w:lang w:val="en-US" w:eastAsia="zh-CN" w:bidi="ar-SA"/>
        </w:rPr>
      </w:pPr>
      <w:r>
        <w:rPr>
          <w:rFonts w:ascii="Times New Roman" w:hAnsi="Times New Roman" w:eastAsia="仿宋_GB2312" w:cs="仿宋_GB2312"/>
          <w:bCs w:val="0"/>
          <w:kern w:val="2"/>
          <w:sz w:val="32"/>
          <w:szCs w:val="32"/>
          <w:lang w:val="en-US" w:eastAsia="zh-CN" w:bidi="ar-SA"/>
        </w:rPr>
        <w:t>3.2产品检验报告</w:t>
      </w:r>
    </w:p>
    <w:p w14:paraId="3C957023">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可提交注册申请人出具的自检报告或委托有资质的医疗器械检验机构出具的检验报告。若提交自检报告，应按照《医疗器械自检管理规定》的要求提供相关资料。</w:t>
      </w:r>
    </w:p>
    <w:p w14:paraId="6843EBE4">
      <w:pPr>
        <w:widowControl w:val="0"/>
        <w:spacing w:line="520" w:lineRule="exact"/>
        <w:ind w:firstLine="640" w:firstLineChars="200"/>
        <w:jc w:val="both"/>
        <w:rPr>
          <w:rFonts w:ascii="Times New Roman" w:hAnsi="Times New Roman" w:eastAsia="仿宋_GB2312" w:cs="Times New Roman"/>
          <w:color w:val="000000"/>
          <w:kern w:val="2"/>
          <w:sz w:val="32"/>
          <w:szCs w:val="32"/>
          <w:lang w:val="en-US" w:eastAsia="zh-CN" w:bidi="ar-SA"/>
        </w:rPr>
      </w:pPr>
      <w:r>
        <w:rPr>
          <w:rFonts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3</w:t>
      </w:r>
      <w:r>
        <w:rPr>
          <w:rFonts w:ascii="Times New Roman" w:hAnsi="Times New Roman" w:eastAsia="仿宋_GB2312" w:cs="Times New Roman"/>
          <w:color w:val="000000"/>
          <w:kern w:val="2"/>
          <w:sz w:val="32"/>
          <w:szCs w:val="32"/>
          <w:lang w:val="en-US" w:eastAsia="zh-CN" w:bidi="ar-SA"/>
        </w:rPr>
        <w:t>同一注册单元内检验典型性产品确定原则</w:t>
      </w:r>
    </w:p>
    <w:p w14:paraId="0993A495">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同一注册单元中所检验产品应能够代表注册单元内其他产品安全性和有效性。代表产品的确定可以通过比较同一注册单元内所有产品的主要原材料、生产工艺、技术结构、性能指标和预期用途等资料，说明其能够代表注册单元内其他产品的安全性和有效性。必要时提交不同型号规格产品的差异性检测报告。</w:t>
      </w:r>
    </w:p>
    <w:p w14:paraId="48BFF2D1">
      <w:pPr>
        <w:keepNext/>
        <w:keepLines/>
        <w:widowControl w:val="0"/>
        <w:spacing w:line="520" w:lineRule="exact"/>
        <w:ind w:firstLine="640" w:firstLineChars="200"/>
        <w:jc w:val="both"/>
        <w:outlineLvl w:val="2"/>
        <w:rPr>
          <w:rFonts w:ascii="Times New Roman" w:hAnsi="Times New Roman" w:eastAsia="仿宋_GB2312" w:cs="仿宋_GB2312"/>
          <w:bCs w:val="0"/>
          <w:color w:val="FF0000"/>
          <w:kern w:val="2"/>
          <w:sz w:val="32"/>
          <w:szCs w:val="32"/>
          <w:lang w:val="en-US" w:eastAsia="zh-CN" w:bidi="ar-SA"/>
        </w:rPr>
      </w:pPr>
      <w:r>
        <w:rPr>
          <w:rFonts w:ascii="Times New Roman" w:hAnsi="Times New Roman" w:eastAsia="仿宋_GB2312" w:cs="仿宋_GB2312"/>
          <w:bCs w:val="0"/>
          <w:kern w:val="2"/>
          <w:sz w:val="32"/>
          <w:szCs w:val="32"/>
          <w:lang w:val="en-US" w:eastAsia="zh-CN" w:bidi="ar-SA"/>
        </w:rPr>
        <w:t>4.研究资料</w:t>
      </w:r>
      <w:r>
        <w:rPr>
          <w:rFonts w:ascii="Times New Roman" w:hAnsi="Times New Roman" w:eastAsia="仿宋_GB2312" w:cs="仿宋_GB2312"/>
          <w:bCs w:val="0"/>
          <w:color w:val="FF0000"/>
          <w:kern w:val="2"/>
          <w:sz w:val="32"/>
          <w:szCs w:val="32"/>
          <w:lang w:val="en-US" w:eastAsia="zh-CN" w:bidi="ar-SA"/>
        </w:rPr>
        <w:t xml:space="preserve">  </w:t>
      </w:r>
    </w:p>
    <w:p w14:paraId="5C932ADC">
      <w:pPr>
        <w:spacing w:line="520" w:lineRule="exact"/>
        <w:ind w:firstLine="640" w:firstLineChars="200"/>
        <w:rPr>
          <w:rFonts w:hint="eastAsia" w:ascii="Times New Roman" w:hAnsi="Times New Roman" w:eastAsia="仿宋_GB2312" w:cs="仿宋_GB2312"/>
          <w:bCs/>
          <w:color w:val="000000"/>
          <w:sz w:val="32"/>
          <w:szCs w:val="32"/>
        </w:rPr>
      </w:pPr>
      <w:r>
        <w:rPr>
          <w:rFonts w:hint="eastAsia" w:ascii="Times New Roman" w:hAnsi="Times New Roman" w:eastAsia="仿宋_GB2312" w:cs="仿宋_GB2312"/>
          <w:bCs/>
          <w:color w:val="000000"/>
          <w:sz w:val="32"/>
          <w:szCs w:val="32"/>
        </w:rPr>
        <w:t>根据申报产品适用范围和技术特征，提供非临床研究综述，逐项描述所开展的研究，概述研究方法和研究结论。根据非临床研究综述，提供相应的研究资料，各项研究可通过实验室研究、模型研究、文献研究等方式开展，一般应当包含研究方案、研究报告。采用建模研究的，应当提供产品建模研究资料。</w:t>
      </w:r>
    </w:p>
    <w:p w14:paraId="1E853B2A">
      <w:pPr>
        <w:spacing w:line="520" w:lineRule="exact"/>
        <w:ind w:firstLine="640" w:firstLineChars="200"/>
        <w:rPr>
          <w:rFonts w:hint="eastAsia" w:ascii="Times New Roman" w:hAnsi="Times New Roman" w:eastAsia="仿宋_GB2312" w:cs="仿宋_GB2312"/>
          <w:bCs/>
          <w:color w:val="000000"/>
          <w:sz w:val="32"/>
          <w:szCs w:val="32"/>
        </w:rPr>
      </w:pPr>
      <w:r>
        <w:rPr>
          <w:rFonts w:hint="eastAsia" w:ascii="Times New Roman" w:hAnsi="Times New Roman" w:eastAsia="仿宋_GB2312" w:cs="仿宋_GB2312"/>
          <w:bCs/>
          <w:color w:val="000000"/>
          <w:sz w:val="32"/>
          <w:szCs w:val="32"/>
        </w:rPr>
        <w:t>4.1</w:t>
      </w:r>
      <w:r>
        <w:rPr>
          <w:rFonts w:hint="eastAsia" w:ascii="Times New Roman" w:hAnsi="Times New Roman" w:eastAsia="仿宋_GB2312" w:cs="仿宋_GB2312"/>
          <w:bCs/>
          <w:color w:val="000000"/>
          <w:sz w:val="32"/>
          <w:szCs w:val="32"/>
          <w:lang w:val="en-US" w:eastAsia="zh-CN"/>
        </w:rPr>
        <w:t>物理和化学</w:t>
      </w:r>
      <w:r>
        <w:rPr>
          <w:rFonts w:hint="eastAsia" w:ascii="Times New Roman" w:hAnsi="Times New Roman" w:eastAsia="仿宋_GB2312" w:cs="仿宋_GB2312"/>
          <w:bCs/>
          <w:color w:val="000000"/>
          <w:sz w:val="32"/>
          <w:szCs w:val="32"/>
        </w:rPr>
        <w:t>性能研究</w:t>
      </w:r>
    </w:p>
    <w:p w14:paraId="2AB55DC4">
      <w:pPr>
        <w:spacing w:line="520" w:lineRule="exact"/>
        <w:ind w:firstLine="640" w:firstLineChars="200"/>
        <w:rPr>
          <w:rFonts w:hint="eastAsia" w:ascii="Times New Roman" w:hAnsi="Times New Roman" w:eastAsia="仿宋_GB2312" w:cs="仿宋_GB2312"/>
          <w:bCs/>
          <w:color w:val="000000"/>
          <w:sz w:val="32"/>
          <w:szCs w:val="32"/>
        </w:rPr>
      </w:pPr>
      <w:r>
        <w:rPr>
          <w:rFonts w:hint="eastAsia" w:ascii="Times New Roman" w:hAnsi="Times New Roman" w:eastAsia="仿宋_GB2312" w:cs="仿宋_GB2312"/>
          <w:bCs/>
          <w:color w:val="000000"/>
          <w:sz w:val="32"/>
          <w:szCs w:val="32"/>
        </w:rPr>
        <w:t>应当提供产品化学/材料表征、物理、性能指标</w:t>
      </w:r>
      <w:r>
        <w:rPr>
          <w:rFonts w:hint="eastAsia" w:ascii="Times New Roman" w:hAnsi="Times New Roman" w:eastAsia="仿宋_GB2312" w:cs="仿宋_GB2312"/>
          <w:bCs/>
          <w:sz w:val="32"/>
          <w:szCs w:val="32"/>
        </w:rPr>
        <w:t>及检验方法</w:t>
      </w:r>
      <w:r>
        <w:rPr>
          <w:rFonts w:hint="eastAsia" w:ascii="Times New Roman" w:hAnsi="Times New Roman" w:eastAsia="仿宋_GB2312" w:cs="仿宋_GB2312"/>
          <w:bCs/>
          <w:color w:val="000000"/>
          <w:sz w:val="32"/>
          <w:szCs w:val="32"/>
        </w:rPr>
        <w:t>的确定依据、设计输入来源以及临床意义，所采用的标准或方法、采用的原因及理论基础。</w:t>
      </w:r>
    </w:p>
    <w:p w14:paraId="41727F59">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申报资料中应明确各种原材料的名称、质量控制指标及要求等，说明原材料的功能特点或选择依据。</w:t>
      </w:r>
    </w:p>
    <w:p w14:paraId="6D6314D6">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对于首次用于医疗器械方面的新材料，应提供该材料适合用于符合预期用途的相关研究资料。</w:t>
      </w:r>
    </w:p>
    <w:p w14:paraId="26815C51">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color w:val="000000"/>
          <w:sz w:val="32"/>
          <w:szCs w:val="32"/>
        </w:rPr>
        <w:t>如有配合使用的附件（如喷瓶、滴管等）应制定相应要求</w:t>
      </w:r>
      <w:r>
        <w:rPr>
          <w:rFonts w:hint="eastAsia" w:ascii="Times New Roman" w:hAnsi="Times New Roman" w:eastAsia="仿宋_GB2312" w:cs="仿宋_GB2312"/>
          <w:bCs/>
          <w:sz w:val="32"/>
          <w:szCs w:val="32"/>
        </w:rPr>
        <w:t>，考虑附件与产品的适宜性等。</w:t>
      </w:r>
    </w:p>
    <w:p w14:paraId="7A0AE457">
      <w:pPr>
        <w:spacing w:line="520" w:lineRule="exact"/>
        <w:ind w:firstLine="640" w:firstLineChars="200"/>
        <w:rPr>
          <w:rFonts w:hint="eastAsia" w:ascii="Times New Roman" w:hAnsi="Times New Roman" w:eastAsia="仿宋_GB2312" w:cs="仿宋_GB2312"/>
          <w:bCs/>
          <w:color w:val="000000"/>
          <w:sz w:val="32"/>
          <w:szCs w:val="32"/>
        </w:rPr>
      </w:pPr>
      <w:r>
        <w:rPr>
          <w:rFonts w:hint="eastAsia" w:ascii="Times New Roman" w:hAnsi="Times New Roman" w:eastAsia="仿宋_GB2312" w:cs="仿宋_GB2312"/>
          <w:bCs/>
          <w:sz w:val="32"/>
          <w:szCs w:val="32"/>
        </w:rPr>
        <w:t>4.2</w:t>
      </w:r>
      <w:r>
        <w:rPr>
          <w:rFonts w:hint="eastAsia" w:ascii="Times New Roman" w:hAnsi="Times New Roman" w:eastAsia="仿宋_GB2312" w:cs="仿宋_GB2312"/>
          <w:bCs/>
          <w:color w:val="000000"/>
          <w:sz w:val="32"/>
          <w:szCs w:val="32"/>
        </w:rPr>
        <w:t>生物学特性研究</w:t>
      </w:r>
    </w:p>
    <w:p w14:paraId="3877F789">
      <w:pPr>
        <w:spacing w:line="520" w:lineRule="exact"/>
        <w:ind w:firstLine="640" w:firstLineChars="200"/>
        <w:outlineLvl w:val="2"/>
        <w:rPr>
          <w:rFonts w:hint="eastAsia" w:ascii="Times New Roman" w:hAnsi="Times New Roman" w:eastAsia="仿宋_GB2312" w:cs="仿宋_GB2312"/>
          <w:bCs/>
          <w:color w:val="auto"/>
          <w:sz w:val="32"/>
          <w:szCs w:val="32"/>
        </w:rPr>
      </w:pPr>
      <w:r>
        <w:rPr>
          <w:rFonts w:hint="eastAsia" w:ascii="Times New Roman" w:hAnsi="Times New Roman" w:eastAsia="仿宋_GB2312" w:cs="仿宋_GB2312"/>
          <w:bCs/>
          <w:color w:val="auto"/>
          <w:sz w:val="32"/>
          <w:szCs w:val="32"/>
        </w:rPr>
        <w:t>按照GB/T 16886.1《医疗器械生物学评价第1部分：风险管理过程中的评价与试验》、《关于印发医疗器械生物学评价和审查指南的通知》要求开展生物相容性评价，生物相容性评价研究资料应当包括：生物相容性评价的依据、项目和方法；产品所用材料的描述及与人体接触的性质和时间；实施或豁免生物学试验的理由和论证；对于现有数据或试验结果的评价。</w:t>
      </w:r>
    </w:p>
    <w:p w14:paraId="2D5F514D">
      <w:pPr>
        <w:spacing w:line="520" w:lineRule="exact"/>
        <w:ind w:firstLine="640" w:firstLineChars="200"/>
        <w:outlineLvl w:val="2"/>
        <w:rPr>
          <w:rFonts w:hint="eastAsia" w:ascii="Times New Roman" w:hAnsi="Times New Roman" w:eastAsia="仿宋_GB2312" w:cs="仿宋_GB2312"/>
          <w:bCs/>
          <w:color w:val="auto"/>
          <w:sz w:val="32"/>
          <w:szCs w:val="32"/>
        </w:rPr>
      </w:pPr>
      <w:r>
        <w:rPr>
          <w:rFonts w:hint="eastAsia" w:ascii="Times New Roman" w:hAnsi="Times New Roman" w:eastAsia="仿宋_GB2312" w:cs="仿宋_GB2312"/>
          <w:bCs/>
          <w:color w:val="auto"/>
          <w:sz w:val="32"/>
          <w:szCs w:val="32"/>
        </w:rPr>
        <w:t>本指导原则中的</w:t>
      </w:r>
      <w:r>
        <w:rPr>
          <w:rFonts w:hint="eastAsia" w:ascii="Times New Roman" w:hAnsi="Times New Roman" w:eastAsia="仿宋_GB2312" w:cs="仿宋_GB2312"/>
          <w:bCs/>
          <w:color w:val="auto"/>
          <w:sz w:val="32"/>
          <w:szCs w:val="32"/>
          <w:lang w:val="en-US" w:eastAsia="zh-CN"/>
        </w:rPr>
        <w:t>鼻腔润滑剂</w:t>
      </w:r>
      <w:r>
        <w:rPr>
          <w:rFonts w:hint="eastAsia" w:ascii="Times New Roman" w:hAnsi="Times New Roman" w:eastAsia="仿宋_GB2312" w:cs="仿宋_GB2312"/>
          <w:bCs/>
          <w:color w:val="auto"/>
          <w:sz w:val="32"/>
          <w:szCs w:val="32"/>
        </w:rPr>
        <w:t>开展生物学评价时，建议考虑累积接触时间，应按照GB/T 16886.1《医疗器械生物学评价第1部分：风险管理过程中的评价与试验》标准进行评价，至少应包括细胞毒性、刺激反应、致敏反应等。说明书中规定的最长使用时间不应超出生物学评价时确定的累积接触时间。</w:t>
      </w:r>
    </w:p>
    <w:p w14:paraId="007D89FA">
      <w:pPr>
        <w:spacing w:line="520" w:lineRule="exact"/>
        <w:ind w:firstLine="640" w:firstLineChars="200"/>
        <w:outlineLvl w:val="2"/>
        <w:rPr>
          <w:rFonts w:hint="eastAsia" w:ascii="Times New Roman" w:hAnsi="Times New Roman" w:eastAsia="仿宋_GB2312" w:cs="仿宋_GB2312"/>
          <w:bCs/>
          <w:color w:val="auto"/>
          <w:sz w:val="32"/>
          <w:szCs w:val="32"/>
        </w:rPr>
      </w:pPr>
      <w:r>
        <w:rPr>
          <w:rFonts w:hint="eastAsia" w:ascii="Times New Roman" w:hAnsi="Times New Roman" w:eastAsia="仿宋_GB2312" w:cs="仿宋_GB2312"/>
          <w:bCs/>
          <w:color w:val="auto"/>
          <w:sz w:val="32"/>
          <w:szCs w:val="32"/>
        </w:rPr>
        <w:t>若开展申报产品与市售产品的等同性比较的方式进行生物相容性评价，应按照《关于印发医疗器械生物学评价和审查指南的通知》要求进行评价，应提供资料证明申报产品与已上市产品具有等同性。</w:t>
      </w:r>
    </w:p>
    <w:p w14:paraId="34D23811">
      <w:pPr>
        <w:spacing w:line="520" w:lineRule="exact"/>
        <w:ind w:firstLine="640" w:firstLineChars="200"/>
        <w:outlineLvl w:val="2"/>
        <w:rPr>
          <w:rFonts w:hint="eastAsia" w:ascii="Times New Roman" w:hAnsi="Times New Roman" w:eastAsia="仿宋_GB2312" w:cs="仿宋_GB2312"/>
          <w:bCs/>
          <w:color w:val="auto"/>
          <w:sz w:val="32"/>
          <w:szCs w:val="32"/>
        </w:rPr>
      </w:pPr>
      <w:r>
        <w:rPr>
          <w:rFonts w:hint="eastAsia" w:ascii="Times New Roman" w:hAnsi="Times New Roman" w:eastAsia="仿宋_GB2312" w:cs="仿宋_GB2312"/>
          <w:bCs/>
          <w:color w:val="auto"/>
          <w:sz w:val="32"/>
          <w:szCs w:val="32"/>
        </w:rPr>
        <w:t>若无法证明申报产品与已上市产品的等同性，可按照GB/T 16886.1的要求开展申报产品生物相容性试验予以评价。</w:t>
      </w:r>
    </w:p>
    <w:p w14:paraId="4655B610">
      <w:pPr>
        <w:spacing w:line="520" w:lineRule="exact"/>
        <w:ind w:firstLine="640" w:firstLineChars="200"/>
        <w:outlineLvl w:val="2"/>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4.3灭菌（除菌）工艺研究</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pacing w:val="-6"/>
          <w:kern w:val="2"/>
          <w:sz w:val="32"/>
          <w:szCs w:val="32"/>
          <w:highlight w:val="none"/>
          <w:lang w:val="en-US" w:eastAsia="zh-CN" w:bidi="ar-SA"/>
        </w:rPr>
        <w:t>如适用</w:t>
      </w:r>
      <w:r>
        <w:rPr>
          <w:rFonts w:hint="eastAsia" w:ascii="Times New Roman" w:hAnsi="Times New Roman" w:eastAsia="仿宋_GB2312" w:cs="仿宋_GB2312"/>
          <w:bCs/>
          <w:sz w:val="32"/>
          <w:szCs w:val="32"/>
          <w:highlight w:val="none"/>
          <w:lang w:eastAsia="zh-CN"/>
        </w:rPr>
        <w:t>）</w:t>
      </w:r>
    </w:p>
    <w:p w14:paraId="1610BFF4">
      <w:pPr>
        <w:spacing w:line="520" w:lineRule="exact"/>
        <w:ind w:firstLine="640" w:firstLineChars="200"/>
        <w:rPr>
          <w:rFonts w:hint="eastAsia" w:ascii="Times New Roman" w:hAnsi="Times New Roman" w:eastAsia="仿宋_GB2312" w:cs="仿宋_GB2312"/>
          <w:bCs/>
          <w:kern w:val="0"/>
          <w:sz w:val="32"/>
          <w:szCs w:val="32"/>
          <w:highlight w:val="none"/>
        </w:rPr>
      </w:pPr>
      <w:r>
        <w:rPr>
          <w:rFonts w:hint="eastAsia" w:ascii="Times New Roman" w:hAnsi="Times New Roman" w:eastAsia="仿宋_GB2312" w:cs="仿宋_GB2312"/>
          <w:bCs/>
          <w:sz w:val="32"/>
          <w:szCs w:val="32"/>
          <w:highlight w:val="none"/>
        </w:rPr>
        <w:t>以无菌形式提供的产品，应</w:t>
      </w:r>
      <w:r>
        <w:rPr>
          <w:rFonts w:hint="eastAsia" w:ascii="Times New Roman" w:hAnsi="Times New Roman" w:eastAsia="仿宋_GB2312" w:cs="仿宋_GB2312"/>
          <w:bCs/>
          <w:kern w:val="0"/>
          <w:sz w:val="32"/>
          <w:szCs w:val="32"/>
          <w:highlight w:val="none"/>
        </w:rPr>
        <w:t>提交产品包装及灭菌</w:t>
      </w:r>
      <w:bookmarkStart w:id="1" w:name="_Hlk122364191"/>
      <w:r>
        <w:rPr>
          <w:rFonts w:hint="eastAsia" w:ascii="Times New Roman" w:hAnsi="Times New Roman" w:eastAsia="仿宋_GB2312" w:cs="仿宋_GB2312"/>
          <w:bCs/>
          <w:sz w:val="32"/>
          <w:szCs w:val="32"/>
          <w:highlight w:val="none"/>
        </w:rPr>
        <w:t>（除菌）</w:t>
      </w:r>
      <w:bookmarkEnd w:id="1"/>
      <w:r>
        <w:rPr>
          <w:rFonts w:hint="eastAsia" w:ascii="Times New Roman" w:hAnsi="Times New Roman" w:eastAsia="仿宋_GB2312" w:cs="仿宋_GB2312"/>
          <w:bCs/>
          <w:kern w:val="0"/>
          <w:sz w:val="32"/>
          <w:szCs w:val="32"/>
          <w:highlight w:val="none"/>
        </w:rPr>
        <w:t>方法选择的依据，经过确认并进行常规控制。</w:t>
      </w:r>
      <w:r>
        <w:rPr>
          <w:rFonts w:hint="eastAsia" w:ascii="Times New Roman" w:hAnsi="Times New Roman" w:eastAsia="仿宋_GB2312" w:cs="仿宋_GB2312"/>
          <w:bCs/>
          <w:spacing w:val="-6"/>
          <w:sz w:val="32"/>
          <w:szCs w:val="32"/>
          <w:highlight w:val="none"/>
        </w:rPr>
        <w:t>应考虑选用的灭菌（除菌）工艺是否会对</w:t>
      </w:r>
      <w:r>
        <w:rPr>
          <w:rFonts w:hint="eastAsia" w:ascii="Times New Roman" w:hAnsi="Times New Roman" w:eastAsia="仿宋_GB2312" w:cs="仿宋_GB2312"/>
          <w:bCs/>
          <w:spacing w:val="-6"/>
          <w:sz w:val="32"/>
          <w:szCs w:val="32"/>
          <w:highlight w:val="none"/>
          <w:lang w:val="en-US" w:eastAsia="zh-CN"/>
        </w:rPr>
        <w:t>产品</w:t>
      </w:r>
      <w:r>
        <w:rPr>
          <w:rFonts w:hint="eastAsia" w:ascii="Times New Roman" w:hAnsi="Times New Roman" w:eastAsia="仿宋_GB2312" w:cs="仿宋_GB2312"/>
          <w:bCs/>
          <w:spacing w:val="-6"/>
          <w:sz w:val="32"/>
          <w:szCs w:val="32"/>
          <w:highlight w:val="none"/>
        </w:rPr>
        <w:t>产生影响。注册申请人应</w:t>
      </w:r>
      <w:r>
        <w:rPr>
          <w:rFonts w:hint="eastAsia" w:ascii="Times New Roman" w:hAnsi="Times New Roman" w:eastAsia="仿宋_GB2312" w:cs="仿宋_GB2312"/>
          <w:bCs/>
          <w:kern w:val="0"/>
          <w:sz w:val="32"/>
          <w:szCs w:val="32"/>
          <w:highlight w:val="none"/>
        </w:rPr>
        <w:t>开展以下方面的研究：</w:t>
      </w:r>
    </w:p>
    <w:p w14:paraId="5B28FC6B">
      <w:pPr>
        <w:widowControl w:val="0"/>
        <w:spacing w:line="520" w:lineRule="exact"/>
        <w:ind w:firstLine="616" w:firstLineChars="200"/>
        <w:jc w:val="both"/>
        <w:rPr>
          <w:rFonts w:hint="eastAsia" w:ascii="Times New Roman" w:hAnsi="Times New Roman" w:eastAsia="仿宋_GB2312" w:cs="仿宋_GB2312"/>
          <w:bCs/>
          <w:spacing w:val="-6"/>
          <w:kern w:val="2"/>
          <w:sz w:val="32"/>
          <w:szCs w:val="32"/>
          <w:highlight w:val="none"/>
          <w:lang w:val="en-US" w:eastAsia="zh-CN" w:bidi="ar-SA"/>
        </w:rPr>
      </w:pPr>
      <w:r>
        <w:rPr>
          <w:rFonts w:hint="eastAsia" w:ascii="Times New Roman" w:hAnsi="Times New Roman" w:eastAsia="仿宋_GB2312" w:cs="仿宋_GB2312"/>
          <w:bCs/>
          <w:spacing w:val="-6"/>
          <w:kern w:val="2"/>
          <w:sz w:val="32"/>
          <w:szCs w:val="32"/>
          <w:highlight w:val="none"/>
          <w:lang w:val="en-US" w:eastAsia="zh-CN" w:bidi="ar-SA"/>
        </w:rPr>
        <w:t>4.3.1产品与灭菌（除菌）过程的适应性：应考察灭菌（除菌）方法等工艺过程对于产品的影响。</w:t>
      </w:r>
    </w:p>
    <w:p w14:paraId="6BBB16AD">
      <w:pPr>
        <w:widowControl w:val="0"/>
        <w:spacing w:line="520" w:lineRule="exact"/>
        <w:ind w:firstLine="616" w:firstLineChars="200"/>
        <w:jc w:val="both"/>
        <w:rPr>
          <w:rFonts w:hint="eastAsia" w:ascii="Times New Roman" w:hAnsi="Times New Roman" w:eastAsia="仿宋_GB2312" w:cs="仿宋_GB2312"/>
          <w:bCs/>
          <w:spacing w:val="-6"/>
          <w:kern w:val="2"/>
          <w:sz w:val="32"/>
          <w:szCs w:val="32"/>
          <w:highlight w:val="none"/>
          <w:lang w:val="en-US" w:eastAsia="zh-CN" w:bidi="ar-SA"/>
        </w:rPr>
      </w:pPr>
      <w:r>
        <w:rPr>
          <w:rFonts w:hint="eastAsia" w:ascii="Times New Roman" w:hAnsi="Times New Roman" w:eastAsia="仿宋_GB2312" w:cs="仿宋_GB2312"/>
          <w:bCs/>
          <w:spacing w:val="-6"/>
          <w:kern w:val="2"/>
          <w:sz w:val="32"/>
          <w:szCs w:val="32"/>
          <w:highlight w:val="none"/>
          <w:lang w:val="en-US" w:eastAsia="zh-CN" w:bidi="ar-SA"/>
        </w:rPr>
        <w:t>4.3.2包装与灭菌（除菌）过程的适应性：应考察灭菌（除菌）方法等工艺过程对于包装的影响。</w:t>
      </w:r>
    </w:p>
    <w:p w14:paraId="426E295A">
      <w:pPr>
        <w:spacing w:line="520" w:lineRule="exact"/>
        <w:ind w:firstLine="616"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pacing w:val="-6"/>
          <w:kern w:val="2"/>
          <w:sz w:val="32"/>
          <w:szCs w:val="32"/>
          <w:highlight w:val="none"/>
          <w:lang w:val="en-US" w:eastAsia="zh-CN" w:bidi="ar-SA"/>
        </w:rPr>
        <w:t>4.3.3应明确灭菌工艺（方法和参</w:t>
      </w:r>
      <w:r>
        <w:rPr>
          <w:rFonts w:hint="eastAsia" w:ascii="Times New Roman" w:hAnsi="Times New Roman" w:eastAsia="仿宋_GB2312" w:cs="仿宋_GB2312"/>
          <w:bCs/>
          <w:kern w:val="0"/>
          <w:sz w:val="32"/>
          <w:szCs w:val="32"/>
          <w:highlight w:val="none"/>
        </w:rPr>
        <w:t>数）和无菌保证水平（SAL），无菌保证水平（SAL）应达到10</w:t>
      </w:r>
      <w:r>
        <w:rPr>
          <w:rFonts w:hint="eastAsia" w:ascii="Times New Roman" w:hAnsi="Times New Roman" w:eastAsia="仿宋_GB2312" w:cs="仿宋_GB2312"/>
          <w:bCs/>
          <w:kern w:val="0"/>
          <w:sz w:val="32"/>
          <w:szCs w:val="32"/>
          <w:highlight w:val="none"/>
          <w:vertAlign w:val="superscript"/>
        </w:rPr>
        <w:t>-6</w:t>
      </w:r>
      <w:r>
        <w:rPr>
          <w:rFonts w:hint="eastAsia" w:ascii="Times New Roman" w:hAnsi="Times New Roman" w:eastAsia="仿宋_GB2312" w:cs="仿宋_GB2312"/>
          <w:bCs/>
          <w:kern w:val="0"/>
          <w:sz w:val="32"/>
          <w:szCs w:val="32"/>
          <w:highlight w:val="none"/>
        </w:rPr>
        <w:t>，提供灭菌确认报告。</w:t>
      </w:r>
      <w:r>
        <w:rPr>
          <w:rFonts w:hint="eastAsia" w:ascii="Times New Roman" w:hAnsi="Times New Roman" w:eastAsia="仿宋_GB2312" w:cs="仿宋_GB2312"/>
          <w:bCs/>
          <w:sz w:val="32"/>
          <w:szCs w:val="32"/>
          <w:highlight w:val="none"/>
        </w:rPr>
        <w:t>可根据适用情况选择灭菌方式：</w:t>
      </w:r>
    </w:p>
    <w:p w14:paraId="1A62A181">
      <w:pPr>
        <w:snapToGrid w:val="0"/>
        <w:spacing w:line="520" w:lineRule="exact"/>
        <w:ind w:firstLine="640"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如采用湿热灭菌，参照GB 18278.1标准的要求开展研究；</w:t>
      </w:r>
    </w:p>
    <w:p w14:paraId="3B6CDA07">
      <w:pPr>
        <w:spacing w:line="520" w:lineRule="exact"/>
        <w:ind w:firstLine="640"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如采用辐射灭菌，参照GB 18280.1、GB 18280.2、GB/T 18280.3等标准的要求开展研究。</w:t>
      </w:r>
    </w:p>
    <w:p w14:paraId="08FE9FA6">
      <w:pPr>
        <w:autoSpaceDE w:val="0"/>
        <w:autoSpaceDN w:val="0"/>
        <w:adjustRightInd w:val="0"/>
        <w:spacing w:line="520" w:lineRule="exact"/>
        <w:ind w:firstLine="640" w:firstLineChars="200"/>
        <w:rPr>
          <w:rFonts w:hint="eastAsia" w:ascii="Times New Roman" w:hAnsi="Times New Roman" w:eastAsia="仿宋_GB2312" w:cs="仿宋_GB2312"/>
          <w:bCs/>
          <w:color w:val="000000"/>
          <w:kern w:val="0"/>
          <w:sz w:val="32"/>
          <w:szCs w:val="32"/>
          <w:highlight w:val="none"/>
        </w:rPr>
      </w:pPr>
      <w:r>
        <w:rPr>
          <w:rFonts w:hint="eastAsia" w:ascii="Times New Roman" w:hAnsi="Times New Roman" w:eastAsia="仿宋_GB2312" w:cs="仿宋_GB2312"/>
          <w:bCs/>
          <w:kern w:val="0"/>
          <w:sz w:val="32"/>
          <w:szCs w:val="32"/>
          <w:highlight w:val="none"/>
        </w:rPr>
        <w:t>4.3.4</w:t>
      </w:r>
      <w:r>
        <w:rPr>
          <w:rFonts w:hint="eastAsia" w:ascii="Times New Roman" w:hAnsi="Times New Roman" w:eastAsia="仿宋_GB2312" w:cs="仿宋_GB2312"/>
          <w:bCs/>
          <w:color w:val="000000"/>
          <w:kern w:val="0"/>
          <w:sz w:val="32"/>
          <w:szCs w:val="32"/>
          <w:highlight w:val="none"/>
        </w:rPr>
        <w:t>若申报产品不能耐受终端灭菌工艺，需提供依据及不能耐受的验证资料。</w:t>
      </w:r>
    </w:p>
    <w:p w14:paraId="5981CB1C">
      <w:pPr>
        <w:spacing w:line="520" w:lineRule="exact"/>
        <w:ind w:firstLine="640" w:firstLineChars="200"/>
        <w:rPr>
          <w:rFonts w:hint="eastAsia" w:ascii="Times New Roman" w:hAnsi="Times New Roman" w:eastAsia="仿宋_GB2312" w:cs="仿宋_GB2312"/>
          <w:bCs/>
          <w:kern w:val="0"/>
          <w:sz w:val="32"/>
          <w:szCs w:val="32"/>
          <w:highlight w:val="none"/>
        </w:rPr>
      </w:pPr>
      <w:r>
        <w:rPr>
          <w:rFonts w:hint="eastAsia" w:ascii="Times New Roman" w:hAnsi="Times New Roman" w:eastAsia="仿宋_GB2312" w:cs="仿宋_GB2312"/>
          <w:bCs/>
          <w:kern w:val="0"/>
          <w:sz w:val="32"/>
          <w:szCs w:val="32"/>
          <w:highlight w:val="none"/>
        </w:rPr>
        <w:t>如适用，应明确采用的除菌工艺，如过滤除菌等。应明确除菌工艺（方法和参数）和保证水平，提供确认报告。</w:t>
      </w:r>
    </w:p>
    <w:p w14:paraId="305E4B68">
      <w:pPr>
        <w:spacing w:line="520" w:lineRule="exact"/>
        <w:ind w:firstLine="640" w:firstLineChars="200"/>
        <w:outlineLvl w:val="2"/>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4.4稳定性研究</w:t>
      </w:r>
    </w:p>
    <w:p w14:paraId="37D765C7">
      <w:pPr>
        <w:spacing w:line="520" w:lineRule="exact"/>
        <w:ind w:firstLine="640" w:firstLineChars="200"/>
        <w:outlineLvl w:val="2"/>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4.4.1货架有效期</w:t>
      </w:r>
    </w:p>
    <w:p w14:paraId="14D6D863">
      <w:pPr>
        <w:spacing w:line="520" w:lineRule="exact"/>
        <w:ind w:firstLine="640" w:firstLineChars="200"/>
        <w:outlineLvl w:val="2"/>
        <w:rPr>
          <w:rFonts w:ascii="Times New Roman" w:hAnsi="Times New Roman" w:eastAsia="仿宋_GB2312" w:cs="仿宋_GB2312"/>
          <w:bCs w:val="0"/>
          <w:kern w:val="2"/>
          <w:sz w:val="32"/>
          <w:szCs w:val="32"/>
          <w:lang w:val="en-US" w:eastAsia="zh-CN" w:bidi="ar-SA"/>
        </w:rPr>
      </w:pPr>
      <w:r>
        <w:rPr>
          <w:rFonts w:ascii="Times New Roman" w:hAnsi="Times New Roman" w:eastAsia="仿宋_GB2312" w:cs="仿宋_GB2312"/>
          <w:bCs w:val="0"/>
          <w:kern w:val="2"/>
          <w:sz w:val="32"/>
          <w:szCs w:val="32"/>
          <w:lang w:val="en-US" w:eastAsia="zh-CN" w:bidi="ar-SA"/>
        </w:rPr>
        <w:t>应提供货架有效期研究资料，证明在货架有效期内，产品可以保持性能功能满足使用要求。注册申请人需在试验方案中设定检测项目、检测方法及判定标准。检测项目</w:t>
      </w:r>
      <w:r>
        <w:rPr>
          <w:rFonts w:hint="eastAsia" w:ascii="Times New Roman" w:hAnsi="Times New Roman" w:eastAsia="仿宋_GB2312" w:cs="仿宋_GB2312"/>
          <w:bCs w:val="0"/>
          <w:kern w:val="2"/>
          <w:sz w:val="32"/>
          <w:szCs w:val="32"/>
          <w:lang w:val="en-US" w:eastAsia="zh-CN" w:bidi="ar-SA"/>
        </w:rPr>
        <w:t>应包含产品技术要求中所描述的参数</w:t>
      </w:r>
      <w:r>
        <w:rPr>
          <w:rFonts w:ascii="Times New Roman" w:hAnsi="Times New Roman" w:eastAsia="仿宋_GB2312" w:cs="仿宋_GB2312"/>
          <w:bCs w:val="0"/>
          <w:kern w:val="2"/>
          <w:sz w:val="32"/>
          <w:szCs w:val="32"/>
          <w:lang w:val="en-US" w:eastAsia="zh-CN" w:bidi="ar-SA"/>
        </w:rPr>
        <w:t>。实时稳定性试验结果是验证产品货架有效期的直接证据。当加速稳定性试验结果与其不一致时，应以实时稳定性试验结果为准。</w:t>
      </w:r>
    </w:p>
    <w:p w14:paraId="7D0C5A96">
      <w:pPr>
        <w:keepNext/>
        <w:keepLines/>
        <w:widowControl w:val="0"/>
        <w:spacing w:line="520" w:lineRule="exact"/>
        <w:ind w:firstLine="640" w:firstLineChars="200"/>
        <w:jc w:val="both"/>
        <w:outlineLvl w:val="2"/>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产品以无菌和非无菌两种形式提供时，应分别进行有效期的研究。</w:t>
      </w:r>
    </w:p>
    <w:p w14:paraId="06EB46D0">
      <w:pPr>
        <w:spacing w:line="520" w:lineRule="exact"/>
        <w:ind w:firstLine="640" w:firstLineChars="200"/>
        <w:outlineLvl w:val="2"/>
        <w:rPr>
          <w:rFonts w:hint="default" w:ascii="Times New Roman" w:hAnsi="Times New Roman" w:eastAsia="仿宋_GB2312" w:cs="仿宋_GB2312"/>
          <w:bCs/>
          <w:sz w:val="32"/>
          <w:szCs w:val="32"/>
          <w:lang w:val="en-US" w:eastAsia="zh-CN"/>
        </w:rPr>
      </w:pPr>
      <w:r>
        <w:rPr>
          <w:rFonts w:hint="eastAsia" w:ascii="Times New Roman" w:hAnsi="Times New Roman" w:eastAsia="仿宋_GB2312" w:cs="仿宋_GB2312"/>
          <w:bCs/>
          <w:sz w:val="32"/>
          <w:szCs w:val="32"/>
        </w:rPr>
        <w:t>4.4.</w:t>
      </w:r>
      <w:r>
        <w:rPr>
          <w:rFonts w:hint="eastAsia" w:ascii="Times New Roman" w:hAnsi="Times New Roman" w:eastAsia="仿宋_GB2312" w:cs="仿宋_GB2312"/>
          <w:bCs/>
          <w:sz w:val="32"/>
          <w:szCs w:val="32"/>
          <w:lang w:val="en-US" w:eastAsia="zh-CN"/>
        </w:rPr>
        <w:t>2使用稳定性</w:t>
      </w:r>
    </w:p>
    <w:p w14:paraId="7ED9AE3E">
      <w:pPr>
        <w:keepNext/>
        <w:keepLines/>
        <w:widowControl w:val="0"/>
        <w:spacing w:line="520" w:lineRule="exact"/>
        <w:ind w:firstLine="640" w:firstLineChars="200"/>
        <w:jc w:val="both"/>
        <w:outlineLvl w:val="2"/>
        <w:rPr>
          <w:rFonts w:hint="eastAsia" w:ascii="Times New Roman" w:hAnsi="Times New Roman" w:eastAsia="仿宋_GB2312" w:cs="仿宋_GB2312"/>
          <w:bCs/>
          <w:sz w:val="32"/>
          <w:szCs w:val="32"/>
        </w:rPr>
      </w:pPr>
      <w:r>
        <w:rPr>
          <w:rFonts w:ascii="Times New Roman" w:hAnsi="Times New Roman" w:eastAsia="仿宋_GB2312" w:cs="仿宋_GB2312"/>
          <w:bCs w:val="0"/>
          <w:kern w:val="2"/>
          <w:sz w:val="32"/>
          <w:szCs w:val="32"/>
          <w:lang w:val="en-US" w:eastAsia="zh-CN" w:bidi="ar-SA"/>
        </w:rPr>
        <w:t>对于</w:t>
      </w:r>
      <w:r>
        <w:rPr>
          <w:rFonts w:hint="eastAsia" w:ascii="Times New Roman" w:hAnsi="Times New Roman" w:eastAsia="仿宋_GB2312" w:cs="仿宋_GB2312"/>
          <w:bCs w:val="0"/>
          <w:kern w:val="2"/>
          <w:sz w:val="32"/>
          <w:szCs w:val="32"/>
          <w:lang w:val="en-US" w:eastAsia="zh-CN" w:bidi="ar-SA"/>
        </w:rPr>
        <w:t>非无菌产品</w:t>
      </w:r>
      <w:r>
        <w:rPr>
          <w:rFonts w:ascii="Times New Roman" w:hAnsi="Times New Roman" w:eastAsia="仿宋_GB2312" w:cs="仿宋_GB2312"/>
          <w:bCs w:val="0"/>
          <w:kern w:val="2"/>
          <w:sz w:val="32"/>
          <w:szCs w:val="32"/>
          <w:lang w:val="en-US" w:eastAsia="zh-CN" w:bidi="ar-SA"/>
        </w:rPr>
        <w:t>开封后可以多次使用</w:t>
      </w:r>
      <w:r>
        <w:rPr>
          <w:rFonts w:hint="eastAsia" w:ascii="Times New Roman" w:hAnsi="Times New Roman" w:eastAsia="仿宋_GB2312" w:cs="仿宋_GB2312"/>
          <w:bCs w:val="0"/>
          <w:kern w:val="2"/>
          <w:sz w:val="32"/>
          <w:szCs w:val="32"/>
          <w:lang w:val="en-US" w:eastAsia="zh-CN" w:bidi="ar-SA"/>
        </w:rPr>
        <w:t>的产品</w:t>
      </w:r>
      <w:r>
        <w:rPr>
          <w:rFonts w:ascii="Times New Roman" w:hAnsi="Times New Roman" w:eastAsia="仿宋_GB2312" w:cs="仿宋_GB2312"/>
          <w:bCs w:val="0"/>
          <w:kern w:val="2"/>
          <w:sz w:val="32"/>
          <w:szCs w:val="32"/>
          <w:lang w:val="en-US" w:eastAsia="zh-CN" w:bidi="ar-SA"/>
        </w:rPr>
        <w:t>，应对其开封后稳定性进行研究。为确认产品开封后，在实际使用环境下，经过一段时期仍然能够满足使用要求的最长存放时间，建议通过分析评价后选择合适的检测项目（如微生物指标等），提供研究报告。</w:t>
      </w:r>
    </w:p>
    <w:p w14:paraId="05E9F6DE">
      <w:pPr>
        <w:spacing w:line="520" w:lineRule="exact"/>
        <w:ind w:firstLine="640" w:firstLineChars="200"/>
        <w:rPr>
          <w:rFonts w:hint="default" w:ascii="Times New Roman" w:hAnsi="Times New Roman" w:eastAsia="仿宋_GB2312" w:cs="仿宋_GB2312"/>
          <w:bCs/>
          <w:sz w:val="32"/>
          <w:szCs w:val="32"/>
          <w:lang w:val="en-US" w:eastAsia="zh-CN"/>
        </w:rPr>
      </w:pPr>
      <w:r>
        <w:rPr>
          <w:rFonts w:hint="eastAsia" w:ascii="Times New Roman" w:hAnsi="Times New Roman" w:eastAsia="仿宋_GB2312" w:cs="仿宋_GB2312"/>
          <w:bCs/>
          <w:sz w:val="32"/>
          <w:szCs w:val="32"/>
        </w:rPr>
        <w:t>4.4.</w:t>
      </w:r>
      <w:r>
        <w:rPr>
          <w:rFonts w:hint="eastAsia" w:ascii="Times New Roman" w:hAnsi="Times New Roman" w:eastAsia="仿宋_GB2312" w:cs="仿宋_GB2312"/>
          <w:bCs/>
          <w:sz w:val="32"/>
          <w:szCs w:val="32"/>
          <w:lang w:val="en-US" w:eastAsia="zh-CN"/>
        </w:rPr>
        <w:t>3运输稳定性</w:t>
      </w:r>
    </w:p>
    <w:p w14:paraId="2271559D">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应提供</w:t>
      </w:r>
      <w:r>
        <w:rPr>
          <w:rFonts w:eastAsia="仿宋_GB2312"/>
          <w:bCs/>
          <w:color w:val="000000"/>
          <w:sz w:val="32"/>
          <w:szCs w:val="32"/>
        </w:rPr>
        <w:t>运输稳定性和包装研究资料</w:t>
      </w:r>
      <w:r>
        <w:rPr>
          <w:rFonts w:hint="eastAsia" w:ascii="Times New Roman" w:hAnsi="Times New Roman" w:eastAsia="仿宋_GB2312" w:cs="仿宋_GB2312"/>
          <w:bCs/>
          <w:sz w:val="32"/>
          <w:szCs w:val="32"/>
        </w:rPr>
        <w:t>，证明在生产企业规定的运输贮存条件下，运输和贮存过程中的环境条件（例如：震动、振动、温度、湿度、光线的波动）不会对产品的性能造成不利影响。</w:t>
      </w:r>
    </w:p>
    <w:p w14:paraId="5A1FB784">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注册申请人应提交最终成品包装的初始完整性和维持完整性的验证资料。对于在加速稳定性试验中可能导致产品变性而不适于选择加速稳定性试验研究其包装的情况，应以实时稳定性试验进行验证。</w:t>
      </w:r>
    </w:p>
    <w:p w14:paraId="73CA6100">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包装研究资料应包括封口试验以及包装材料对灭菌的适应性研究。可依据GB/T 19633系列标准对包装进行分析研究和评价。</w:t>
      </w:r>
    </w:p>
    <w:p w14:paraId="00577C75">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4.</w:t>
      </w:r>
      <w:r>
        <w:rPr>
          <w:rFonts w:hint="eastAsia" w:ascii="Times New Roman" w:hAnsi="Times New Roman" w:eastAsia="仿宋_GB2312" w:cs="仿宋_GB2312"/>
          <w:bCs/>
          <w:sz w:val="32"/>
          <w:szCs w:val="32"/>
          <w:lang w:val="en-US" w:eastAsia="zh-CN"/>
        </w:rPr>
        <w:t>5</w:t>
      </w:r>
      <w:r>
        <w:rPr>
          <w:rFonts w:hint="eastAsia" w:ascii="Times New Roman" w:hAnsi="Times New Roman" w:eastAsia="仿宋_GB2312" w:cs="仿宋_GB2312"/>
          <w:bCs/>
          <w:sz w:val="32"/>
          <w:szCs w:val="32"/>
        </w:rPr>
        <w:t>其他资料</w:t>
      </w:r>
    </w:p>
    <w:p w14:paraId="72BBEC86">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对于符合《免于临床评价医疗器械目录》的产品,</w:t>
      </w:r>
      <w:r>
        <w:rPr>
          <w:rFonts w:hint="eastAsia" w:ascii="Times New Roman" w:hAnsi="Times New Roman" w:eastAsia="仿宋_GB2312" w:cs="仿宋_GB2312"/>
          <w:bCs/>
          <w:color w:val="000000"/>
          <w:sz w:val="32"/>
          <w:szCs w:val="32"/>
        </w:rPr>
        <w:t xml:space="preserve"> 注册申请人可</w:t>
      </w:r>
      <w:r>
        <w:rPr>
          <w:rFonts w:hint="eastAsia" w:ascii="Times New Roman" w:hAnsi="Times New Roman" w:eastAsia="仿宋_GB2312" w:cs="仿宋_GB2312"/>
          <w:bCs/>
          <w:sz w:val="32"/>
          <w:szCs w:val="32"/>
        </w:rPr>
        <w:t>按照《列入免于临床评价医疗器械目录产品对比说明技术指导原则》提供相应资料，从基本原理、结构组成、性能、安全性、适用范围等方面，证明产品的安全有效性。</w:t>
      </w:r>
    </w:p>
    <w:p w14:paraId="3B6A2811">
      <w:pPr>
        <w:tabs>
          <w:tab w:val="left" w:pos="6720"/>
        </w:tabs>
        <w:spacing w:line="520" w:lineRule="exact"/>
        <w:ind w:firstLine="640" w:firstLineChars="200"/>
        <w:outlineLvl w:val="0"/>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（四）临床评价资料</w:t>
      </w:r>
    </w:p>
    <w:p w14:paraId="31D0C4FF">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对于不符合《免于临床评价医疗器械目录》的产品，应按照《医疗器械注册与备案管理办法》《医疗器械临床评价技术指导原则》《医疗器械临床试验质量管理规范》等要求提交临床评价资料。</w:t>
      </w:r>
    </w:p>
    <w:p w14:paraId="2FF37EA1">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1.同品种临床评价路径</w:t>
      </w:r>
    </w:p>
    <w:p w14:paraId="25D6BDCB">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在满足注册法规要求的前提下，可按照《医疗器械临床评价等同性论证技术指导原则》进行境内已上市同品种产品的对比、分析、评价，并按照《医疗器械注册申报临床评价报告技术指导原则》要求的项目和格式出具评价报告。</w:t>
      </w:r>
    </w:p>
    <w:p w14:paraId="35273DDD">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2.临床试验路径</w:t>
      </w:r>
    </w:p>
    <w:p w14:paraId="1394EC14">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临床试验需按照《医疗器械临床试验质量管理规范》开展，提交完整的临床试验资料。临床试验的设计可参考《医疗器械临床试验设计指导原则》，根据注册申请人宣称的申报产品适用范围开展。</w:t>
      </w:r>
    </w:p>
    <w:p w14:paraId="54D7EF41">
      <w:pPr>
        <w:spacing w:line="520" w:lineRule="exact"/>
        <w:ind w:firstLine="640" w:firstLineChars="200"/>
        <w:rPr>
          <w:rFonts w:ascii="Times New Roman" w:hAnsi="Times New Roman" w:eastAsia="楷体_GB2312" w:cs="Times New Roman"/>
          <w:color w:val="000000"/>
          <w:sz w:val="32"/>
          <w:szCs w:val="32"/>
          <w:highlight w:val="none"/>
        </w:rPr>
      </w:pPr>
      <w:r>
        <w:rPr>
          <w:rFonts w:ascii="Times New Roman" w:hAnsi="Times New Roman" w:eastAsia="楷体_GB2312" w:cs="Times New Roman"/>
          <w:color w:val="000000"/>
          <w:sz w:val="32"/>
          <w:szCs w:val="32"/>
          <w:highlight w:val="none"/>
        </w:rPr>
        <w:t>（五）产品说明书和标签样稿</w:t>
      </w:r>
    </w:p>
    <w:p w14:paraId="1BE0E2F9">
      <w:pPr>
        <w:spacing w:line="520" w:lineRule="exact"/>
        <w:ind w:firstLine="640"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rPr>
        <w:t>产品说明书和标签的编写应符合《医疗器械说明书和标签管理规定》和相关标准中的要求，关于产品性能特征的描述不应超出研究资料及产品技术要求，不得含有未经验证的夸大宣传的相关描述；储存和运输条件不应超出产品货架有效期验证</w:t>
      </w:r>
      <w:r>
        <w:rPr>
          <w:rFonts w:hint="eastAsia" w:ascii="Times New Roman" w:hAnsi="Times New Roman" w:eastAsia="仿宋_GB2312" w:cs="仿宋_GB2312"/>
          <w:bCs/>
          <w:sz w:val="32"/>
          <w:szCs w:val="32"/>
          <w:highlight w:val="none"/>
        </w:rPr>
        <w:t>范围，同时还应注意以下几点（不限于此）：</w:t>
      </w:r>
    </w:p>
    <w:p w14:paraId="1E9AF0B4">
      <w:pPr>
        <w:spacing w:line="520" w:lineRule="exact"/>
        <w:ind w:firstLine="640"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1.提示使用前首先阅读说明书，了解使用方法。</w:t>
      </w:r>
    </w:p>
    <w:p w14:paraId="775C03B0">
      <w:pPr>
        <w:spacing w:line="520" w:lineRule="exact"/>
        <w:ind w:firstLine="640"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2.禁忌证至少包含对</w:t>
      </w:r>
      <w:r>
        <w:rPr>
          <w:rFonts w:hint="eastAsia" w:ascii="Times New Roman" w:hAnsi="Times New Roman" w:eastAsia="仿宋_GB2312" w:cs="仿宋_GB2312"/>
          <w:bCs/>
          <w:sz w:val="32"/>
          <w:szCs w:val="32"/>
          <w:highlight w:val="none"/>
          <w:lang w:val="en-US" w:eastAsia="zh-CN"/>
        </w:rPr>
        <w:t>原材料</w:t>
      </w:r>
      <w:r>
        <w:rPr>
          <w:rFonts w:hint="eastAsia" w:ascii="Times New Roman" w:hAnsi="Times New Roman" w:eastAsia="仿宋_GB2312" w:cs="仿宋_GB2312"/>
          <w:bCs/>
          <w:sz w:val="32"/>
          <w:szCs w:val="32"/>
          <w:highlight w:val="none"/>
        </w:rPr>
        <w:t>过敏者禁用，</w:t>
      </w:r>
      <w:r>
        <w:rPr>
          <w:rFonts w:hint="eastAsia" w:ascii="Times New Roman" w:hAnsi="Times New Roman" w:eastAsia="仿宋_GB2312" w:cs="仿宋_GB2312"/>
          <w:bCs/>
          <w:sz w:val="32"/>
          <w:szCs w:val="32"/>
          <w:highlight w:val="none"/>
          <w:lang w:val="en-US" w:eastAsia="zh-CN"/>
        </w:rPr>
        <w:t>鼻腔粘膜</w:t>
      </w:r>
      <w:r>
        <w:rPr>
          <w:rFonts w:hint="eastAsia" w:ascii="Times New Roman" w:hAnsi="Times New Roman" w:eastAsia="仿宋_GB2312" w:cs="仿宋_GB2312"/>
          <w:bCs/>
          <w:sz w:val="32"/>
          <w:szCs w:val="32"/>
          <w:highlight w:val="none"/>
        </w:rPr>
        <w:t>破损或发炎禁止使用</w:t>
      </w:r>
      <w:r>
        <w:rPr>
          <w:rFonts w:hint="eastAsia" w:ascii="Times New Roman" w:hAnsi="Times New Roman" w:eastAsia="仿宋_GB2312" w:cs="仿宋_GB2312"/>
          <w:bCs/>
          <w:sz w:val="32"/>
          <w:szCs w:val="32"/>
          <w:highlight w:val="none"/>
          <w:lang w:eastAsia="zh-CN"/>
        </w:rPr>
        <w:t>，</w:t>
      </w:r>
      <w:r>
        <w:rPr>
          <w:rFonts w:hint="eastAsia" w:ascii="Times New Roman" w:hAnsi="Times New Roman" w:eastAsia="仿宋_GB2312" w:cs="仿宋_GB2312"/>
          <w:bCs/>
          <w:sz w:val="32"/>
          <w:szCs w:val="32"/>
          <w:highlight w:val="none"/>
        </w:rPr>
        <w:t>对不明确过敏者慎用等。</w:t>
      </w:r>
    </w:p>
    <w:p w14:paraId="0A2D495C">
      <w:pPr>
        <w:spacing w:line="520" w:lineRule="exact"/>
        <w:ind w:firstLine="640"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3.产品</w:t>
      </w:r>
      <w:r>
        <w:rPr>
          <w:rFonts w:hint="eastAsia" w:ascii="Times New Roman" w:hAnsi="Times New Roman" w:eastAsia="仿宋_GB2312" w:cs="仿宋_GB2312"/>
          <w:bCs/>
          <w:sz w:val="32"/>
          <w:szCs w:val="32"/>
          <w:highlight w:val="none"/>
          <w:lang w:val="en-US" w:eastAsia="zh-CN"/>
        </w:rPr>
        <w:t>无菌的，应注明</w:t>
      </w:r>
      <w:r>
        <w:rPr>
          <w:rFonts w:hint="eastAsia" w:ascii="Times New Roman" w:hAnsi="Times New Roman" w:eastAsia="仿宋_GB2312" w:cs="仿宋_GB2312"/>
          <w:bCs/>
          <w:sz w:val="32"/>
          <w:szCs w:val="32"/>
          <w:highlight w:val="none"/>
        </w:rPr>
        <w:t>灭菌方式。</w:t>
      </w:r>
    </w:p>
    <w:p w14:paraId="19A84A77">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4.注意事项一般应有以下内容：</w:t>
      </w:r>
    </w:p>
    <w:p w14:paraId="11DA3291">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（1）本产品预期使用的时间限制，明确产品累计使用时间</w:t>
      </w:r>
      <w:r>
        <w:rPr>
          <w:rFonts w:hint="eastAsia" w:ascii="Times New Roman" w:hAnsi="Times New Roman" w:eastAsia="仿宋_GB2312" w:cs="仿宋_GB2312"/>
          <w:bCs/>
          <w:sz w:val="32"/>
          <w:szCs w:val="32"/>
          <w:lang w:eastAsia="zh-CN"/>
        </w:rPr>
        <w:t>、</w:t>
      </w:r>
      <w:r>
        <w:rPr>
          <w:rFonts w:hint="eastAsia" w:ascii="Times New Roman" w:hAnsi="Times New Roman" w:eastAsia="仿宋_GB2312" w:cs="仿宋_GB2312"/>
          <w:bCs/>
          <w:sz w:val="32"/>
          <w:szCs w:val="32"/>
          <w:lang w:val="en-US" w:eastAsia="zh-CN"/>
        </w:rPr>
        <w:t>开瓶有效期</w:t>
      </w:r>
      <w:r>
        <w:rPr>
          <w:rFonts w:hint="eastAsia" w:ascii="Times New Roman" w:hAnsi="Times New Roman" w:eastAsia="仿宋_GB2312" w:cs="仿宋_GB2312"/>
          <w:bCs/>
          <w:sz w:val="32"/>
          <w:szCs w:val="32"/>
        </w:rPr>
        <w:t>。</w:t>
      </w:r>
    </w:p>
    <w:p w14:paraId="359568C1">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（2）针对产品特点的特殊注意事项、警示信息、可能的不良事件及处理措施。明确产品仅限于在经培训的医生或护理人员指导下使用。</w:t>
      </w:r>
    </w:p>
    <w:p w14:paraId="4ED01F9E">
      <w:pPr>
        <w:spacing w:line="520" w:lineRule="exact"/>
        <w:ind w:firstLine="640"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（3）包装如有破损、脏污等异常情况禁止使用等内容。</w:t>
      </w:r>
    </w:p>
    <w:p w14:paraId="36280197">
      <w:pPr>
        <w:spacing w:line="520" w:lineRule="exact"/>
        <w:ind w:firstLine="640" w:firstLineChars="200"/>
        <w:rPr>
          <w:rFonts w:hint="eastAsia" w:ascii="Times New Roman" w:hAnsi="Times New Roman" w:eastAsia="仿宋_GB2312" w:cs="仿宋_GB2312"/>
          <w:bCs/>
          <w:sz w:val="32"/>
          <w:szCs w:val="32"/>
          <w:highlight w:val="none"/>
        </w:rPr>
      </w:pPr>
      <w:r>
        <w:rPr>
          <w:rFonts w:hint="eastAsia" w:ascii="Times New Roman" w:hAnsi="Times New Roman" w:eastAsia="仿宋_GB2312" w:cs="仿宋_GB2312"/>
          <w:bCs/>
          <w:sz w:val="32"/>
          <w:szCs w:val="32"/>
          <w:highlight w:val="none"/>
        </w:rPr>
        <w:t>（4）明确一个产品仅限单人使用。</w:t>
      </w:r>
    </w:p>
    <w:p w14:paraId="75292AC8">
      <w:pPr>
        <w:spacing w:line="520" w:lineRule="exact"/>
        <w:ind w:firstLine="640" w:firstLineChars="200"/>
        <w:rPr>
          <w:rFonts w:ascii="Times New Roman" w:hAnsi="Times New Roman" w:eastAsia="楷体_GB2312" w:cs="Times New Roman"/>
          <w:color w:val="000000"/>
          <w:sz w:val="32"/>
          <w:szCs w:val="32"/>
          <w:highlight w:val="none"/>
        </w:rPr>
      </w:pPr>
      <w:r>
        <w:rPr>
          <w:rFonts w:ascii="Times New Roman" w:hAnsi="Times New Roman" w:eastAsia="楷体_GB2312" w:cs="Times New Roman"/>
          <w:color w:val="000000"/>
          <w:sz w:val="32"/>
          <w:szCs w:val="32"/>
          <w:highlight w:val="none"/>
        </w:rPr>
        <w:t>（六）质量管理体系文件</w:t>
      </w:r>
    </w:p>
    <w:p w14:paraId="394C3DA5">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按照《关于公布医疗器械注册申报资料要求和批准证明文件格式的公告》提交相关文件。</w:t>
      </w:r>
    </w:p>
    <w:p w14:paraId="7DC8D0C1">
      <w:pPr>
        <w:snapToGrid w:val="0"/>
        <w:spacing w:line="52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三、参考文献</w:t>
      </w:r>
    </w:p>
    <w:p w14:paraId="79E358DA">
      <w:pPr>
        <w:spacing w:line="520" w:lineRule="exact"/>
        <w:ind w:right="-67" w:rightChars="-32"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w:t>
      </w:r>
      <w:r>
        <w:rPr>
          <w:rFonts w:ascii="Times New Roman" w:hAnsi="Times New Roman" w:eastAsia="仿宋_GB2312" w:cs="Times New Roman"/>
          <w:sz w:val="32"/>
          <w:szCs w:val="32"/>
          <w:lang w:val="en"/>
        </w:rPr>
        <w:t>中华人民共和国国务院</w:t>
      </w:r>
      <w:r>
        <w:rPr>
          <w:rFonts w:hint="eastAsia" w:ascii="Times New Roman" w:hAnsi="Times New Roman" w:eastAsia="仿宋_GB2312" w:cs="Times New Roman"/>
          <w:sz w:val="32"/>
          <w:szCs w:val="32"/>
          <w:lang w:val="en"/>
        </w:rPr>
        <w:t>.</w:t>
      </w:r>
      <w:r>
        <w:rPr>
          <w:rFonts w:ascii="Times New Roman" w:hAnsi="Times New Roman" w:eastAsia="仿宋_GB2312" w:cs="Times New Roman"/>
          <w:sz w:val="32"/>
          <w:szCs w:val="32"/>
        </w:rPr>
        <w:t>医疗器械监督管理条例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lang w:val="en"/>
        </w:rPr>
        <w:t>中华人民共和国国务院令第739号</w:t>
      </w:r>
      <w:r>
        <w:rPr>
          <w:rFonts w:ascii="Times New Roman" w:hAnsi="Times New Roman" w:eastAsia="仿宋_GB2312" w:cs="Times New Roman"/>
          <w:sz w:val="32"/>
          <w:szCs w:val="32"/>
        </w:rPr>
        <w:t>[Z].</w:t>
      </w:r>
    </w:p>
    <w:p w14:paraId="6E911BFA">
      <w:pPr>
        <w:spacing w:line="520" w:lineRule="exact"/>
        <w:ind w:right="-67" w:rightChars="-32"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ascii="Times New Roman" w:hAnsi="Times New Roman" w:eastAsia="仿宋_GB2312" w:cs="Times New Roman"/>
          <w:sz w:val="32"/>
          <w:szCs w:val="32"/>
        </w:rPr>
        <w:t>国家市场监督管理总局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医疗器械注册与备案管理办法:国家市场监督管理总局令第47号[Z].</w:t>
      </w:r>
    </w:p>
    <w:p w14:paraId="2AA8876B">
      <w:pPr>
        <w:spacing w:line="520" w:lineRule="exact"/>
        <w:ind w:right="-67" w:rightChars="-32"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bCs/>
          <w:sz w:val="32"/>
          <w:szCs w:val="32"/>
        </w:rPr>
        <w:t>[3]</w:t>
      </w:r>
      <w:r>
        <w:rPr>
          <w:rFonts w:hint="eastAsia" w:ascii="Times New Roman" w:hAnsi="Times New Roman" w:eastAsia="仿宋_GB2312" w:cs="Times New Roman"/>
          <w:sz w:val="32"/>
          <w:szCs w:val="32"/>
        </w:rPr>
        <w:t>国家药品监督管理局.</w:t>
      </w:r>
      <w:r>
        <w:rPr>
          <w:rFonts w:ascii="Times New Roman" w:hAnsi="Times New Roman" w:eastAsia="仿宋_GB2312" w:cs="Times New Roman"/>
          <w:sz w:val="32"/>
          <w:szCs w:val="32"/>
        </w:rPr>
        <w:t>医疗器械注册申报资料要求和批准证明文件格式</w:t>
      </w:r>
      <w:r>
        <w:rPr>
          <w:rFonts w:hint="eastAsia" w:ascii="Times New Roman" w:hAnsi="Times New Roman" w:eastAsia="仿宋_GB2312" w:cs="Times New Roman"/>
          <w:sz w:val="32"/>
          <w:szCs w:val="32"/>
        </w:rPr>
        <w:t>:国家药监局公告2021年第121号</w:t>
      </w:r>
      <w:r>
        <w:rPr>
          <w:rFonts w:ascii="Times New Roman" w:hAnsi="Times New Roman" w:eastAsia="仿宋_GB2312" w:cs="Times New Roman"/>
          <w:sz w:val="32"/>
          <w:szCs w:val="32"/>
        </w:rPr>
        <w:t>[Z].</w:t>
      </w:r>
    </w:p>
    <w:p w14:paraId="20D8BA55">
      <w:pPr>
        <w:spacing w:line="520" w:lineRule="exact"/>
        <w:ind w:right="-67" w:rightChars="-32"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[4]</w:t>
      </w:r>
      <w:r>
        <w:rPr>
          <w:rFonts w:ascii="Times New Roman" w:hAnsi="Times New Roman" w:eastAsia="仿宋_GB2312" w:cs="Times New Roman"/>
          <w:sz w:val="32"/>
          <w:szCs w:val="32"/>
          <w:lang w:val="en"/>
        </w:rPr>
        <w:t>国家食品药品监督管理局</w:t>
      </w:r>
      <w:r>
        <w:rPr>
          <w:rFonts w:ascii="Times New Roman" w:hAnsi="Times New Roman" w:eastAsia="仿宋_GB2312" w:cs="Times New Roman"/>
          <w:sz w:val="32"/>
          <w:szCs w:val="32"/>
        </w:rPr>
        <w:t>.医疗器械注册单元划分指导原则</w:t>
      </w:r>
      <w:r>
        <w:rPr>
          <w:rFonts w:hint="eastAsia" w:ascii="Times New Roman" w:hAnsi="Times New Roman" w:eastAsia="仿宋_GB2312" w:cs="Times New Roman"/>
          <w:sz w:val="32"/>
          <w:szCs w:val="32"/>
        </w:rPr>
        <w:t>:总局通</w:t>
      </w:r>
      <w:r>
        <w:rPr>
          <w:rFonts w:ascii="Times New Roman" w:hAnsi="Times New Roman" w:eastAsia="仿宋_GB2312" w:cs="Times New Roman"/>
          <w:sz w:val="32"/>
          <w:szCs w:val="32"/>
          <w:lang w:val="en"/>
        </w:rPr>
        <w:t>告2017年第187号</w:t>
      </w:r>
      <w:r>
        <w:rPr>
          <w:rFonts w:ascii="Times New Roman" w:hAnsi="Times New Roman" w:eastAsia="仿宋_GB2312" w:cs="Times New Roman"/>
          <w:sz w:val="32"/>
          <w:szCs w:val="32"/>
        </w:rPr>
        <w:t>[Z].</w:t>
      </w:r>
    </w:p>
    <w:p w14:paraId="6B203612">
      <w:pPr>
        <w:spacing w:line="520" w:lineRule="exact"/>
        <w:ind w:right="-67" w:rightChars="-32" w:firstLine="640" w:firstLineChars="200"/>
        <w:rPr>
          <w:rFonts w:ascii="Times New Roman" w:hAnsi="Times New Roman" w:eastAsia="仿宋_GB2312" w:cs="Times New Roman"/>
          <w:sz w:val="32"/>
          <w:szCs w:val="32"/>
        </w:rPr>
      </w:pPr>
      <w:bookmarkStart w:id="2" w:name="_Hlk126776306"/>
      <w:r>
        <w:rPr>
          <w:rFonts w:hint="eastAsia" w:ascii="Times New Roman" w:hAnsi="Times New Roman" w:eastAsia="仿宋_GB2312" w:cs="仿宋_GB2312"/>
          <w:bCs/>
          <w:sz w:val="32"/>
          <w:szCs w:val="32"/>
        </w:rPr>
        <w:t>[5]</w:t>
      </w:r>
      <w:bookmarkEnd w:id="2"/>
      <w:r>
        <w:rPr>
          <w:rFonts w:ascii="Times New Roman" w:hAnsi="Times New Roman" w:eastAsia="仿宋_GB2312" w:cs="Times New Roman"/>
          <w:sz w:val="32"/>
          <w:szCs w:val="32"/>
          <w:lang w:val="en"/>
        </w:rPr>
        <w:t>国家食品药品监督管理局</w:t>
      </w:r>
      <w:r>
        <w:rPr>
          <w:rFonts w:ascii="Times New Roman" w:hAnsi="Times New Roman" w:eastAsia="仿宋_GB2312" w:cs="Times New Roman"/>
          <w:sz w:val="32"/>
          <w:szCs w:val="32"/>
        </w:rPr>
        <w:t>.医疗器械分类目录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lang w:val="en"/>
        </w:rPr>
        <w:t>国家食品药品监督管理总局</w:t>
      </w:r>
      <w:r>
        <w:rPr>
          <w:rFonts w:hint="eastAsia" w:ascii="Times New Roman" w:hAnsi="Times New Roman" w:eastAsia="仿宋_GB2312" w:cs="Times New Roman"/>
          <w:sz w:val="32"/>
          <w:szCs w:val="32"/>
          <w:lang w:val="en"/>
        </w:rPr>
        <w:t>公告</w:t>
      </w:r>
      <w:r>
        <w:rPr>
          <w:rFonts w:ascii="Times New Roman" w:hAnsi="Times New Roman" w:eastAsia="仿宋_GB2312" w:cs="Times New Roman"/>
          <w:sz w:val="32"/>
          <w:szCs w:val="32"/>
          <w:lang w:val="en"/>
        </w:rPr>
        <w:t>2017年第104号</w:t>
      </w:r>
      <w:r>
        <w:rPr>
          <w:rFonts w:ascii="Times New Roman" w:hAnsi="Times New Roman" w:eastAsia="仿宋_GB2312" w:cs="Times New Roman"/>
          <w:sz w:val="32"/>
          <w:szCs w:val="32"/>
        </w:rPr>
        <w:t>[Z].</w:t>
      </w:r>
    </w:p>
    <w:p w14:paraId="6123A0D1">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w:t>
      </w:r>
      <w:r>
        <w:rPr>
          <w:rFonts w:hint="eastAsia" w:ascii="Times New Roman" w:hAnsi="Times New Roman" w:eastAsia="仿宋_GB2312" w:cs="仿宋_GB2312"/>
          <w:bCs/>
          <w:sz w:val="32"/>
          <w:szCs w:val="32"/>
          <w:lang w:val="en-US" w:eastAsia="zh-CN"/>
        </w:rPr>
        <w:t>6</w:t>
      </w:r>
      <w:r>
        <w:rPr>
          <w:rFonts w:hint="eastAsia" w:ascii="Times New Roman" w:hAnsi="Times New Roman" w:eastAsia="仿宋_GB2312" w:cs="仿宋_GB2312"/>
          <w:bCs/>
          <w:sz w:val="32"/>
          <w:szCs w:val="32"/>
        </w:rPr>
        <w:t>]</w:t>
      </w:r>
      <w:r>
        <w:rPr>
          <w:rFonts w:hint="eastAsia" w:ascii="Times New Roman" w:hAnsi="Times New Roman" w:eastAsia="仿宋_GB2312" w:cs="Times New Roman"/>
          <w:color w:val="000000"/>
          <w:sz w:val="32"/>
          <w:szCs w:val="32"/>
        </w:rPr>
        <w:t>国家药品监督管理局.</w:t>
      </w:r>
      <w:r>
        <w:rPr>
          <w:rFonts w:hint="eastAsia" w:ascii="Times New Roman" w:hAnsi="Times New Roman" w:eastAsia="仿宋_GB2312" w:cs="Times New Roman"/>
          <w:sz w:val="32"/>
          <w:szCs w:val="32"/>
        </w:rPr>
        <w:t>医疗器械安全和性能基本原则清单:</w:t>
      </w:r>
      <w:r>
        <w:rPr>
          <w:rFonts w:hint="eastAsia" w:ascii="Times New Roman" w:hAnsi="Times New Roman" w:eastAsia="仿宋_GB2312" w:cs="Times New Roman"/>
          <w:color w:val="000000"/>
          <w:sz w:val="32"/>
          <w:szCs w:val="32"/>
        </w:rPr>
        <w:t>国家药监局公告2021年第121号</w:t>
      </w:r>
      <w:r>
        <w:rPr>
          <w:rFonts w:hint="eastAsia" w:ascii="Times New Roman" w:hAnsi="Times New Roman" w:eastAsia="仿宋_GB2312" w:cs="Times New Roman"/>
          <w:sz w:val="32"/>
          <w:szCs w:val="32"/>
        </w:rPr>
        <w:t>[Z].</w:t>
      </w:r>
    </w:p>
    <w:p w14:paraId="04150E5B">
      <w:pPr>
        <w:widowControl w:val="0"/>
        <w:adjustRightInd w:val="0"/>
        <w:snapToGrid w:val="0"/>
        <w:spacing w:line="520" w:lineRule="exact"/>
        <w:ind w:firstLine="640" w:firstLineChars="200"/>
        <w:rPr>
          <w:rFonts w:hint="eastAsia" w:ascii="Times New Roman" w:hAnsi="Times New Roman" w:eastAsia="仿宋_GB2312" w:cs="仿宋_GB2312"/>
          <w:bCs/>
          <w:sz w:val="32"/>
          <w:szCs w:val="32"/>
          <w:lang w:val="en-US" w:eastAsia="zh-CN" w:bidi="ar-SA"/>
        </w:rPr>
      </w:pPr>
      <w:r>
        <w:rPr>
          <w:rFonts w:hint="eastAsia" w:ascii="Times New Roman" w:hAnsi="Times New Roman" w:eastAsia="仿宋_GB2312" w:cs="仿宋_GB2312"/>
          <w:bCs/>
          <w:sz w:val="32"/>
          <w:szCs w:val="32"/>
          <w:lang w:val="en-US" w:eastAsia="zh-CN" w:bidi="ar-SA"/>
        </w:rPr>
        <w:t>[7]</w:t>
      </w:r>
      <w:r>
        <w:rPr>
          <w:rFonts w:hint="eastAsia" w:ascii="Times New Roman" w:hAnsi="Times New Roman" w:eastAsia="仿宋_GB2312" w:cs="Times New Roman"/>
          <w:sz w:val="32"/>
          <w:szCs w:val="32"/>
          <w:lang w:val="en-US" w:eastAsia="zh-CN" w:bidi="ar-SA"/>
        </w:rPr>
        <w:t>国家药品监督管理局.</w:t>
      </w:r>
      <w:r>
        <w:rPr>
          <w:rFonts w:ascii="Times New Roman" w:hAnsi="Times New Roman" w:eastAsia="仿宋_GB2312" w:cs="Times New Roman"/>
          <w:sz w:val="32"/>
          <w:szCs w:val="32"/>
          <w:lang w:val="en-US" w:eastAsia="zh-CN" w:bidi="ar-SA"/>
        </w:rPr>
        <w:t>医疗器械产品技术要求编写指导原则</w:t>
      </w:r>
      <w:r>
        <w:rPr>
          <w:rFonts w:hint="eastAsia" w:ascii="Times New Roman" w:hAnsi="Times New Roman" w:eastAsia="仿宋_GB2312" w:cs="Times New Roman"/>
          <w:sz w:val="32"/>
          <w:szCs w:val="32"/>
          <w:lang w:val="en-US" w:eastAsia="zh-CN" w:bidi="ar-SA"/>
        </w:rPr>
        <w:t>:国家药监局公告2022年第8号[Z].</w:t>
      </w:r>
    </w:p>
    <w:p w14:paraId="15408D3C">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w:t>
      </w:r>
      <w:r>
        <w:rPr>
          <w:rFonts w:hint="eastAsia" w:ascii="Times New Roman" w:hAnsi="Times New Roman" w:eastAsia="仿宋_GB2312" w:cs="仿宋_GB2312"/>
          <w:bCs/>
          <w:sz w:val="32"/>
          <w:szCs w:val="32"/>
          <w:lang w:val="en-US" w:eastAsia="zh-CN"/>
        </w:rPr>
        <w:t>8</w:t>
      </w:r>
      <w:r>
        <w:rPr>
          <w:rFonts w:hint="eastAsia" w:ascii="Times New Roman" w:hAnsi="Times New Roman" w:eastAsia="仿宋_GB2312" w:cs="仿宋_GB2312"/>
          <w:bCs/>
          <w:sz w:val="32"/>
          <w:szCs w:val="32"/>
        </w:rPr>
        <w:t>]</w:t>
      </w:r>
      <w:r>
        <w:rPr>
          <w:rFonts w:hint="eastAsia" w:ascii="Times New Roman" w:hAnsi="Times New Roman" w:eastAsia="仿宋_GB2312" w:cs="Times New Roman"/>
          <w:sz w:val="32"/>
          <w:szCs w:val="32"/>
        </w:rPr>
        <w:t>国家药品监督管理局.</w:t>
      </w:r>
      <w:r>
        <w:rPr>
          <w:rFonts w:ascii="Times New Roman" w:hAnsi="Times New Roman" w:eastAsia="仿宋_GB2312" w:cs="Times New Roman"/>
          <w:kern w:val="0"/>
          <w:sz w:val="32"/>
          <w:szCs w:val="32"/>
        </w:rPr>
        <w:t>医</w:t>
      </w:r>
      <w:r>
        <w:rPr>
          <w:rFonts w:ascii="Times New Roman" w:hAnsi="Times New Roman" w:eastAsia="仿宋_GB2312" w:cs="Times New Roman"/>
          <w:sz w:val="32"/>
          <w:szCs w:val="32"/>
        </w:rPr>
        <w:t>医疗器械注册自检管理规定</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国家药监局公告2021年第126号[Z].</w:t>
      </w:r>
    </w:p>
    <w:p w14:paraId="6664D2FD">
      <w:pPr>
        <w:spacing w:line="520" w:lineRule="exact"/>
        <w:ind w:right="-67" w:rightChars="-32"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w:t>
      </w:r>
      <w:r>
        <w:rPr>
          <w:rFonts w:hint="eastAsia" w:ascii="Times New Roman" w:hAnsi="Times New Roman" w:eastAsia="仿宋_GB2312" w:cs="仿宋_GB2312"/>
          <w:bCs/>
          <w:sz w:val="32"/>
          <w:szCs w:val="32"/>
          <w:lang w:val="en-US" w:eastAsia="zh-CN"/>
        </w:rPr>
        <w:t>9</w:t>
      </w:r>
      <w:r>
        <w:rPr>
          <w:rFonts w:hint="eastAsia" w:ascii="Times New Roman" w:hAnsi="Times New Roman" w:eastAsia="仿宋_GB2312" w:cs="仿宋_GB2312"/>
          <w:bCs/>
          <w:sz w:val="32"/>
          <w:szCs w:val="32"/>
        </w:rPr>
        <w:t>]</w:t>
      </w:r>
      <w:r>
        <w:rPr>
          <w:rFonts w:hint="eastAsia" w:ascii="Times New Roman" w:hAnsi="Times New Roman" w:eastAsia="仿宋_GB2312" w:cs="Times New Roman"/>
          <w:sz w:val="32"/>
          <w:szCs w:val="32"/>
        </w:rPr>
        <w:t>国家食品药品监督管理局.医疗器械生物学评价和审查指南:国家食品药品监督管理局通知</w:t>
      </w:r>
      <w:r>
        <w:rPr>
          <w:rFonts w:ascii="Times New Roman" w:hAnsi="Times New Roman" w:eastAsia="仿宋_GB2312" w:cs="Times New Roman"/>
          <w:sz w:val="32"/>
          <w:szCs w:val="32"/>
          <w:lang w:val="en"/>
        </w:rPr>
        <w:t>20</w:t>
      </w:r>
      <w:r>
        <w:rPr>
          <w:rFonts w:hint="eastAsia" w:ascii="Times New Roman" w:hAnsi="Times New Roman" w:eastAsia="仿宋_GB2312" w:cs="Times New Roman"/>
          <w:sz w:val="32"/>
          <w:szCs w:val="32"/>
          <w:lang w:val="en"/>
        </w:rPr>
        <w:t>0</w:t>
      </w:r>
      <w:r>
        <w:rPr>
          <w:rFonts w:ascii="Times New Roman" w:hAnsi="Times New Roman" w:eastAsia="仿宋_GB2312" w:cs="Times New Roman"/>
          <w:sz w:val="32"/>
          <w:szCs w:val="32"/>
          <w:lang w:val="en"/>
        </w:rPr>
        <w:t>7年</w:t>
      </w:r>
      <w:r>
        <w:rPr>
          <w:rFonts w:hint="eastAsia" w:ascii="Times New Roman" w:hAnsi="Times New Roman" w:eastAsia="仿宋_GB2312" w:cs="Times New Roman"/>
          <w:sz w:val="32"/>
          <w:szCs w:val="32"/>
          <w:lang w:val="en"/>
        </w:rPr>
        <w:t>345</w:t>
      </w:r>
      <w:r>
        <w:rPr>
          <w:rFonts w:ascii="Times New Roman" w:hAnsi="Times New Roman" w:eastAsia="仿宋_GB2312" w:cs="Times New Roman"/>
          <w:sz w:val="32"/>
          <w:szCs w:val="32"/>
          <w:lang w:val="en"/>
        </w:rPr>
        <w:t>号</w:t>
      </w:r>
      <w:r>
        <w:rPr>
          <w:rFonts w:ascii="Times New Roman" w:hAnsi="Times New Roman" w:eastAsia="仿宋_GB2312" w:cs="Times New Roman"/>
          <w:sz w:val="32"/>
          <w:szCs w:val="32"/>
        </w:rPr>
        <w:t>[Z].</w:t>
      </w:r>
    </w:p>
    <w:p w14:paraId="02932DF8">
      <w:pPr>
        <w:spacing w:line="520" w:lineRule="exact"/>
        <w:ind w:right="-67" w:rightChars="-32"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0</w:t>
      </w:r>
      <w:r>
        <w:rPr>
          <w:rFonts w:hint="eastAsia" w:ascii="Times New Roman" w:hAnsi="Times New Roman" w:eastAsia="仿宋_GB2312" w:cs="仿宋_GB2312"/>
          <w:bCs/>
          <w:sz w:val="32"/>
          <w:szCs w:val="32"/>
        </w:rPr>
        <w:t>]</w:t>
      </w:r>
      <w:r>
        <w:rPr>
          <w:rFonts w:hint="eastAsia" w:ascii="Times New Roman" w:hAnsi="Times New Roman" w:eastAsia="仿宋_GB2312" w:cs="Times New Roman"/>
          <w:sz w:val="32"/>
          <w:szCs w:val="32"/>
        </w:rPr>
        <w:t>国家药品监督管理局.</w:t>
      </w:r>
      <w:r>
        <w:rPr>
          <w:rFonts w:ascii="Times New Roman" w:hAnsi="Times New Roman" w:eastAsia="仿宋_GB2312" w:cs="Times New Roman"/>
          <w:sz w:val="32"/>
          <w:szCs w:val="32"/>
        </w:rPr>
        <w:t>列入免于临床评价医疗器械目录产品对比说明技术指导原则</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lang w:val="en"/>
        </w:rPr>
        <w:t>国家</w:t>
      </w:r>
      <w:r>
        <w:rPr>
          <w:rFonts w:hint="eastAsia" w:ascii="Times New Roman" w:hAnsi="Times New Roman" w:eastAsia="仿宋_GB2312" w:cs="Times New Roman"/>
          <w:sz w:val="32"/>
          <w:szCs w:val="32"/>
          <w:lang w:val="en"/>
        </w:rPr>
        <w:t>药监局通告</w:t>
      </w:r>
      <w:r>
        <w:rPr>
          <w:rFonts w:ascii="Times New Roman" w:hAnsi="Times New Roman" w:eastAsia="仿宋_GB2312" w:cs="Times New Roman"/>
          <w:sz w:val="32"/>
          <w:szCs w:val="32"/>
          <w:lang w:val="en"/>
        </w:rPr>
        <w:t>20</w:t>
      </w:r>
      <w:r>
        <w:rPr>
          <w:rFonts w:hint="eastAsia" w:ascii="Times New Roman" w:hAnsi="Times New Roman" w:eastAsia="仿宋_GB2312" w:cs="Times New Roman"/>
          <w:sz w:val="32"/>
          <w:szCs w:val="32"/>
          <w:lang w:val="en"/>
        </w:rPr>
        <w:t>21</w:t>
      </w:r>
      <w:r>
        <w:rPr>
          <w:rFonts w:ascii="Times New Roman" w:hAnsi="Times New Roman" w:eastAsia="仿宋_GB2312" w:cs="Times New Roman"/>
          <w:sz w:val="32"/>
          <w:szCs w:val="32"/>
          <w:lang w:val="en"/>
        </w:rPr>
        <w:t>年第</w:t>
      </w:r>
      <w:r>
        <w:rPr>
          <w:rFonts w:hint="eastAsia" w:ascii="Times New Roman" w:hAnsi="Times New Roman" w:eastAsia="仿宋_GB2312" w:cs="Times New Roman"/>
          <w:sz w:val="32"/>
          <w:szCs w:val="32"/>
          <w:lang w:val="en"/>
        </w:rPr>
        <w:t>73</w:t>
      </w:r>
      <w:r>
        <w:rPr>
          <w:rFonts w:ascii="Times New Roman" w:hAnsi="Times New Roman" w:eastAsia="仿宋_GB2312" w:cs="Times New Roman"/>
          <w:sz w:val="32"/>
          <w:szCs w:val="32"/>
          <w:lang w:val="en"/>
        </w:rPr>
        <w:t>号</w:t>
      </w:r>
      <w:r>
        <w:rPr>
          <w:rFonts w:ascii="Times New Roman" w:hAnsi="Times New Roman" w:eastAsia="仿宋_GB2312" w:cs="Times New Roman"/>
          <w:sz w:val="32"/>
          <w:szCs w:val="32"/>
        </w:rPr>
        <w:t xml:space="preserve"> [Z].</w:t>
      </w:r>
    </w:p>
    <w:p w14:paraId="7DFB31A0">
      <w:pPr>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1</w:t>
      </w:r>
      <w:r>
        <w:rPr>
          <w:rFonts w:hint="eastAsia" w:ascii="Times New Roman" w:hAnsi="Times New Roman" w:eastAsia="仿宋_GB2312" w:cs="仿宋_GB2312"/>
          <w:bCs/>
          <w:sz w:val="32"/>
          <w:szCs w:val="32"/>
        </w:rPr>
        <w:t>]</w:t>
      </w:r>
      <w:r>
        <w:rPr>
          <w:rFonts w:hint="eastAsia" w:ascii="Times New Roman" w:hAnsi="Times New Roman" w:eastAsia="仿宋_GB2312" w:cs="Times New Roman"/>
          <w:sz w:val="32"/>
          <w:szCs w:val="32"/>
        </w:rPr>
        <w:t>国家药品监督管理局.</w:t>
      </w:r>
      <w:r>
        <w:rPr>
          <w:rFonts w:ascii="Times New Roman" w:hAnsi="Times New Roman" w:eastAsia="仿宋_GB2312" w:cs="Times New Roman"/>
          <w:sz w:val="32"/>
          <w:szCs w:val="32"/>
        </w:rPr>
        <w:t>免于临床评价医疗器械目录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lang w:val="en"/>
        </w:rPr>
        <w:t>国家</w:t>
      </w:r>
      <w:r>
        <w:rPr>
          <w:rFonts w:hint="eastAsia" w:ascii="Times New Roman" w:hAnsi="Times New Roman" w:eastAsia="仿宋_GB2312" w:cs="Times New Roman"/>
          <w:sz w:val="32"/>
          <w:szCs w:val="32"/>
          <w:lang w:val="en"/>
        </w:rPr>
        <w:t>药监</w:t>
      </w:r>
      <w:r>
        <w:rPr>
          <w:rFonts w:ascii="Times New Roman" w:hAnsi="Times New Roman" w:eastAsia="仿宋_GB2312" w:cs="Times New Roman"/>
          <w:sz w:val="32"/>
          <w:szCs w:val="32"/>
          <w:lang w:val="en"/>
        </w:rPr>
        <w:t>局</w:t>
      </w:r>
      <w:r>
        <w:rPr>
          <w:rFonts w:hint="eastAsia" w:ascii="Times New Roman" w:hAnsi="Times New Roman" w:eastAsia="仿宋_GB2312" w:cs="Times New Roman"/>
          <w:sz w:val="32"/>
          <w:szCs w:val="32"/>
          <w:lang w:val="en"/>
        </w:rPr>
        <w:t>通告</w:t>
      </w:r>
      <w:r>
        <w:rPr>
          <w:rFonts w:ascii="Times New Roman" w:hAnsi="Times New Roman" w:eastAsia="仿宋_GB2312" w:cs="Times New Roman"/>
          <w:sz w:val="32"/>
          <w:szCs w:val="32"/>
          <w:lang w:val="en"/>
        </w:rPr>
        <w:t>20</w:t>
      </w:r>
      <w:r>
        <w:rPr>
          <w:rFonts w:hint="eastAsia" w:ascii="Times New Roman" w:hAnsi="Times New Roman" w:eastAsia="仿宋_GB2312" w:cs="Times New Roman"/>
          <w:sz w:val="32"/>
          <w:szCs w:val="32"/>
          <w:lang w:val="en"/>
        </w:rPr>
        <w:t>21</w:t>
      </w:r>
      <w:r>
        <w:rPr>
          <w:rFonts w:ascii="Times New Roman" w:hAnsi="Times New Roman" w:eastAsia="仿宋_GB2312" w:cs="Times New Roman"/>
          <w:sz w:val="32"/>
          <w:szCs w:val="32"/>
          <w:lang w:val="en"/>
        </w:rPr>
        <w:t>年第</w:t>
      </w:r>
      <w:r>
        <w:rPr>
          <w:rFonts w:hint="eastAsia" w:ascii="Times New Roman" w:hAnsi="Times New Roman" w:eastAsia="仿宋_GB2312" w:cs="Times New Roman"/>
          <w:sz w:val="32"/>
          <w:szCs w:val="32"/>
          <w:lang w:val="en"/>
        </w:rPr>
        <w:t>71</w:t>
      </w:r>
      <w:r>
        <w:rPr>
          <w:rFonts w:ascii="Times New Roman" w:hAnsi="Times New Roman" w:eastAsia="仿宋_GB2312" w:cs="Times New Roman"/>
          <w:sz w:val="32"/>
          <w:szCs w:val="32"/>
          <w:lang w:val="en"/>
        </w:rPr>
        <w:t>号</w:t>
      </w:r>
      <w:r>
        <w:rPr>
          <w:rFonts w:ascii="Times New Roman" w:hAnsi="Times New Roman" w:eastAsia="仿宋_GB2312" w:cs="Times New Roman"/>
          <w:sz w:val="32"/>
          <w:szCs w:val="32"/>
        </w:rPr>
        <w:t>[Z].</w:t>
      </w:r>
    </w:p>
    <w:p w14:paraId="509B7FE7">
      <w:pPr>
        <w:spacing w:line="52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2</w:t>
      </w:r>
      <w:r>
        <w:rPr>
          <w:rFonts w:hint="eastAsia" w:ascii="Times New Roman" w:hAnsi="Times New Roman" w:eastAsia="仿宋_GB2312" w:cs="仿宋_GB2312"/>
          <w:bCs/>
          <w:sz w:val="32"/>
          <w:szCs w:val="32"/>
        </w:rPr>
        <w:t>]</w:t>
      </w:r>
      <w:r>
        <w:rPr>
          <w:rFonts w:hint="eastAsia" w:ascii="Times New Roman" w:hAnsi="Times New Roman" w:eastAsia="仿宋_GB2312" w:cs="Times New Roman"/>
          <w:sz w:val="32"/>
          <w:szCs w:val="32"/>
        </w:rPr>
        <w:t>国家药品监督管理局.</w:t>
      </w:r>
      <w:r>
        <w:rPr>
          <w:rFonts w:ascii="Times New Roman" w:hAnsi="Times New Roman" w:eastAsia="仿宋_GB2312" w:cs="Times New Roman"/>
          <w:sz w:val="32"/>
          <w:szCs w:val="32"/>
        </w:rPr>
        <w:t>医疗器械临床评价技术指导原则</w:t>
      </w:r>
      <w:r>
        <w:rPr>
          <w:rFonts w:hint="eastAsia" w:ascii="Times New Roman" w:hAnsi="Times New Roman" w:eastAsia="仿宋_GB2312" w:cs="Times New Roman"/>
          <w:sz w:val="32"/>
          <w:szCs w:val="32"/>
        </w:rPr>
        <w:t>:国家药监局通告2021年第73号</w:t>
      </w:r>
      <w:r>
        <w:rPr>
          <w:rFonts w:ascii="Times New Roman" w:hAnsi="Times New Roman" w:eastAsia="仿宋_GB2312" w:cs="Times New Roman"/>
          <w:sz w:val="32"/>
          <w:szCs w:val="32"/>
        </w:rPr>
        <w:t>[Z].</w:t>
      </w:r>
    </w:p>
    <w:p w14:paraId="2BDC9B09">
      <w:pPr>
        <w:spacing w:line="520" w:lineRule="exact"/>
        <w:ind w:firstLine="640" w:firstLineChars="20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3</w:t>
      </w:r>
      <w:r>
        <w:rPr>
          <w:rFonts w:hint="eastAsia" w:ascii="Times New Roman" w:hAnsi="Times New Roman" w:eastAsia="仿宋_GB2312" w:cs="仿宋_GB2312"/>
          <w:bCs/>
          <w:sz w:val="32"/>
          <w:szCs w:val="32"/>
        </w:rPr>
        <w:t>]</w:t>
      </w:r>
      <w:r>
        <w:rPr>
          <w:rFonts w:hint="eastAsia" w:ascii="Times New Roman" w:hAnsi="Times New Roman" w:eastAsia="仿宋_GB2312" w:cs="Times New Roman"/>
          <w:color w:val="000000"/>
          <w:sz w:val="32"/>
          <w:szCs w:val="32"/>
        </w:rPr>
        <w:t>国家食品药品监督管理局.</w:t>
      </w:r>
      <w:r>
        <w:rPr>
          <w:rFonts w:hint="eastAsia" w:ascii="Times New Roman" w:hAnsi="Times New Roman" w:eastAsia="仿宋_GB2312" w:cs="Times New Roman"/>
          <w:sz w:val="32"/>
          <w:szCs w:val="32"/>
        </w:rPr>
        <w:t>医疗器械说明书和标签管理规定:国家食品药品监督管理总局令第6号[Z].</w:t>
      </w:r>
    </w:p>
    <w:p w14:paraId="65067A0F">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4</w:t>
      </w:r>
      <w:r>
        <w:rPr>
          <w:rFonts w:hint="eastAsia" w:ascii="Times New Roman" w:hAnsi="Times New Roman" w:eastAsia="仿宋_GB2312" w:cs="仿宋_GB2312"/>
          <w:bCs/>
          <w:sz w:val="32"/>
          <w:szCs w:val="32"/>
        </w:rPr>
        <w:t>]GB 15979,一次性使用卫生用品卫生标准[S].</w:t>
      </w:r>
    </w:p>
    <w:p w14:paraId="29992F02">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5</w:t>
      </w:r>
      <w:r>
        <w:rPr>
          <w:rFonts w:hint="eastAsia" w:ascii="Times New Roman" w:hAnsi="Times New Roman" w:eastAsia="仿宋_GB2312" w:cs="仿宋_GB2312"/>
          <w:bCs/>
          <w:sz w:val="32"/>
          <w:szCs w:val="32"/>
        </w:rPr>
        <w:t>]GB 18278.1,医疗保健产品灭菌 湿热 第1部分 医疗器械灭菌过程的开发、确认和常规控制要求[S].</w:t>
      </w:r>
    </w:p>
    <w:p w14:paraId="04DF6619">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6</w:t>
      </w:r>
      <w:r>
        <w:rPr>
          <w:rFonts w:hint="eastAsia" w:ascii="Times New Roman" w:hAnsi="Times New Roman" w:eastAsia="仿宋_GB2312" w:cs="仿宋_GB2312"/>
          <w:bCs/>
          <w:sz w:val="32"/>
          <w:szCs w:val="32"/>
        </w:rPr>
        <w:t>]GB 18280.1,医疗保健产品灭菌 辐射 第1部分医疗器械灭菌过程的开发、确认和常规控制要求[S].</w:t>
      </w:r>
    </w:p>
    <w:p w14:paraId="6DF091B2">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7</w:t>
      </w:r>
      <w:r>
        <w:rPr>
          <w:rFonts w:hint="eastAsia" w:ascii="Times New Roman" w:hAnsi="Times New Roman" w:eastAsia="仿宋_GB2312" w:cs="仿宋_GB2312"/>
          <w:bCs/>
          <w:sz w:val="32"/>
          <w:szCs w:val="32"/>
        </w:rPr>
        <w:t>]GB 18280.2,医疗保健产品灭菌 辐射 第2部分：建立灭菌剂量[S].</w:t>
      </w:r>
    </w:p>
    <w:p w14:paraId="476B1BA6">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[1</w:t>
      </w:r>
      <w:r>
        <w:rPr>
          <w:rFonts w:hint="eastAsia" w:ascii="Times New Roman" w:hAnsi="Times New Roman" w:eastAsia="仿宋_GB2312" w:cs="仿宋_GB2312"/>
          <w:bCs/>
          <w:sz w:val="32"/>
          <w:szCs w:val="32"/>
          <w:lang w:val="en-US" w:eastAsia="zh-CN"/>
        </w:rPr>
        <w:t>8</w:t>
      </w:r>
      <w:r>
        <w:rPr>
          <w:rFonts w:hint="eastAsia" w:ascii="Times New Roman" w:hAnsi="Times New Roman" w:eastAsia="仿宋_GB2312" w:cs="仿宋_GB2312"/>
          <w:bCs/>
          <w:sz w:val="32"/>
          <w:szCs w:val="32"/>
        </w:rPr>
        <w:t>]GB/T 14233.1,医用输液、输血、注射器具检验方法 第1部分：化学分析方法[S].</w:t>
      </w:r>
    </w:p>
    <w:p w14:paraId="5C23C549">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w:t>
      </w:r>
      <w:r>
        <w:rPr>
          <w:rFonts w:hint="eastAsia" w:ascii="Times New Roman" w:hAnsi="Times New Roman" w:eastAsia="仿宋_GB2312" w:cs="仿宋_GB2312"/>
          <w:bCs/>
          <w:sz w:val="32"/>
          <w:szCs w:val="32"/>
          <w:lang w:val="en-US" w:eastAsia="zh-CN"/>
        </w:rPr>
        <w:t>19</w:t>
      </w:r>
      <w:r>
        <w:rPr>
          <w:rFonts w:hint="eastAsia" w:ascii="Times New Roman" w:hAnsi="Times New Roman" w:eastAsia="仿宋_GB2312" w:cs="仿宋_GB2312"/>
          <w:bCs/>
          <w:sz w:val="32"/>
          <w:szCs w:val="32"/>
        </w:rPr>
        <w:t>]GB/T 14233.2,医用输液、输血、注射器具检验方法 第2部分：生物学试验方法[S].</w:t>
      </w:r>
    </w:p>
    <w:p w14:paraId="7572C692">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0</w:t>
      </w:r>
      <w:r>
        <w:rPr>
          <w:rFonts w:hint="eastAsia" w:ascii="Times New Roman" w:hAnsi="Times New Roman" w:eastAsia="仿宋_GB2312" w:cs="仿宋_GB2312"/>
          <w:bCs/>
          <w:sz w:val="32"/>
          <w:szCs w:val="32"/>
        </w:rPr>
        <w:t>]GB/T 16886.1,医疗器械生物学评价 第1部分：风险管理过程中的评价与试验[S].</w:t>
      </w:r>
    </w:p>
    <w:p w14:paraId="7AA67A56">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1</w:t>
      </w:r>
      <w:r>
        <w:rPr>
          <w:rFonts w:hint="eastAsia" w:ascii="Times New Roman" w:hAnsi="Times New Roman" w:eastAsia="仿宋_GB2312" w:cs="仿宋_GB2312"/>
          <w:bCs/>
          <w:sz w:val="32"/>
          <w:szCs w:val="32"/>
        </w:rPr>
        <w:t>]</w:t>
      </w:r>
      <w:r>
        <w:rPr>
          <w:rFonts w:hint="eastAsia" w:ascii="Times New Roman" w:hAnsi="Times New Roman" w:eastAsia="仿宋_GB2312" w:cs="仿宋_GB2312"/>
          <w:bCs/>
          <w:color w:val="000000"/>
          <w:sz w:val="32"/>
          <w:szCs w:val="32"/>
        </w:rPr>
        <w:t>GB/T 16886.5,医疗器械生物学评价 第5部分：体外细胞毒性试验[S].</w:t>
      </w:r>
    </w:p>
    <w:p w14:paraId="4FF7A78A">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2</w:t>
      </w:r>
      <w:r>
        <w:rPr>
          <w:rFonts w:hint="eastAsia" w:ascii="Times New Roman" w:hAnsi="Times New Roman" w:eastAsia="仿宋_GB2312" w:cs="仿宋_GB2312"/>
          <w:bCs/>
          <w:sz w:val="32"/>
          <w:szCs w:val="32"/>
        </w:rPr>
        <w:t>]GB/T 16886.10,医疗器械生物学评价 第10部分：刺激与皮肤致敏试验[S].</w:t>
      </w:r>
    </w:p>
    <w:p w14:paraId="32731B17">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3</w:t>
      </w:r>
      <w:r>
        <w:rPr>
          <w:rFonts w:hint="eastAsia" w:ascii="Times New Roman" w:hAnsi="Times New Roman" w:eastAsia="仿宋_GB2312" w:cs="仿宋_GB2312"/>
          <w:bCs/>
          <w:sz w:val="32"/>
          <w:szCs w:val="32"/>
        </w:rPr>
        <w:t>] GB/T 18280.3,医疗保健产品灭菌 辐射 第3部分：剂量测量指南[S].</w:t>
      </w:r>
    </w:p>
    <w:p w14:paraId="71C107C3">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4</w:t>
      </w:r>
      <w:r>
        <w:rPr>
          <w:rFonts w:hint="eastAsia" w:ascii="Times New Roman" w:hAnsi="Times New Roman" w:eastAsia="仿宋_GB2312" w:cs="仿宋_GB2312"/>
          <w:bCs/>
          <w:sz w:val="32"/>
          <w:szCs w:val="32"/>
        </w:rPr>
        <w:t>]GB/T 19633.1,最终灭菌医疗器械包装 第1部分：材料、无菌屏障系统和包装系统的要求[S].</w:t>
      </w:r>
    </w:p>
    <w:p w14:paraId="747B671F">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5</w:t>
      </w:r>
      <w:r>
        <w:rPr>
          <w:rFonts w:hint="eastAsia" w:ascii="Times New Roman" w:hAnsi="Times New Roman" w:eastAsia="仿宋_GB2312" w:cs="仿宋_GB2312"/>
          <w:bCs/>
          <w:sz w:val="32"/>
          <w:szCs w:val="32"/>
        </w:rPr>
        <w:t>]GB/T 19633.2,最终灭菌医疗器械包装 第2部分：成形、密封和装配过程的确认的要求[S].</w:t>
      </w:r>
    </w:p>
    <w:p w14:paraId="66A650F3">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6</w:t>
      </w:r>
      <w:r>
        <w:rPr>
          <w:rFonts w:hint="eastAsia" w:ascii="Times New Roman" w:hAnsi="Times New Roman" w:eastAsia="仿宋_GB2312" w:cs="仿宋_GB2312"/>
          <w:bCs/>
          <w:sz w:val="32"/>
          <w:szCs w:val="32"/>
        </w:rPr>
        <w:t>]GB/T 42062,医疗器械风险管理对医疗器械的应用[S].</w:t>
      </w:r>
    </w:p>
    <w:p w14:paraId="15DAF9D1">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7</w:t>
      </w:r>
      <w:r>
        <w:rPr>
          <w:rFonts w:hint="eastAsia" w:ascii="Times New Roman" w:hAnsi="Times New Roman" w:eastAsia="仿宋_GB2312" w:cs="仿宋_GB2312"/>
          <w:bCs/>
          <w:sz w:val="32"/>
          <w:szCs w:val="32"/>
        </w:rPr>
        <w:t>]</w:t>
      </w:r>
      <w:r>
        <w:rPr>
          <w:rFonts w:ascii="Times New Roman" w:hAnsi="Times New Roman" w:eastAsia="仿宋_GB2312" w:cs="仿宋_GB2312"/>
          <w:bCs/>
          <w:sz w:val="32"/>
          <w:szCs w:val="32"/>
        </w:rPr>
        <w:t>GB</w:t>
      </w:r>
      <w:r>
        <w:rPr>
          <w:rFonts w:hint="eastAsia" w:ascii="Times New Roman" w:hAnsi="Times New Roman" w:eastAsia="仿宋_GB2312" w:cs="仿宋_GB2312"/>
          <w:bCs/>
          <w:sz w:val="32"/>
          <w:szCs w:val="32"/>
        </w:rPr>
        <w:t>/T 42061,医疗器械质量管理体系用于法规的要求[S].</w:t>
      </w:r>
    </w:p>
    <w:p w14:paraId="4C76A656">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[2</w:t>
      </w:r>
      <w:r>
        <w:rPr>
          <w:rFonts w:hint="eastAsia" w:ascii="Times New Roman" w:hAnsi="Times New Roman" w:eastAsia="仿宋_GB2312" w:cs="仿宋_GB2312"/>
          <w:bCs/>
          <w:sz w:val="32"/>
          <w:szCs w:val="32"/>
          <w:lang w:val="en-US" w:eastAsia="zh-CN"/>
        </w:rPr>
        <w:t>8</w:t>
      </w:r>
      <w:r>
        <w:rPr>
          <w:rFonts w:hint="eastAsia" w:ascii="Times New Roman" w:hAnsi="Times New Roman" w:eastAsia="仿宋_GB2312" w:cs="仿宋_GB2312"/>
          <w:bCs/>
          <w:sz w:val="32"/>
          <w:szCs w:val="32"/>
        </w:rPr>
        <w:t>]YY/T 0466.1,医疗器械用于医疗器械标签、标记和提供信息的符号 第1部分: 通用要求[S].</w:t>
      </w:r>
    </w:p>
    <w:p w14:paraId="547BBF21">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w:t>
      </w:r>
      <w:r>
        <w:rPr>
          <w:rFonts w:hint="eastAsia" w:ascii="Times New Roman" w:hAnsi="Times New Roman" w:eastAsia="仿宋_GB2312" w:cs="仿宋_GB2312"/>
          <w:bCs/>
          <w:sz w:val="32"/>
          <w:szCs w:val="32"/>
          <w:lang w:val="en-US" w:eastAsia="zh-CN"/>
        </w:rPr>
        <w:t>29</w:t>
      </w:r>
      <w:r>
        <w:rPr>
          <w:rFonts w:hint="eastAsia" w:ascii="Times New Roman" w:hAnsi="Times New Roman" w:eastAsia="仿宋_GB2312" w:cs="仿宋_GB2312"/>
          <w:bCs/>
          <w:sz w:val="32"/>
          <w:szCs w:val="32"/>
        </w:rPr>
        <w:t>]YY/T 0681.1,无菌医疗器械包装试验方法第1部分：加速老化试验指南[S].</w:t>
      </w:r>
    </w:p>
    <w:p w14:paraId="1DC4F0C3">
      <w:pPr>
        <w:spacing w:line="520" w:lineRule="exact"/>
        <w:ind w:firstLine="640" w:firstLineChars="200"/>
        <w:outlineLvl w:val="0"/>
        <w:rPr>
          <w:rFonts w:hint="eastAsia" w:ascii="Times New Roman" w:hAnsi="Times New Roman" w:eastAsia="仿宋_GB2312" w:cs="仿宋_GB2312"/>
          <w:bCs/>
          <w:sz w:val="32"/>
          <w:szCs w:val="32"/>
        </w:rPr>
      </w:pPr>
      <w:r>
        <w:rPr>
          <w:rFonts w:hint="eastAsia" w:ascii="Times New Roman" w:hAnsi="Times New Roman" w:eastAsia="仿宋_GB2312" w:cs="仿宋_GB2312"/>
          <w:bCs/>
          <w:sz w:val="32"/>
          <w:szCs w:val="32"/>
        </w:rPr>
        <w:t>[3</w:t>
      </w:r>
      <w:r>
        <w:rPr>
          <w:rFonts w:hint="eastAsia" w:ascii="Times New Roman" w:hAnsi="Times New Roman" w:eastAsia="仿宋_GB2312" w:cs="仿宋_GB2312"/>
          <w:bCs/>
          <w:sz w:val="32"/>
          <w:szCs w:val="32"/>
          <w:lang w:val="en-US" w:eastAsia="zh-CN"/>
        </w:rPr>
        <w:t>0</w:t>
      </w:r>
      <w:r>
        <w:rPr>
          <w:rFonts w:hint="eastAsia" w:ascii="Times New Roman" w:hAnsi="Times New Roman" w:eastAsia="仿宋_GB2312" w:cs="仿宋_GB2312"/>
          <w:bCs/>
          <w:sz w:val="32"/>
          <w:szCs w:val="32"/>
        </w:rPr>
        <w:t>]YY/T 0698.2,最终灭菌医疗器械包装材料 第2部分：灭菌包裹材料要求和试验方法[S].</w:t>
      </w:r>
    </w:p>
    <w:p w14:paraId="2DFD0CE0">
      <w:pPr>
        <w:spacing w:line="520" w:lineRule="exact"/>
        <w:ind w:firstLine="640" w:firstLineChars="200"/>
        <w:outlineLvl w:val="0"/>
        <w:rPr>
          <w:rFonts w:hint="eastAsia" w:ascii="Times New Roman" w:hAnsi="Times New Roman" w:eastAsia="仿宋_GB2312" w:cs="仿宋_GB2312"/>
          <w:bCs/>
          <w:sz w:val="32"/>
          <w:szCs w:val="32"/>
          <w:lang w:val="en-US" w:eastAsia="zh-CN"/>
        </w:rPr>
      </w:pPr>
      <w:r>
        <w:rPr>
          <w:rFonts w:hint="eastAsia" w:ascii="Times New Roman" w:hAnsi="Times New Roman" w:eastAsia="仿宋_GB2312" w:cs="仿宋_GB2312"/>
          <w:bCs/>
          <w:sz w:val="32"/>
          <w:szCs w:val="32"/>
        </w:rPr>
        <w:t>[3</w:t>
      </w:r>
      <w:r>
        <w:rPr>
          <w:rFonts w:hint="eastAsia" w:ascii="Times New Roman" w:hAnsi="Times New Roman" w:eastAsia="仿宋_GB2312" w:cs="仿宋_GB2312"/>
          <w:bCs/>
          <w:sz w:val="32"/>
          <w:szCs w:val="32"/>
          <w:lang w:val="en-US" w:eastAsia="zh-CN"/>
        </w:rPr>
        <w:t>1</w:t>
      </w:r>
      <w:r>
        <w:rPr>
          <w:rFonts w:hint="eastAsia" w:ascii="Times New Roman" w:hAnsi="Times New Roman" w:eastAsia="仿宋_GB2312" w:cs="仿宋_GB2312"/>
          <w:bCs/>
          <w:sz w:val="32"/>
          <w:szCs w:val="32"/>
        </w:rPr>
        <w:t>]中华人民共和国药典（202</w:t>
      </w:r>
      <w:r>
        <w:rPr>
          <w:rFonts w:hint="eastAsia" w:ascii="Times New Roman" w:hAnsi="Times New Roman" w:eastAsia="仿宋_GB2312" w:cs="仿宋_GB2312"/>
          <w:bCs/>
          <w:sz w:val="32"/>
          <w:szCs w:val="32"/>
          <w:lang w:val="en-US" w:eastAsia="zh-CN"/>
        </w:rPr>
        <w:t>5</w:t>
      </w:r>
      <w:r>
        <w:rPr>
          <w:rFonts w:hint="eastAsia" w:ascii="Times New Roman" w:hAnsi="Times New Roman" w:eastAsia="仿宋_GB2312" w:cs="仿宋_GB2312"/>
          <w:bCs/>
          <w:sz w:val="32"/>
          <w:szCs w:val="32"/>
        </w:rPr>
        <w:t>版）[S]</w:t>
      </w:r>
      <w:r>
        <w:rPr>
          <w:rFonts w:hint="eastAsia" w:ascii="Times New Roman" w:hAnsi="Times New Roman" w:eastAsia="仿宋_GB2312" w:cs="仿宋_GB2312"/>
          <w:bCs/>
          <w:sz w:val="32"/>
          <w:szCs w:val="32"/>
          <w:lang w:val="en-US" w:eastAsia="zh-CN"/>
        </w:rPr>
        <w:t>.</w:t>
      </w:r>
    </w:p>
    <w:p w14:paraId="6B26DCCB">
      <w:pPr>
        <w:spacing w:line="520" w:lineRule="exact"/>
        <w:rPr>
          <w:rFonts w:hint="eastAsia" w:ascii="Times New Roman" w:hAnsi="Times New Roman" w:eastAsia="仿宋_GB2312" w:cs="仿宋_GB2312"/>
          <w:bCs/>
          <w:sz w:val="32"/>
          <w:szCs w:val="32"/>
          <w:lang w:val="zh-CN"/>
        </w:rPr>
      </w:pPr>
    </w:p>
    <w:p w14:paraId="03AF8BF5">
      <w:pPr>
        <w:spacing w:line="520" w:lineRule="exact"/>
        <w:rPr>
          <w:rFonts w:hint="eastAsia" w:ascii="Times New Roman" w:hAnsi="Times New Roman" w:eastAsia="仿宋_GB2312" w:cs="仿宋_GB2312"/>
          <w:bCs/>
          <w:sz w:val="32"/>
          <w:szCs w:val="32"/>
          <w:lang w:val="zh-CN"/>
        </w:rPr>
      </w:pPr>
    </w:p>
    <w:p w14:paraId="1ABCCB4F">
      <w:pPr>
        <w:spacing w:line="520" w:lineRule="exact"/>
        <w:rPr>
          <w:rFonts w:hint="eastAsia" w:ascii="Times New Roman" w:hAnsi="Times New Roman" w:eastAsia="仿宋_GB2312" w:cs="仿宋_GB2312"/>
          <w:bCs/>
          <w:sz w:val="32"/>
          <w:szCs w:val="32"/>
          <w:lang w:val="zh-CN"/>
        </w:rPr>
      </w:pPr>
    </w:p>
    <w:p w14:paraId="41566990">
      <w:pPr>
        <w:spacing w:line="520" w:lineRule="exact"/>
        <w:rPr>
          <w:rFonts w:hint="eastAsia" w:ascii="Times New Roman" w:hAnsi="Times New Roman" w:eastAsia="仿宋_GB2312" w:cs="仿宋_GB2312"/>
          <w:bCs/>
          <w:sz w:val="32"/>
          <w:szCs w:val="32"/>
          <w:lang w:val="zh-CN"/>
        </w:rPr>
      </w:pPr>
    </w:p>
    <w:p w14:paraId="016FA1C6">
      <w:pPr>
        <w:spacing w:line="520" w:lineRule="exact"/>
        <w:rPr>
          <w:rFonts w:hint="eastAsia" w:ascii="Times New Roman" w:hAnsi="Times New Roman" w:eastAsia="仿宋_GB2312" w:cs="仿宋_GB2312"/>
          <w:bCs/>
          <w:sz w:val="32"/>
          <w:szCs w:val="32"/>
          <w:lang w:val="zh-CN"/>
        </w:rPr>
      </w:pPr>
    </w:p>
    <w:p w14:paraId="4DC16826">
      <w:pPr>
        <w:pStyle w:val="2"/>
        <w:rPr>
          <w:rFonts w:hint="eastAsia" w:ascii="Times New Roman" w:hAnsi="Times New Roman" w:eastAsia="仿宋_GB2312" w:cs="仿宋_GB2312"/>
          <w:bCs/>
          <w:sz w:val="32"/>
          <w:szCs w:val="32"/>
          <w:lang w:val="zh-CN"/>
        </w:rPr>
      </w:pPr>
    </w:p>
    <w:p w14:paraId="172061DF">
      <w:pPr>
        <w:pStyle w:val="2"/>
        <w:rPr>
          <w:rFonts w:hint="eastAsia" w:ascii="Times New Roman" w:hAnsi="Times New Roman" w:eastAsia="仿宋_GB2312" w:cs="仿宋_GB2312"/>
          <w:bCs/>
          <w:sz w:val="32"/>
          <w:szCs w:val="32"/>
          <w:lang w:val="zh-CN"/>
        </w:rPr>
      </w:pPr>
    </w:p>
    <w:p w14:paraId="284606E0">
      <w:pPr>
        <w:pStyle w:val="2"/>
        <w:rPr>
          <w:rFonts w:hint="eastAsia" w:ascii="Times New Roman" w:hAnsi="Times New Roman" w:eastAsia="仿宋_GB2312" w:cs="仿宋_GB2312"/>
          <w:bCs/>
          <w:sz w:val="32"/>
          <w:szCs w:val="32"/>
          <w:lang w:val="zh-CN"/>
        </w:rPr>
      </w:pPr>
    </w:p>
    <w:p w14:paraId="243DC463">
      <w:pPr>
        <w:pStyle w:val="2"/>
        <w:rPr>
          <w:rFonts w:hint="eastAsia" w:ascii="Times New Roman" w:hAnsi="Times New Roman" w:eastAsia="仿宋_GB2312" w:cs="仿宋_GB2312"/>
          <w:bCs/>
          <w:sz w:val="32"/>
          <w:szCs w:val="32"/>
          <w:lang w:val="zh-CN"/>
        </w:rPr>
      </w:pPr>
    </w:p>
    <w:p w14:paraId="39BF7E0C">
      <w:pPr>
        <w:pStyle w:val="2"/>
        <w:rPr>
          <w:rFonts w:hint="eastAsia" w:ascii="Times New Roman" w:hAnsi="Times New Roman" w:eastAsia="仿宋_GB2312" w:cs="仿宋_GB2312"/>
          <w:bCs/>
          <w:sz w:val="32"/>
          <w:szCs w:val="32"/>
          <w:lang w:val="zh-CN"/>
        </w:rPr>
      </w:pPr>
    </w:p>
    <w:p w14:paraId="3B2435E2">
      <w:pPr>
        <w:pStyle w:val="2"/>
        <w:rPr>
          <w:rFonts w:hint="eastAsia" w:ascii="Times New Roman" w:hAnsi="Times New Roman" w:eastAsia="仿宋_GB2312" w:cs="仿宋_GB2312"/>
          <w:bCs/>
          <w:sz w:val="32"/>
          <w:szCs w:val="32"/>
          <w:lang w:val="zh-CN"/>
        </w:rPr>
      </w:pPr>
    </w:p>
    <w:p w14:paraId="0029D06B">
      <w:pPr>
        <w:pStyle w:val="2"/>
        <w:rPr>
          <w:rFonts w:hint="eastAsia" w:ascii="Times New Roman" w:hAnsi="Times New Roman" w:eastAsia="仿宋_GB2312" w:cs="仿宋_GB2312"/>
          <w:bCs/>
          <w:sz w:val="32"/>
          <w:szCs w:val="32"/>
          <w:lang w:val="zh-CN"/>
        </w:rPr>
      </w:pPr>
    </w:p>
    <w:p w14:paraId="7CF75F74">
      <w:pPr>
        <w:pStyle w:val="2"/>
        <w:rPr>
          <w:rFonts w:hint="eastAsia" w:ascii="Times New Roman" w:hAnsi="Times New Roman" w:eastAsia="仿宋_GB2312" w:cs="仿宋_GB2312"/>
          <w:bCs/>
          <w:sz w:val="32"/>
          <w:szCs w:val="32"/>
          <w:lang w:val="zh-CN"/>
        </w:rPr>
      </w:pPr>
    </w:p>
    <w:p w14:paraId="213D4ED4">
      <w:pPr>
        <w:pStyle w:val="2"/>
        <w:rPr>
          <w:rFonts w:hint="eastAsia" w:ascii="Times New Roman" w:hAnsi="Times New Roman" w:eastAsia="仿宋_GB2312" w:cs="仿宋_GB2312"/>
          <w:bCs/>
          <w:sz w:val="32"/>
          <w:szCs w:val="32"/>
          <w:lang w:val="zh-CN"/>
        </w:rPr>
      </w:pPr>
    </w:p>
    <w:p w14:paraId="72FF3EB7">
      <w:pPr>
        <w:pStyle w:val="2"/>
        <w:rPr>
          <w:rFonts w:hint="eastAsia" w:ascii="Times New Roman" w:hAnsi="Times New Roman" w:eastAsia="仿宋_GB2312" w:cs="仿宋_GB2312"/>
          <w:bCs/>
          <w:sz w:val="32"/>
          <w:szCs w:val="32"/>
          <w:lang w:val="zh-CN"/>
        </w:rPr>
      </w:pPr>
    </w:p>
    <w:p w14:paraId="78F23648">
      <w:pPr>
        <w:pStyle w:val="2"/>
        <w:rPr>
          <w:rFonts w:hint="eastAsia" w:ascii="Times New Roman" w:hAnsi="Times New Roman" w:eastAsia="仿宋_GB2312" w:cs="仿宋_GB2312"/>
          <w:bCs/>
          <w:sz w:val="32"/>
          <w:szCs w:val="32"/>
          <w:lang w:val="zh-CN"/>
        </w:rPr>
      </w:pPr>
    </w:p>
    <w:p w14:paraId="3CCF0A4D">
      <w:pPr>
        <w:pStyle w:val="2"/>
        <w:rPr>
          <w:rFonts w:hint="eastAsia" w:ascii="Times New Roman" w:hAnsi="Times New Roman" w:eastAsia="仿宋_GB2312" w:cs="仿宋_GB2312"/>
          <w:bCs/>
          <w:sz w:val="32"/>
          <w:szCs w:val="32"/>
          <w:lang w:val="zh-CN"/>
        </w:rPr>
      </w:pPr>
    </w:p>
    <w:p w14:paraId="00F3DD7E">
      <w:pPr>
        <w:pStyle w:val="2"/>
        <w:rPr>
          <w:rFonts w:hint="eastAsia" w:ascii="Times New Roman" w:hAnsi="Times New Roman" w:eastAsia="仿宋_GB2312" w:cs="仿宋_GB2312"/>
          <w:bCs/>
          <w:sz w:val="32"/>
          <w:szCs w:val="32"/>
          <w:lang w:val="zh-CN"/>
        </w:rPr>
      </w:pPr>
    </w:p>
    <w:p w14:paraId="39738877">
      <w:pPr>
        <w:pStyle w:val="2"/>
        <w:rPr>
          <w:rFonts w:hint="eastAsia" w:ascii="Times New Roman" w:hAnsi="Times New Roman" w:eastAsia="仿宋_GB2312" w:cs="仿宋_GB2312"/>
          <w:bCs/>
          <w:sz w:val="32"/>
          <w:szCs w:val="32"/>
          <w:lang w:val="zh-CN"/>
        </w:rPr>
      </w:pPr>
    </w:p>
    <w:p w14:paraId="775ACA6E">
      <w:pPr>
        <w:pStyle w:val="2"/>
        <w:rPr>
          <w:rFonts w:hint="eastAsia" w:ascii="Times New Roman" w:hAnsi="Times New Roman" w:eastAsia="仿宋_GB2312" w:cs="仿宋_GB2312"/>
          <w:bCs/>
          <w:sz w:val="32"/>
          <w:szCs w:val="32"/>
          <w:lang w:val="zh-CN"/>
        </w:rPr>
      </w:pPr>
    </w:p>
    <w:p w14:paraId="748DD42B">
      <w:pPr>
        <w:pStyle w:val="2"/>
        <w:rPr>
          <w:rFonts w:hint="eastAsia" w:ascii="Times New Roman" w:hAnsi="Times New Roman" w:eastAsia="仿宋_GB2312" w:cs="仿宋_GB2312"/>
          <w:bCs/>
          <w:sz w:val="32"/>
          <w:szCs w:val="32"/>
          <w:lang w:val="zh-CN"/>
        </w:rPr>
      </w:pPr>
    </w:p>
    <w:p w14:paraId="5B5BC431">
      <w:pPr>
        <w:pStyle w:val="2"/>
        <w:rPr>
          <w:rFonts w:hint="eastAsia" w:ascii="Times New Roman" w:hAnsi="Times New Roman" w:eastAsia="仿宋_GB2312" w:cs="仿宋_GB2312"/>
          <w:bCs/>
          <w:sz w:val="32"/>
          <w:szCs w:val="32"/>
          <w:lang w:val="zh-CN"/>
        </w:rPr>
      </w:pPr>
    </w:p>
    <w:p w14:paraId="10AA2EAB">
      <w:pPr>
        <w:spacing w:line="520" w:lineRule="exact"/>
        <w:rPr>
          <w:rFonts w:hint="eastAsia" w:ascii="Times New Roman" w:hAnsi="Times New Roman" w:eastAsia="仿宋_GB2312" w:cs="仿宋_GB2312"/>
          <w:bCs/>
          <w:sz w:val="32"/>
          <w:szCs w:val="32"/>
          <w:lang w:val="zh-CN"/>
        </w:rPr>
      </w:pPr>
    </w:p>
    <w:p w14:paraId="5C893688">
      <w:pPr>
        <w:spacing w:line="520" w:lineRule="exact"/>
        <w:rPr>
          <w:rFonts w:hint="eastAsia" w:ascii="Times New Roman" w:hAnsi="Times New Roman" w:eastAsia="仿宋_GB2312" w:cs="仿宋_GB2312"/>
          <w:bCs/>
          <w:sz w:val="32"/>
          <w:szCs w:val="32"/>
          <w:lang w:val="zh-CN"/>
        </w:rPr>
      </w:pPr>
    </w:p>
    <w:p w14:paraId="680B131B">
      <w:pPr>
        <w:overflowPunct w:val="0"/>
        <w:autoSpaceDE w:val="0"/>
        <w:autoSpaceDN w:val="0"/>
        <w:spacing w:line="520" w:lineRule="exact"/>
        <w:outlineLvl w:val="2"/>
        <w:rPr>
          <w:rFonts w:ascii="黑体" w:hAnsi="黑体" w:eastAsia="黑体" w:cs="Times New Roman"/>
          <w:sz w:val="32"/>
          <w:szCs w:val="32"/>
        </w:rPr>
      </w:pPr>
      <w:r>
        <w:rPr>
          <w:rFonts w:hint="eastAsia" w:ascii="黑体" w:hAnsi="黑体" w:eastAsia="黑体" w:cs="Times New Roman"/>
          <w:sz w:val="32"/>
          <w:szCs w:val="32"/>
        </w:rPr>
        <w:t>附件</w:t>
      </w:r>
    </w:p>
    <w:p w14:paraId="296786F9">
      <w:pPr>
        <w:overflowPunct w:val="0"/>
        <w:spacing w:line="520" w:lineRule="exact"/>
        <w:jc w:val="center"/>
        <w:rPr>
          <w:rFonts w:ascii="黑体" w:hAnsi="黑体" w:eastAsia="黑体" w:cs="Times New Roman"/>
          <w:sz w:val="28"/>
          <w:szCs w:val="28"/>
          <w:highlight w:val="none"/>
        </w:rPr>
      </w:pPr>
      <w:r>
        <w:rPr>
          <w:rFonts w:ascii="Times New Roman" w:hAnsi="Times New Roman" w:eastAsia="黑体" w:cs="Times New Roman"/>
          <w:sz w:val="28"/>
          <w:szCs w:val="28"/>
          <w:highlight w:val="none"/>
        </w:rPr>
        <w:t>表1产品主</w:t>
      </w:r>
      <w:r>
        <w:rPr>
          <w:rFonts w:ascii="黑体" w:hAnsi="黑体" w:eastAsia="黑体" w:cs="Times New Roman"/>
          <w:sz w:val="28"/>
          <w:szCs w:val="28"/>
          <w:highlight w:val="none"/>
        </w:rPr>
        <w:t>要危害</w:t>
      </w:r>
    </w:p>
    <w:tbl>
      <w:tblPr>
        <w:tblStyle w:val="7"/>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901"/>
        <w:gridCol w:w="3321"/>
        <w:gridCol w:w="2832"/>
      </w:tblGrid>
      <w:tr w14:paraId="40A2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80" w:type="dxa"/>
            <w:gridSpan w:val="2"/>
            <w:vAlign w:val="center"/>
          </w:tcPr>
          <w:p w14:paraId="03791F9C">
            <w:pPr>
              <w:spacing w:line="520" w:lineRule="exact"/>
              <w:ind w:right="-67" w:rightChars="-32"/>
              <w:jc w:val="center"/>
              <w:rPr>
                <w:rFonts w:ascii="黑体" w:hAnsi="黑体" w:eastAsia="黑体" w:cs="黑体"/>
                <w:bCs/>
                <w:sz w:val="28"/>
                <w:szCs w:val="28"/>
              </w:rPr>
            </w:pPr>
            <w:r>
              <w:rPr>
                <w:rFonts w:hint="eastAsia" w:ascii="黑体" w:hAnsi="黑体" w:eastAsia="黑体" w:cs="黑体"/>
                <w:bCs/>
                <w:sz w:val="28"/>
                <w:szCs w:val="28"/>
              </w:rPr>
              <w:t>危害类型</w:t>
            </w:r>
          </w:p>
        </w:tc>
        <w:tc>
          <w:tcPr>
            <w:tcW w:w="3321" w:type="dxa"/>
            <w:vAlign w:val="center"/>
          </w:tcPr>
          <w:p w14:paraId="5CAC38E5">
            <w:pPr>
              <w:spacing w:line="520" w:lineRule="exact"/>
              <w:ind w:right="-67" w:rightChars="-32"/>
              <w:jc w:val="center"/>
              <w:rPr>
                <w:rFonts w:ascii="黑体" w:hAnsi="黑体" w:eastAsia="黑体" w:cs="黑体"/>
                <w:bCs/>
                <w:sz w:val="28"/>
                <w:szCs w:val="28"/>
              </w:rPr>
            </w:pPr>
            <w:r>
              <w:rPr>
                <w:rFonts w:hint="eastAsia" w:ascii="黑体" w:hAnsi="黑体" w:eastAsia="黑体" w:cs="黑体"/>
                <w:bCs/>
                <w:sz w:val="28"/>
                <w:szCs w:val="28"/>
              </w:rPr>
              <w:t>可预见的事件序列</w:t>
            </w:r>
          </w:p>
        </w:tc>
        <w:tc>
          <w:tcPr>
            <w:tcW w:w="2832" w:type="dxa"/>
            <w:vAlign w:val="center"/>
          </w:tcPr>
          <w:p w14:paraId="4763C9C6">
            <w:pPr>
              <w:spacing w:line="520" w:lineRule="exact"/>
              <w:ind w:right="-67" w:rightChars="-32"/>
              <w:jc w:val="center"/>
              <w:rPr>
                <w:rFonts w:ascii="黑体" w:hAnsi="黑体" w:eastAsia="黑体" w:cs="黑体"/>
                <w:bCs/>
                <w:sz w:val="28"/>
                <w:szCs w:val="28"/>
              </w:rPr>
            </w:pPr>
            <w:r>
              <w:rPr>
                <w:rFonts w:hint="eastAsia" w:ascii="黑体" w:hAnsi="黑体" w:eastAsia="黑体" w:cs="黑体"/>
                <w:bCs/>
                <w:sz w:val="28"/>
                <w:szCs w:val="28"/>
              </w:rPr>
              <w:t>可能产生的危害</w:t>
            </w:r>
          </w:p>
        </w:tc>
      </w:tr>
      <w:tr w14:paraId="6762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vAlign w:val="center"/>
          </w:tcPr>
          <w:p w14:paraId="4A8BD0C5">
            <w:pPr>
              <w:spacing w:line="520" w:lineRule="exact"/>
              <w:ind w:right="-67" w:rightChars="-32"/>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生物学和化学危害</w:t>
            </w:r>
          </w:p>
        </w:tc>
        <w:tc>
          <w:tcPr>
            <w:tcW w:w="1901" w:type="dxa"/>
            <w:vAlign w:val="center"/>
          </w:tcPr>
          <w:p w14:paraId="4881CCFC">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生物污染</w:t>
            </w:r>
          </w:p>
        </w:tc>
        <w:tc>
          <w:tcPr>
            <w:tcW w:w="3321" w:type="dxa"/>
            <w:vAlign w:val="center"/>
          </w:tcPr>
          <w:p w14:paraId="5CCFBD30">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包装破损或使用时操作不规范造成生物污染</w:t>
            </w:r>
          </w:p>
        </w:tc>
        <w:tc>
          <w:tcPr>
            <w:tcW w:w="2832" w:type="dxa"/>
            <w:vAlign w:val="center"/>
          </w:tcPr>
          <w:p w14:paraId="1CB5447C">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产品引入致病菌，引起患者身体不适或感染</w:t>
            </w:r>
          </w:p>
        </w:tc>
      </w:tr>
      <w:tr w14:paraId="5294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19DBB274">
            <w:pPr>
              <w:spacing w:line="520" w:lineRule="exact"/>
              <w:ind w:right="-67" w:rightChars="-32"/>
              <w:jc w:val="center"/>
              <w:rPr>
                <w:rFonts w:ascii="Times New Roman" w:hAnsi="Times New Roman" w:eastAsia="仿宋_GB2312" w:cs="Times New Roman"/>
                <w:bCs/>
                <w:sz w:val="28"/>
                <w:szCs w:val="28"/>
              </w:rPr>
            </w:pPr>
          </w:p>
        </w:tc>
        <w:tc>
          <w:tcPr>
            <w:tcW w:w="1901" w:type="dxa"/>
            <w:vAlign w:val="center"/>
          </w:tcPr>
          <w:p w14:paraId="2B9A0047">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环境污</w:t>
            </w:r>
            <w:r>
              <w:rPr>
                <w:rFonts w:hint="eastAsia" w:ascii="Times New Roman" w:hAnsi="Times New Roman" w:eastAsia="仿宋_GB2312" w:cs="Times New Roman"/>
                <w:bCs/>
                <w:sz w:val="28"/>
                <w:szCs w:val="28"/>
              </w:rPr>
              <w:t>染</w:t>
            </w:r>
          </w:p>
        </w:tc>
        <w:tc>
          <w:tcPr>
            <w:tcW w:w="3321" w:type="dxa"/>
            <w:vAlign w:val="center"/>
          </w:tcPr>
          <w:p w14:paraId="670F1D29">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生产环境污染产品，如外来的粉尘、其他杂质等</w:t>
            </w:r>
          </w:p>
        </w:tc>
        <w:tc>
          <w:tcPr>
            <w:tcW w:w="2832" w:type="dxa"/>
            <w:vAlign w:val="center"/>
          </w:tcPr>
          <w:p w14:paraId="5A3BB796">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引起患者身体不适或感染</w:t>
            </w:r>
          </w:p>
        </w:tc>
      </w:tr>
      <w:tr w14:paraId="7502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79" w:type="dxa"/>
            <w:vMerge w:val="continue"/>
            <w:vAlign w:val="center"/>
          </w:tcPr>
          <w:p w14:paraId="5E98301A">
            <w:pPr>
              <w:spacing w:line="520" w:lineRule="exact"/>
              <w:ind w:right="-67" w:rightChars="-32"/>
              <w:jc w:val="center"/>
              <w:rPr>
                <w:rFonts w:ascii="Times New Roman" w:hAnsi="Times New Roman" w:eastAsia="仿宋_GB2312" w:cs="Times New Roman"/>
                <w:bCs/>
                <w:sz w:val="28"/>
                <w:szCs w:val="28"/>
              </w:rPr>
            </w:pPr>
          </w:p>
        </w:tc>
        <w:tc>
          <w:tcPr>
            <w:tcW w:w="1901" w:type="dxa"/>
            <w:vAlign w:val="center"/>
          </w:tcPr>
          <w:p w14:paraId="60B4C517">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生物相容性</w:t>
            </w:r>
          </w:p>
        </w:tc>
        <w:tc>
          <w:tcPr>
            <w:tcW w:w="3321" w:type="dxa"/>
            <w:vAlign w:val="center"/>
          </w:tcPr>
          <w:p w14:paraId="76897349">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采用了不合格原辅材料；生产引入了外来物质</w:t>
            </w:r>
          </w:p>
        </w:tc>
        <w:tc>
          <w:tcPr>
            <w:tcW w:w="2832" w:type="dxa"/>
            <w:vAlign w:val="center"/>
          </w:tcPr>
          <w:p w14:paraId="314B4A9C">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引起患者局部过敏</w:t>
            </w:r>
            <w:r>
              <w:rPr>
                <w:rFonts w:hint="eastAsia" w:ascii="Times New Roman" w:hAnsi="Times New Roman" w:eastAsia="仿宋_GB2312" w:cs="Times New Roman"/>
                <w:bCs/>
                <w:sz w:val="28"/>
                <w:szCs w:val="28"/>
              </w:rPr>
              <w:t>或刺激</w:t>
            </w:r>
          </w:p>
        </w:tc>
      </w:tr>
      <w:tr w14:paraId="2AD6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7" w:hRule="atLeast"/>
          <w:jc w:val="center"/>
        </w:trPr>
        <w:tc>
          <w:tcPr>
            <w:tcW w:w="1079" w:type="dxa"/>
            <w:vMerge w:val="continue"/>
            <w:vAlign w:val="center"/>
          </w:tcPr>
          <w:p w14:paraId="07C07B78">
            <w:pPr>
              <w:spacing w:line="520" w:lineRule="exact"/>
              <w:ind w:right="-67" w:rightChars="-32"/>
              <w:jc w:val="center"/>
              <w:rPr>
                <w:rFonts w:ascii="Times New Roman" w:hAnsi="Times New Roman" w:eastAsia="仿宋_GB2312" w:cs="Times New Roman"/>
                <w:bCs/>
                <w:sz w:val="28"/>
                <w:szCs w:val="28"/>
              </w:rPr>
            </w:pPr>
          </w:p>
        </w:tc>
        <w:tc>
          <w:tcPr>
            <w:tcW w:w="1901" w:type="dxa"/>
            <w:vAlign w:val="center"/>
          </w:tcPr>
          <w:p w14:paraId="2C26C905">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化学危害</w:t>
            </w:r>
          </w:p>
        </w:tc>
        <w:tc>
          <w:tcPr>
            <w:tcW w:w="3321" w:type="dxa"/>
            <w:vAlign w:val="center"/>
          </w:tcPr>
          <w:p w14:paraId="76248E70">
            <w:pPr>
              <w:spacing w:line="52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生产工艺控制不严</w:t>
            </w:r>
          </w:p>
          <w:p w14:paraId="653B2312">
            <w:pPr>
              <w:spacing w:line="52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不正确的配方（化学成分）</w:t>
            </w:r>
          </w:p>
          <w:p w14:paraId="4D49D227">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添加剂或助剂使用比例不正确</w:t>
            </w:r>
          </w:p>
        </w:tc>
        <w:tc>
          <w:tcPr>
            <w:tcW w:w="2832" w:type="dxa"/>
            <w:vAlign w:val="center"/>
          </w:tcPr>
          <w:p w14:paraId="1ABDA33E">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造成毒性危害</w:t>
            </w:r>
          </w:p>
        </w:tc>
      </w:tr>
      <w:tr w14:paraId="36A2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jc w:val="center"/>
        </w:trPr>
        <w:tc>
          <w:tcPr>
            <w:tcW w:w="1079" w:type="dxa"/>
            <w:vMerge w:val="restart"/>
            <w:vAlign w:val="center"/>
          </w:tcPr>
          <w:p w14:paraId="2EE80BD7">
            <w:pPr>
              <w:spacing w:line="520" w:lineRule="exact"/>
              <w:ind w:right="-67" w:rightChars="-32"/>
              <w:jc w:val="center"/>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可用性</w:t>
            </w:r>
          </w:p>
          <w:p w14:paraId="45A5AF27">
            <w:pPr>
              <w:spacing w:line="520" w:lineRule="exact"/>
              <w:ind w:right="-67" w:rightChars="-32"/>
              <w:jc w:val="center"/>
              <w:rPr>
                <w:rFonts w:ascii="Times New Roman" w:hAnsi="Times New Roman" w:eastAsia="仿宋_GB2312" w:cs="Times New Roman"/>
                <w:bCs/>
                <w:sz w:val="28"/>
                <w:szCs w:val="28"/>
              </w:rPr>
            </w:pPr>
          </w:p>
        </w:tc>
        <w:tc>
          <w:tcPr>
            <w:tcW w:w="1901" w:type="dxa"/>
            <w:vAlign w:val="center"/>
          </w:tcPr>
          <w:p w14:paraId="04D12287">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使用产品时未按照说明书中操作方法操作</w:t>
            </w:r>
          </w:p>
        </w:tc>
        <w:tc>
          <w:tcPr>
            <w:tcW w:w="3321" w:type="dxa"/>
            <w:vAlign w:val="center"/>
          </w:tcPr>
          <w:p w14:paraId="49007ED8">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错误操作；未采取相应的保护措施</w:t>
            </w:r>
          </w:p>
        </w:tc>
        <w:tc>
          <w:tcPr>
            <w:tcW w:w="2832" w:type="dxa"/>
          </w:tcPr>
          <w:p w14:paraId="3C474FA1">
            <w:pPr>
              <w:spacing w:line="52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无法保证使用安全性</w:t>
            </w:r>
          </w:p>
          <w:p w14:paraId="68BDC8F4">
            <w:pPr>
              <w:spacing w:line="52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导致操作失误</w:t>
            </w:r>
            <w:r>
              <w:rPr>
                <w:rFonts w:hint="eastAsia" w:ascii="Times New Roman" w:hAnsi="Times New Roman" w:eastAsia="仿宋_GB2312" w:cs="Times New Roman"/>
                <w:bCs/>
                <w:sz w:val="28"/>
                <w:szCs w:val="28"/>
              </w:rPr>
              <w:t>，导致无法达到满意的效果</w:t>
            </w:r>
          </w:p>
        </w:tc>
      </w:tr>
      <w:tr w14:paraId="503D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vAlign w:val="center"/>
          </w:tcPr>
          <w:p w14:paraId="2317C6CC">
            <w:pPr>
              <w:spacing w:line="520" w:lineRule="exact"/>
              <w:ind w:right="-67" w:rightChars="-32"/>
              <w:rPr>
                <w:rFonts w:ascii="Times New Roman" w:hAnsi="Times New Roman" w:eastAsia="仿宋_GB2312" w:cs="Times New Roman"/>
                <w:bCs/>
                <w:sz w:val="28"/>
                <w:szCs w:val="28"/>
              </w:rPr>
            </w:pPr>
          </w:p>
        </w:tc>
        <w:tc>
          <w:tcPr>
            <w:tcW w:w="1901" w:type="dxa"/>
            <w:vAlign w:val="center"/>
          </w:tcPr>
          <w:p w14:paraId="1085B2EC">
            <w:pPr>
              <w:spacing w:line="52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忽视说明书中</w:t>
            </w:r>
            <w:r>
              <w:rPr>
                <w:rFonts w:hint="eastAsia" w:ascii="Times New Roman" w:hAnsi="Times New Roman" w:eastAsia="仿宋_GB2312" w:cs="Times New Roman"/>
                <w:bCs/>
                <w:sz w:val="28"/>
                <w:szCs w:val="28"/>
              </w:rPr>
              <w:t>禁忌证</w:t>
            </w:r>
            <w:r>
              <w:rPr>
                <w:rFonts w:ascii="Times New Roman" w:hAnsi="Times New Roman" w:eastAsia="仿宋_GB2312" w:cs="Times New Roman"/>
                <w:bCs/>
                <w:sz w:val="28"/>
                <w:szCs w:val="28"/>
              </w:rPr>
              <w:t>、警示信息等内容</w:t>
            </w:r>
          </w:p>
        </w:tc>
        <w:tc>
          <w:tcPr>
            <w:tcW w:w="3321" w:type="dxa"/>
            <w:vAlign w:val="center"/>
          </w:tcPr>
          <w:p w14:paraId="355D2D54">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患者在使用过程中出现过敏</w:t>
            </w:r>
          </w:p>
        </w:tc>
        <w:tc>
          <w:tcPr>
            <w:tcW w:w="2832" w:type="dxa"/>
            <w:vAlign w:val="center"/>
          </w:tcPr>
          <w:p w14:paraId="5C6C761F">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引起患者过敏</w:t>
            </w:r>
          </w:p>
        </w:tc>
      </w:tr>
      <w:tr w14:paraId="4E2E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vAlign w:val="center"/>
          </w:tcPr>
          <w:p w14:paraId="62616BE9">
            <w:pPr>
              <w:spacing w:line="520" w:lineRule="exact"/>
              <w:ind w:right="-67" w:rightChars="-32"/>
              <w:rPr>
                <w:rFonts w:ascii="Times New Roman" w:hAnsi="Times New Roman" w:eastAsia="仿宋_GB2312" w:cs="Times New Roman"/>
                <w:bCs/>
                <w:sz w:val="28"/>
                <w:szCs w:val="28"/>
              </w:rPr>
            </w:pPr>
          </w:p>
        </w:tc>
        <w:tc>
          <w:tcPr>
            <w:tcW w:w="1901" w:type="dxa"/>
            <w:vAlign w:val="center"/>
          </w:tcPr>
          <w:p w14:paraId="55B5FA03">
            <w:pPr>
              <w:spacing w:line="52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不正确的标签</w:t>
            </w:r>
          </w:p>
        </w:tc>
        <w:tc>
          <w:tcPr>
            <w:tcW w:w="3321" w:type="dxa"/>
            <w:vAlign w:val="center"/>
          </w:tcPr>
          <w:p w14:paraId="1E209AA2">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外部标记不全面、标记不正确或不能够清楚易认</w:t>
            </w:r>
          </w:p>
        </w:tc>
        <w:tc>
          <w:tcPr>
            <w:tcW w:w="2832" w:type="dxa"/>
            <w:vAlign w:val="center"/>
          </w:tcPr>
          <w:p w14:paraId="6DF04A55">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错误使用；产品辨别错误</w:t>
            </w:r>
          </w:p>
        </w:tc>
      </w:tr>
      <w:tr w14:paraId="47A2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vAlign w:val="center"/>
          </w:tcPr>
          <w:p w14:paraId="51B97E60">
            <w:pPr>
              <w:spacing w:line="520" w:lineRule="exact"/>
              <w:ind w:right="-67" w:rightChars="-32"/>
              <w:rPr>
                <w:rFonts w:ascii="Times New Roman" w:hAnsi="Times New Roman" w:eastAsia="仿宋_GB2312" w:cs="Times New Roman"/>
                <w:bCs/>
                <w:sz w:val="28"/>
                <w:szCs w:val="28"/>
              </w:rPr>
            </w:pPr>
          </w:p>
        </w:tc>
        <w:tc>
          <w:tcPr>
            <w:tcW w:w="1901" w:type="dxa"/>
            <w:vAlign w:val="center"/>
          </w:tcPr>
          <w:p w14:paraId="00A7207B">
            <w:pPr>
              <w:spacing w:line="520" w:lineRule="exact"/>
              <w:rPr>
                <w:rFonts w:ascii="Times New Roman" w:hAnsi="Times New Roman" w:eastAsia="仿宋_GB2312" w:cs="Times New Roman"/>
                <w:bCs/>
                <w:sz w:val="28"/>
                <w:szCs w:val="28"/>
              </w:rPr>
            </w:pPr>
            <w:r>
              <w:rPr>
                <w:rFonts w:ascii="Times New Roman" w:hAnsi="Times New Roman" w:eastAsia="仿宋_GB2312" w:cs="Times New Roman"/>
                <w:bCs/>
                <w:sz w:val="28"/>
                <w:szCs w:val="28"/>
              </w:rPr>
              <w:t>不正确的说明书；说明书上的注意事项、</w:t>
            </w:r>
            <w:r>
              <w:rPr>
                <w:rFonts w:hint="eastAsia" w:ascii="Times New Roman" w:hAnsi="Times New Roman" w:eastAsia="仿宋_GB2312" w:cs="Times New Roman"/>
                <w:bCs/>
                <w:sz w:val="28"/>
                <w:szCs w:val="28"/>
              </w:rPr>
              <w:t>禁忌证</w:t>
            </w:r>
            <w:r>
              <w:rPr>
                <w:rFonts w:ascii="Times New Roman" w:hAnsi="Times New Roman" w:eastAsia="仿宋_GB2312" w:cs="Times New Roman"/>
                <w:bCs/>
                <w:sz w:val="28"/>
                <w:szCs w:val="28"/>
              </w:rPr>
              <w:t>不全</w:t>
            </w:r>
          </w:p>
        </w:tc>
        <w:tc>
          <w:tcPr>
            <w:tcW w:w="3321" w:type="dxa"/>
            <w:vAlign w:val="center"/>
          </w:tcPr>
          <w:p w14:paraId="2C758147">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缺少详细的使用方法、必要的警告说明</w:t>
            </w:r>
          </w:p>
        </w:tc>
        <w:tc>
          <w:tcPr>
            <w:tcW w:w="2832" w:type="dxa"/>
            <w:vAlign w:val="center"/>
          </w:tcPr>
          <w:p w14:paraId="60814DD1">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错误操作；无法保证使用安全有效性</w:t>
            </w:r>
          </w:p>
        </w:tc>
      </w:tr>
      <w:tr w14:paraId="51FA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vAlign w:val="center"/>
          </w:tcPr>
          <w:p w14:paraId="4478B86D">
            <w:pPr>
              <w:spacing w:line="520" w:lineRule="exact"/>
              <w:ind w:right="-67" w:rightChars="-32"/>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功能性</w:t>
            </w:r>
          </w:p>
        </w:tc>
        <w:tc>
          <w:tcPr>
            <w:tcW w:w="1901" w:type="dxa"/>
            <w:vAlign w:val="center"/>
          </w:tcPr>
          <w:p w14:paraId="093E4791">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对医疗器械寿命终止缺少适当的决定</w:t>
            </w:r>
          </w:p>
        </w:tc>
        <w:tc>
          <w:tcPr>
            <w:tcW w:w="3321" w:type="dxa"/>
            <w:vAlign w:val="center"/>
          </w:tcPr>
          <w:p w14:paraId="5BFBADA2">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没有标识产品有效期</w:t>
            </w:r>
          </w:p>
        </w:tc>
        <w:tc>
          <w:tcPr>
            <w:tcW w:w="2832" w:type="dxa"/>
            <w:vAlign w:val="center"/>
          </w:tcPr>
          <w:p w14:paraId="07CFF4F4">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超出有效期的产品被使用，可能会引起患者细菌感染，或因材料老化产生而导致产品性能不符合要求</w:t>
            </w:r>
          </w:p>
        </w:tc>
      </w:tr>
      <w:tr w14:paraId="6BBF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6BA5D7D0">
            <w:pPr>
              <w:spacing w:line="520" w:lineRule="exact"/>
              <w:ind w:right="-67" w:rightChars="-32"/>
              <w:rPr>
                <w:rFonts w:ascii="Times New Roman" w:hAnsi="Times New Roman" w:eastAsia="仿宋_GB2312" w:cs="Times New Roman"/>
                <w:bCs/>
                <w:sz w:val="28"/>
                <w:szCs w:val="28"/>
              </w:rPr>
            </w:pPr>
          </w:p>
        </w:tc>
        <w:tc>
          <w:tcPr>
            <w:tcW w:w="1901" w:type="dxa"/>
            <w:vAlign w:val="center"/>
          </w:tcPr>
          <w:p w14:paraId="032A4FD3">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不适当的产品包装（产品污染和／或变性）</w:t>
            </w:r>
          </w:p>
        </w:tc>
        <w:tc>
          <w:tcPr>
            <w:tcW w:w="3321" w:type="dxa"/>
            <w:vAlign w:val="center"/>
          </w:tcPr>
          <w:p w14:paraId="17B634AE">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生产、运输、搬运和储存过程中导致包装破损；包装封口不严密；包装材料选择不适当；使用前未检查产品包装状态</w:t>
            </w:r>
          </w:p>
        </w:tc>
        <w:tc>
          <w:tcPr>
            <w:tcW w:w="2832" w:type="dxa"/>
            <w:vAlign w:val="center"/>
          </w:tcPr>
          <w:p w14:paraId="6A43DF93">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产品使用性能无法得到保证</w:t>
            </w:r>
          </w:p>
        </w:tc>
      </w:tr>
      <w:tr w14:paraId="465EB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759FEE89">
            <w:pPr>
              <w:spacing w:line="520" w:lineRule="exact"/>
              <w:ind w:right="-67" w:rightChars="-32"/>
              <w:rPr>
                <w:rFonts w:ascii="Times New Roman" w:hAnsi="Times New Roman" w:eastAsia="仿宋_GB2312" w:cs="Times New Roman"/>
                <w:bCs/>
                <w:sz w:val="28"/>
                <w:szCs w:val="28"/>
              </w:rPr>
            </w:pPr>
          </w:p>
        </w:tc>
        <w:tc>
          <w:tcPr>
            <w:tcW w:w="1901" w:type="dxa"/>
            <w:vAlign w:val="center"/>
          </w:tcPr>
          <w:p w14:paraId="43D288DA">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再次使用和/或不适当的再次使用</w:t>
            </w:r>
          </w:p>
        </w:tc>
        <w:tc>
          <w:tcPr>
            <w:tcW w:w="3321" w:type="dxa"/>
            <w:vAlign w:val="center"/>
          </w:tcPr>
          <w:p w14:paraId="7BA1F3E8">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产品多次使用，</w:t>
            </w:r>
            <w:r>
              <w:rPr>
                <w:rFonts w:hint="eastAsia" w:ascii="Times New Roman" w:hAnsi="Times New Roman" w:eastAsia="仿宋_GB2312" w:cs="Times New Roman"/>
                <w:bCs/>
                <w:sz w:val="28"/>
                <w:szCs w:val="28"/>
                <w:lang w:val="en-US" w:eastAsia="zh-CN"/>
              </w:rPr>
              <w:t>但</w:t>
            </w:r>
            <w:r>
              <w:rPr>
                <w:rFonts w:ascii="Times New Roman" w:hAnsi="Times New Roman" w:eastAsia="仿宋_GB2312" w:cs="Times New Roman"/>
                <w:bCs/>
                <w:sz w:val="28"/>
                <w:szCs w:val="28"/>
              </w:rPr>
              <w:t>未说明具体操作方法</w:t>
            </w:r>
          </w:p>
        </w:tc>
        <w:tc>
          <w:tcPr>
            <w:tcW w:w="2832" w:type="dxa"/>
            <w:vAlign w:val="center"/>
          </w:tcPr>
          <w:p w14:paraId="6FDDA450">
            <w:pPr>
              <w:spacing w:line="520" w:lineRule="exact"/>
              <w:ind w:right="-67" w:rightChars="-32"/>
              <w:rPr>
                <w:rFonts w:ascii="Times New Roman" w:hAnsi="Times New Roman" w:eastAsia="仿宋_GB2312" w:cs="Times New Roman"/>
                <w:bCs/>
                <w:sz w:val="28"/>
                <w:szCs w:val="28"/>
              </w:rPr>
            </w:pPr>
            <w:r>
              <w:rPr>
                <w:rFonts w:ascii="Times New Roman" w:hAnsi="Times New Roman" w:eastAsia="仿宋_GB2312" w:cs="Times New Roman"/>
                <w:bCs/>
                <w:sz w:val="28"/>
                <w:szCs w:val="28"/>
              </w:rPr>
              <w:t>出现细菌感染现象</w:t>
            </w:r>
          </w:p>
        </w:tc>
      </w:tr>
    </w:tbl>
    <w:p w14:paraId="7E6CAFE9">
      <w:pPr>
        <w:spacing w:line="520" w:lineRule="exact"/>
        <w:rPr>
          <w:rFonts w:hint="eastAsia" w:ascii="Times New Roman" w:hAnsi="Times New Roman" w:eastAsia="仿宋_GB2312" w:cs="仿宋_GB2312"/>
          <w:bCs/>
          <w:sz w:val="32"/>
          <w:szCs w:val="32"/>
          <w:lang w:val="zh-CN"/>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6DF5B8E-ED5B-AFDD-8A96-696A83892651}"/>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5F3A26B4-FEA9-F5EF-8A96-696A2068A486}"/>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embedRegular r:id="rId3" w:fontKey="{E43EFA20-9633-2FC9-8A96-696A89ED6494}"/>
  </w:font>
  <w:font w:name="Tahoma">
    <w:panose1 w:val="020B0604030504040204"/>
    <w:charset w:val="00"/>
    <w:family w:val="swiss"/>
    <w:pitch w:val="default"/>
    <w:sig w:usb0="E1002EFF" w:usb1="C000605B" w:usb2="00000029" w:usb3="00000000" w:csb0="200101FF" w:csb1="20280000"/>
    <w:embedRegular r:id="rId4" w:fontKey="{C99C2025-211C-D0E8-8B96-696ACEBBC0DF}"/>
  </w:font>
  <w:font w:name="方正小标宋简体">
    <w:panose1 w:val="03000509000000000000"/>
    <w:charset w:val="86"/>
    <w:family w:val="script"/>
    <w:pitch w:val="default"/>
    <w:sig w:usb0="00000001" w:usb1="080E0000" w:usb2="00000000" w:usb3="00000000" w:csb0="00040000" w:csb1="00000000"/>
    <w:embedRegular r:id="rId5" w:fontKey="{2654E335-7355-E236-8B96-696AE520DAAC}"/>
  </w:font>
  <w:font w:name="仿宋_GB2312">
    <w:panose1 w:val="02010609030101010101"/>
    <w:charset w:val="86"/>
    <w:family w:val="modern"/>
    <w:pitch w:val="default"/>
    <w:sig w:usb0="00000001" w:usb1="080E0000" w:usb2="00000000" w:usb3="00000000" w:csb0="00040000" w:csb1="00000000"/>
    <w:embedRegular r:id="rId6" w:fontKey="{A8492986-548A-C0B9-8B96-696A5EF9FDA8}"/>
  </w:font>
  <w:font w:name="楷体_GB2312">
    <w:panose1 w:val="02010609030101010101"/>
    <w:charset w:val="86"/>
    <w:family w:val="modern"/>
    <w:pitch w:val="default"/>
    <w:sig w:usb0="00000001" w:usb1="080E0000" w:usb2="00000000" w:usb3="00000000" w:csb0="00040000" w:csb1="00000000"/>
    <w:embedRegular r:id="rId7" w:fontKey="{091354CF-B31A-5830-8B96-696A7130E1EE}"/>
  </w:font>
  <w:font w:name="楷体">
    <w:panose1 w:val="02010609060101010101"/>
    <w:charset w:val="86"/>
    <w:family w:val="auto"/>
    <w:pitch w:val="default"/>
    <w:sig w:usb0="800002BF" w:usb1="38CF7CFA" w:usb2="00000016" w:usb3="00000000" w:csb0="00040001" w:csb1="00000000"/>
    <w:embedRegular r:id="rId8" w:fontKey="{5A50EEE4-B376-B1CF-8B96-696A7C5A6230}"/>
  </w:font>
  <w:font w:name="仿宋">
    <w:panose1 w:val="02010609060101010101"/>
    <w:charset w:val="86"/>
    <w:family w:val="auto"/>
    <w:pitch w:val="default"/>
    <w:sig w:usb0="800002BF" w:usb1="38CF7CFA" w:usb2="00000016" w:usb3="00000000" w:csb0="00040001" w:csb1="00000000"/>
    <w:embedRegular r:id="rId9" w:fontKey="{D7639D04-6D83-3058-8B96-696ABCA9F0BF}"/>
  </w:font>
  <w:font w:name="方正仿宋_GBK">
    <w:panose1 w:val="02000000000000000000"/>
    <w:charset w:val="86"/>
    <w:family w:val="auto"/>
    <w:pitch w:val="default"/>
    <w:sig w:usb0="00000001" w:usb1="08000000" w:usb2="00000000" w:usb3="00000000" w:csb0="00040000" w:csb1="00000000"/>
    <w:embedRegular r:id="rId10" w:fontKey="{3D8551FC-8453-309E-8B96-696A62131272}"/>
  </w:font>
  <w:font w:name="DejaVu Sans">
    <w:panose1 w:val="020B0603030804020204"/>
    <w:charset w:val="00"/>
    <w:family w:val="auto"/>
    <w:pitch w:val="default"/>
    <w:sig w:usb0="E7006EFF" w:usb1="D200FDFF" w:usb2="0A246029" w:usb3="0400200C" w:csb0="600001FF" w:csb1="DFFF0000"/>
    <w:embedRegular r:id="rId11" w:fontKey="{7FDD0593-1FCE-DCC1-8B96-696A8C6C7E29}"/>
  </w:font>
  <w:font w:name="Wingdings 3">
    <w:panose1 w:val="05040102010807070707"/>
    <w:charset w:val="00"/>
    <w:family w:val="auto"/>
    <w:pitch w:val="default"/>
    <w:sig w:usb0="00000000" w:usb1="00000000" w:usb2="00000000" w:usb3="00000000" w:csb0="80000000" w:csb1="00000000"/>
    <w:embedRegular r:id="rId12" w:fontKey="{6F59C694-4950-D893-8B96-696AB9C4C8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7E34B">
    <w:pPr>
      <w:widowControl w:val="0"/>
      <w:tabs>
        <w:tab w:val="center" w:pos="4153"/>
        <w:tab w:val="right" w:pos="8306"/>
      </w:tabs>
      <w:snapToGrid w:val="0"/>
      <w:spacing w:line="600" w:lineRule="exact"/>
      <w:ind w:firstLine="640" w:firstLineChars="200"/>
      <w:jc w:val="right"/>
      <w:rPr>
        <w:rFonts w:hint="eastAsia" w:ascii="Times New Roman" w:hAnsi="Times New Roman" w:eastAsia="仿宋" w:cs="Times New Roman"/>
        <w:kern w:val="2"/>
        <w:sz w:val="32"/>
        <w:szCs w:val="32"/>
        <w:lang w:val="en-US" w:eastAsia="zh-CN" w:bidi="ar-SA"/>
      </w:rPr>
    </w:pPr>
    <w:r>
      <w:rPr>
        <w:rFonts w:ascii="Times New Roman" w:hAnsi="Times New Roman" w:eastAsia="仿宋" w:cs="Times New Roman"/>
        <w:kern w:val="2"/>
        <w:sz w:val="32"/>
        <w:szCs w:val="32"/>
        <w:lang w:val="en-US" w:eastAsia="zh-CN" w:bidi="ar-SA"/>
      </w:rPr>
      <w:t xml:space="preserve">— </w:t>
    </w:r>
    <w:r>
      <w:rPr>
        <w:rFonts w:ascii="Times New Roman" w:hAnsi="Times New Roman" w:eastAsia="仿宋" w:cs="Times New Roman"/>
        <w:kern w:val="2"/>
        <w:sz w:val="32"/>
        <w:szCs w:val="32"/>
        <w:lang w:val="en-US" w:eastAsia="zh-CN" w:bidi="ar-SA"/>
      </w:rPr>
      <w:fldChar w:fldCharType="begin"/>
    </w:r>
    <w:r>
      <w:rPr>
        <w:rFonts w:ascii="Times New Roman" w:hAnsi="Times New Roman" w:eastAsia="仿宋" w:cs="Times New Roman"/>
        <w:kern w:val="2"/>
        <w:sz w:val="32"/>
        <w:szCs w:val="32"/>
        <w:lang w:val="en-US" w:eastAsia="zh-CN" w:bidi="ar-SA"/>
      </w:rPr>
      <w:instrText xml:space="preserve"> PAGE  \* MERGEFORMAT </w:instrText>
    </w:r>
    <w:r>
      <w:rPr>
        <w:rFonts w:ascii="Times New Roman" w:hAnsi="Times New Roman" w:eastAsia="仿宋" w:cs="Times New Roman"/>
        <w:kern w:val="2"/>
        <w:sz w:val="32"/>
        <w:szCs w:val="32"/>
        <w:lang w:val="en-US" w:eastAsia="zh-CN" w:bidi="ar-SA"/>
      </w:rPr>
      <w:fldChar w:fldCharType="separate"/>
    </w:r>
    <w:r>
      <w:rPr>
        <w:rFonts w:ascii="Times New Roman" w:hAnsi="Times New Roman" w:eastAsia="仿宋" w:cs="Times New Roman"/>
        <w:kern w:val="2"/>
        <w:sz w:val="32"/>
        <w:szCs w:val="32"/>
        <w:lang w:val="en-US" w:eastAsia="zh-CN" w:bidi="ar-SA"/>
      </w:rPr>
      <w:t>15</w:t>
    </w:r>
    <w:r>
      <w:rPr>
        <w:rFonts w:ascii="Times New Roman" w:hAnsi="Times New Roman" w:eastAsia="仿宋" w:cs="Times New Roman"/>
        <w:kern w:val="2"/>
        <w:sz w:val="32"/>
        <w:szCs w:val="32"/>
        <w:lang w:val="en-US" w:eastAsia="zh-CN" w:bidi="ar-SA"/>
      </w:rPr>
      <w:fldChar w:fldCharType="end"/>
    </w:r>
    <w:r>
      <w:rPr>
        <w:rFonts w:ascii="Times New Roman" w:hAnsi="Times New Roman" w:eastAsia="仿宋" w:cs="Times New Roman"/>
        <w:kern w:val="2"/>
        <w:sz w:val="32"/>
        <w:szCs w:val="32"/>
        <w:lang w:val="en-US" w:eastAsia="zh-CN" w:bidi="ar-SA"/>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2NTllZTE1M2VlMTk2NzE5ZTYxMWI4ZGRhMjIwNTEifQ=="/>
  </w:docVars>
  <w:rsids>
    <w:rsidRoot w:val="00000000"/>
    <w:rsid w:val="0057294C"/>
    <w:rsid w:val="00BB145D"/>
    <w:rsid w:val="01157B96"/>
    <w:rsid w:val="011A7E03"/>
    <w:rsid w:val="01703E9A"/>
    <w:rsid w:val="01AB4D19"/>
    <w:rsid w:val="021F298B"/>
    <w:rsid w:val="02803745"/>
    <w:rsid w:val="02DC35C3"/>
    <w:rsid w:val="02ED1C6E"/>
    <w:rsid w:val="02F019DF"/>
    <w:rsid w:val="034E6D0F"/>
    <w:rsid w:val="03912F41"/>
    <w:rsid w:val="03D26405"/>
    <w:rsid w:val="03EF7C67"/>
    <w:rsid w:val="040F1BAA"/>
    <w:rsid w:val="04627CA9"/>
    <w:rsid w:val="049C7DEF"/>
    <w:rsid w:val="04A76B32"/>
    <w:rsid w:val="04D53301"/>
    <w:rsid w:val="051416E4"/>
    <w:rsid w:val="067B1C86"/>
    <w:rsid w:val="0729554C"/>
    <w:rsid w:val="07AB25C7"/>
    <w:rsid w:val="08597DA5"/>
    <w:rsid w:val="0A6C3DC0"/>
    <w:rsid w:val="0ACF1C5F"/>
    <w:rsid w:val="0B8A6D7A"/>
    <w:rsid w:val="0BFA7589"/>
    <w:rsid w:val="0C4843B9"/>
    <w:rsid w:val="0C7E3DA7"/>
    <w:rsid w:val="0D6B4803"/>
    <w:rsid w:val="0DED284B"/>
    <w:rsid w:val="0E453C57"/>
    <w:rsid w:val="0FED14FF"/>
    <w:rsid w:val="10254F0A"/>
    <w:rsid w:val="102F7D69"/>
    <w:rsid w:val="107A08A9"/>
    <w:rsid w:val="116A6B7F"/>
    <w:rsid w:val="123E4294"/>
    <w:rsid w:val="12FC7CAB"/>
    <w:rsid w:val="14027543"/>
    <w:rsid w:val="145A45EF"/>
    <w:rsid w:val="15D32E94"/>
    <w:rsid w:val="15FF4C81"/>
    <w:rsid w:val="161539CC"/>
    <w:rsid w:val="172B7D93"/>
    <w:rsid w:val="1778450C"/>
    <w:rsid w:val="17D25616"/>
    <w:rsid w:val="188350F6"/>
    <w:rsid w:val="18ED3174"/>
    <w:rsid w:val="19435D2B"/>
    <w:rsid w:val="19620BB5"/>
    <w:rsid w:val="1AB23A71"/>
    <w:rsid w:val="1CC03ABA"/>
    <w:rsid w:val="1D8F0099"/>
    <w:rsid w:val="1E476DB9"/>
    <w:rsid w:val="1E4A35C1"/>
    <w:rsid w:val="1ED31D39"/>
    <w:rsid w:val="1F9C3AFA"/>
    <w:rsid w:val="20126D60"/>
    <w:rsid w:val="20CF731A"/>
    <w:rsid w:val="20DB03F7"/>
    <w:rsid w:val="20E25AAD"/>
    <w:rsid w:val="212154AC"/>
    <w:rsid w:val="223905D4"/>
    <w:rsid w:val="22BA4B3D"/>
    <w:rsid w:val="22C43625"/>
    <w:rsid w:val="22D20227"/>
    <w:rsid w:val="23AD3718"/>
    <w:rsid w:val="242D5F16"/>
    <w:rsid w:val="247C6455"/>
    <w:rsid w:val="25545725"/>
    <w:rsid w:val="26D7660D"/>
    <w:rsid w:val="277125BE"/>
    <w:rsid w:val="28773C04"/>
    <w:rsid w:val="29346F27"/>
    <w:rsid w:val="293F464C"/>
    <w:rsid w:val="2AEC1AFB"/>
    <w:rsid w:val="2B136138"/>
    <w:rsid w:val="2B9B099A"/>
    <w:rsid w:val="2BD26193"/>
    <w:rsid w:val="2C0D166E"/>
    <w:rsid w:val="2C414C55"/>
    <w:rsid w:val="2C9618D6"/>
    <w:rsid w:val="2C9A6113"/>
    <w:rsid w:val="2D31615F"/>
    <w:rsid w:val="2D841687"/>
    <w:rsid w:val="2DB974FA"/>
    <w:rsid w:val="2DBF0527"/>
    <w:rsid w:val="2E6D3CBB"/>
    <w:rsid w:val="2F396887"/>
    <w:rsid w:val="30047518"/>
    <w:rsid w:val="30AA3DBF"/>
    <w:rsid w:val="31274614"/>
    <w:rsid w:val="314F3970"/>
    <w:rsid w:val="31807FCD"/>
    <w:rsid w:val="31F63288"/>
    <w:rsid w:val="32E427DE"/>
    <w:rsid w:val="330D69B8"/>
    <w:rsid w:val="342B1BA3"/>
    <w:rsid w:val="352769B2"/>
    <w:rsid w:val="35F44AE6"/>
    <w:rsid w:val="362D006F"/>
    <w:rsid w:val="36347E29"/>
    <w:rsid w:val="36373015"/>
    <w:rsid w:val="367B74AA"/>
    <w:rsid w:val="370A20E7"/>
    <w:rsid w:val="37A8202C"/>
    <w:rsid w:val="37D72629"/>
    <w:rsid w:val="38824072"/>
    <w:rsid w:val="388B047F"/>
    <w:rsid w:val="38B927E7"/>
    <w:rsid w:val="3A1D02E4"/>
    <w:rsid w:val="3A897546"/>
    <w:rsid w:val="3AD66EB0"/>
    <w:rsid w:val="3AF630AE"/>
    <w:rsid w:val="3B762441"/>
    <w:rsid w:val="3BBC450D"/>
    <w:rsid w:val="3BEA73CB"/>
    <w:rsid w:val="3C2A6AC6"/>
    <w:rsid w:val="3C7E77FF"/>
    <w:rsid w:val="3C961C72"/>
    <w:rsid w:val="3C9C73FE"/>
    <w:rsid w:val="3D6A043F"/>
    <w:rsid w:val="3D7E58AB"/>
    <w:rsid w:val="3DE6611C"/>
    <w:rsid w:val="3E1A30F3"/>
    <w:rsid w:val="3E8804C1"/>
    <w:rsid w:val="3EC87A72"/>
    <w:rsid w:val="40C17CBA"/>
    <w:rsid w:val="41315365"/>
    <w:rsid w:val="423F236F"/>
    <w:rsid w:val="433C7ACC"/>
    <w:rsid w:val="438318D0"/>
    <w:rsid w:val="43913B0C"/>
    <w:rsid w:val="44162144"/>
    <w:rsid w:val="445A3B32"/>
    <w:rsid w:val="44815866"/>
    <w:rsid w:val="44D9323B"/>
    <w:rsid w:val="45321617"/>
    <w:rsid w:val="45813A60"/>
    <w:rsid w:val="459A1911"/>
    <w:rsid w:val="45E128C1"/>
    <w:rsid w:val="460C4643"/>
    <w:rsid w:val="464534A6"/>
    <w:rsid w:val="468974CC"/>
    <w:rsid w:val="46E26BDC"/>
    <w:rsid w:val="47262F6D"/>
    <w:rsid w:val="47460091"/>
    <w:rsid w:val="47C36A0E"/>
    <w:rsid w:val="47FF2A2E"/>
    <w:rsid w:val="48243B68"/>
    <w:rsid w:val="48483E3E"/>
    <w:rsid w:val="488F0DE5"/>
    <w:rsid w:val="48961A2D"/>
    <w:rsid w:val="490E7368"/>
    <w:rsid w:val="493375A8"/>
    <w:rsid w:val="493A6B92"/>
    <w:rsid w:val="49C64593"/>
    <w:rsid w:val="49CA0DC2"/>
    <w:rsid w:val="4A2C64BB"/>
    <w:rsid w:val="4A534079"/>
    <w:rsid w:val="4AB27A19"/>
    <w:rsid w:val="4BE60F1D"/>
    <w:rsid w:val="4C13787D"/>
    <w:rsid w:val="4C3C7520"/>
    <w:rsid w:val="4D2264A2"/>
    <w:rsid w:val="4D480B43"/>
    <w:rsid w:val="4D4952BF"/>
    <w:rsid w:val="4D9023D0"/>
    <w:rsid w:val="4DAE15C6"/>
    <w:rsid w:val="4EE74D90"/>
    <w:rsid w:val="4EE80B08"/>
    <w:rsid w:val="4F484641"/>
    <w:rsid w:val="4F6B59C1"/>
    <w:rsid w:val="4F870321"/>
    <w:rsid w:val="4FE81397"/>
    <w:rsid w:val="50532ED8"/>
    <w:rsid w:val="514733E5"/>
    <w:rsid w:val="517819B6"/>
    <w:rsid w:val="527E0EE4"/>
    <w:rsid w:val="52EA3E16"/>
    <w:rsid w:val="53A06203"/>
    <w:rsid w:val="53B2342F"/>
    <w:rsid w:val="54163583"/>
    <w:rsid w:val="54375424"/>
    <w:rsid w:val="54604C7D"/>
    <w:rsid w:val="550C4362"/>
    <w:rsid w:val="55102B67"/>
    <w:rsid w:val="5647129A"/>
    <w:rsid w:val="566B01D5"/>
    <w:rsid w:val="568B1FB7"/>
    <w:rsid w:val="56C360E3"/>
    <w:rsid w:val="572C2811"/>
    <w:rsid w:val="582165A1"/>
    <w:rsid w:val="5A153559"/>
    <w:rsid w:val="5A716294"/>
    <w:rsid w:val="5ABF46DB"/>
    <w:rsid w:val="5AD22196"/>
    <w:rsid w:val="5B77791D"/>
    <w:rsid w:val="5CAC7095"/>
    <w:rsid w:val="5D024EA6"/>
    <w:rsid w:val="5DB15F43"/>
    <w:rsid w:val="5DF70FE0"/>
    <w:rsid w:val="5E2C27BF"/>
    <w:rsid w:val="5E3574D4"/>
    <w:rsid w:val="5E867220"/>
    <w:rsid w:val="5EAA7B88"/>
    <w:rsid w:val="5F3C4C84"/>
    <w:rsid w:val="5F441D8B"/>
    <w:rsid w:val="5FC23A00"/>
    <w:rsid w:val="603F1DF4"/>
    <w:rsid w:val="60487659"/>
    <w:rsid w:val="61171B40"/>
    <w:rsid w:val="61347966"/>
    <w:rsid w:val="62DC5BEA"/>
    <w:rsid w:val="639B17F6"/>
    <w:rsid w:val="63DD1366"/>
    <w:rsid w:val="63FD6F0A"/>
    <w:rsid w:val="64504D2E"/>
    <w:rsid w:val="646F6A58"/>
    <w:rsid w:val="648D7D30"/>
    <w:rsid w:val="64EA6FA5"/>
    <w:rsid w:val="652C12F7"/>
    <w:rsid w:val="65652B64"/>
    <w:rsid w:val="656767D3"/>
    <w:rsid w:val="6716225F"/>
    <w:rsid w:val="679F4002"/>
    <w:rsid w:val="67EB36EB"/>
    <w:rsid w:val="68D93544"/>
    <w:rsid w:val="68E64065"/>
    <w:rsid w:val="6922313D"/>
    <w:rsid w:val="69236EB5"/>
    <w:rsid w:val="697816CC"/>
    <w:rsid w:val="69A51678"/>
    <w:rsid w:val="69E92850"/>
    <w:rsid w:val="6AA42F83"/>
    <w:rsid w:val="6B012A20"/>
    <w:rsid w:val="6B5D66AE"/>
    <w:rsid w:val="6B96396E"/>
    <w:rsid w:val="6BA53000"/>
    <w:rsid w:val="6BFF3607"/>
    <w:rsid w:val="6C1D15AC"/>
    <w:rsid w:val="6C383399"/>
    <w:rsid w:val="6C757A27"/>
    <w:rsid w:val="6CAB297C"/>
    <w:rsid w:val="6CB5251A"/>
    <w:rsid w:val="6D25144D"/>
    <w:rsid w:val="6D2F2B5D"/>
    <w:rsid w:val="6D512242"/>
    <w:rsid w:val="6D631F76"/>
    <w:rsid w:val="6D837F22"/>
    <w:rsid w:val="6DF01AFA"/>
    <w:rsid w:val="6E1A6AD8"/>
    <w:rsid w:val="6E2C680B"/>
    <w:rsid w:val="6E9E738B"/>
    <w:rsid w:val="6EA0288E"/>
    <w:rsid w:val="6F223D61"/>
    <w:rsid w:val="6F8D1212"/>
    <w:rsid w:val="6FDB5DF3"/>
    <w:rsid w:val="706202C3"/>
    <w:rsid w:val="70951A45"/>
    <w:rsid w:val="71167A14"/>
    <w:rsid w:val="71C54335"/>
    <w:rsid w:val="72534E9D"/>
    <w:rsid w:val="73491F32"/>
    <w:rsid w:val="739369E5"/>
    <w:rsid w:val="73971383"/>
    <w:rsid w:val="73DA5F9E"/>
    <w:rsid w:val="744F471E"/>
    <w:rsid w:val="748065DC"/>
    <w:rsid w:val="74A76BEC"/>
    <w:rsid w:val="750E6C6B"/>
    <w:rsid w:val="75560916"/>
    <w:rsid w:val="75D82159"/>
    <w:rsid w:val="75E7607E"/>
    <w:rsid w:val="76500BBD"/>
    <w:rsid w:val="7682047B"/>
    <w:rsid w:val="77110B96"/>
    <w:rsid w:val="771976F5"/>
    <w:rsid w:val="77AE12A3"/>
    <w:rsid w:val="78770683"/>
    <w:rsid w:val="78777631"/>
    <w:rsid w:val="793A2BF2"/>
    <w:rsid w:val="7AB1710D"/>
    <w:rsid w:val="7ACF0C4A"/>
    <w:rsid w:val="7AFF705B"/>
    <w:rsid w:val="7BE350CF"/>
    <w:rsid w:val="7C34430E"/>
    <w:rsid w:val="7D412A8D"/>
    <w:rsid w:val="7D5778C2"/>
    <w:rsid w:val="7D584B4A"/>
    <w:rsid w:val="7D944A96"/>
    <w:rsid w:val="7D983576"/>
    <w:rsid w:val="7E122B34"/>
    <w:rsid w:val="7E8A62A7"/>
    <w:rsid w:val="7F8D6DCF"/>
    <w:rsid w:val="7F951C5D"/>
    <w:rsid w:val="7FA46828"/>
    <w:rsid w:val="7FD3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autoSpaceDE w:val="0"/>
      <w:autoSpaceDN w:val="0"/>
      <w:snapToGrid w:val="0"/>
      <w:spacing w:beforeLines="0" w:beforeAutospacing="0" w:afterLines="0" w:afterAutospacing="0" w:line="360" w:lineRule="auto"/>
      <w:outlineLvl w:val="0"/>
    </w:pPr>
    <w:rPr>
      <w:rFonts w:eastAsia="宋体" w:asciiTheme="minorAscii" w:hAnsiTheme="minorAscii"/>
      <w:b/>
      <w:kern w:val="44"/>
      <w:sz w:val="24"/>
    </w:rPr>
  </w:style>
  <w:style w:type="paragraph" w:styleId="4">
    <w:name w:val="heading 2"/>
    <w:basedOn w:val="1"/>
    <w:next w:val="1"/>
    <w:semiHidden/>
    <w:unhideWhenUsed/>
    <w:qFormat/>
    <w:uiPriority w:val="0"/>
    <w:pPr>
      <w:spacing w:before="0" w:beforeAutospacing="0" w:after="0" w:afterAutospacing="0" w:line="360" w:lineRule="auto"/>
      <w:jc w:val="left"/>
      <w:outlineLvl w:val="1"/>
    </w:pPr>
    <w:rPr>
      <w:rFonts w:hint="eastAsia" w:ascii="宋体" w:hAnsi="宋体" w:eastAsia="宋体" w:cs="宋体"/>
      <w:b/>
      <w:bCs/>
      <w:kern w:val="0"/>
      <w:sz w:val="24"/>
      <w:szCs w:val="36"/>
      <w:lang w:bidi="ar"/>
    </w:rPr>
  </w:style>
  <w:style w:type="paragraph" w:styleId="5">
    <w:name w:val="heading 3"/>
    <w:basedOn w:val="1"/>
    <w:next w:val="1"/>
    <w:semiHidden/>
    <w:unhideWhenUsed/>
    <w:qFormat/>
    <w:uiPriority w:val="0"/>
    <w:pPr>
      <w:spacing w:before="0" w:beforeAutospacing="0" w:after="0" w:afterAutospacing="0" w:line="360" w:lineRule="auto"/>
      <w:jc w:val="left"/>
      <w:outlineLvl w:val="2"/>
    </w:pPr>
    <w:rPr>
      <w:rFonts w:hint="eastAsia" w:ascii="宋体" w:hAnsi="宋体" w:eastAsia="宋体" w:cs="宋体"/>
      <w:b/>
      <w:bCs/>
      <w:kern w:val="0"/>
      <w:sz w:val="24"/>
      <w:szCs w:val="27"/>
      <w:lang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6">
    <w:name w:val="annotation text"/>
    <w:basedOn w:val="1"/>
    <w:qFormat/>
    <w:uiPriority w:val="0"/>
    <w:pPr>
      <w:jc w:val="left"/>
    </w:p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7959</Words>
  <Characters>8573</Characters>
  <Lines>0</Lines>
  <Paragraphs>0</Paragraphs>
  <TotalTime>11</TotalTime>
  <ScaleCrop>false</ScaleCrop>
  <LinksUpToDate>false</LinksUpToDate>
  <CharactersWithSpaces>8633</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2025-08-13T08:58:00Z</dcterms:created>
  <dc:creator>Administrator</dc:creator>
  <cp:lastModifiedBy>wuyuanshenping</cp:lastModifiedBy>
  <dcterms:modified xsi:type="dcterms:W3CDTF">2026-07-29T13:58:34Z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C8B8BB78CA8946CCBB92805CC19434BD_13</vt:lpwstr>
  </property>
  <property fmtid="{D5CDD505-2E9C-101B-9397-08002B2CF9AE}" pid="4" name="KSOTemplateDocerSaveRecord">
    <vt:lpwstr>eyJoZGlkIjoiMTRkZDkxNGVlY2QzMjBiZTIwNTk5MGQwOTEzNzk0MDYiLCJ1c2VySWQiOiIxMjkxNTA5ODI0In0=</vt:lpwstr>
  </property>
</Properties>
</file>