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631E9">
      <w:pPr>
        <w:keepNext w:val="0"/>
        <w:keepLines w:val="0"/>
        <w:pageBreakBefore w:val="0"/>
        <w:kinsoku/>
        <w:wordWrap/>
        <w:topLinePunct w:val="0"/>
        <w:autoSpaceDE/>
        <w:autoSpaceDN/>
        <w:bidi w:val="0"/>
        <w:spacing w:line="500" w:lineRule="exact"/>
        <w:ind w:left="0" w:leftChars="0" w:right="0" w:rightChars="0" w:firstLine="0" w:firstLineChars="0"/>
        <w:jc w:val="center"/>
        <w:textAlignment w:val="auto"/>
        <w:rPr>
          <w:rFonts w:hint="eastAsia" w:ascii="Times New Roman" w:hAnsi="Times New Roman" w:eastAsia="方正小标宋简体" w:cs="方正小标宋简体"/>
          <w:bCs/>
          <w:color w:val="auto"/>
          <w:kern w:val="0"/>
          <w:sz w:val="44"/>
          <w:szCs w:val="44"/>
          <w:highlight w:val="none"/>
        </w:rPr>
      </w:pPr>
      <w:r>
        <w:rPr>
          <w:rFonts w:hint="eastAsia" w:ascii="Times New Roman" w:hAnsi="Times New Roman" w:eastAsia="方正小标宋简体" w:cs="方正小标宋简体"/>
          <w:bCs/>
          <w:color w:val="auto"/>
          <w:kern w:val="0"/>
          <w:sz w:val="44"/>
          <w:szCs w:val="44"/>
          <w:highlight w:val="none"/>
          <w:lang w:eastAsia="zh-CN"/>
        </w:rPr>
        <w:t>中医辅助诊断软件</w:t>
      </w:r>
      <w:r>
        <w:rPr>
          <w:rFonts w:hint="eastAsia" w:ascii="Times New Roman" w:hAnsi="Times New Roman" w:eastAsia="方正小标宋简体" w:cs="方正小标宋简体"/>
          <w:bCs/>
          <w:color w:val="auto"/>
          <w:kern w:val="0"/>
          <w:sz w:val="44"/>
          <w:szCs w:val="44"/>
          <w:highlight w:val="none"/>
        </w:rPr>
        <w:t>注册审查指导原则</w:t>
      </w:r>
    </w:p>
    <w:p w14:paraId="7CC68951">
      <w:pPr>
        <w:keepNext w:val="0"/>
        <w:keepLines w:val="0"/>
        <w:pageBreakBefore w:val="0"/>
        <w:kinsoku/>
        <w:wordWrap/>
        <w:topLinePunct w:val="0"/>
        <w:autoSpaceDE/>
        <w:autoSpaceDN/>
        <w:bidi w:val="0"/>
        <w:spacing w:line="500" w:lineRule="exact"/>
        <w:ind w:left="0" w:leftChars="0" w:right="0" w:rightChars="0" w:firstLine="0" w:firstLineChars="0"/>
        <w:jc w:val="center"/>
        <w:textAlignment w:val="auto"/>
        <w:rPr>
          <w:rFonts w:hint="eastAsia" w:ascii="Times New Roman" w:hAnsi="Times New Roman" w:eastAsia="方正小标宋简体" w:cs="方正小标宋简体"/>
          <w:bCs/>
          <w:color w:val="auto"/>
          <w:kern w:val="0"/>
          <w:sz w:val="44"/>
          <w:szCs w:val="44"/>
          <w:highlight w:val="none"/>
          <w:lang w:eastAsia="zh-CN"/>
        </w:rPr>
      </w:pPr>
      <w:r>
        <w:rPr>
          <w:rFonts w:hint="eastAsia" w:ascii="Times New Roman" w:hAnsi="Times New Roman" w:eastAsia="方正小标宋简体" w:cs="方正小标宋简体"/>
          <w:bCs/>
          <w:color w:val="auto"/>
          <w:kern w:val="0"/>
          <w:sz w:val="44"/>
          <w:szCs w:val="44"/>
          <w:highlight w:val="none"/>
          <w:lang w:eastAsia="zh-CN"/>
        </w:rPr>
        <w:t>（征求意见稿）</w:t>
      </w:r>
    </w:p>
    <w:p w14:paraId="01CD0338">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cs="仿宋_GB2312"/>
          <w:snapToGrid w:val="0"/>
          <w:color w:val="auto"/>
          <w:kern w:val="0"/>
          <w:sz w:val="32"/>
          <w:szCs w:val="32"/>
          <w:highlight w:val="none"/>
        </w:rPr>
      </w:pPr>
    </w:p>
    <w:p w14:paraId="17BA559C">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rPr>
        <w:t>本指导原则旨在指导注册申请人对</w:t>
      </w:r>
      <w:r>
        <w:rPr>
          <w:rFonts w:hint="eastAsia" w:eastAsia="仿宋_GB2312" w:cs="仿宋_GB2312"/>
          <w:snapToGrid w:val="0"/>
          <w:color w:val="auto"/>
          <w:kern w:val="0"/>
          <w:sz w:val="32"/>
          <w:szCs w:val="32"/>
          <w:highlight w:val="none"/>
          <w:lang w:eastAsia="zh-CN"/>
        </w:rPr>
        <w:t>第二类</w:t>
      </w:r>
      <w:r>
        <w:rPr>
          <w:rFonts w:hint="eastAsia" w:ascii="Times New Roman" w:hAnsi="Times New Roman" w:eastAsia="仿宋_GB2312" w:cs="仿宋_GB2312"/>
          <w:snapToGrid w:val="0"/>
          <w:color w:val="auto"/>
          <w:kern w:val="0"/>
          <w:sz w:val="32"/>
          <w:szCs w:val="32"/>
          <w:highlight w:val="none"/>
          <w:lang w:eastAsia="zh-CN"/>
        </w:rPr>
        <w:t>中医辅助诊断软件类产品</w:t>
      </w:r>
      <w:r>
        <w:rPr>
          <w:rFonts w:hint="eastAsia" w:ascii="Times New Roman" w:hAnsi="Times New Roman" w:eastAsia="仿宋_GB2312" w:cs="仿宋_GB2312"/>
          <w:snapToGrid w:val="0"/>
          <w:color w:val="auto"/>
          <w:kern w:val="0"/>
          <w:sz w:val="32"/>
          <w:szCs w:val="32"/>
          <w:highlight w:val="none"/>
        </w:rPr>
        <w:t>注册申报资料的准备及撰写，同时也为技术审评部门提供参考。</w:t>
      </w:r>
    </w:p>
    <w:p w14:paraId="4BBA1B1B">
      <w:pPr>
        <w:keepNext w:val="0"/>
        <w:keepLines w:val="0"/>
        <w:pageBreakBefore w:val="0"/>
        <w:kinsoku/>
        <w:wordWrap/>
        <w:overflowPunct w:val="0"/>
        <w:topLinePunct w:val="0"/>
        <w:autoSpaceDE/>
        <w:autoSpaceDN/>
        <w:bidi w:val="0"/>
        <w:spacing w:line="500" w:lineRule="exact"/>
        <w:ind w:firstLine="640" w:firstLineChars="200"/>
        <w:textAlignment w:val="auto"/>
        <w:rPr>
          <w:rFonts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rPr>
        <w:t>本指导原则是对</w:t>
      </w:r>
      <w:r>
        <w:rPr>
          <w:rFonts w:hint="eastAsia" w:ascii="Times New Roman" w:hAnsi="Times New Roman" w:eastAsia="仿宋_GB2312" w:cs="仿宋_GB2312"/>
          <w:snapToGrid w:val="0"/>
          <w:color w:val="auto"/>
          <w:kern w:val="0"/>
          <w:sz w:val="32"/>
          <w:szCs w:val="32"/>
          <w:highlight w:val="none"/>
          <w:lang w:eastAsia="zh-CN"/>
        </w:rPr>
        <w:t>中医辅助诊断软件</w:t>
      </w:r>
      <w:r>
        <w:rPr>
          <w:rFonts w:hint="eastAsia" w:ascii="Times New Roman" w:hAnsi="Times New Roman" w:eastAsia="仿宋_GB2312" w:cs="仿宋_GB2312"/>
          <w:snapToGrid w:val="0"/>
          <w:color w:val="auto"/>
          <w:kern w:val="0"/>
          <w:sz w:val="32"/>
          <w:szCs w:val="32"/>
          <w:highlight w:val="none"/>
        </w:rPr>
        <w:t>的一般要求，注册申请人应依据产品的</w:t>
      </w:r>
      <w:r>
        <w:rPr>
          <w:rFonts w:ascii="Times New Roman" w:hAnsi="Times New Roman" w:eastAsia="仿宋_GB2312"/>
          <w:color w:val="auto"/>
          <w:sz w:val="32"/>
          <w:szCs w:val="32"/>
          <w:highlight w:val="none"/>
        </w:rPr>
        <w:t>具体</w:t>
      </w:r>
      <w:r>
        <w:rPr>
          <w:rFonts w:hint="eastAsia" w:ascii="Times New Roman" w:hAnsi="Times New Roman" w:eastAsia="仿宋_GB2312" w:cs="仿宋_GB2312"/>
          <w:snapToGrid w:val="0"/>
          <w:color w:val="auto"/>
          <w:kern w:val="0"/>
          <w:sz w:val="32"/>
          <w:szCs w:val="32"/>
          <w:highlight w:val="none"/>
        </w:rPr>
        <w:t>特性确定其中的内容是否适用。若不适用，需具体阐述其理由及相应的科学依据，并依据具体的产品特性对注册申报资料的内容进行充实和细化。</w:t>
      </w:r>
    </w:p>
    <w:p w14:paraId="63EFA0FF">
      <w:pPr>
        <w:keepNext w:val="0"/>
        <w:keepLines w:val="0"/>
        <w:pageBreakBefore w:val="0"/>
        <w:kinsoku/>
        <w:wordWrap/>
        <w:overflowPunct w:val="0"/>
        <w:topLinePunct w:val="0"/>
        <w:autoSpaceDE/>
        <w:autoSpaceDN/>
        <w:bidi w:val="0"/>
        <w:spacing w:line="500" w:lineRule="exact"/>
        <w:ind w:firstLine="640" w:firstLineChars="200"/>
        <w:textAlignment w:val="auto"/>
        <w:rPr>
          <w:rFonts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rPr>
        <w:t>本指导原则是供注册申请人和技术审评人员使用的指导性文件，但不包括注册审批所涉及的行政事项，亦不作为法规强制执行，应在遵循相关法规的前提下使用本指导原则。如果有能够满足相关法规要求的其他方法，也可以采用，但是需要提供详细的研究资料和验证资料。</w:t>
      </w:r>
    </w:p>
    <w:p w14:paraId="42AD33A4">
      <w:pPr>
        <w:keepNext w:val="0"/>
        <w:keepLines w:val="0"/>
        <w:pageBreakBefore w:val="0"/>
        <w:kinsoku/>
        <w:wordWrap/>
        <w:overflowPunct w:val="0"/>
        <w:topLinePunct w:val="0"/>
        <w:autoSpaceDE/>
        <w:autoSpaceDN/>
        <w:bidi w:val="0"/>
        <w:spacing w:line="500" w:lineRule="exact"/>
        <w:ind w:firstLine="640" w:firstLineChars="200"/>
        <w:textAlignment w:val="auto"/>
        <w:rPr>
          <w:rFonts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rPr>
        <w:t>本指导原则是在现行法规和标准体系以及当前认知水平下制定的，随着法规和标准的不断完善，以及科学技术的不断发展，相关内容也将适时进行调整。</w:t>
      </w:r>
    </w:p>
    <w:p w14:paraId="0D525465">
      <w:pPr>
        <w:keepNext w:val="0"/>
        <w:keepLines w:val="0"/>
        <w:pageBreakBefore w:val="0"/>
        <w:kinsoku/>
        <w:wordWrap/>
        <w:overflowPunct w:val="0"/>
        <w:topLinePunct w:val="0"/>
        <w:autoSpaceDE/>
        <w:autoSpaceDN/>
        <w:bidi w:val="0"/>
        <w:spacing w:line="500" w:lineRule="exact"/>
        <w:ind w:firstLine="640" w:firstLineChars="200"/>
        <w:textAlignment w:val="auto"/>
        <w:outlineLvl w:val="0"/>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黑体"/>
          <w:snapToGrid w:val="0"/>
          <w:color w:val="auto"/>
          <w:kern w:val="0"/>
          <w:sz w:val="32"/>
          <w:szCs w:val="32"/>
          <w:highlight w:val="none"/>
        </w:rPr>
        <w:t>一、</w:t>
      </w:r>
      <w:r>
        <w:rPr>
          <w:rFonts w:ascii="Times New Roman" w:hAnsi="Times New Roman" w:eastAsia="黑体"/>
          <w:snapToGrid w:val="0"/>
          <w:color w:val="auto"/>
          <w:kern w:val="0"/>
          <w:sz w:val="32"/>
          <w:szCs w:val="32"/>
          <w:highlight w:val="none"/>
        </w:rPr>
        <w:t>适用范围</w:t>
      </w:r>
    </w:p>
    <w:p w14:paraId="64A84F7B">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cs="仿宋_GB2312"/>
          <w:snapToGrid w:val="0"/>
          <w:color w:val="auto"/>
          <w:kern w:val="0"/>
          <w:sz w:val="32"/>
          <w:szCs w:val="32"/>
          <w:highlight w:val="none"/>
          <w:lang w:eastAsia="zh-CN"/>
        </w:rPr>
      </w:pPr>
      <w:r>
        <w:rPr>
          <w:rFonts w:hint="eastAsia" w:ascii="Times New Roman" w:hAnsi="Times New Roman" w:eastAsia="仿宋_GB2312" w:cs="仿宋_GB2312"/>
          <w:snapToGrid w:val="0"/>
          <w:color w:val="auto"/>
          <w:kern w:val="0"/>
          <w:sz w:val="32"/>
          <w:szCs w:val="32"/>
          <w:highlight w:val="none"/>
        </w:rPr>
        <w:t>本指导原则适用于《医疗器械分类目录》中分类编码为</w:t>
      </w:r>
      <w:r>
        <w:rPr>
          <w:rFonts w:hint="eastAsia" w:ascii="Times New Roman" w:hAnsi="Times New Roman" w:eastAsia="仿宋_GB2312" w:cs="仿宋_GB2312"/>
          <w:snapToGrid w:val="0"/>
          <w:color w:val="auto"/>
          <w:kern w:val="0"/>
          <w:sz w:val="32"/>
          <w:szCs w:val="32"/>
          <w:highlight w:val="none"/>
          <w:lang w:val="en-US" w:eastAsia="zh-CN"/>
        </w:rPr>
        <w:t>21</w:t>
      </w:r>
      <w:r>
        <w:rPr>
          <w:rFonts w:hint="eastAsia" w:ascii="Times New Roman" w:hAnsi="Times New Roman" w:eastAsia="仿宋_GB2312" w:cs="仿宋_GB2312"/>
          <w:snapToGrid w:val="0"/>
          <w:color w:val="auto"/>
          <w:kern w:val="0"/>
          <w:sz w:val="32"/>
          <w:szCs w:val="32"/>
          <w:highlight w:val="none"/>
          <w:lang w:eastAsia="zh-CN"/>
        </w:rPr>
        <w:t>-0</w:t>
      </w:r>
      <w:r>
        <w:rPr>
          <w:rFonts w:hint="eastAsia" w:ascii="Times New Roman" w:hAnsi="Times New Roman" w:eastAsia="仿宋_GB2312" w:cs="仿宋_GB2312"/>
          <w:snapToGrid w:val="0"/>
          <w:color w:val="auto"/>
          <w:kern w:val="0"/>
          <w:sz w:val="32"/>
          <w:szCs w:val="32"/>
          <w:highlight w:val="none"/>
          <w:lang w:val="en-US" w:eastAsia="zh-CN"/>
        </w:rPr>
        <w:t>4</w:t>
      </w:r>
      <w:r>
        <w:rPr>
          <w:rFonts w:hint="eastAsia" w:ascii="Times New Roman" w:hAnsi="Times New Roman" w:eastAsia="仿宋_GB2312" w:cs="仿宋_GB2312"/>
          <w:snapToGrid w:val="0"/>
          <w:color w:val="auto"/>
          <w:kern w:val="0"/>
          <w:sz w:val="32"/>
          <w:szCs w:val="32"/>
          <w:highlight w:val="none"/>
          <w:lang w:eastAsia="zh-CN"/>
        </w:rPr>
        <w:t>-0</w:t>
      </w:r>
      <w:r>
        <w:rPr>
          <w:rFonts w:hint="eastAsia" w:ascii="Times New Roman" w:hAnsi="Times New Roman" w:eastAsia="仿宋_GB2312" w:cs="仿宋_GB2312"/>
          <w:snapToGrid w:val="0"/>
          <w:color w:val="auto"/>
          <w:kern w:val="0"/>
          <w:sz w:val="32"/>
          <w:szCs w:val="32"/>
          <w:highlight w:val="none"/>
          <w:lang w:val="en-US" w:eastAsia="zh-CN"/>
        </w:rPr>
        <w:t>3</w:t>
      </w:r>
      <w:r>
        <w:rPr>
          <w:rFonts w:hint="eastAsia" w:ascii="Times New Roman" w:hAnsi="Times New Roman" w:eastAsia="仿宋_GB2312" w:cs="仿宋_GB2312"/>
          <w:snapToGrid w:val="0"/>
          <w:color w:val="auto"/>
          <w:kern w:val="0"/>
          <w:sz w:val="32"/>
          <w:szCs w:val="32"/>
          <w:highlight w:val="none"/>
        </w:rPr>
        <w:t>，管理类别为二类的</w:t>
      </w:r>
      <w:r>
        <w:rPr>
          <w:rFonts w:hint="eastAsia" w:ascii="Times New Roman" w:hAnsi="Times New Roman" w:eastAsia="仿宋_GB2312" w:cs="仿宋_GB2312"/>
          <w:snapToGrid w:val="0"/>
          <w:color w:val="auto"/>
          <w:kern w:val="0"/>
          <w:sz w:val="32"/>
          <w:szCs w:val="32"/>
          <w:highlight w:val="none"/>
          <w:lang w:eastAsia="zh-CN"/>
        </w:rPr>
        <w:t>具有中医诊断功能的独立</w:t>
      </w:r>
      <w:r>
        <w:rPr>
          <w:rFonts w:hint="eastAsia" w:ascii="Times New Roman" w:hAnsi="Times New Roman" w:eastAsia="仿宋_GB2312" w:cs="仿宋_GB2312"/>
          <w:snapToGrid w:val="0"/>
          <w:color w:val="auto"/>
          <w:kern w:val="0"/>
          <w:sz w:val="32"/>
          <w:szCs w:val="32"/>
          <w:highlight w:val="none"/>
        </w:rPr>
        <w:t>软件</w:t>
      </w:r>
      <w:bookmarkStart w:id="0" w:name="_Toc432753645"/>
      <w:r>
        <w:rPr>
          <w:rFonts w:hint="eastAsia" w:ascii="Times New Roman" w:hAnsi="Times New Roman" w:eastAsia="仿宋_GB2312" w:cs="仿宋_GB2312"/>
          <w:snapToGrid w:val="0"/>
          <w:color w:val="auto"/>
          <w:kern w:val="0"/>
          <w:sz w:val="32"/>
          <w:szCs w:val="32"/>
          <w:highlight w:val="none"/>
          <w:lang w:eastAsia="zh-CN"/>
        </w:rPr>
        <w:t>。当中医辅助诊断功能集成于其他中医诊断硬件设备，如中医脉诊设备（分类编码20-01-01）、中医望诊设备（分类编码20-01-02）等产品中，其软件部分的研究可参照本指导原则的适用部分。</w:t>
      </w:r>
    </w:p>
    <w:p w14:paraId="69E86B4C">
      <w:pPr>
        <w:keepNext w:val="0"/>
        <w:keepLines w:val="0"/>
        <w:pageBreakBefore w:val="0"/>
        <w:kinsoku/>
        <w:wordWrap/>
        <w:overflowPunct w:val="0"/>
        <w:topLinePunct w:val="0"/>
        <w:autoSpaceDE/>
        <w:autoSpaceDN/>
        <w:bidi w:val="0"/>
        <w:spacing w:line="500" w:lineRule="exact"/>
        <w:ind w:firstLine="640" w:firstLineChars="200"/>
        <w:textAlignment w:val="auto"/>
        <w:rPr>
          <w:rFonts w:hint="default" w:ascii="Times New Roman" w:hAnsi="Times New Roman" w:eastAsia="仿宋_GB2312" w:cs="仿宋_GB2312"/>
          <w:snapToGrid w:val="0"/>
          <w:color w:val="auto"/>
          <w:kern w:val="0"/>
          <w:sz w:val="32"/>
          <w:szCs w:val="32"/>
          <w:highlight w:val="none"/>
          <w:lang w:val="en-US" w:eastAsia="zh-CN"/>
        </w:rPr>
      </w:pPr>
      <w:r>
        <w:rPr>
          <w:rFonts w:hint="default" w:ascii="Times New Roman" w:hAnsi="Times New Roman" w:eastAsia="仿宋_GB2312" w:cs="仿宋_GB2312"/>
          <w:snapToGrid w:val="0"/>
          <w:color w:val="auto"/>
          <w:kern w:val="0"/>
          <w:sz w:val="32"/>
          <w:szCs w:val="32"/>
          <w:highlight w:val="none"/>
          <w:lang w:val="en-US" w:eastAsia="zh-CN"/>
        </w:rPr>
        <w:t>本指导原则所指的</w:t>
      </w:r>
      <w:r>
        <w:rPr>
          <w:rFonts w:hint="eastAsia" w:ascii="Times New Roman" w:hAnsi="Times New Roman" w:eastAsia="仿宋_GB2312" w:cs="仿宋_GB2312"/>
          <w:snapToGrid w:val="0"/>
          <w:color w:val="auto"/>
          <w:kern w:val="0"/>
          <w:sz w:val="32"/>
          <w:szCs w:val="32"/>
          <w:highlight w:val="none"/>
          <w:lang w:val="en-US" w:eastAsia="zh-CN"/>
        </w:rPr>
        <w:t>中医辅助诊断软件</w:t>
      </w:r>
      <w:r>
        <w:rPr>
          <w:rFonts w:hint="default" w:ascii="Times New Roman" w:hAnsi="Times New Roman" w:eastAsia="仿宋_GB2312" w:cs="仿宋_GB2312"/>
          <w:snapToGrid w:val="0"/>
          <w:color w:val="auto"/>
          <w:kern w:val="0"/>
          <w:sz w:val="32"/>
          <w:szCs w:val="32"/>
          <w:highlight w:val="none"/>
          <w:lang w:val="en-US" w:eastAsia="zh-CN"/>
        </w:rPr>
        <w:t>通常</w:t>
      </w:r>
      <w:r>
        <w:rPr>
          <w:rFonts w:hint="eastAsia" w:ascii="Times New Roman" w:hAnsi="Times New Roman" w:eastAsia="仿宋_GB2312" w:cs="仿宋_GB2312"/>
          <w:snapToGrid w:val="0"/>
          <w:color w:val="auto"/>
          <w:kern w:val="0"/>
          <w:sz w:val="32"/>
          <w:szCs w:val="32"/>
          <w:highlight w:val="none"/>
          <w:lang w:val="en-US" w:eastAsia="zh-CN"/>
        </w:rPr>
        <w:t>为</w:t>
      </w:r>
      <w:r>
        <w:rPr>
          <w:rFonts w:hint="default" w:ascii="Times New Roman" w:hAnsi="Times New Roman" w:eastAsia="仿宋_GB2312" w:cs="仿宋_GB2312"/>
          <w:snapToGrid w:val="0"/>
          <w:color w:val="auto"/>
          <w:kern w:val="0"/>
          <w:sz w:val="32"/>
          <w:szCs w:val="32"/>
          <w:highlight w:val="none"/>
          <w:lang w:val="en-US" w:eastAsia="zh-CN"/>
        </w:rPr>
        <w:t>接收经中医“望、闻、问、切”四诊方式采集的人体生理参数信息（如舌面图像、脉象数据、声音数据、问诊数据信息等），并对采集数据进行管理、存储、分析处理，最终生成报告，为医师提供辨证参考信息</w:t>
      </w:r>
      <w:r>
        <w:rPr>
          <w:rFonts w:hint="eastAsia" w:ascii="Times New Roman" w:hAnsi="Times New Roman" w:eastAsia="仿宋_GB2312" w:cs="仿宋_GB2312"/>
          <w:snapToGrid w:val="0"/>
          <w:color w:val="auto"/>
          <w:kern w:val="0"/>
          <w:sz w:val="32"/>
          <w:szCs w:val="32"/>
          <w:highlight w:val="none"/>
          <w:lang w:val="en-US" w:eastAsia="zh-CN"/>
        </w:rPr>
        <w:t>。</w:t>
      </w:r>
    </w:p>
    <w:p w14:paraId="4670C312">
      <w:pPr>
        <w:keepNext w:val="0"/>
        <w:keepLines w:val="0"/>
        <w:pageBreakBefore w:val="0"/>
        <w:kinsoku/>
        <w:wordWrap/>
        <w:overflowPunct w:val="0"/>
        <w:topLinePunct w:val="0"/>
        <w:autoSpaceDE/>
        <w:autoSpaceDN/>
        <w:bidi w:val="0"/>
        <w:spacing w:line="500" w:lineRule="exact"/>
        <w:ind w:firstLine="640" w:firstLineChars="200"/>
        <w:textAlignment w:val="auto"/>
        <w:rPr>
          <w:rFonts w:ascii="Times New Roman" w:hAnsi="Times New Roman"/>
          <w:color w:val="auto"/>
          <w:highlight w:val="none"/>
        </w:rPr>
      </w:pPr>
      <w:r>
        <w:rPr>
          <w:rFonts w:hint="eastAsia" w:ascii="Times New Roman" w:hAnsi="Times New Roman" w:eastAsia="仿宋_GB2312" w:cs="仿宋_GB2312"/>
          <w:snapToGrid w:val="0"/>
          <w:color w:val="auto"/>
          <w:kern w:val="0"/>
          <w:sz w:val="32"/>
          <w:szCs w:val="32"/>
          <w:highlight w:val="none"/>
        </w:rPr>
        <w:t>本指导原则不适用于采用人工智能技术实现辅助决策用途的医疗器械。</w:t>
      </w:r>
    </w:p>
    <w:p w14:paraId="37D6288F">
      <w:pPr>
        <w:keepNext w:val="0"/>
        <w:keepLines w:val="0"/>
        <w:pageBreakBefore w:val="0"/>
        <w:kinsoku/>
        <w:wordWrap/>
        <w:overflowPunct w:val="0"/>
        <w:topLinePunct w:val="0"/>
        <w:autoSpaceDE/>
        <w:autoSpaceDN/>
        <w:bidi w:val="0"/>
        <w:spacing w:line="500" w:lineRule="exact"/>
        <w:ind w:firstLine="640" w:firstLineChars="200"/>
        <w:textAlignment w:val="auto"/>
        <w:outlineLvl w:val="0"/>
        <w:rPr>
          <w:rFonts w:hint="eastAsia" w:ascii="Times New Roman" w:hAnsi="Times New Roman" w:eastAsia="黑体"/>
          <w:snapToGrid w:val="0"/>
          <w:color w:val="auto"/>
          <w:kern w:val="0"/>
          <w:sz w:val="32"/>
          <w:szCs w:val="32"/>
          <w:highlight w:val="none"/>
        </w:rPr>
      </w:pPr>
      <w:r>
        <w:rPr>
          <w:rFonts w:hint="eastAsia" w:ascii="Times New Roman" w:hAnsi="Times New Roman" w:eastAsia="黑体"/>
          <w:snapToGrid w:val="0"/>
          <w:color w:val="auto"/>
          <w:kern w:val="0"/>
          <w:sz w:val="32"/>
          <w:szCs w:val="32"/>
          <w:highlight w:val="none"/>
        </w:rPr>
        <w:t>二、注册</w:t>
      </w:r>
      <w:r>
        <w:rPr>
          <w:rFonts w:ascii="Times New Roman" w:hAnsi="Times New Roman" w:eastAsia="黑体"/>
          <w:snapToGrid w:val="0"/>
          <w:color w:val="auto"/>
          <w:kern w:val="0"/>
          <w:sz w:val="32"/>
          <w:szCs w:val="32"/>
          <w:highlight w:val="none"/>
        </w:rPr>
        <w:t>审查要点</w:t>
      </w:r>
    </w:p>
    <w:p w14:paraId="491BCF32">
      <w:pPr>
        <w:pStyle w:val="57"/>
        <w:keepNext w:val="0"/>
        <w:keepLines w:val="0"/>
        <w:pageBreakBefore w:val="0"/>
        <w:kinsoku/>
        <w:wordWrap/>
        <w:overflowPunct w:val="0"/>
        <w:topLinePunct w:val="0"/>
        <w:autoSpaceDE/>
        <w:autoSpaceDN/>
        <w:bidi w:val="0"/>
        <w:spacing w:line="500" w:lineRule="exact"/>
        <w:ind w:firstLine="640"/>
        <w:textAlignment w:val="auto"/>
        <w:outlineLvl w:val="1"/>
        <w:rPr>
          <w:rFonts w:ascii="Times New Roman" w:hAnsi="Times New Roman" w:eastAsia="仿宋_GB2312"/>
          <w:snapToGrid w:val="0"/>
          <w:color w:val="auto"/>
          <w:kern w:val="0"/>
          <w:sz w:val="32"/>
          <w:szCs w:val="32"/>
          <w:highlight w:val="none"/>
        </w:rPr>
      </w:pPr>
      <w:r>
        <w:rPr>
          <w:rFonts w:hint="eastAsia" w:ascii="Times New Roman" w:hAnsi="Times New Roman" w:eastAsia="楷体_GB2312"/>
          <w:color w:val="auto"/>
          <w:sz w:val="32"/>
          <w:szCs w:val="32"/>
          <w:highlight w:val="none"/>
        </w:rPr>
        <w:t>（一）监管信息</w:t>
      </w:r>
    </w:p>
    <w:p w14:paraId="0E9AC35A">
      <w:pPr>
        <w:keepNext w:val="0"/>
        <w:keepLines w:val="0"/>
        <w:pageBreakBefore w:val="0"/>
        <w:kinsoku/>
        <w:wordWrap/>
        <w:overflowPunct w:val="0"/>
        <w:topLinePunct w:val="0"/>
        <w:autoSpaceDE/>
        <w:autoSpaceDN/>
        <w:bidi w:val="0"/>
        <w:spacing w:line="500" w:lineRule="exact"/>
        <w:ind w:firstLine="640" w:firstLineChars="200"/>
        <w:textAlignment w:val="auto"/>
        <w:outlineLvl w:val="2"/>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1</w:t>
      </w:r>
      <w:r>
        <w:rPr>
          <w:rFonts w:ascii="Times New Roman" w:hAnsi="Times New Roman" w:eastAsia="仿宋_GB2312"/>
          <w:snapToGrid w:val="0"/>
          <w:color w:val="auto"/>
          <w:kern w:val="0"/>
          <w:sz w:val="32"/>
          <w:szCs w:val="32"/>
          <w:highlight w:val="none"/>
        </w:rPr>
        <w:t>.</w:t>
      </w:r>
      <w:r>
        <w:rPr>
          <w:rFonts w:hint="eastAsia" w:ascii="Times New Roman" w:hAnsi="Times New Roman" w:eastAsia="仿宋_GB2312"/>
          <w:snapToGrid w:val="0"/>
          <w:color w:val="auto"/>
          <w:kern w:val="0"/>
          <w:sz w:val="32"/>
          <w:szCs w:val="32"/>
          <w:highlight w:val="none"/>
        </w:rPr>
        <w:t>产品名称</w:t>
      </w:r>
    </w:p>
    <w:p w14:paraId="2C7C5969">
      <w:pPr>
        <w:keepNext w:val="0"/>
        <w:keepLines w:val="0"/>
        <w:pageBreakBefore w:val="0"/>
        <w:kinsoku/>
        <w:wordWrap/>
        <w:overflowPunct w:val="0"/>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eastAsia="zh-CN"/>
        </w:rPr>
      </w:pPr>
      <w:r>
        <w:rPr>
          <w:rFonts w:hint="eastAsia" w:ascii="Times New Roman" w:hAnsi="Times New Roman" w:eastAsia="仿宋_GB2312"/>
          <w:snapToGrid w:val="0"/>
          <w:color w:val="auto"/>
          <w:kern w:val="0"/>
          <w:sz w:val="32"/>
          <w:szCs w:val="32"/>
          <w:highlight w:val="none"/>
        </w:rPr>
        <w:t>产品命名需符合</w:t>
      </w:r>
      <w:r>
        <w:rPr>
          <w:rFonts w:hint="eastAsia" w:eastAsia="仿宋_GB2312"/>
          <w:color w:val="auto"/>
          <w:sz w:val="32"/>
          <w:szCs w:val="32"/>
        </w:rPr>
        <w:t>《医疗器械通用名称命名规则》和国家标准、行业标准中的通用名称要求，并参考《医疗器械通用名称命名指导原则》</w:t>
      </w:r>
      <w:r>
        <w:rPr>
          <w:rFonts w:hint="eastAsia" w:ascii="Times New Roman" w:hAnsi="Times New Roman" w:eastAsia="仿宋_GB2312"/>
          <w:snapToGrid w:val="0"/>
          <w:color w:val="auto"/>
          <w:kern w:val="0"/>
          <w:sz w:val="32"/>
          <w:szCs w:val="32"/>
          <w:highlight w:val="none"/>
          <w:lang w:eastAsia="zh-CN"/>
        </w:rPr>
        <w:t>，</w:t>
      </w:r>
      <w:r>
        <w:rPr>
          <w:rFonts w:hint="eastAsia" w:ascii="Times New Roman" w:hAnsi="Times New Roman" w:eastAsia="仿宋_GB2312"/>
          <w:snapToGrid w:val="0"/>
          <w:color w:val="auto"/>
          <w:kern w:val="0"/>
          <w:sz w:val="32"/>
          <w:szCs w:val="32"/>
          <w:highlight w:val="none"/>
          <w:lang w:val="en-US" w:eastAsia="zh-CN"/>
        </w:rPr>
        <w:t>结合产品预期用途，确定产品名称，如</w:t>
      </w:r>
      <w:r>
        <w:rPr>
          <w:rFonts w:hint="eastAsia" w:ascii="Times New Roman" w:hAnsi="Times New Roman" w:eastAsia="仿宋_GB2312" w:cs="Times New Roman"/>
          <w:snapToGrid w:val="0"/>
          <w:color w:val="auto"/>
          <w:kern w:val="0"/>
          <w:sz w:val="32"/>
          <w:szCs w:val="32"/>
          <w:highlight w:val="none"/>
          <w:lang w:eastAsia="zh-CN"/>
        </w:rPr>
        <w:t>“中医舌面图像处理软件”</w:t>
      </w:r>
      <w:r>
        <w:rPr>
          <w:rFonts w:hint="eastAsia" w:ascii="Times New Roman" w:hAnsi="Times New Roman" w:eastAsia="仿宋_GB2312"/>
          <w:snapToGrid w:val="0"/>
          <w:color w:val="auto"/>
          <w:kern w:val="0"/>
          <w:sz w:val="32"/>
          <w:szCs w:val="32"/>
          <w:highlight w:val="none"/>
          <w:lang w:val="en-US" w:eastAsia="zh-CN"/>
        </w:rPr>
        <w:t>“中医舌诊体质辨识软件”等。</w:t>
      </w:r>
    </w:p>
    <w:p w14:paraId="2B6C363C">
      <w:pPr>
        <w:keepNext w:val="0"/>
        <w:keepLines w:val="0"/>
        <w:pageBreakBefore w:val="0"/>
        <w:kinsoku/>
        <w:wordWrap/>
        <w:overflowPunct w:val="0"/>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2.分类编码</w:t>
      </w:r>
    </w:p>
    <w:p w14:paraId="1736CE4C">
      <w:pPr>
        <w:keepNext w:val="0"/>
        <w:keepLines w:val="0"/>
        <w:pageBreakBefore w:val="0"/>
        <w:kinsoku/>
        <w:wordWrap/>
        <w:overflowPunct w:val="0"/>
        <w:topLinePunct w:val="0"/>
        <w:autoSpaceDE/>
        <w:autoSpaceDN/>
        <w:bidi w:val="0"/>
        <w:spacing w:line="500" w:lineRule="exact"/>
        <w:ind w:firstLine="640" w:firstLineChars="200"/>
        <w:textAlignment w:val="auto"/>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依据</w:t>
      </w:r>
      <w:r>
        <w:rPr>
          <w:rFonts w:ascii="Times New Roman" w:hAnsi="Times New Roman" w:eastAsia="仿宋_GB2312"/>
          <w:snapToGrid w:val="0"/>
          <w:color w:val="auto"/>
          <w:kern w:val="0"/>
          <w:sz w:val="32"/>
          <w:szCs w:val="32"/>
          <w:highlight w:val="none"/>
        </w:rPr>
        <w:t>《医疗器械分类目录》，</w:t>
      </w:r>
      <w:r>
        <w:rPr>
          <w:rFonts w:hint="eastAsia" w:ascii="Times New Roman" w:hAnsi="Times New Roman" w:eastAsia="仿宋_GB2312"/>
          <w:snapToGrid w:val="0"/>
          <w:color w:val="auto"/>
          <w:kern w:val="0"/>
          <w:sz w:val="32"/>
          <w:szCs w:val="32"/>
          <w:highlight w:val="none"/>
          <w:lang w:eastAsia="zh-CN"/>
        </w:rPr>
        <w:t>中医辅助诊断独立软件</w:t>
      </w:r>
      <w:r>
        <w:rPr>
          <w:rFonts w:ascii="Times New Roman" w:hAnsi="Times New Roman" w:eastAsia="仿宋_GB2312"/>
          <w:snapToGrid w:val="0"/>
          <w:color w:val="auto"/>
          <w:kern w:val="0"/>
          <w:sz w:val="32"/>
          <w:szCs w:val="32"/>
          <w:highlight w:val="none"/>
        </w:rPr>
        <w:t>产品</w:t>
      </w:r>
      <w:r>
        <w:rPr>
          <w:rFonts w:hint="eastAsia" w:ascii="Times New Roman" w:hAnsi="Times New Roman" w:eastAsia="仿宋_GB2312"/>
          <w:snapToGrid w:val="0"/>
          <w:color w:val="auto"/>
          <w:kern w:val="0"/>
          <w:sz w:val="32"/>
          <w:szCs w:val="32"/>
          <w:highlight w:val="none"/>
        </w:rPr>
        <w:t>分类</w:t>
      </w:r>
      <w:r>
        <w:rPr>
          <w:rFonts w:ascii="Times New Roman" w:hAnsi="Times New Roman" w:eastAsia="仿宋_GB2312"/>
          <w:snapToGrid w:val="0"/>
          <w:color w:val="auto"/>
          <w:kern w:val="0"/>
          <w:sz w:val="32"/>
          <w:szCs w:val="32"/>
          <w:highlight w:val="none"/>
        </w:rPr>
        <w:t>编码为</w:t>
      </w:r>
      <w:r>
        <w:rPr>
          <w:rFonts w:hint="eastAsia" w:ascii="Times New Roman" w:hAnsi="Times New Roman" w:eastAsia="仿宋_GB2312"/>
          <w:snapToGrid w:val="0"/>
          <w:color w:val="auto"/>
          <w:kern w:val="0"/>
          <w:sz w:val="32"/>
          <w:szCs w:val="32"/>
          <w:highlight w:val="none"/>
          <w:lang w:val="en-US" w:eastAsia="zh-CN"/>
        </w:rPr>
        <w:t>21</w:t>
      </w:r>
      <w:r>
        <w:rPr>
          <w:rFonts w:ascii="Times New Roman" w:hAnsi="Times New Roman" w:eastAsia="仿宋_GB2312"/>
          <w:snapToGrid w:val="0"/>
          <w:color w:val="auto"/>
          <w:kern w:val="0"/>
          <w:sz w:val="32"/>
          <w:szCs w:val="32"/>
          <w:highlight w:val="none"/>
        </w:rPr>
        <w:t>-0</w:t>
      </w:r>
      <w:r>
        <w:rPr>
          <w:rFonts w:hint="eastAsia" w:ascii="Times New Roman" w:hAnsi="Times New Roman" w:eastAsia="仿宋_GB2312"/>
          <w:snapToGrid w:val="0"/>
          <w:color w:val="auto"/>
          <w:kern w:val="0"/>
          <w:sz w:val="32"/>
          <w:szCs w:val="32"/>
          <w:highlight w:val="none"/>
          <w:lang w:val="en-US" w:eastAsia="zh-CN"/>
        </w:rPr>
        <w:t>4</w:t>
      </w:r>
      <w:r>
        <w:rPr>
          <w:rFonts w:ascii="Times New Roman" w:hAnsi="Times New Roman" w:eastAsia="仿宋_GB2312"/>
          <w:snapToGrid w:val="0"/>
          <w:color w:val="auto"/>
          <w:kern w:val="0"/>
          <w:sz w:val="32"/>
          <w:szCs w:val="32"/>
          <w:highlight w:val="none"/>
        </w:rPr>
        <w:t>-0</w:t>
      </w:r>
      <w:r>
        <w:rPr>
          <w:rFonts w:hint="eastAsia" w:ascii="Times New Roman" w:hAnsi="Times New Roman" w:eastAsia="仿宋_GB2312"/>
          <w:snapToGrid w:val="0"/>
          <w:color w:val="auto"/>
          <w:kern w:val="0"/>
          <w:sz w:val="32"/>
          <w:szCs w:val="32"/>
          <w:highlight w:val="none"/>
          <w:lang w:val="en-US" w:eastAsia="zh-CN"/>
        </w:rPr>
        <w:t>3</w:t>
      </w:r>
      <w:r>
        <w:rPr>
          <w:rFonts w:hint="eastAsia" w:ascii="Times New Roman" w:hAnsi="Times New Roman" w:eastAsia="仿宋_GB2312"/>
          <w:snapToGrid w:val="0"/>
          <w:color w:val="auto"/>
          <w:kern w:val="0"/>
          <w:sz w:val="32"/>
          <w:szCs w:val="32"/>
          <w:highlight w:val="none"/>
        </w:rPr>
        <w:t>，</w:t>
      </w:r>
      <w:r>
        <w:rPr>
          <w:rFonts w:hint="eastAsia" w:ascii="Times New Roman" w:hAnsi="Times New Roman" w:eastAsia="仿宋_GB2312" w:cs="仿宋_GB2312"/>
          <w:snapToGrid w:val="0"/>
          <w:color w:val="auto"/>
          <w:kern w:val="0"/>
          <w:sz w:val="32"/>
          <w:szCs w:val="32"/>
          <w:highlight w:val="none"/>
        </w:rPr>
        <w:t>管理类别为二类</w:t>
      </w:r>
      <w:r>
        <w:rPr>
          <w:rFonts w:ascii="Times New Roman" w:hAnsi="Times New Roman" w:eastAsia="仿宋_GB2312"/>
          <w:snapToGrid w:val="0"/>
          <w:color w:val="auto"/>
          <w:kern w:val="0"/>
          <w:sz w:val="32"/>
          <w:szCs w:val="32"/>
          <w:highlight w:val="none"/>
        </w:rPr>
        <w:t>。</w:t>
      </w:r>
    </w:p>
    <w:p w14:paraId="5980CA7F">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lang w:eastAsia="zh-CN"/>
        </w:rPr>
      </w:pPr>
      <w:r>
        <w:rPr>
          <w:rFonts w:hint="eastAsia" w:ascii="Times New Roman" w:hAnsi="Times New Roman" w:eastAsia="仿宋_GB2312"/>
          <w:snapToGrid w:val="0"/>
          <w:color w:val="auto"/>
          <w:kern w:val="0"/>
          <w:sz w:val="32"/>
          <w:szCs w:val="32"/>
          <w:highlight w:val="none"/>
        </w:rPr>
        <w:t>3.注册单元划分</w:t>
      </w:r>
    </w:p>
    <w:p w14:paraId="7778C0D1">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注册单元划分应符合《医疗器械注册与备案管理办法》第一百一十一条及《医疗器械注册单元划分指导原则》的要求，并参照《医疗器械软件注册审查指导原则》关于独立软件注册单元的划分原则。原则上以产品的管理类别、预期用途、功能模块作为划分依据。</w:t>
      </w:r>
    </w:p>
    <w:p w14:paraId="440CF5AB">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4.软件组件</w:t>
      </w:r>
    </w:p>
    <w:p w14:paraId="6C1BC8DB">
      <w:pPr>
        <w:keepNext w:val="0"/>
        <w:keepLines w:val="0"/>
        <w:pageBreakBefore w:val="0"/>
        <w:kinsoku/>
        <w:wordWrap/>
        <w:overflowPunct w:val="0"/>
        <w:topLinePunct w:val="0"/>
        <w:autoSpaceDE/>
        <w:autoSpaceDN/>
        <w:bidi w:val="0"/>
        <w:spacing w:line="500" w:lineRule="exact"/>
        <w:ind w:firstLine="640" w:firstLineChars="200"/>
        <w:textAlignment w:val="auto"/>
        <w:rPr>
          <w:rFonts w:hint="default"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中医辅助诊断功能作为软件组件集成于其他医疗器械（如中医四诊仪、舌诊仪、脉诊仪等产品）中时，在适用范围和产品技术要求中体现中医辅助诊断功能的相关信息，软件功能名称可参照独立软件要求。</w:t>
      </w:r>
    </w:p>
    <w:p w14:paraId="751D9CFF">
      <w:pPr>
        <w:keepNext w:val="0"/>
        <w:keepLines w:val="0"/>
        <w:pageBreakBefore w:val="0"/>
        <w:kinsoku/>
        <w:wordWrap/>
        <w:overflowPunct w:val="0"/>
        <w:topLinePunct w:val="0"/>
        <w:autoSpaceDE/>
        <w:autoSpaceDN/>
        <w:bidi w:val="0"/>
        <w:spacing w:line="500" w:lineRule="exact"/>
        <w:ind w:left="221" w:firstLine="200"/>
        <w:textAlignment w:val="auto"/>
        <w:outlineLvl w:val="1"/>
        <w:rPr>
          <w:rFonts w:ascii="Times New Roman" w:hAnsi="Times New Roman" w:eastAsia="楷体_GB2312"/>
          <w:color w:val="auto"/>
          <w:sz w:val="32"/>
          <w:szCs w:val="32"/>
          <w:highlight w:val="none"/>
        </w:rPr>
      </w:pPr>
      <w:r>
        <w:rPr>
          <w:rFonts w:hint="eastAsia" w:ascii="Times New Roman" w:hAnsi="Times New Roman" w:eastAsia="楷体_GB2312"/>
          <w:color w:val="auto"/>
          <w:sz w:val="32"/>
          <w:szCs w:val="32"/>
          <w:highlight w:val="none"/>
        </w:rPr>
        <w:t>（二）综述</w:t>
      </w:r>
      <w:r>
        <w:rPr>
          <w:rFonts w:ascii="Times New Roman" w:hAnsi="Times New Roman" w:eastAsia="楷体_GB2312"/>
          <w:color w:val="auto"/>
          <w:sz w:val="32"/>
          <w:szCs w:val="32"/>
          <w:highlight w:val="none"/>
        </w:rPr>
        <w:t>资料</w:t>
      </w:r>
    </w:p>
    <w:p w14:paraId="432693A5">
      <w:pPr>
        <w:pStyle w:val="57"/>
        <w:keepNext w:val="0"/>
        <w:keepLines w:val="0"/>
        <w:pageBreakBefore w:val="0"/>
        <w:kinsoku/>
        <w:wordWrap/>
        <w:overflowPunct w:val="0"/>
        <w:topLinePunct w:val="0"/>
        <w:autoSpaceDE/>
        <w:autoSpaceDN/>
        <w:bidi w:val="0"/>
        <w:spacing w:line="500" w:lineRule="exact"/>
        <w:ind w:right="210" w:firstLine="640"/>
        <w:textAlignment w:val="auto"/>
        <w:outlineLvl w:val="2"/>
        <w:rPr>
          <w:rFonts w:hint="eastAsia" w:ascii="Times New Roman" w:hAnsi="Times New Roman" w:eastAsia="仿宋_GB2312"/>
          <w:color w:val="auto"/>
          <w:sz w:val="32"/>
          <w:szCs w:val="32"/>
          <w:highlight w:val="none"/>
          <w:lang w:eastAsia="zh-CN"/>
        </w:rPr>
      </w:pPr>
      <w:r>
        <w:rPr>
          <w:rFonts w:hint="eastAsia" w:ascii="Times New Roman" w:hAnsi="Times New Roman" w:eastAsia="楷体_GB2312"/>
          <w:color w:val="auto"/>
          <w:sz w:val="32"/>
          <w:szCs w:val="32"/>
          <w:highlight w:val="none"/>
          <w:lang w:val="en-US" w:eastAsia="zh-CN"/>
        </w:rPr>
        <w:t>1</w:t>
      </w:r>
      <w:r>
        <w:rPr>
          <w:rFonts w:hint="eastAsia" w:ascii="Times New Roman" w:hAnsi="Times New Roman" w:eastAsia="楷体_GB2312"/>
          <w:color w:val="auto"/>
          <w:sz w:val="32"/>
          <w:szCs w:val="32"/>
          <w:highlight w:val="none"/>
        </w:rPr>
        <w:t>.</w:t>
      </w:r>
      <w:bookmarkEnd w:id="0"/>
      <w:r>
        <w:rPr>
          <w:rFonts w:hint="eastAsia" w:ascii="Times New Roman" w:hAnsi="Times New Roman" w:eastAsia="仿宋_GB2312"/>
          <w:color w:val="auto"/>
          <w:sz w:val="32"/>
          <w:szCs w:val="32"/>
          <w:highlight w:val="none"/>
          <w:lang w:eastAsia="zh-CN"/>
        </w:rPr>
        <w:t>概述</w:t>
      </w:r>
    </w:p>
    <w:p w14:paraId="02E9F944">
      <w:pPr>
        <w:pStyle w:val="57"/>
        <w:keepNext w:val="0"/>
        <w:keepLines w:val="0"/>
        <w:pageBreakBefore w:val="0"/>
        <w:kinsoku/>
        <w:wordWrap/>
        <w:overflowPunct w:val="0"/>
        <w:topLinePunct w:val="0"/>
        <w:autoSpaceDE/>
        <w:autoSpaceDN/>
        <w:bidi w:val="0"/>
        <w:spacing w:line="500" w:lineRule="exact"/>
        <w:ind w:right="210" w:firstLine="640"/>
        <w:textAlignment w:val="auto"/>
        <w:outlineLvl w:val="2"/>
        <w:rPr>
          <w:rFonts w:hint="eastAsia" w:ascii="Times New Roman" w:hAnsi="Times New Roman" w:eastAsia="仿宋_GB2312"/>
          <w:color w:val="auto"/>
          <w:sz w:val="32"/>
          <w:szCs w:val="32"/>
          <w:highlight w:val="none"/>
          <w:lang w:eastAsia="zh-CN"/>
        </w:rPr>
      </w:pPr>
      <w:r>
        <w:rPr>
          <w:rFonts w:hint="eastAsia" w:ascii="Times New Roman" w:hAnsi="Times New Roman" w:eastAsia="仿宋_GB2312"/>
          <w:color w:val="auto"/>
          <w:sz w:val="32"/>
          <w:szCs w:val="32"/>
          <w:highlight w:val="none"/>
          <w:lang w:val="en-US" w:eastAsia="zh-CN"/>
        </w:rPr>
        <w:t>申请人需描述产品的通用名称及确定依据、管理类别信息、产品适用范围。若适用，需提供申报产品的背景信息概述。</w:t>
      </w:r>
    </w:p>
    <w:p w14:paraId="4F345002">
      <w:pPr>
        <w:pStyle w:val="57"/>
        <w:keepNext w:val="0"/>
        <w:keepLines w:val="0"/>
        <w:pageBreakBefore w:val="0"/>
        <w:kinsoku/>
        <w:wordWrap/>
        <w:overflowPunct w:val="0"/>
        <w:topLinePunct w:val="0"/>
        <w:autoSpaceDE/>
        <w:autoSpaceDN/>
        <w:bidi w:val="0"/>
        <w:spacing w:line="500" w:lineRule="exact"/>
        <w:ind w:right="210" w:firstLine="640"/>
        <w:textAlignment w:val="auto"/>
        <w:outlineLvl w:val="2"/>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2</w:t>
      </w:r>
      <w:r>
        <w:rPr>
          <w:rFonts w:hint="eastAsia" w:ascii="Times New Roman" w:hAnsi="Times New Roman" w:eastAsia="仿宋_GB2312"/>
          <w:color w:val="auto"/>
          <w:sz w:val="32"/>
          <w:szCs w:val="32"/>
          <w:highlight w:val="none"/>
        </w:rPr>
        <w:t>.产品描述</w:t>
      </w:r>
    </w:p>
    <w:p w14:paraId="64BA49BC">
      <w:pPr>
        <w:pStyle w:val="57"/>
        <w:keepNext w:val="0"/>
        <w:keepLines w:val="0"/>
        <w:pageBreakBefore w:val="0"/>
        <w:kinsoku/>
        <w:wordWrap/>
        <w:overflowPunct w:val="0"/>
        <w:topLinePunct w:val="0"/>
        <w:autoSpaceDE/>
        <w:autoSpaceDN/>
        <w:bidi w:val="0"/>
        <w:spacing w:line="500" w:lineRule="exact"/>
        <w:ind w:right="210" w:firstLine="640"/>
        <w:textAlignment w:val="auto"/>
        <w:outlineLvl w:val="3"/>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2</w:t>
      </w:r>
      <w:r>
        <w:rPr>
          <w:rFonts w:hint="eastAsia" w:ascii="Times New Roman" w:hAnsi="Times New Roman" w:eastAsia="仿宋_GB2312"/>
          <w:snapToGrid w:val="0"/>
          <w:color w:val="auto"/>
          <w:kern w:val="0"/>
          <w:sz w:val="32"/>
          <w:szCs w:val="32"/>
          <w:highlight w:val="none"/>
        </w:rPr>
        <w:t>.1器械及操作原理描述</w:t>
      </w:r>
    </w:p>
    <w:p w14:paraId="72C77309">
      <w:pPr>
        <w:pStyle w:val="57"/>
        <w:keepNext w:val="0"/>
        <w:keepLines w:val="0"/>
        <w:pageBreakBefore w:val="0"/>
        <w:kinsoku/>
        <w:wordWrap/>
        <w:overflowPunct w:val="0"/>
        <w:topLinePunct w:val="0"/>
        <w:autoSpaceDE/>
        <w:autoSpaceDN/>
        <w:bidi w:val="0"/>
        <w:spacing w:line="500" w:lineRule="exact"/>
        <w:ind w:right="210" w:firstLine="640"/>
        <w:textAlignment w:val="auto"/>
        <w:rPr>
          <w:color w:val="auto"/>
        </w:rPr>
      </w:pPr>
      <w:r>
        <w:rPr>
          <w:rFonts w:hint="eastAsia" w:ascii="Times New Roman" w:hAnsi="Times New Roman" w:eastAsia="仿宋_GB2312"/>
          <w:snapToGrid w:val="0"/>
          <w:color w:val="auto"/>
          <w:kern w:val="0"/>
          <w:sz w:val="32"/>
          <w:szCs w:val="32"/>
          <w:highlight w:val="none"/>
          <w:lang w:val="en-US" w:eastAsia="zh-CN"/>
        </w:rPr>
        <w:t>2</w:t>
      </w:r>
      <w:r>
        <w:rPr>
          <w:rFonts w:hint="eastAsia" w:ascii="Times New Roman" w:hAnsi="Times New Roman" w:eastAsia="仿宋_GB2312"/>
          <w:snapToGrid w:val="0"/>
          <w:color w:val="auto"/>
          <w:kern w:val="0"/>
          <w:sz w:val="32"/>
          <w:szCs w:val="32"/>
          <w:highlight w:val="none"/>
        </w:rPr>
        <w:t>.1.1</w:t>
      </w:r>
      <w:r>
        <w:rPr>
          <w:rFonts w:ascii="Times New Roman" w:hAnsi="Times New Roman" w:eastAsia="仿宋_GB2312"/>
          <w:snapToGrid w:val="0"/>
          <w:color w:val="auto"/>
          <w:kern w:val="0"/>
          <w:sz w:val="32"/>
          <w:szCs w:val="32"/>
          <w:highlight w:val="none"/>
        </w:rPr>
        <w:t>工作原理</w:t>
      </w:r>
    </w:p>
    <w:p w14:paraId="5D34665A">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Times New Roman"/>
          <w:i w:val="0"/>
          <w:iCs w:val="0"/>
          <w:caps w:val="0"/>
          <w:snapToGrid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i w:val="0"/>
          <w:iCs w:val="0"/>
          <w:caps w:val="0"/>
          <w:snapToGrid w:val="0"/>
          <w:color w:val="auto"/>
          <w:spacing w:val="0"/>
          <w:kern w:val="0"/>
          <w:sz w:val="32"/>
          <w:szCs w:val="32"/>
          <w:highlight w:val="none"/>
          <w:shd w:val="clear" w:color="auto" w:fill="auto"/>
          <w:lang w:val="en-US" w:eastAsia="zh-CN" w:bidi="ar-SA"/>
        </w:rPr>
        <w:t>注册申请人应当明确产品设计所遵循的中医理论体系，阐述产品功能设计的中医理论依据，包括所参考的中医经典诊疗理论、行业公认的诊断学说、国家标准或行业标准中的中医诊断规范等内容；对各功能，应分别说明其参数设计、特征提取、结果表述对应的中医理论渊源，确保产品设计基于公认的中医诊断理论，而非个人经验性规则。</w:t>
      </w:r>
      <w:r>
        <w:rPr>
          <w:rFonts w:hint="eastAsia" w:ascii="Times New Roman" w:hAnsi="Times New Roman" w:eastAsia="仿宋_GB2312"/>
          <w:color w:val="auto"/>
          <w:sz w:val="32"/>
          <w:szCs w:val="32"/>
          <w:highlight w:val="none"/>
          <w:lang w:eastAsia="zh-CN"/>
        </w:rPr>
        <w:t>如软件可生成报告，需提供报告样例说明，注明各部分信息来源。</w:t>
      </w:r>
    </w:p>
    <w:p w14:paraId="0DE028E4">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中医辅助诊断软件一般包括中医四诊或其中某种诊法，包括但不限于：（1）望诊：</w:t>
      </w:r>
      <w:r>
        <w:rPr>
          <w:rFonts w:hint="default" w:ascii="Times New Roman" w:hAnsi="Times New Roman" w:eastAsia="宋体" w:cs="Times New Roman"/>
          <w:snapToGrid w:val="0"/>
          <w:color w:val="auto"/>
          <w:kern w:val="0"/>
          <w:sz w:val="32"/>
          <w:szCs w:val="32"/>
          <w:highlight w:val="none"/>
          <w:lang w:val="en-US" w:eastAsia="zh-CN"/>
        </w:rPr>
        <w:t>①</w:t>
      </w:r>
      <w:r>
        <w:rPr>
          <w:rFonts w:hint="eastAsia" w:ascii="Times New Roman" w:hAnsi="Times New Roman" w:eastAsia="仿宋_GB2312"/>
          <w:snapToGrid w:val="0"/>
          <w:color w:val="auto"/>
          <w:kern w:val="0"/>
          <w:sz w:val="32"/>
          <w:szCs w:val="32"/>
          <w:highlight w:val="none"/>
          <w:lang w:val="en-US" w:eastAsia="zh-CN"/>
        </w:rPr>
        <w:t>面色：病色、常色；</w:t>
      </w:r>
      <w:r>
        <w:rPr>
          <w:rFonts w:hint="default" w:ascii="Times New Roman" w:hAnsi="Times New Roman" w:eastAsia="宋体" w:cs="Times New Roman"/>
          <w:snapToGrid w:val="0"/>
          <w:color w:val="auto"/>
          <w:kern w:val="0"/>
          <w:sz w:val="32"/>
          <w:szCs w:val="32"/>
          <w:highlight w:val="none"/>
          <w:lang w:val="en-US" w:eastAsia="zh-CN"/>
        </w:rPr>
        <w:t>②</w:t>
      </w:r>
      <w:r>
        <w:rPr>
          <w:rFonts w:hint="eastAsia" w:ascii="Times New Roman" w:hAnsi="Times New Roman" w:eastAsia="仿宋_GB2312"/>
          <w:snapToGrid w:val="0"/>
          <w:color w:val="auto"/>
          <w:kern w:val="0"/>
          <w:sz w:val="32"/>
          <w:szCs w:val="32"/>
          <w:highlight w:val="none"/>
          <w:lang w:val="en-US" w:eastAsia="zh-CN"/>
        </w:rPr>
        <w:t>舌诊：舌色、舌形、舌态、舌苔（苔质、苔色）、舌下脉络；</w:t>
      </w:r>
      <w:r>
        <w:rPr>
          <w:rFonts w:hint="default" w:ascii="Times New Roman" w:hAnsi="Times New Roman" w:eastAsia="宋体" w:cs="Times New Roman"/>
          <w:snapToGrid w:val="0"/>
          <w:color w:val="auto"/>
          <w:kern w:val="0"/>
          <w:sz w:val="32"/>
          <w:szCs w:val="32"/>
          <w:highlight w:val="none"/>
          <w:lang w:val="en-US" w:eastAsia="zh-CN"/>
        </w:rPr>
        <w:t>③</w:t>
      </w:r>
      <w:r>
        <w:rPr>
          <w:rFonts w:hint="eastAsia" w:ascii="Times New Roman" w:hAnsi="Times New Roman" w:eastAsia="仿宋_GB2312"/>
          <w:snapToGrid w:val="0"/>
          <w:color w:val="auto"/>
          <w:kern w:val="0"/>
          <w:sz w:val="32"/>
          <w:szCs w:val="32"/>
          <w:highlight w:val="none"/>
          <w:lang w:val="en-US" w:eastAsia="zh-CN"/>
        </w:rPr>
        <w:t>手诊：手掌颜色等。（2）闻诊：</w:t>
      </w:r>
      <w:r>
        <w:rPr>
          <w:rFonts w:hint="default" w:ascii="Times New Roman" w:hAnsi="Times New Roman" w:eastAsia="宋体" w:cs="Times New Roman"/>
          <w:snapToGrid w:val="0"/>
          <w:color w:val="auto"/>
          <w:kern w:val="0"/>
          <w:sz w:val="32"/>
          <w:szCs w:val="32"/>
          <w:highlight w:val="none"/>
          <w:lang w:val="en-US" w:eastAsia="zh-CN"/>
        </w:rPr>
        <w:t>①</w:t>
      </w:r>
      <w:r>
        <w:rPr>
          <w:rFonts w:hint="eastAsia" w:ascii="Times New Roman" w:hAnsi="Times New Roman" w:eastAsia="仿宋_GB2312"/>
          <w:snapToGrid w:val="0"/>
          <w:color w:val="auto"/>
          <w:kern w:val="0"/>
          <w:sz w:val="32"/>
          <w:szCs w:val="32"/>
          <w:highlight w:val="none"/>
          <w:lang w:val="en-US" w:eastAsia="zh-CN"/>
        </w:rPr>
        <w:t>闻声音；</w:t>
      </w:r>
      <w:r>
        <w:rPr>
          <w:rFonts w:hint="default" w:ascii="Times New Roman" w:hAnsi="Times New Roman" w:eastAsia="仿宋_GB2312"/>
          <w:snapToGrid w:val="0"/>
          <w:color w:val="auto"/>
          <w:kern w:val="0"/>
          <w:sz w:val="32"/>
          <w:szCs w:val="32"/>
          <w:highlight w:val="none"/>
          <w:lang w:val="en-US" w:eastAsia="zh-CN"/>
        </w:rPr>
        <w:t>②嗅气味</w:t>
      </w:r>
      <w:r>
        <w:rPr>
          <w:rFonts w:hint="eastAsia" w:ascii="Times New Roman" w:hAnsi="Times New Roman" w:eastAsia="仿宋_GB2312"/>
          <w:snapToGrid w:val="0"/>
          <w:color w:val="auto"/>
          <w:kern w:val="0"/>
          <w:sz w:val="32"/>
          <w:szCs w:val="32"/>
          <w:highlight w:val="none"/>
          <w:lang w:val="en-US" w:eastAsia="zh-CN"/>
        </w:rPr>
        <w:t>。（3）问诊：</w:t>
      </w:r>
      <w:r>
        <w:rPr>
          <w:rFonts w:hint="default" w:ascii="Times New Roman" w:hAnsi="Times New Roman" w:eastAsia="宋体" w:cs="Times New Roman"/>
          <w:snapToGrid w:val="0"/>
          <w:color w:val="auto"/>
          <w:kern w:val="0"/>
          <w:sz w:val="32"/>
          <w:szCs w:val="32"/>
          <w:highlight w:val="none"/>
          <w:lang w:val="en-US" w:eastAsia="zh-CN"/>
        </w:rPr>
        <w:t>①</w:t>
      </w:r>
      <w:r>
        <w:rPr>
          <w:rFonts w:hint="eastAsia" w:ascii="Times New Roman" w:hAnsi="Times New Roman" w:eastAsia="仿宋_GB2312"/>
          <w:snapToGrid w:val="0"/>
          <w:color w:val="auto"/>
          <w:kern w:val="0"/>
          <w:sz w:val="32"/>
          <w:szCs w:val="32"/>
          <w:highlight w:val="none"/>
          <w:lang w:val="en-US" w:eastAsia="zh-CN"/>
        </w:rPr>
        <w:t>一般情况、主诉、现病史、既往史等（病历管理功能）；</w:t>
      </w:r>
      <w:r>
        <w:rPr>
          <w:rFonts w:hint="default" w:ascii="Times New Roman" w:hAnsi="Times New Roman" w:eastAsia="宋体" w:cs="Times New Roman"/>
          <w:snapToGrid w:val="0"/>
          <w:color w:val="auto"/>
          <w:kern w:val="0"/>
          <w:sz w:val="32"/>
          <w:szCs w:val="32"/>
          <w:highlight w:val="none"/>
          <w:lang w:val="en-US" w:eastAsia="zh-CN"/>
        </w:rPr>
        <w:t>②</w:t>
      </w:r>
      <w:r>
        <w:rPr>
          <w:rFonts w:hint="eastAsia" w:ascii="Times New Roman" w:hAnsi="Times New Roman" w:eastAsia="仿宋_GB2312"/>
          <w:snapToGrid w:val="0"/>
          <w:color w:val="auto"/>
          <w:kern w:val="0"/>
          <w:sz w:val="32"/>
          <w:szCs w:val="32"/>
          <w:highlight w:val="none"/>
          <w:lang w:val="en-US" w:eastAsia="zh-CN"/>
        </w:rPr>
        <w:t>问现在症：问寒热、问汗、问疼痛、问头身胸腹不适、问耳目、问睡眠、问饮食口味、问二便、问经带、问小儿；</w:t>
      </w:r>
      <w:r>
        <w:rPr>
          <w:rFonts w:hint="default" w:ascii="Times New Roman" w:hAnsi="Times New Roman" w:eastAsia="宋体" w:cs="Times New Roman"/>
          <w:snapToGrid w:val="0"/>
          <w:color w:val="auto"/>
          <w:kern w:val="0"/>
          <w:sz w:val="32"/>
          <w:szCs w:val="32"/>
          <w:highlight w:val="none"/>
          <w:lang w:val="en-US" w:eastAsia="zh-CN"/>
        </w:rPr>
        <w:t>③</w:t>
      </w:r>
      <w:r>
        <w:rPr>
          <w:rFonts w:hint="eastAsia" w:ascii="Times New Roman" w:hAnsi="Times New Roman" w:eastAsia="仿宋_GB2312"/>
          <w:snapToGrid w:val="0"/>
          <w:color w:val="auto"/>
          <w:kern w:val="0"/>
          <w:sz w:val="32"/>
          <w:szCs w:val="32"/>
          <w:highlight w:val="none"/>
          <w:lang w:val="en-US" w:eastAsia="zh-CN"/>
        </w:rPr>
        <w:t>体质问卷：参考GB/T 46939《中医体质分类与判定》。（4）切诊：主要为脉诊，分析脉位、脉率、力度、流利度、均匀度等要素。</w:t>
      </w:r>
    </w:p>
    <w:p w14:paraId="397E20AE">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olor w:val="auto"/>
          <w:sz w:val="32"/>
          <w:szCs w:val="32"/>
          <w:highlight w:val="none"/>
          <w:lang w:eastAsia="zh-CN"/>
        </w:rPr>
      </w:pPr>
      <w:r>
        <w:rPr>
          <w:rFonts w:hint="eastAsia" w:ascii="Times New Roman" w:hAnsi="Times New Roman" w:eastAsia="仿宋_GB2312"/>
          <w:color w:val="auto"/>
          <w:sz w:val="32"/>
          <w:szCs w:val="32"/>
          <w:highlight w:val="none"/>
        </w:rPr>
        <w:t>注册申请人应在综述资料中明确产品工作原理，包括</w:t>
      </w:r>
      <w:r>
        <w:rPr>
          <w:rFonts w:hint="eastAsia" w:ascii="Times New Roman" w:hAnsi="Times New Roman" w:eastAsia="仿宋_GB2312"/>
          <w:color w:val="auto"/>
          <w:sz w:val="32"/>
          <w:szCs w:val="32"/>
          <w:highlight w:val="none"/>
          <w:lang w:eastAsia="zh-CN"/>
        </w:rPr>
        <w:t>体系</w:t>
      </w:r>
      <w:r>
        <w:rPr>
          <w:rFonts w:hint="eastAsia" w:ascii="Times New Roman" w:hAnsi="Times New Roman" w:eastAsia="仿宋_GB2312"/>
          <w:color w:val="auto"/>
          <w:sz w:val="32"/>
          <w:szCs w:val="32"/>
          <w:highlight w:val="none"/>
        </w:rPr>
        <w:t>结构和物理结构</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结构示意图可根据需要标注预留接口</w:t>
      </w:r>
      <w:r>
        <w:rPr>
          <w:rFonts w:hint="eastAsia" w:ascii="Times New Roman" w:hAnsi="Times New Roman" w:eastAsia="仿宋_GB2312"/>
          <w:color w:val="auto"/>
          <w:sz w:val="32"/>
          <w:szCs w:val="32"/>
          <w:highlight w:val="none"/>
          <w:lang w:val="en-US" w:eastAsia="zh-CN"/>
        </w:rPr>
        <w:t>。</w:t>
      </w:r>
    </w:p>
    <w:p w14:paraId="3FEFDC33">
      <w:pPr>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snapToGrid w:val="0"/>
          <w:color w:val="auto"/>
          <w:kern w:val="0"/>
          <w:sz w:val="32"/>
          <w:szCs w:val="32"/>
          <w:highlight w:val="none"/>
          <w:lang w:val="en-US" w:eastAsia="zh-CN"/>
        </w:rPr>
        <w:t>2</w:t>
      </w:r>
      <w:r>
        <w:rPr>
          <w:rFonts w:hint="eastAsia" w:ascii="Times New Roman" w:hAnsi="Times New Roman" w:eastAsia="仿宋_GB2312"/>
          <w:snapToGrid w:val="0"/>
          <w:color w:val="auto"/>
          <w:kern w:val="0"/>
          <w:sz w:val="32"/>
          <w:szCs w:val="32"/>
          <w:highlight w:val="none"/>
        </w:rPr>
        <w:t>.1.1.1</w:t>
      </w:r>
      <w:r>
        <w:rPr>
          <w:rFonts w:ascii="Times New Roman" w:hAnsi="Times New Roman" w:eastAsia="仿宋_GB2312"/>
          <w:color w:val="auto"/>
          <w:sz w:val="32"/>
          <w:szCs w:val="32"/>
          <w:highlight w:val="none"/>
        </w:rPr>
        <w:t>逻辑结构</w:t>
      </w:r>
    </w:p>
    <w:p w14:paraId="30427D69">
      <w:pPr>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kern w:val="2"/>
          <w:sz w:val="32"/>
          <w:szCs w:val="32"/>
          <w:highlight w:val="none"/>
          <w:u w:val="none"/>
          <w:lang w:val="en-US" w:eastAsia="zh-CN" w:bidi="ar-SA"/>
        </w:rPr>
        <w:t>逻辑结构</w:t>
      </w:r>
      <w:r>
        <w:rPr>
          <w:rFonts w:ascii="Times New Roman" w:hAnsi="Times New Roman" w:eastAsia="仿宋_GB2312"/>
          <w:color w:val="auto"/>
          <w:sz w:val="32"/>
          <w:szCs w:val="32"/>
          <w:highlight w:val="none"/>
        </w:rPr>
        <w:t>应描述产品的体系结构，可以按照功能模块或组成模块进行描述</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也可采用其他方式进行描述，提供示意图并依据示意图进行描述。</w:t>
      </w:r>
      <w:r>
        <w:rPr>
          <w:rFonts w:ascii="Times New Roman" w:hAnsi="Times New Roman" w:eastAsia="仿宋_GB2312" w:cs="Times New Roman"/>
          <w:color w:val="auto"/>
          <w:sz w:val="32"/>
          <w:szCs w:val="32"/>
          <w:highlight w:val="none"/>
        </w:rPr>
        <w:t>如，</w:t>
      </w:r>
      <w:r>
        <w:rPr>
          <w:rFonts w:hint="eastAsia" w:eastAsia="仿宋_GB2312" w:cs="Times New Roman"/>
          <w:color w:val="auto"/>
          <w:sz w:val="32"/>
          <w:szCs w:val="32"/>
          <w:highlight w:val="none"/>
          <w:lang w:eastAsia="zh-CN"/>
        </w:rPr>
        <w:t>体系</w:t>
      </w:r>
      <w:r>
        <w:rPr>
          <w:rFonts w:ascii="Times New Roman" w:hAnsi="Times New Roman" w:eastAsia="仿宋_GB2312" w:cs="Times New Roman"/>
          <w:color w:val="auto"/>
          <w:sz w:val="32"/>
          <w:szCs w:val="32"/>
          <w:highlight w:val="none"/>
        </w:rPr>
        <w:t>结构图如下（图</w:t>
      </w:r>
      <w:r>
        <w:rPr>
          <w:rFonts w:hint="eastAsia" w:ascii="Times New Roman" w:hAnsi="Times New Roman" w:eastAsia="仿宋_GB2312" w:cs="Times New Roman"/>
          <w:color w:val="auto"/>
          <w:sz w:val="32"/>
          <w:szCs w:val="32"/>
          <w:highlight w:val="none"/>
        </w:rPr>
        <w:t>1</w:t>
      </w:r>
      <w:r>
        <w:rPr>
          <w:rFonts w:ascii="Times New Roman" w:hAnsi="Times New Roman" w:eastAsia="仿宋_GB2312" w:cs="Times New Roman"/>
          <w:color w:val="auto"/>
          <w:sz w:val="32"/>
          <w:szCs w:val="32"/>
          <w:highlight w:val="none"/>
        </w:rPr>
        <w:t>）：</w:t>
      </w:r>
    </w:p>
    <w:p w14:paraId="62E9D391">
      <w:pPr>
        <w:keepNext w:val="0"/>
        <w:keepLines w:val="0"/>
        <w:pageBreakBefore w:val="0"/>
        <w:kinsoku/>
        <w:wordWrap/>
        <w:topLinePunct w:val="0"/>
        <w:autoSpaceDE/>
        <w:autoSpaceDN/>
        <w:bidi w:val="0"/>
        <w:spacing w:line="500" w:lineRule="exact"/>
        <w:ind w:firstLine="640" w:firstLineChars="20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9525</wp:posOffset>
            </wp:positionH>
            <wp:positionV relativeFrom="paragraph">
              <wp:posOffset>33655</wp:posOffset>
            </wp:positionV>
            <wp:extent cx="5524500" cy="3048000"/>
            <wp:effectExtent l="0" t="0" r="0" b="0"/>
            <wp:wrapTopAndBottom/>
            <wp:docPr id="1" name="图片 8" descr="08bdb600f3cd849167175c17bd95d5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08bdb600f3cd849167175c17bd95d5f3"/>
                    <pic:cNvPicPr>
                      <a:picLocks noChangeAspect="1"/>
                    </pic:cNvPicPr>
                  </pic:nvPicPr>
                  <pic:blipFill>
                    <a:blip r:embed="rId6"/>
                    <a:stretch>
                      <a:fillRect/>
                    </a:stretch>
                  </pic:blipFill>
                  <pic:spPr>
                    <a:xfrm>
                      <a:off x="0" y="0"/>
                      <a:ext cx="5524500" cy="3048000"/>
                    </a:xfrm>
                    <a:prstGeom prst="rect">
                      <a:avLst/>
                    </a:prstGeom>
                    <a:noFill/>
                    <a:ln>
                      <a:noFill/>
                    </a:ln>
                  </pic:spPr>
                </pic:pic>
              </a:graphicData>
            </a:graphic>
          </wp:anchor>
        </w:drawing>
      </w:r>
      <w:r>
        <w:rPr>
          <w:rFonts w:hint="eastAsia" w:ascii="Times New Roman" w:hAnsi="Times New Roman" w:eastAsia="仿宋_GB2312" w:cs="仿宋_GB2312"/>
          <w:color w:val="auto"/>
          <w:sz w:val="28"/>
          <w:szCs w:val="28"/>
          <w:highlight w:val="none"/>
        </w:rPr>
        <w:t>图1 体系结构图</w:t>
      </w:r>
      <w:r>
        <w:rPr>
          <w:rFonts w:hint="eastAsia" w:eastAsia="仿宋_GB2312" w:cs="仿宋_GB2312"/>
          <w:color w:val="auto"/>
          <w:sz w:val="28"/>
          <w:szCs w:val="28"/>
          <w:highlight w:val="none"/>
          <w:lang w:eastAsia="zh-CN"/>
        </w:rPr>
        <w:t>（示例）</w:t>
      </w:r>
    </w:p>
    <w:p w14:paraId="058016CE">
      <w:pPr>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eastAsia="zh-CN"/>
        </w:rPr>
        <w:t>中医辅助诊断软件一般可</w:t>
      </w:r>
      <w:r>
        <w:rPr>
          <w:rFonts w:ascii="Times New Roman" w:hAnsi="Times New Roman" w:eastAsia="仿宋_GB2312"/>
          <w:color w:val="auto"/>
          <w:sz w:val="32"/>
          <w:szCs w:val="32"/>
          <w:highlight w:val="none"/>
        </w:rPr>
        <w:t>由</w:t>
      </w:r>
      <w:r>
        <w:rPr>
          <w:rFonts w:hint="eastAsia" w:ascii="Times New Roman" w:hAnsi="Times New Roman" w:eastAsia="仿宋_GB2312"/>
          <w:color w:val="auto"/>
          <w:sz w:val="32"/>
          <w:szCs w:val="32"/>
          <w:highlight w:val="none"/>
        </w:rPr>
        <w:t>数据获取与存储模块、数据分析模块、用户交互模块及安全防护模块</w:t>
      </w:r>
      <w:r>
        <w:rPr>
          <w:rFonts w:ascii="Times New Roman" w:hAnsi="Times New Roman" w:eastAsia="仿宋_GB2312"/>
          <w:color w:val="auto"/>
          <w:sz w:val="32"/>
          <w:szCs w:val="32"/>
          <w:highlight w:val="none"/>
        </w:rPr>
        <w:t>组成：</w:t>
      </w:r>
    </w:p>
    <w:p w14:paraId="75E185C9">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olor w:val="auto"/>
          <w:sz w:val="32"/>
          <w:szCs w:val="32"/>
          <w:highlight w:val="none"/>
          <w:lang w:eastAsia="zh-CN"/>
        </w:rPr>
      </w:pP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1</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数据获取与存储模块</w:t>
      </w:r>
      <w:r>
        <w:rPr>
          <w:rFonts w:hint="eastAsia" w:ascii="Times New Roman" w:hAnsi="Times New Roman" w:eastAsia="仿宋_GB2312"/>
          <w:color w:val="auto"/>
          <w:sz w:val="32"/>
          <w:szCs w:val="32"/>
          <w:highlight w:val="none"/>
          <w:lang w:eastAsia="zh-CN"/>
        </w:rPr>
        <w:t>：接收相应格式四诊数据，或</w:t>
      </w:r>
      <w:r>
        <w:rPr>
          <w:rFonts w:hint="eastAsia" w:ascii="Times New Roman" w:hAnsi="Times New Roman" w:eastAsia="仿宋_GB2312"/>
          <w:color w:val="auto"/>
          <w:sz w:val="32"/>
          <w:szCs w:val="32"/>
          <w:highlight w:val="none"/>
        </w:rPr>
        <w:t>配合外置舌面诊仪、脉诊仪、问诊或闻诊等采集设备使用，通过接口接收设备上传的原始数据进行存储</w:t>
      </w:r>
      <w:r>
        <w:rPr>
          <w:rFonts w:hint="eastAsia" w:ascii="Times New Roman" w:hAnsi="Times New Roman" w:eastAsia="仿宋_GB2312"/>
          <w:color w:val="auto"/>
          <w:sz w:val="32"/>
          <w:szCs w:val="32"/>
          <w:highlight w:val="none"/>
          <w:lang w:eastAsia="zh-CN"/>
        </w:rPr>
        <w:t>。</w:t>
      </w:r>
    </w:p>
    <w:p w14:paraId="2CCD318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2</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数据分析模块</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对四诊数据进行量化分析，完成四诊客观化参数提取，</w:t>
      </w:r>
      <w:r>
        <w:rPr>
          <w:rFonts w:hint="eastAsia" w:ascii="Times New Roman" w:hAnsi="Times New Roman" w:eastAsia="仿宋_GB2312"/>
          <w:color w:val="auto"/>
          <w:sz w:val="32"/>
          <w:szCs w:val="32"/>
          <w:highlight w:val="none"/>
          <w:lang w:val="en-US" w:eastAsia="zh-CN"/>
        </w:rPr>
        <w:t>如</w:t>
      </w:r>
      <w:r>
        <w:rPr>
          <w:rFonts w:hint="eastAsia" w:ascii="Times New Roman" w:hAnsi="Times New Roman" w:eastAsia="仿宋_GB2312"/>
          <w:color w:val="auto"/>
          <w:sz w:val="32"/>
          <w:szCs w:val="32"/>
          <w:highlight w:val="none"/>
        </w:rPr>
        <w:t>对望诊数据（舌象、面</w:t>
      </w:r>
      <w:r>
        <w:rPr>
          <w:rFonts w:hint="eastAsia" w:ascii="Times New Roman" w:hAnsi="Times New Roman" w:eastAsia="仿宋_GB2312"/>
          <w:color w:val="auto"/>
          <w:sz w:val="32"/>
          <w:szCs w:val="32"/>
          <w:highlight w:val="none"/>
          <w:lang w:val="en-US" w:eastAsia="zh-CN"/>
        </w:rPr>
        <w:t>色</w:t>
      </w:r>
      <w:r>
        <w:rPr>
          <w:rFonts w:hint="eastAsia" w:ascii="Times New Roman" w:hAnsi="Times New Roman" w:eastAsia="仿宋_GB2312"/>
          <w:color w:val="auto"/>
          <w:sz w:val="32"/>
          <w:szCs w:val="32"/>
          <w:highlight w:val="none"/>
        </w:rPr>
        <w:t>等），提取舌色</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苔色</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面色的RGB值、HSV值或Lab值，计算苔质厚薄指数、腻腐指数、润燥指数，测量齿痕深度、裂纹长度、瘀斑面积等形态参数，输出</w:t>
      </w:r>
      <w:r>
        <w:rPr>
          <w:rFonts w:hint="eastAsia" w:ascii="Times New Roman" w:hAnsi="Times New Roman" w:eastAsia="仿宋_GB2312"/>
          <w:color w:val="auto"/>
          <w:sz w:val="32"/>
          <w:szCs w:val="32"/>
          <w:highlight w:val="none"/>
          <w:lang w:val="en-US" w:eastAsia="zh-CN"/>
        </w:rPr>
        <w:t>如</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val="en-US" w:eastAsia="zh-CN"/>
        </w:rPr>
        <w:t>淡红舌</w:t>
      </w:r>
      <w:r>
        <w:rPr>
          <w:rFonts w:hint="eastAsia" w:ascii="Times New Roman" w:hAnsi="Times New Roman" w:eastAsia="仿宋_GB2312"/>
          <w:color w:val="auto"/>
          <w:sz w:val="32"/>
          <w:szCs w:val="32"/>
          <w:highlight w:val="none"/>
        </w:rPr>
        <w:t>”“苔薄</w:t>
      </w:r>
      <w:r>
        <w:rPr>
          <w:rFonts w:hint="eastAsia" w:ascii="Times New Roman" w:hAnsi="Times New Roman" w:eastAsia="仿宋_GB2312"/>
          <w:color w:val="auto"/>
          <w:sz w:val="32"/>
          <w:szCs w:val="32"/>
          <w:highlight w:val="none"/>
          <w:lang w:val="en-US" w:eastAsia="zh-CN"/>
        </w:rPr>
        <w:t>白</w:t>
      </w:r>
      <w:r>
        <w:rPr>
          <w:rFonts w:hint="eastAsia" w:ascii="Times New Roman" w:hAnsi="Times New Roman" w:eastAsia="仿宋_GB2312"/>
          <w:color w:val="auto"/>
          <w:sz w:val="32"/>
          <w:szCs w:val="32"/>
          <w:highlight w:val="none"/>
        </w:rPr>
        <w:t>”等描述；对闻诊数据，提取基频、抖动值、谐噪比等声学特征参数，输出“声高清亮”等提示；对问诊数据，将结构化症状条目量化为严重程度评分；对切诊数据（脉诊），提取脉率及脉图时域参数（h1、h3、h4、h5幅度及比值、升支</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降支斜率等），输出“脉率”等参考信息。上述所有输出均为客观参数的定性化映射或直接文字转换，不得包含对“证型”（如“脾虚湿盛”）或“疾病”（如“感冒”）</w:t>
      </w:r>
      <w:r>
        <w:rPr>
          <w:rFonts w:hint="eastAsia" w:eastAsia="仿宋_GB2312"/>
          <w:color w:val="auto"/>
          <w:sz w:val="32"/>
          <w:szCs w:val="32"/>
          <w:highlight w:val="none"/>
          <w:lang w:eastAsia="zh-CN"/>
        </w:rPr>
        <w:t>等单独</w:t>
      </w:r>
      <w:r>
        <w:rPr>
          <w:rFonts w:hint="eastAsia" w:ascii="Times New Roman" w:hAnsi="Times New Roman" w:eastAsia="仿宋_GB2312"/>
          <w:color w:val="auto"/>
          <w:sz w:val="32"/>
          <w:szCs w:val="32"/>
          <w:highlight w:val="none"/>
        </w:rPr>
        <w:t>结论，亦不输出处方建议。</w:t>
      </w:r>
    </w:p>
    <w:p w14:paraId="3C49F4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3</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用户交互模块</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包含</w:t>
      </w:r>
      <w:r>
        <w:rPr>
          <w:rFonts w:hint="eastAsia" w:ascii="Times New Roman" w:hAnsi="Times New Roman" w:eastAsia="仿宋_GB2312"/>
          <w:color w:val="auto"/>
          <w:sz w:val="32"/>
          <w:szCs w:val="32"/>
          <w:highlight w:val="none"/>
          <w:lang w:eastAsia="zh-CN"/>
        </w:rPr>
        <w:t>如</w:t>
      </w:r>
      <w:r>
        <w:rPr>
          <w:rFonts w:hint="eastAsia" w:ascii="Times New Roman" w:hAnsi="Times New Roman" w:eastAsia="仿宋_GB2312"/>
          <w:color w:val="auto"/>
          <w:sz w:val="32"/>
          <w:szCs w:val="32"/>
          <w:highlight w:val="none"/>
        </w:rPr>
        <w:t>医生工作站、桌面电脑及移动端程序等应用平台，可供操作人员完成软件的功能交互。</w:t>
      </w:r>
    </w:p>
    <w:p w14:paraId="79C516B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4</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安全防护</w:t>
      </w:r>
      <w:r>
        <w:rPr>
          <w:rFonts w:hint="eastAsia" w:ascii="Times New Roman" w:hAnsi="Times New Roman" w:eastAsia="仿宋_GB2312"/>
          <w:color w:val="auto"/>
          <w:sz w:val="32"/>
          <w:szCs w:val="32"/>
          <w:highlight w:val="none"/>
          <w:lang w:eastAsia="zh-CN"/>
        </w:rPr>
        <w:t>模块：</w:t>
      </w:r>
      <w:r>
        <w:rPr>
          <w:rFonts w:hint="eastAsia" w:ascii="Times New Roman" w:hAnsi="Times New Roman" w:eastAsia="仿宋_GB2312"/>
          <w:color w:val="auto"/>
          <w:sz w:val="32"/>
          <w:szCs w:val="32"/>
          <w:highlight w:val="none"/>
        </w:rPr>
        <w:t>贯穿</w:t>
      </w:r>
      <w:r>
        <w:rPr>
          <w:rFonts w:hint="eastAsia" w:ascii="Times New Roman" w:hAnsi="Times New Roman" w:eastAsia="仿宋_GB2312"/>
          <w:color w:val="auto"/>
          <w:sz w:val="32"/>
          <w:szCs w:val="32"/>
          <w:highlight w:val="none"/>
          <w:lang w:eastAsia="zh-CN"/>
        </w:rPr>
        <w:t>全程</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eastAsia="zh-CN"/>
        </w:rPr>
        <w:t>包括如</w:t>
      </w:r>
      <w:r>
        <w:rPr>
          <w:rFonts w:hint="eastAsia" w:ascii="Times New Roman" w:hAnsi="Times New Roman" w:eastAsia="仿宋_GB2312"/>
          <w:color w:val="auto"/>
          <w:sz w:val="32"/>
          <w:szCs w:val="32"/>
          <w:highlight w:val="none"/>
        </w:rPr>
        <w:t>提供身份认证、数据加密和访问控制，确保医疗数据安全合规。</w:t>
      </w:r>
    </w:p>
    <w:p w14:paraId="35F6DEA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snapToGrid w:val="0"/>
          <w:color w:val="auto"/>
          <w:kern w:val="0"/>
          <w:sz w:val="32"/>
          <w:szCs w:val="32"/>
          <w:highlight w:val="none"/>
          <w:lang w:val="en-US" w:eastAsia="zh-CN"/>
        </w:rPr>
        <w:t>2</w:t>
      </w:r>
      <w:r>
        <w:rPr>
          <w:rFonts w:hint="eastAsia" w:ascii="Times New Roman" w:hAnsi="Times New Roman" w:eastAsia="仿宋_GB2312"/>
          <w:snapToGrid w:val="0"/>
          <w:color w:val="auto"/>
          <w:kern w:val="0"/>
          <w:sz w:val="32"/>
          <w:szCs w:val="32"/>
          <w:highlight w:val="none"/>
        </w:rPr>
        <w:t>.1.1.2</w:t>
      </w:r>
      <w:r>
        <w:rPr>
          <w:rFonts w:ascii="Times New Roman" w:hAnsi="Times New Roman" w:eastAsia="仿宋_GB2312"/>
          <w:color w:val="auto"/>
          <w:sz w:val="32"/>
          <w:szCs w:val="32"/>
          <w:highlight w:val="none"/>
        </w:rPr>
        <w:t>物理结构</w:t>
      </w:r>
    </w:p>
    <w:p w14:paraId="1B17383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应描述产品的物理拓扑和技术规格，物理拓扑可以结合产品架构或产品规模进行描述，也可采用其他方式进行描述，提供示意图并依据示意图进行描述。</w:t>
      </w:r>
    </w:p>
    <w:p w14:paraId="2247B07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olor w:val="auto"/>
          <w:spacing w:val="-4"/>
          <w:kern w:val="2"/>
          <w:sz w:val="32"/>
          <w:szCs w:val="32"/>
          <w:highlight w:val="none"/>
          <w:lang w:eastAsia="zh-CN"/>
        </w:rPr>
      </w:pPr>
      <w:r>
        <w:rPr>
          <w:rFonts w:ascii="Times New Roman" w:hAnsi="Times New Roman" w:eastAsia="仿宋_GB2312"/>
          <w:color w:val="auto"/>
          <w:sz w:val="32"/>
          <w:szCs w:val="32"/>
          <w:highlight w:val="none"/>
          <w:lang w:val="en-US" w:eastAsia="zh-CN"/>
        </w:rPr>
        <w:t>技术规格包括产品运行所需的技术要求和硬件要求，如硬件接口或通信协议（如USB、蓝牙、Wi-Fi；及网络传输协议如HTTPS等）</w:t>
      </w:r>
      <w:r>
        <w:rPr>
          <w:rFonts w:hint="eastAsia" w:ascii="Times New Roman" w:hAnsi="Times New Roman" w:eastAsia="仿宋_GB2312"/>
          <w:color w:val="auto"/>
          <w:sz w:val="32"/>
          <w:szCs w:val="32"/>
          <w:highlight w:val="none"/>
          <w:lang w:val="en-US" w:eastAsia="zh-CN"/>
        </w:rPr>
        <w:t>，信息的导入和导出模式、存储格式、传输内容等。</w:t>
      </w:r>
      <w:r>
        <w:rPr>
          <w:rFonts w:hint="eastAsia" w:ascii="Times New Roman" w:hAnsi="Times New Roman" w:eastAsia="仿宋_GB2312"/>
          <w:color w:val="auto"/>
          <w:spacing w:val="-4"/>
          <w:kern w:val="2"/>
          <w:sz w:val="32"/>
          <w:szCs w:val="32"/>
          <w:highlight w:val="none"/>
        </w:rPr>
        <w:t>物理拓扑图示例如下（图2）</w:t>
      </w:r>
      <w:r>
        <w:rPr>
          <w:rFonts w:hint="eastAsia" w:ascii="Times New Roman" w:hAnsi="Times New Roman" w:eastAsia="仿宋_GB2312"/>
          <w:color w:val="auto"/>
          <w:spacing w:val="-4"/>
          <w:kern w:val="2"/>
          <w:sz w:val="32"/>
          <w:szCs w:val="32"/>
          <w:highlight w:val="none"/>
          <w:lang w:eastAsia="zh-CN"/>
        </w:rPr>
        <w:t>：</w:t>
      </w:r>
    </w:p>
    <w:p w14:paraId="472B7778">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Times New Roman" w:hAnsi="Times New Roman" w:eastAsia="仿宋_GB2312"/>
          <w:color w:val="auto"/>
          <w:spacing w:val="-4"/>
          <w:kern w:val="2"/>
          <w:sz w:val="32"/>
          <w:szCs w:val="32"/>
          <w:highlight w:val="none"/>
          <w:lang w:eastAsia="zh-CN"/>
        </w:rPr>
      </w:pPr>
    </w:p>
    <w:p w14:paraId="36112053">
      <w:pPr>
        <w:pStyle w:val="58"/>
        <w:keepNext w:val="0"/>
        <w:keepLines w:val="0"/>
        <w:pageBreakBefore w:val="0"/>
        <w:kinsoku/>
        <w:wordWrap/>
        <w:topLinePunct w:val="0"/>
        <w:autoSpaceDE/>
        <w:autoSpaceDN/>
        <w:bidi w:val="0"/>
        <w:spacing w:line="240" w:lineRule="auto"/>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drawing>
          <wp:inline distT="0" distB="0" distL="114300" distR="114300">
            <wp:extent cx="5631815" cy="2033270"/>
            <wp:effectExtent l="0" t="0" r="6985" b="5080"/>
            <wp:docPr id="2" name="图片 2" descr="物理拓扑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物理拓扑图"/>
                    <pic:cNvPicPr>
                      <a:picLocks noChangeAspect="1"/>
                    </pic:cNvPicPr>
                  </pic:nvPicPr>
                  <pic:blipFill>
                    <a:blip r:embed="rId7"/>
                    <a:stretch>
                      <a:fillRect/>
                    </a:stretch>
                  </pic:blipFill>
                  <pic:spPr>
                    <a:xfrm>
                      <a:off x="0" y="0"/>
                      <a:ext cx="5631815" cy="2033270"/>
                    </a:xfrm>
                    <a:prstGeom prst="rect">
                      <a:avLst/>
                    </a:prstGeom>
                  </pic:spPr>
                </pic:pic>
              </a:graphicData>
            </a:graphic>
          </wp:inline>
        </w:drawing>
      </w:r>
    </w:p>
    <w:p w14:paraId="0C07B5A6">
      <w:pPr>
        <w:pStyle w:val="58"/>
        <w:keepNext w:val="0"/>
        <w:keepLines w:val="0"/>
        <w:pageBreakBefore w:val="0"/>
        <w:kinsoku/>
        <w:wordWrap/>
        <w:topLinePunct w:val="0"/>
        <w:autoSpaceDE/>
        <w:autoSpaceDN/>
        <w:bidi w:val="0"/>
        <w:spacing w:line="500" w:lineRule="exact"/>
        <w:jc w:val="center"/>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color w:val="auto"/>
          <w:sz w:val="28"/>
          <w:szCs w:val="28"/>
          <w:highlight w:val="none"/>
        </w:rPr>
        <w:t>图2 物理拓扑图</w:t>
      </w:r>
      <w:r>
        <w:rPr>
          <w:rFonts w:hint="eastAsia" w:ascii="Times New Roman" w:hAnsi="Times New Roman" w:eastAsia="仿宋_GB2312" w:cs="仿宋_GB2312"/>
          <w:color w:val="auto"/>
          <w:sz w:val="28"/>
          <w:szCs w:val="28"/>
          <w:highlight w:val="none"/>
          <w:lang w:eastAsia="zh-CN"/>
        </w:rPr>
        <w:t>（示例）</w:t>
      </w:r>
    </w:p>
    <w:p w14:paraId="12595603">
      <w:pPr>
        <w:pStyle w:val="57"/>
        <w:keepNext w:val="0"/>
        <w:keepLines w:val="0"/>
        <w:pageBreakBefore w:val="0"/>
        <w:kinsoku/>
        <w:wordWrap/>
        <w:overflowPunct w:val="0"/>
        <w:topLinePunct w:val="0"/>
        <w:autoSpaceDE/>
        <w:autoSpaceDN/>
        <w:bidi w:val="0"/>
        <w:spacing w:line="500" w:lineRule="exact"/>
        <w:ind w:right="210" w:firstLine="640"/>
        <w:textAlignment w:val="auto"/>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2</w:t>
      </w:r>
      <w:r>
        <w:rPr>
          <w:rFonts w:hint="eastAsia" w:ascii="Times New Roman" w:hAnsi="Times New Roman" w:eastAsia="仿宋_GB2312"/>
          <w:snapToGrid w:val="0"/>
          <w:color w:val="auto"/>
          <w:kern w:val="0"/>
          <w:sz w:val="32"/>
          <w:szCs w:val="32"/>
          <w:highlight w:val="none"/>
        </w:rPr>
        <w:t>.1.2</w:t>
      </w:r>
      <w:r>
        <w:rPr>
          <w:rFonts w:ascii="Times New Roman" w:hAnsi="Times New Roman" w:eastAsia="仿宋_GB2312"/>
          <w:snapToGrid w:val="0"/>
          <w:color w:val="auto"/>
          <w:kern w:val="0"/>
          <w:sz w:val="32"/>
          <w:szCs w:val="32"/>
          <w:highlight w:val="none"/>
        </w:rPr>
        <w:t>结构组成</w:t>
      </w:r>
    </w:p>
    <w:p w14:paraId="3514709A">
      <w:pPr>
        <w:pStyle w:val="57"/>
        <w:keepNext w:val="0"/>
        <w:keepLines w:val="0"/>
        <w:pageBreakBefore w:val="0"/>
        <w:kinsoku/>
        <w:wordWrap/>
        <w:overflowPunct w:val="0"/>
        <w:topLinePunct w:val="0"/>
        <w:autoSpaceDE/>
        <w:autoSpaceDN/>
        <w:bidi w:val="0"/>
        <w:spacing w:line="500" w:lineRule="exact"/>
        <w:ind w:right="210" w:firstLine="640"/>
        <w:textAlignment w:val="auto"/>
        <w:rPr>
          <w:rFonts w:ascii="Times New Roman" w:hAnsi="Times New Roman" w:eastAsia="仿宋_GB2312"/>
          <w:snapToGrid w:val="0"/>
          <w:color w:val="auto"/>
          <w:kern w:val="0"/>
          <w:sz w:val="32"/>
          <w:szCs w:val="32"/>
          <w:highlight w:val="none"/>
        </w:rPr>
      </w:pPr>
      <w:r>
        <w:rPr>
          <w:rFonts w:ascii="Times New Roman" w:hAnsi="Times New Roman" w:eastAsia="仿宋_GB2312"/>
          <w:snapToGrid w:val="0"/>
          <w:color w:val="auto"/>
          <w:kern w:val="0"/>
          <w:sz w:val="32"/>
          <w:szCs w:val="32"/>
          <w:highlight w:val="none"/>
        </w:rPr>
        <w:t>注册申请人应在综述资料中明确产品结构组成。应明确</w:t>
      </w:r>
      <w:r>
        <w:rPr>
          <w:rFonts w:hint="eastAsia" w:ascii="Times New Roman" w:hAnsi="Times New Roman" w:eastAsia="仿宋_GB2312"/>
          <w:snapToGrid w:val="0"/>
          <w:color w:val="auto"/>
          <w:kern w:val="0"/>
          <w:sz w:val="32"/>
          <w:szCs w:val="32"/>
          <w:highlight w:val="none"/>
          <w:lang w:eastAsia="zh-CN"/>
        </w:rPr>
        <w:t>中医辅助诊断</w:t>
      </w:r>
      <w:r>
        <w:rPr>
          <w:rFonts w:ascii="Times New Roman" w:hAnsi="Times New Roman" w:eastAsia="仿宋_GB2312"/>
          <w:snapToGrid w:val="0"/>
          <w:color w:val="auto"/>
          <w:kern w:val="0"/>
          <w:sz w:val="32"/>
          <w:szCs w:val="32"/>
          <w:highlight w:val="none"/>
        </w:rPr>
        <w:t>软件的</w:t>
      </w:r>
      <w:r>
        <w:rPr>
          <w:rFonts w:hint="eastAsia" w:ascii="Times New Roman" w:hAnsi="Times New Roman" w:eastAsia="仿宋_GB2312"/>
          <w:snapToGrid w:val="0"/>
          <w:color w:val="auto"/>
          <w:kern w:val="0"/>
          <w:sz w:val="32"/>
          <w:szCs w:val="32"/>
          <w:highlight w:val="none"/>
        </w:rPr>
        <w:t>交付内容</w:t>
      </w:r>
      <w:r>
        <w:rPr>
          <w:rFonts w:hint="eastAsia" w:ascii="Times New Roman" w:hAnsi="Times New Roman" w:eastAsia="仿宋_GB2312"/>
          <w:snapToGrid w:val="0"/>
          <w:color w:val="auto"/>
          <w:kern w:val="0"/>
          <w:sz w:val="32"/>
          <w:szCs w:val="32"/>
          <w:highlight w:val="none"/>
          <w:lang w:eastAsia="zh-CN"/>
        </w:rPr>
        <w:t>、产品架构</w:t>
      </w:r>
      <w:r>
        <w:rPr>
          <w:rFonts w:hint="eastAsia" w:ascii="Times New Roman" w:hAnsi="Times New Roman" w:eastAsia="仿宋_GB2312"/>
          <w:snapToGrid w:val="0"/>
          <w:color w:val="auto"/>
          <w:kern w:val="0"/>
          <w:sz w:val="32"/>
          <w:szCs w:val="32"/>
          <w:highlight w:val="none"/>
        </w:rPr>
        <w:t>和功能模块</w:t>
      </w:r>
      <w:r>
        <w:rPr>
          <w:rFonts w:ascii="Times New Roman" w:hAnsi="Times New Roman" w:eastAsia="仿宋_GB2312"/>
          <w:snapToGrid w:val="0"/>
          <w:color w:val="auto"/>
          <w:kern w:val="0"/>
          <w:sz w:val="32"/>
          <w:szCs w:val="32"/>
          <w:highlight w:val="none"/>
        </w:rPr>
        <w:t>，</w:t>
      </w:r>
      <w:r>
        <w:rPr>
          <w:rFonts w:ascii="Times New Roman" w:hAnsi="Times New Roman" w:eastAsia="仿宋_GB2312"/>
          <w:snapToGrid w:val="0"/>
          <w:color w:val="auto"/>
          <w:kern w:val="0"/>
          <w:sz w:val="32"/>
          <w:szCs w:val="32"/>
          <w:highlight w:val="none"/>
          <w:lang w:val="en-US" w:eastAsia="zh-CN"/>
        </w:rPr>
        <w:t>各内容满足如下要求</w:t>
      </w:r>
      <w:r>
        <w:rPr>
          <w:rFonts w:hint="eastAsia" w:ascii="Times New Roman" w:hAnsi="Times New Roman" w:eastAsia="仿宋_GB2312"/>
          <w:snapToGrid w:val="0"/>
          <w:color w:val="auto"/>
          <w:kern w:val="0"/>
          <w:sz w:val="32"/>
          <w:szCs w:val="32"/>
          <w:highlight w:val="none"/>
          <w:lang w:val="en-US" w:eastAsia="zh-CN"/>
        </w:rPr>
        <w:t>：</w:t>
      </w:r>
    </w:p>
    <w:p w14:paraId="5F771598">
      <w:pPr>
        <w:pStyle w:val="57"/>
        <w:keepNext w:val="0"/>
        <w:keepLines w:val="0"/>
        <w:pageBreakBefore w:val="0"/>
        <w:kinsoku/>
        <w:wordWrap/>
        <w:overflowPunct w:val="0"/>
        <w:topLinePunct w:val="0"/>
        <w:autoSpaceDE/>
        <w:autoSpaceDN/>
        <w:bidi w:val="0"/>
        <w:spacing w:line="500" w:lineRule="exact"/>
        <w:ind w:right="210" w:firstLine="640"/>
        <w:textAlignment w:val="auto"/>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（1）交付内容：包括软件安装程序、授权文件、外部软件环境安装程序等软件程序文件；</w:t>
      </w:r>
    </w:p>
    <w:p w14:paraId="4EF15DA9">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（2）产品架构：如单机（客户端）、C/S架构、B/S架构、混合式架构（兼具C/S、B/S架构）；</w:t>
      </w:r>
    </w:p>
    <w:p w14:paraId="4BB327D8">
      <w:pPr>
        <w:pStyle w:val="57"/>
        <w:keepNext w:val="0"/>
        <w:keepLines w:val="0"/>
        <w:pageBreakBefore w:val="0"/>
        <w:kinsoku/>
        <w:wordWrap/>
        <w:overflowPunct w:val="0"/>
        <w:topLinePunct w:val="0"/>
        <w:autoSpaceDE/>
        <w:autoSpaceDN/>
        <w:bidi w:val="0"/>
        <w:spacing w:line="500" w:lineRule="exact"/>
        <w:ind w:right="210" w:firstLine="640"/>
        <w:textAlignment w:val="auto"/>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（3）功能模块：应与产品技术要求保持一致，包括客户端、服务器端（若适用）。其中，服务器端是指产品部署于本地或局域网环境中，具备相对独立的计算和数据处理能力的模块。</w:t>
      </w:r>
    </w:p>
    <w:p w14:paraId="171C6B1E">
      <w:pPr>
        <w:pStyle w:val="57"/>
        <w:keepNext w:val="0"/>
        <w:keepLines w:val="0"/>
        <w:pageBreakBefore w:val="0"/>
        <w:kinsoku/>
        <w:wordWrap/>
        <w:overflowPunct w:val="0"/>
        <w:topLinePunct w:val="0"/>
        <w:autoSpaceDE/>
        <w:autoSpaceDN/>
        <w:bidi w:val="0"/>
        <w:spacing w:line="500" w:lineRule="exact"/>
        <w:ind w:right="210" w:firstLine="640"/>
        <w:textAlignment w:val="auto"/>
        <w:outlineLvl w:val="3"/>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2</w:t>
      </w:r>
      <w:r>
        <w:rPr>
          <w:rFonts w:ascii="Times New Roman" w:hAnsi="Times New Roman" w:eastAsia="仿宋_GB2312"/>
          <w:snapToGrid w:val="0"/>
          <w:color w:val="auto"/>
          <w:kern w:val="0"/>
          <w:sz w:val="32"/>
          <w:szCs w:val="32"/>
          <w:highlight w:val="none"/>
        </w:rPr>
        <w:t>.</w:t>
      </w:r>
      <w:r>
        <w:rPr>
          <w:rFonts w:hint="eastAsia" w:ascii="Times New Roman" w:hAnsi="Times New Roman" w:eastAsia="仿宋_GB2312"/>
          <w:snapToGrid w:val="0"/>
          <w:color w:val="auto"/>
          <w:kern w:val="0"/>
          <w:sz w:val="32"/>
          <w:szCs w:val="32"/>
          <w:highlight w:val="none"/>
          <w:lang w:val="en-US" w:eastAsia="zh-CN"/>
        </w:rPr>
        <w:t>2</w:t>
      </w:r>
      <w:r>
        <w:rPr>
          <w:rFonts w:ascii="Times New Roman" w:hAnsi="Times New Roman" w:eastAsia="仿宋_GB2312"/>
          <w:snapToGrid w:val="0"/>
          <w:color w:val="auto"/>
          <w:kern w:val="0"/>
          <w:sz w:val="32"/>
          <w:szCs w:val="32"/>
          <w:highlight w:val="none"/>
        </w:rPr>
        <w:t>型号规格</w:t>
      </w:r>
    </w:p>
    <w:p w14:paraId="69BE262C">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rPr>
        <w:t>需明确申报产品的型号规格及发布版本。</w:t>
      </w:r>
      <w:r>
        <w:rPr>
          <w:rFonts w:hint="eastAsia" w:ascii="Times New Roman" w:hAnsi="Times New Roman" w:eastAsia="仿宋_GB2312"/>
          <w:snapToGrid w:val="0"/>
          <w:color w:val="auto"/>
          <w:kern w:val="0"/>
          <w:sz w:val="32"/>
          <w:szCs w:val="32"/>
          <w:highlight w:val="none"/>
          <w:lang w:eastAsia="zh-CN"/>
        </w:rPr>
        <w:t>针对</w:t>
      </w:r>
      <w:r>
        <w:rPr>
          <w:rFonts w:hint="eastAsia" w:ascii="Times New Roman" w:hAnsi="Times New Roman" w:eastAsia="仿宋_GB2312"/>
          <w:snapToGrid w:val="0"/>
          <w:color w:val="auto"/>
          <w:kern w:val="0"/>
          <w:sz w:val="32"/>
          <w:szCs w:val="32"/>
          <w:highlight w:val="none"/>
        </w:rPr>
        <w:t>产品</w:t>
      </w:r>
      <w:r>
        <w:rPr>
          <w:rFonts w:ascii="Times New Roman" w:hAnsi="Times New Roman" w:eastAsia="仿宋_GB2312"/>
          <w:snapToGrid w:val="0"/>
          <w:color w:val="auto"/>
          <w:kern w:val="0"/>
          <w:sz w:val="32"/>
          <w:szCs w:val="32"/>
          <w:highlight w:val="none"/>
        </w:rPr>
        <w:t>型号规格及其划分，</w:t>
      </w:r>
      <w:r>
        <w:rPr>
          <w:rFonts w:hint="eastAsia" w:ascii="Times New Roman" w:hAnsi="Times New Roman" w:eastAsia="仿宋_GB2312"/>
          <w:snapToGrid w:val="0"/>
          <w:color w:val="auto"/>
          <w:kern w:val="0"/>
          <w:sz w:val="32"/>
          <w:szCs w:val="32"/>
          <w:highlight w:val="none"/>
        </w:rPr>
        <w:t>如同一个注册单元包含多个型号规格</w:t>
      </w:r>
      <w:r>
        <w:rPr>
          <w:rFonts w:hint="eastAsia" w:ascii="Times New Roman" w:hAnsi="Times New Roman" w:eastAsia="仿宋_GB2312"/>
          <w:snapToGrid w:val="0"/>
          <w:color w:val="auto"/>
          <w:kern w:val="0"/>
          <w:sz w:val="32"/>
          <w:szCs w:val="32"/>
          <w:highlight w:val="none"/>
          <w:lang w:val="en-US" w:eastAsia="zh-CN"/>
        </w:rPr>
        <w:t>，可采用对比表或带有说明性文字的图片、图表描述各种型号规格的结构及组成（或配置）、功能、产品特征和运行模式、技术参数等内容。</w:t>
      </w:r>
    </w:p>
    <w:p w14:paraId="2F5407D7">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2.3包装说明</w:t>
      </w:r>
    </w:p>
    <w:p w14:paraId="1595A51A">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若产品采用物理交付的形式，应提供下列信息：（1）包装材料、材质；（2）包装清单；（3）包装图纸、照片。</w:t>
      </w:r>
    </w:p>
    <w:p w14:paraId="55E006D0">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若产品采用网络交付的形式，提交产品网络交付页面照片，该页面的产品注册信息应符合相应规定。</w:t>
      </w:r>
    </w:p>
    <w:p w14:paraId="16BDE38E">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2.4研发历程</w:t>
      </w:r>
    </w:p>
    <w:p w14:paraId="353684B9">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依实际情况阐述产品的研发背景和目的。</w:t>
      </w:r>
    </w:p>
    <w:p w14:paraId="7D68CA78">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2.5同类产品的参考和比较</w:t>
      </w:r>
    </w:p>
    <w:p w14:paraId="1420DD98">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描述选取同类产品参考原因，并列表对比说明申报产品与同类产品和</w:t>
      </w:r>
      <w:r>
        <w:rPr>
          <w:rFonts w:hint="eastAsia" w:eastAsia="仿宋_GB2312"/>
          <w:snapToGrid w:val="0"/>
          <w:color w:val="auto"/>
          <w:kern w:val="0"/>
          <w:sz w:val="32"/>
          <w:szCs w:val="32"/>
          <w:highlight w:val="none"/>
          <w:lang w:val="en-US" w:eastAsia="zh-CN"/>
        </w:rPr>
        <w:t>/</w:t>
      </w:r>
      <w:r>
        <w:rPr>
          <w:rFonts w:hint="eastAsia" w:ascii="Times New Roman" w:hAnsi="Times New Roman" w:eastAsia="仿宋_GB2312"/>
          <w:snapToGrid w:val="0"/>
          <w:color w:val="auto"/>
          <w:kern w:val="0"/>
          <w:sz w:val="32"/>
          <w:szCs w:val="32"/>
          <w:highlight w:val="none"/>
          <w:lang w:val="en-US" w:eastAsia="zh-CN"/>
        </w:rPr>
        <w:t>或前代产品在工作原理、结构及组成、性能指标，以及适用范围等方面的异同。</w:t>
      </w:r>
    </w:p>
    <w:p w14:paraId="408755EE">
      <w:pPr>
        <w:keepNext w:val="0"/>
        <w:keepLines w:val="0"/>
        <w:pageBreakBefore w:val="0"/>
        <w:kinsoku/>
        <w:wordWrap/>
        <w:topLinePunct w:val="0"/>
        <w:autoSpaceDE/>
        <w:autoSpaceDN/>
        <w:bidi w:val="0"/>
        <w:spacing w:line="500" w:lineRule="exact"/>
        <w:ind w:firstLine="640" w:firstLineChars="200"/>
        <w:textAlignment w:val="auto"/>
        <w:outlineLvl w:val="2"/>
        <w:rPr>
          <w:rFonts w:hint="eastAsia" w:ascii="Times New Roman" w:hAnsi="Times New Roman" w:eastAsia="仿宋_GB2312"/>
          <w:color w:val="auto"/>
          <w:highlight w:val="none"/>
          <w:lang w:eastAsia="zh-CN"/>
        </w:rPr>
      </w:pPr>
      <w:r>
        <w:rPr>
          <w:rFonts w:hint="eastAsia" w:ascii="Times New Roman" w:hAnsi="Times New Roman" w:eastAsia="仿宋_GB2312"/>
          <w:color w:val="auto"/>
          <w:sz w:val="32"/>
          <w:szCs w:val="32"/>
          <w:highlight w:val="none"/>
          <w:lang w:val="en-US" w:eastAsia="zh-CN"/>
        </w:rPr>
        <w:t>3</w:t>
      </w:r>
      <w:r>
        <w:rPr>
          <w:rFonts w:hint="eastAsia" w:ascii="Times New Roman" w:hAnsi="Times New Roman" w:eastAsia="仿宋_GB2312"/>
          <w:color w:val="auto"/>
          <w:sz w:val="32"/>
          <w:szCs w:val="32"/>
          <w:highlight w:val="none"/>
        </w:rPr>
        <w:t>.适用范围</w:t>
      </w:r>
      <w:r>
        <w:rPr>
          <w:rFonts w:hint="eastAsia" w:ascii="Times New Roman" w:hAnsi="Times New Roman" w:eastAsia="仿宋_GB2312"/>
          <w:color w:val="auto"/>
          <w:sz w:val="32"/>
          <w:szCs w:val="32"/>
          <w:highlight w:val="none"/>
          <w:lang w:eastAsia="zh-CN"/>
        </w:rPr>
        <w:t>和禁忌证</w:t>
      </w:r>
    </w:p>
    <w:p w14:paraId="4A26D08D">
      <w:pPr>
        <w:pStyle w:val="57"/>
        <w:keepNext w:val="0"/>
        <w:keepLines w:val="0"/>
        <w:pageBreakBefore w:val="0"/>
        <w:kinsoku/>
        <w:wordWrap/>
        <w:overflowPunct w:val="0"/>
        <w:topLinePunct w:val="0"/>
        <w:autoSpaceDE/>
        <w:autoSpaceDN/>
        <w:bidi w:val="0"/>
        <w:spacing w:line="500" w:lineRule="exact"/>
        <w:ind w:right="210" w:firstLine="640"/>
        <w:textAlignment w:val="auto"/>
        <w:outlineLvl w:val="3"/>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3</w:t>
      </w:r>
      <w:r>
        <w:rPr>
          <w:rFonts w:hint="eastAsia" w:ascii="Times New Roman" w:hAnsi="Times New Roman" w:eastAsia="仿宋_GB2312"/>
          <w:snapToGrid w:val="0"/>
          <w:color w:val="auto"/>
          <w:kern w:val="0"/>
          <w:sz w:val="32"/>
          <w:szCs w:val="32"/>
          <w:highlight w:val="none"/>
        </w:rPr>
        <w:t>.1</w:t>
      </w:r>
      <w:r>
        <w:rPr>
          <w:rFonts w:ascii="Times New Roman" w:hAnsi="Times New Roman" w:eastAsia="仿宋_GB2312"/>
          <w:snapToGrid w:val="0"/>
          <w:color w:val="auto"/>
          <w:kern w:val="0"/>
          <w:sz w:val="32"/>
          <w:szCs w:val="32"/>
          <w:highlight w:val="none"/>
        </w:rPr>
        <w:t>适用范围</w:t>
      </w:r>
    </w:p>
    <w:p w14:paraId="6D6CCD77">
      <w:pPr>
        <w:pStyle w:val="57"/>
        <w:keepNext w:val="0"/>
        <w:keepLines w:val="0"/>
        <w:pageBreakBefore w:val="0"/>
        <w:kinsoku/>
        <w:wordWrap/>
        <w:overflowPunct w:val="0"/>
        <w:topLinePunct w:val="0"/>
        <w:autoSpaceDE/>
        <w:autoSpaceDN/>
        <w:bidi w:val="0"/>
        <w:spacing w:line="500" w:lineRule="exact"/>
        <w:ind w:right="210" w:firstLine="640"/>
        <w:textAlignment w:val="auto"/>
        <w:outlineLvl w:val="3"/>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eastAsia="zh-CN"/>
        </w:rPr>
        <w:t>中医辅助诊断软件</w:t>
      </w:r>
      <w:r>
        <w:rPr>
          <w:rFonts w:hint="eastAsia" w:ascii="Times New Roman" w:hAnsi="Times New Roman" w:eastAsia="仿宋_GB2312" w:cs="仿宋_GB2312"/>
          <w:snapToGrid w:val="0"/>
          <w:color w:val="auto"/>
          <w:kern w:val="0"/>
          <w:sz w:val="32"/>
          <w:szCs w:val="32"/>
          <w:highlight w:val="none"/>
        </w:rPr>
        <w:t>的适用范围需明确处理对象、核心功能、适用人群、目标用户、临床用途。</w:t>
      </w:r>
    </w:p>
    <w:p w14:paraId="699381F6">
      <w:pPr>
        <w:pStyle w:val="57"/>
        <w:keepNext w:val="0"/>
        <w:keepLines w:val="0"/>
        <w:pageBreakBefore w:val="0"/>
        <w:kinsoku/>
        <w:wordWrap/>
        <w:overflowPunct w:val="0"/>
        <w:topLinePunct w:val="0"/>
        <w:autoSpaceDE/>
        <w:autoSpaceDN/>
        <w:bidi w:val="0"/>
        <w:spacing w:line="500" w:lineRule="exact"/>
        <w:ind w:right="210" w:firstLine="640"/>
        <w:textAlignment w:val="auto"/>
        <w:outlineLvl w:val="3"/>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rPr>
        <w:t>如：</w:t>
      </w:r>
      <w:r>
        <w:rPr>
          <w:rFonts w:hint="eastAsia" w:ascii="Times New Roman" w:hAnsi="Times New Roman" w:eastAsia="仿宋_GB2312" w:cs="仿宋_GB2312"/>
          <w:snapToGrid w:val="0"/>
          <w:color w:val="auto"/>
          <w:kern w:val="0"/>
          <w:sz w:val="32"/>
          <w:szCs w:val="32"/>
          <w:highlight w:val="none"/>
          <w:lang w:val="en-US" w:eastAsia="zh-CN"/>
        </w:rPr>
        <w:t>用于接收经中医“望、闻、问、切”四诊方式采集的人体生理参数信息（如舌象、面象、脉象等），并对采集数据进行管理、存储、分析处理，最终生成报告，为医师辨证提供参考信息。</w:t>
      </w:r>
    </w:p>
    <w:p w14:paraId="0CB9FB43">
      <w:pPr>
        <w:pStyle w:val="57"/>
        <w:keepNext w:val="0"/>
        <w:keepLines w:val="0"/>
        <w:pageBreakBefore w:val="0"/>
        <w:kinsoku/>
        <w:wordWrap/>
        <w:overflowPunct w:val="0"/>
        <w:topLinePunct w:val="0"/>
        <w:autoSpaceDE/>
        <w:autoSpaceDN/>
        <w:bidi w:val="0"/>
        <w:spacing w:line="500" w:lineRule="exact"/>
        <w:ind w:right="210" w:firstLine="640"/>
        <w:textAlignment w:val="auto"/>
        <w:outlineLvl w:val="3"/>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3.2</w:t>
      </w:r>
      <w:r>
        <w:rPr>
          <w:rFonts w:ascii="Times New Roman" w:hAnsi="Times New Roman" w:eastAsia="仿宋_GB2312"/>
          <w:snapToGrid w:val="0"/>
          <w:color w:val="auto"/>
          <w:kern w:val="0"/>
          <w:sz w:val="32"/>
          <w:szCs w:val="32"/>
          <w:highlight w:val="none"/>
        </w:rPr>
        <w:t>预期使用环境</w:t>
      </w:r>
    </w:p>
    <w:p w14:paraId="6DD9DEA2">
      <w:pPr>
        <w:pStyle w:val="57"/>
        <w:keepNext w:val="0"/>
        <w:keepLines w:val="0"/>
        <w:pageBreakBefore w:val="0"/>
        <w:kinsoku/>
        <w:wordWrap/>
        <w:overflowPunct w:val="0"/>
        <w:topLinePunct w:val="0"/>
        <w:autoSpaceDE/>
        <w:autoSpaceDN/>
        <w:bidi w:val="0"/>
        <w:spacing w:line="500" w:lineRule="exact"/>
        <w:ind w:right="210" w:firstLine="640"/>
        <w:textAlignment w:val="auto"/>
        <w:outlineLvl w:val="3"/>
        <w:rPr>
          <w:rFonts w:hint="eastAsia" w:ascii="Times New Roman" w:hAnsi="Times New Roman" w:eastAsia="仿宋_GB2312" w:cs="Times New Roman"/>
          <w:snapToGrid w:val="0"/>
          <w:color w:val="auto"/>
          <w:kern w:val="0"/>
          <w:sz w:val="32"/>
          <w:szCs w:val="32"/>
          <w:highlight w:val="none"/>
        </w:rPr>
      </w:pPr>
      <w:r>
        <w:rPr>
          <w:rFonts w:hint="eastAsia" w:ascii="Times New Roman" w:hAnsi="Times New Roman" w:eastAsia="仿宋_GB2312" w:cs="Times New Roman"/>
          <w:snapToGrid w:val="0"/>
          <w:color w:val="auto"/>
          <w:kern w:val="0"/>
          <w:sz w:val="32"/>
          <w:szCs w:val="32"/>
          <w:highlight w:val="none"/>
        </w:rPr>
        <w:t>需明确设备使用场所</w:t>
      </w:r>
      <w:r>
        <w:rPr>
          <w:rFonts w:hint="eastAsia" w:ascii="Times New Roman" w:hAnsi="Times New Roman" w:eastAsia="仿宋_GB2312" w:cs="Times New Roman"/>
          <w:snapToGrid w:val="0"/>
          <w:color w:val="auto"/>
          <w:kern w:val="0"/>
          <w:sz w:val="32"/>
          <w:szCs w:val="32"/>
          <w:highlight w:val="none"/>
          <w:lang w:eastAsia="zh-CN"/>
        </w:rPr>
        <w:t>，如</w:t>
      </w:r>
      <w:r>
        <w:rPr>
          <w:rFonts w:hint="eastAsia" w:ascii="Times New Roman" w:hAnsi="Times New Roman" w:eastAsia="仿宋_GB2312" w:cs="Times New Roman"/>
          <w:snapToGrid w:val="0"/>
          <w:color w:val="auto"/>
          <w:kern w:val="0"/>
          <w:sz w:val="32"/>
          <w:szCs w:val="32"/>
          <w:highlight w:val="none"/>
        </w:rPr>
        <w:t>医疗机构等。</w:t>
      </w:r>
    </w:p>
    <w:p w14:paraId="06A77DEB">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cs="Times New Roman"/>
          <w:snapToGrid w:val="0"/>
          <w:color w:val="auto"/>
          <w:kern w:val="0"/>
          <w:sz w:val="32"/>
          <w:szCs w:val="32"/>
          <w:highlight w:val="none"/>
          <w:lang w:eastAsia="zh-CN"/>
        </w:rPr>
        <w:t>明确</w:t>
      </w:r>
      <w:r>
        <w:rPr>
          <w:rFonts w:hint="eastAsia" w:ascii="Times New Roman" w:hAnsi="Times New Roman" w:eastAsia="仿宋_GB2312" w:cs="Times New Roman"/>
          <w:snapToGrid w:val="0"/>
          <w:color w:val="auto"/>
          <w:kern w:val="0"/>
          <w:sz w:val="32"/>
          <w:szCs w:val="32"/>
          <w:highlight w:val="none"/>
          <w:lang w:val="en-US" w:eastAsia="zh-CN"/>
        </w:rPr>
        <w:t>运行环境（含硬件配置、外部软件环境、网络环境，如适用）、</w:t>
      </w:r>
      <w:r>
        <w:rPr>
          <w:rFonts w:hint="eastAsia" w:ascii="Times New Roman" w:hAnsi="Times New Roman" w:eastAsia="仿宋_GB2312"/>
          <w:snapToGrid w:val="0"/>
          <w:color w:val="auto"/>
          <w:kern w:val="0"/>
          <w:sz w:val="32"/>
          <w:szCs w:val="32"/>
          <w:highlight w:val="none"/>
          <w:lang w:eastAsia="zh-CN"/>
        </w:rPr>
        <w:t>服务器（如适用），配合使用</w:t>
      </w:r>
      <w:r>
        <w:rPr>
          <w:rFonts w:hint="eastAsia" w:ascii="Times New Roman" w:hAnsi="Times New Roman" w:eastAsia="仿宋_GB2312"/>
          <w:snapToGrid w:val="0"/>
          <w:color w:val="auto"/>
          <w:kern w:val="0"/>
          <w:sz w:val="32"/>
          <w:szCs w:val="32"/>
          <w:highlight w:val="none"/>
        </w:rPr>
        <w:t>硬件的适宜温度、湿度、大气压、光照条件</w:t>
      </w:r>
      <w:r>
        <w:rPr>
          <w:rFonts w:hint="eastAsia" w:ascii="Times New Roman" w:hAnsi="Times New Roman" w:eastAsia="仿宋_GB2312"/>
          <w:snapToGrid w:val="0"/>
          <w:color w:val="auto"/>
          <w:kern w:val="0"/>
          <w:sz w:val="32"/>
          <w:szCs w:val="32"/>
          <w:highlight w:val="none"/>
          <w:lang w:eastAsia="zh-CN"/>
        </w:rPr>
        <w:t>（如适用）</w:t>
      </w:r>
      <w:r>
        <w:rPr>
          <w:rFonts w:hint="eastAsia" w:ascii="Times New Roman" w:hAnsi="Times New Roman" w:eastAsia="仿宋_GB2312"/>
          <w:snapToGrid w:val="0"/>
          <w:color w:val="auto"/>
          <w:kern w:val="0"/>
          <w:sz w:val="32"/>
          <w:szCs w:val="32"/>
          <w:highlight w:val="none"/>
        </w:rPr>
        <w:t>。</w:t>
      </w:r>
    </w:p>
    <w:p w14:paraId="244484AF">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3</w:t>
      </w:r>
      <w:r>
        <w:rPr>
          <w:rFonts w:hint="eastAsia" w:ascii="Times New Roman" w:hAnsi="Times New Roman" w:eastAsia="仿宋_GB2312"/>
          <w:snapToGrid w:val="0"/>
          <w:color w:val="auto"/>
          <w:kern w:val="0"/>
          <w:sz w:val="32"/>
          <w:szCs w:val="32"/>
          <w:highlight w:val="none"/>
        </w:rPr>
        <w:t>.</w:t>
      </w:r>
      <w:r>
        <w:rPr>
          <w:rFonts w:hint="eastAsia" w:ascii="Times New Roman" w:hAnsi="Times New Roman" w:eastAsia="仿宋_GB2312"/>
          <w:snapToGrid w:val="0"/>
          <w:color w:val="auto"/>
          <w:kern w:val="0"/>
          <w:sz w:val="32"/>
          <w:szCs w:val="32"/>
          <w:highlight w:val="none"/>
          <w:lang w:val="en-US" w:eastAsia="zh-CN"/>
        </w:rPr>
        <w:t>3</w:t>
      </w:r>
      <w:r>
        <w:rPr>
          <w:rFonts w:hint="eastAsia" w:ascii="Times New Roman" w:hAnsi="Times New Roman" w:eastAsia="仿宋_GB2312"/>
          <w:snapToGrid w:val="0"/>
          <w:color w:val="auto"/>
          <w:kern w:val="0"/>
          <w:sz w:val="32"/>
          <w:szCs w:val="32"/>
          <w:highlight w:val="none"/>
        </w:rPr>
        <w:t>禁忌证</w:t>
      </w:r>
    </w:p>
    <w:p w14:paraId="7D6481C6">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明确产品禁忌证，说明不适用的临床情况或特定人群，认为不推荐使用该产品，应当明确说明。</w:t>
      </w:r>
    </w:p>
    <w:p w14:paraId="53B973D9">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4.</w:t>
      </w:r>
      <w:r>
        <w:rPr>
          <w:rFonts w:hint="eastAsia" w:ascii="Times New Roman" w:hAnsi="Times New Roman" w:eastAsia="仿宋_GB2312"/>
          <w:snapToGrid w:val="0"/>
          <w:color w:val="auto"/>
          <w:kern w:val="0"/>
          <w:sz w:val="32"/>
          <w:szCs w:val="32"/>
          <w:highlight w:val="none"/>
        </w:rPr>
        <w:t>申报产品上市历史</w:t>
      </w:r>
    </w:p>
    <w:p w14:paraId="4BC22496">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若适用，需要提供以下相关资料：</w:t>
      </w:r>
    </w:p>
    <w:p w14:paraId="3428603A">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4.1上市情况。申报产品</w:t>
      </w:r>
      <w:r>
        <w:rPr>
          <w:rFonts w:hint="eastAsia" w:ascii="Times New Roman" w:hAnsi="Times New Roman" w:eastAsia="仿宋_GB2312"/>
          <w:snapToGrid w:val="0"/>
          <w:color w:val="auto"/>
          <w:kern w:val="0"/>
          <w:sz w:val="32"/>
          <w:szCs w:val="32"/>
          <w:highlight w:val="none"/>
          <w:lang w:eastAsia="zh-CN"/>
        </w:rPr>
        <w:t>既往</w:t>
      </w:r>
      <w:r>
        <w:rPr>
          <w:rFonts w:hint="eastAsia" w:ascii="Times New Roman" w:hAnsi="Times New Roman" w:eastAsia="仿宋_GB2312"/>
          <w:snapToGrid w:val="0"/>
          <w:color w:val="auto"/>
          <w:kern w:val="0"/>
          <w:sz w:val="32"/>
          <w:szCs w:val="32"/>
          <w:highlight w:val="none"/>
        </w:rPr>
        <w:t>上市批准时间、销售情况。</w:t>
      </w:r>
    </w:p>
    <w:p w14:paraId="7B9C2FB5">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4.2不良事件和召回。</w:t>
      </w:r>
    </w:p>
    <w:p w14:paraId="4531E09C">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4.3销售、不良事件及召回率。</w:t>
      </w:r>
    </w:p>
    <w:p w14:paraId="574F9BCF">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5.</w:t>
      </w:r>
      <w:r>
        <w:rPr>
          <w:rFonts w:hint="eastAsia" w:ascii="Times New Roman" w:hAnsi="Times New Roman" w:eastAsia="仿宋_GB2312"/>
          <w:snapToGrid w:val="0"/>
          <w:color w:val="auto"/>
          <w:kern w:val="0"/>
          <w:sz w:val="32"/>
          <w:szCs w:val="32"/>
          <w:highlight w:val="none"/>
        </w:rPr>
        <w:t>其他需说明的内容</w:t>
      </w:r>
    </w:p>
    <w:p w14:paraId="47E48554">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5.1联合使用器械</w:t>
      </w:r>
    </w:p>
    <w:p w14:paraId="7D7660B1">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预期与其他医疗器械或通用产品组合使用的应当提供说明。提供预期配套使用的其他医疗器械信息（如附件、第三方设备等），说明系统各组合医疗器械间存在的物理、电气等连接方式。说明器械类型、制造商、型号规格、关键技术参数等。若配套器械已在中国批准上市，提供其在国家药监局网站能够公开查询的相关上市信息。</w:t>
      </w:r>
    </w:p>
    <w:p w14:paraId="0F625303">
      <w:pPr>
        <w:keepNext w:val="0"/>
        <w:keepLines w:val="0"/>
        <w:pageBreakBefore w:val="0"/>
        <w:kinsoku/>
        <w:wordWrap/>
        <w:overflowPunct w:val="0"/>
        <w:topLinePunct w:val="0"/>
        <w:autoSpaceDE/>
        <w:autoSpaceDN/>
        <w:bidi w:val="0"/>
        <w:spacing w:line="500" w:lineRule="exact"/>
        <w:ind w:left="221" w:firstLine="200"/>
        <w:textAlignment w:val="auto"/>
        <w:outlineLvl w:val="1"/>
        <w:rPr>
          <w:rFonts w:hint="eastAsia" w:ascii="Times New Roman" w:hAnsi="Times New Roman" w:eastAsia="楷体_GB2312"/>
          <w:color w:val="auto"/>
          <w:sz w:val="32"/>
          <w:szCs w:val="32"/>
          <w:highlight w:val="none"/>
        </w:rPr>
      </w:pPr>
      <w:bookmarkStart w:id="1" w:name="_Toc432753649"/>
      <w:r>
        <w:rPr>
          <w:rFonts w:hint="eastAsia" w:ascii="Times New Roman" w:hAnsi="Times New Roman" w:eastAsia="楷体_GB2312"/>
          <w:color w:val="auto"/>
          <w:sz w:val="32"/>
          <w:szCs w:val="32"/>
          <w:highlight w:val="none"/>
        </w:rPr>
        <w:t>（三）非</w:t>
      </w:r>
      <w:r>
        <w:rPr>
          <w:rFonts w:ascii="Times New Roman" w:hAnsi="Times New Roman" w:eastAsia="楷体_GB2312"/>
          <w:color w:val="auto"/>
          <w:sz w:val="32"/>
          <w:szCs w:val="32"/>
          <w:highlight w:val="none"/>
        </w:rPr>
        <w:t>临床</w:t>
      </w:r>
      <w:r>
        <w:rPr>
          <w:rFonts w:hint="eastAsia" w:ascii="Times New Roman" w:hAnsi="Times New Roman" w:eastAsia="楷体_GB2312"/>
          <w:color w:val="auto"/>
          <w:sz w:val="32"/>
          <w:szCs w:val="32"/>
          <w:highlight w:val="none"/>
        </w:rPr>
        <w:t>资料</w:t>
      </w:r>
    </w:p>
    <w:p w14:paraId="76728E98">
      <w:pPr>
        <w:keepNext w:val="0"/>
        <w:keepLines w:val="0"/>
        <w:pageBreakBefore w:val="0"/>
        <w:kinsoku/>
        <w:wordWrap/>
        <w:overflowPunct w:val="0"/>
        <w:topLinePunct w:val="0"/>
        <w:autoSpaceDE/>
        <w:autoSpaceDN/>
        <w:bidi w:val="0"/>
        <w:spacing w:line="500" w:lineRule="exact"/>
        <w:ind w:firstLine="640" w:firstLineChars="200"/>
        <w:textAlignment w:val="auto"/>
        <w:outlineLvl w:val="2"/>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1.产品风险</w:t>
      </w:r>
      <w:bookmarkEnd w:id="1"/>
      <w:r>
        <w:rPr>
          <w:rFonts w:hint="eastAsia" w:ascii="Times New Roman" w:hAnsi="Times New Roman" w:eastAsia="仿宋_GB2312"/>
          <w:snapToGrid w:val="0"/>
          <w:color w:val="auto"/>
          <w:kern w:val="0"/>
          <w:sz w:val="32"/>
          <w:szCs w:val="32"/>
          <w:highlight w:val="none"/>
        </w:rPr>
        <w:t>管理资料</w:t>
      </w:r>
    </w:p>
    <w:p w14:paraId="6578E045">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hint="eastAsia" w:ascii="Times New Roman" w:hAnsi="Times New Roman" w:eastAsia="仿宋_GB2312"/>
          <w:snapToGrid w:val="0"/>
          <w:color w:val="auto"/>
          <w:kern w:val="0"/>
          <w:sz w:val="32"/>
          <w:szCs w:val="32"/>
          <w:lang w:val="zh-CN" w:eastAsia="zh-CN"/>
        </w:rPr>
      </w:pPr>
      <w:r>
        <w:rPr>
          <w:rFonts w:ascii="Times New Roman" w:hAnsi="Times New Roman" w:eastAsia="仿宋_GB2312"/>
          <w:snapToGrid w:val="0"/>
          <w:color w:val="auto"/>
          <w:kern w:val="0"/>
          <w:sz w:val="32"/>
          <w:szCs w:val="32"/>
        </w:rPr>
        <w:t>依据</w:t>
      </w:r>
      <w:r>
        <w:rPr>
          <w:rFonts w:hint="eastAsia" w:ascii="Times New Roman" w:hAnsi="Times New Roman" w:eastAsia="仿宋_GB2312"/>
          <w:snapToGrid w:val="0"/>
          <w:color w:val="auto"/>
          <w:kern w:val="0"/>
          <w:sz w:val="32"/>
          <w:szCs w:val="32"/>
        </w:rPr>
        <w:t>GB</w:t>
      </w:r>
      <w:r>
        <w:rPr>
          <w:rFonts w:hint="eastAsia" w:ascii="Times New Roman" w:hAnsi="Times New Roman" w:eastAsia="仿宋_GB2312"/>
          <w:snapToGrid w:val="0"/>
          <w:color w:val="auto"/>
          <w:kern w:val="0"/>
          <w:sz w:val="32"/>
          <w:szCs w:val="32"/>
          <w:lang w:val="en-US" w:eastAsia="zh-CN"/>
        </w:rPr>
        <w:t>/</w:t>
      </w:r>
      <w:r>
        <w:rPr>
          <w:rFonts w:ascii="Times New Roman" w:hAnsi="Times New Roman" w:eastAsia="仿宋_GB2312"/>
          <w:snapToGrid w:val="0"/>
          <w:color w:val="auto"/>
          <w:kern w:val="0"/>
          <w:sz w:val="32"/>
          <w:szCs w:val="32"/>
        </w:rPr>
        <w:t xml:space="preserve">T </w:t>
      </w:r>
      <w:r>
        <w:rPr>
          <w:rFonts w:hint="eastAsia" w:ascii="Times New Roman" w:hAnsi="Times New Roman" w:eastAsia="仿宋_GB2312"/>
          <w:snapToGrid w:val="0"/>
          <w:color w:val="auto"/>
          <w:kern w:val="0"/>
          <w:sz w:val="32"/>
          <w:szCs w:val="32"/>
        </w:rPr>
        <w:t>42062</w:t>
      </w:r>
      <w:r>
        <w:rPr>
          <w:rFonts w:ascii="Times New Roman" w:hAnsi="Times New Roman" w:eastAsia="仿宋_GB2312"/>
          <w:snapToGrid w:val="0"/>
          <w:color w:val="auto"/>
          <w:kern w:val="0"/>
          <w:sz w:val="32"/>
          <w:szCs w:val="32"/>
        </w:rPr>
        <w:t>《医疗器械风险管理对医疗器械的应用》</w:t>
      </w:r>
      <w:r>
        <w:rPr>
          <w:rFonts w:hint="eastAsia" w:ascii="Times New Roman" w:hAnsi="Times New Roman" w:eastAsia="仿宋_GB2312"/>
          <w:snapToGrid w:val="0"/>
          <w:color w:val="auto"/>
          <w:kern w:val="0"/>
          <w:sz w:val="32"/>
          <w:szCs w:val="32"/>
        </w:rPr>
        <w:t>，</w:t>
      </w:r>
      <w:r>
        <w:rPr>
          <w:rFonts w:hint="eastAsia" w:ascii="Times New Roman" w:hAnsi="Times New Roman" w:eastAsia="仿宋_GB2312"/>
          <w:snapToGrid w:val="0"/>
          <w:color w:val="auto"/>
          <w:kern w:val="0"/>
          <w:sz w:val="32"/>
          <w:szCs w:val="32"/>
          <w:lang w:val="en-US" w:eastAsia="zh-CN"/>
        </w:rPr>
        <w:t>YY/T 1437《医疗器械 GB/T 42062应用指南》、Y</w:t>
      </w:r>
      <w:r>
        <w:rPr>
          <w:rFonts w:hint="eastAsia" w:eastAsia="仿宋_GB2312"/>
          <w:snapToGrid w:val="0"/>
          <w:color w:val="auto"/>
          <w:kern w:val="0"/>
          <w:sz w:val="32"/>
          <w:szCs w:val="32"/>
          <w:lang w:val="en-US" w:eastAsia="zh-CN"/>
        </w:rPr>
        <w:t>Y</w:t>
      </w:r>
      <w:r>
        <w:rPr>
          <w:rFonts w:hint="eastAsia" w:ascii="Times New Roman" w:hAnsi="Times New Roman" w:eastAsia="仿宋_GB2312"/>
          <w:snapToGrid w:val="0"/>
          <w:color w:val="auto"/>
          <w:kern w:val="0"/>
          <w:sz w:val="32"/>
          <w:szCs w:val="32"/>
          <w:lang w:val="en-US" w:eastAsia="zh-CN"/>
        </w:rPr>
        <w:t>/T 1406《医疗器械软件GB/T 42062应用于医疗器械软件的指南》标</w:t>
      </w:r>
      <w:r>
        <w:rPr>
          <w:rFonts w:ascii="Times New Roman" w:hAnsi="Times New Roman" w:eastAsia="仿宋_GB2312"/>
          <w:snapToGrid w:val="0"/>
          <w:color w:val="auto"/>
          <w:kern w:val="0"/>
          <w:sz w:val="32"/>
          <w:szCs w:val="32"/>
          <w:lang w:val="zh-CN" w:eastAsia="zh-CN"/>
        </w:rPr>
        <w:t>准对产品进行全</w:t>
      </w:r>
      <w:r>
        <w:rPr>
          <w:rFonts w:hint="eastAsia" w:ascii="Times New Roman" w:hAnsi="Times New Roman" w:eastAsia="仿宋_GB2312"/>
          <w:snapToGrid w:val="0"/>
          <w:color w:val="auto"/>
          <w:kern w:val="0"/>
          <w:sz w:val="32"/>
          <w:szCs w:val="32"/>
          <w:lang w:val="zh-CN" w:eastAsia="zh-CN"/>
        </w:rPr>
        <w:t>生命周期风险管理，提交风险管理资料。</w:t>
      </w:r>
    </w:p>
    <w:p w14:paraId="5C9EABB7">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hint="default" w:ascii="Times New Roman" w:hAnsi="Times New Roman" w:eastAsia="仿宋_GB2312"/>
          <w:snapToGrid w:val="0"/>
          <w:color w:val="auto"/>
          <w:kern w:val="0"/>
          <w:sz w:val="32"/>
          <w:szCs w:val="32"/>
          <w:highlight w:val="none"/>
          <w:lang w:val="en-US" w:eastAsia="zh-CN"/>
        </w:rPr>
      </w:pPr>
      <w:r>
        <w:rPr>
          <w:rFonts w:ascii="Times New Roman" w:hAnsi="Times New Roman" w:eastAsia="仿宋_GB2312"/>
          <w:snapToGrid w:val="0"/>
          <w:color w:val="auto"/>
          <w:kern w:val="0"/>
          <w:sz w:val="32"/>
          <w:szCs w:val="32"/>
          <w:highlight w:val="none"/>
          <w:lang w:val="zh-CN"/>
        </w:rPr>
        <w:t>申请人</w:t>
      </w:r>
      <w:r>
        <w:rPr>
          <w:rFonts w:hint="eastAsia" w:ascii="Times New Roman" w:hAnsi="Times New Roman" w:eastAsia="仿宋_GB2312"/>
          <w:snapToGrid w:val="0"/>
          <w:color w:val="auto"/>
          <w:kern w:val="0"/>
          <w:sz w:val="32"/>
          <w:szCs w:val="32"/>
          <w:highlight w:val="none"/>
          <w:lang w:val="zh-CN"/>
        </w:rPr>
        <w:t>需</w:t>
      </w:r>
      <w:r>
        <w:rPr>
          <w:rFonts w:hint="eastAsia" w:ascii="Times New Roman" w:hAnsi="Times New Roman" w:eastAsia="仿宋_GB2312"/>
          <w:snapToGrid w:val="0"/>
          <w:color w:val="auto"/>
          <w:kern w:val="0"/>
          <w:sz w:val="32"/>
          <w:szCs w:val="32"/>
          <w:highlight w:val="none"/>
          <w:lang w:val="zh-CN" w:eastAsia="zh-CN"/>
        </w:rPr>
        <w:t>结合产品自身设计特点、临床用途及使用场景，充分识别与安全有关的特征，进行风险分析、评价及控制。应当明确，产品研制阶段已对所有可预见的危害及风险进行了分析与评价</w:t>
      </w:r>
      <w:r>
        <w:rPr>
          <w:rFonts w:ascii="Times New Roman" w:hAnsi="Times New Roman" w:eastAsia="仿宋_GB2312"/>
          <w:snapToGrid w:val="0"/>
          <w:color w:val="auto"/>
          <w:kern w:val="0"/>
          <w:sz w:val="32"/>
          <w:szCs w:val="32"/>
          <w:highlight w:val="none"/>
          <w:lang w:val="zh-CN"/>
        </w:rPr>
        <w:t>，针对性地实施了降低风险的技术和管理方面的措施。产品性能测试对上述措施的有效性进行了验证，达到了通用和专用标准的要求。申请人对所有剩余风险进行了评价，全部达到可接受的水平。</w:t>
      </w:r>
      <w:r>
        <w:rPr>
          <w:rFonts w:ascii="Times New Roman" w:hAnsi="Times New Roman" w:eastAsia="仿宋_GB2312"/>
          <w:snapToGrid w:val="0"/>
          <w:color w:val="auto"/>
          <w:kern w:val="0"/>
          <w:sz w:val="32"/>
          <w:szCs w:val="32"/>
          <w:highlight w:val="none"/>
          <w:lang w:val="zh-CN" w:eastAsia="zh-CN"/>
        </w:rPr>
        <w:t>产品风险分析资料应当为申请人对产品安全性的承诺提供支持依据</w:t>
      </w:r>
      <w:r>
        <w:rPr>
          <w:rFonts w:ascii="Times New Roman" w:hAnsi="Times New Roman" w:eastAsia="仿宋_GB2312"/>
          <w:snapToGrid w:val="0"/>
          <w:color w:val="auto"/>
          <w:kern w:val="0"/>
          <w:sz w:val="32"/>
          <w:szCs w:val="32"/>
          <w:highlight w:val="none"/>
          <w:lang w:val="zh-CN"/>
        </w:rPr>
        <w:t>。</w:t>
      </w:r>
      <w:r>
        <w:rPr>
          <w:rFonts w:hint="eastAsia" w:ascii="Times New Roman" w:hAnsi="Times New Roman" w:eastAsia="仿宋_GB2312"/>
          <w:snapToGrid w:val="0"/>
          <w:color w:val="auto"/>
          <w:kern w:val="0"/>
          <w:sz w:val="32"/>
          <w:szCs w:val="32"/>
          <w:highlight w:val="none"/>
          <w:lang w:val="en-US" w:eastAsia="zh-CN"/>
        </w:rPr>
        <w:t>常见风险点举例见附件1。</w:t>
      </w:r>
    </w:p>
    <w:p w14:paraId="7E494E5B">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ascii="Times New Roman" w:hAnsi="Times New Roman" w:eastAsia="仿宋_GB2312"/>
          <w:snapToGrid w:val="0"/>
          <w:color w:val="auto"/>
          <w:kern w:val="0"/>
          <w:sz w:val="32"/>
          <w:szCs w:val="32"/>
          <w:highlight w:val="none"/>
          <w:lang w:val="zh-CN"/>
        </w:rPr>
      </w:pPr>
      <w:r>
        <w:rPr>
          <w:rFonts w:ascii="Times New Roman" w:hAnsi="Times New Roman" w:eastAsia="仿宋_GB2312"/>
          <w:snapToGrid w:val="0"/>
          <w:color w:val="auto"/>
          <w:kern w:val="0"/>
          <w:sz w:val="32"/>
          <w:szCs w:val="32"/>
          <w:highlight w:val="none"/>
          <w:lang w:val="zh-CN"/>
        </w:rPr>
        <w:t>风险管理报告一般包括以下内容：</w:t>
      </w:r>
    </w:p>
    <w:p w14:paraId="5CDFE365">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ascii="Times New Roman" w:hAnsi="Times New Roman" w:eastAsia="仿宋_GB2312"/>
          <w:snapToGrid w:val="0"/>
          <w:color w:val="auto"/>
          <w:kern w:val="0"/>
          <w:sz w:val="32"/>
          <w:szCs w:val="32"/>
          <w:highlight w:val="none"/>
          <w:lang w:val="zh-CN"/>
        </w:rPr>
      </w:pPr>
      <w:r>
        <w:rPr>
          <w:rFonts w:hint="eastAsia" w:ascii="Times New Roman" w:hAnsi="Times New Roman" w:eastAsia="仿宋_GB2312"/>
          <w:snapToGrid w:val="0"/>
          <w:color w:val="auto"/>
          <w:kern w:val="0"/>
          <w:sz w:val="32"/>
          <w:szCs w:val="32"/>
          <w:highlight w:val="none"/>
        </w:rPr>
        <w:t>1.1</w:t>
      </w:r>
      <w:r>
        <w:rPr>
          <w:rFonts w:ascii="Times New Roman" w:hAnsi="Times New Roman" w:eastAsia="仿宋_GB2312"/>
          <w:snapToGrid w:val="0"/>
          <w:color w:val="auto"/>
          <w:kern w:val="0"/>
          <w:sz w:val="32"/>
          <w:szCs w:val="32"/>
          <w:highlight w:val="none"/>
          <w:lang w:val="zh-CN"/>
        </w:rPr>
        <w:t>申报产品的风险管理组织。</w:t>
      </w:r>
    </w:p>
    <w:p w14:paraId="2010BEDF">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ascii="Times New Roman" w:hAnsi="Times New Roman" w:eastAsia="仿宋_GB2312"/>
          <w:snapToGrid w:val="0"/>
          <w:color w:val="auto"/>
          <w:kern w:val="0"/>
          <w:sz w:val="32"/>
          <w:szCs w:val="32"/>
          <w:highlight w:val="none"/>
          <w:lang w:val="zh-CN"/>
        </w:rPr>
      </w:pPr>
      <w:r>
        <w:rPr>
          <w:rFonts w:hint="eastAsia" w:ascii="Times New Roman" w:hAnsi="Times New Roman" w:eastAsia="仿宋_GB2312"/>
          <w:snapToGrid w:val="0"/>
          <w:color w:val="auto"/>
          <w:kern w:val="0"/>
          <w:sz w:val="32"/>
          <w:szCs w:val="32"/>
          <w:highlight w:val="none"/>
        </w:rPr>
        <w:t>1.2</w:t>
      </w:r>
      <w:r>
        <w:rPr>
          <w:rFonts w:ascii="Times New Roman" w:hAnsi="Times New Roman" w:eastAsia="仿宋_GB2312"/>
          <w:snapToGrid w:val="0"/>
          <w:color w:val="auto"/>
          <w:kern w:val="0"/>
          <w:sz w:val="32"/>
          <w:szCs w:val="32"/>
          <w:highlight w:val="none"/>
          <w:lang w:val="zh-CN"/>
        </w:rPr>
        <w:t>申报产品的组成。</w:t>
      </w:r>
    </w:p>
    <w:p w14:paraId="3B08C47B">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ascii="Times New Roman" w:hAnsi="Times New Roman" w:eastAsia="仿宋_GB2312"/>
          <w:snapToGrid w:val="0"/>
          <w:color w:val="auto"/>
          <w:kern w:val="0"/>
          <w:sz w:val="32"/>
          <w:szCs w:val="32"/>
          <w:highlight w:val="none"/>
          <w:lang w:val="zh-CN"/>
        </w:rPr>
      </w:pPr>
      <w:r>
        <w:rPr>
          <w:rFonts w:hint="eastAsia" w:ascii="Times New Roman" w:hAnsi="Times New Roman" w:eastAsia="仿宋_GB2312"/>
          <w:snapToGrid w:val="0"/>
          <w:color w:val="auto"/>
          <w:kern w:val="0"/>
          <w:sz w:val="32"/>
          <w:szCs w:val="32"/>
          <w:highlight w:val="none"/>
        </w:rPr>
        <w:t>1.3</w:t>
      </w:r>
      <w:r>
        <w:rPr>
          <w:rFonts w:ascii="Times New Roman" w:hAnsi="Times New Roman" w:eastAsia="仿宋_GB2312"/>
          <w:snapToGrid w:val="0"/>
          <w:color w:val="auto"/>
          <w:kern w:val="0"/>
          <w:sz w:val="32"/>
          <w:szCs w:val="32"/>
          <w:highlight w:val="none"/>
          <w:lang w:val="zh-CN"/>
        </w:rPr>
        <w:t>申报产品符合的安全标准。</w:t>
      </w:r>
    </w:p>
    <w:p w14:paraId="3C41EEE8">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ascii="Times New Roman" w:hAnsi="Times New Roman" w:eastAsia="仿宋_GB2312"/>
          <w:snapToGrid w:val="0"/>
          <w:color w:val="auto"/>
          <w:kern w:val="0"/>
          <w:sz w:val="32"/>
          <w:szCs w:val="32"/>
          <w:highlight w:val="none"/>
          <w:lang w:val="zh-CN"/>
        </w:rPr>
      </w:pPr>
      <w:r>
        <w:rPr>
          <w:rFonts w:hint="eastAsia" w:ascii="Times New Roman" w:hAnsi="Times New Roman" w:eastAsia="仿宋_GB2312"/>
          <w:snapToGrid w:val="0"/>
          <w:color w:val="auto"/>
          <w:kern w:val="0"/>
          <w:sz w:val="32"/>
          <w:szCs w:val="32"/>
          <w:highlight w:val="none"/>
        </w:rPr>
        <w:t>1.4</w:t>
      </w:r>
      <w:r>
        <w:rPr>
          <w:rFonts w:ascii="Times New Roman" w:hAnsi="Times New Roman" w:eastAsia="仿宋_GB2312"/>
          <w:snapToGrid w:val="0"/>
          <w:color w:val="auto"/>
          <w:kern w:val="0"/>
          <w:sz w:val="32"/>
          <w:szCs w:val="32"/>
          <w:highlight w:val="none"/>
          <w:lang w:val="zh-CN"/>
        </w:rPr>
        <w:t>申报产品的预期用途，与安全性有关的特征的判定。</w:t>
      </w:r>
    </w:p>
    <w:p w14:paraId="7FE6B601">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ascii="Times New Roman" w:hAnsi="Times New Roman" w:eastAsia="仿宋_GB2312"/>
          <w:snapToGrid w:val="0"/>
          <w:color w:val="auto"/>
          <w:kern w:val="0"/>
          <w:sz w:val="32"/>
          <w:szCs w:val="32"/>
          <w:highlight w:val="none"/>
          <w:lang w:val="zh-CN"/>
        </w:rPr>
      </w:pPr>
      <w:r>
        <w:rPr>
          <w:rFonts w:hint="eastAsia" w:ascii="Times New Roman" w:hAnsi="Times New Roman" w:eastAsia="仿宋_GB2312"/>
          <w:snapToGrid w:val="0"/>
          <w:color w:val="auto"/>
          <w:kern w:val="0"/>
          <w:sz w:val="32"/>
          <w:szCs w:val="32"/>
          <w:highlight w:val="none"/>
        </w:rPr>
        <w:t>1.5</w:t>
      </w:r>
      <w:r>
        <w:rPr>
          <w:rFonts w:ascii="Times New Roman" w:hAnsi="Times New Roman" w:eastAsia="仿宋_GB2312"/>
          <w:snapToGrid w:val="0"/>
          <w:color w:val="auto"/>
          <w:kern w:val="0"/>
          <w:sz w:val="32"/>
          <w:szCs w:val="32"/>
          <w:highlight w:val="none"/>
          <w:lang w:val="zh-CN"/>
        </w:rPr>
        <w:t>对申报产品的可能危害作出判定。</w:t>
      </w:r>
    </w:p>
    <w:p w14:paraId="164B9839">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ascii="Times New Roman" w:hAnsi="Times New Roman" w:eastAsia="仿宋_GB2312"/>
          <w:snapToGrid w:val="0"/>
          <w:color w:val="auto"/>
          <w:kern w:val="0"/>
          <w:sz w:val="32"/>
          <w:szCs w:val="32"/>
          <w:highlight w:val="none"/>
          <w:lang w:val="zh-CN"/>
        </w:rPr>
      </w:pPr>
      <w:r>
        <w:rPr>
          <w:rFonts w:hint="eastAsia" w:ascii="Times New Roman" w:hAnsi="Times New Roman" w:eastAsia="仿宋_GB2312"/>
          <w:snapToGrid w:val="0"/>
          <w:color w:val="auto"/>
          <w:kern w:val="0"/>
          <w:sz w:val="32"/>
          <w:szCs w:val="32"/>
          <w:highlight w:val="none"/>
        </w:rPr>
        <w:t>1.6</w:t>
      </w:r>
      <w:r>
        <w:rPr>
          <w:rFonts w:ascii="Times New Roman" w:hAnsi="Times New Roman" w:eastAsia="仿宋_GB2312"/>
          <w:snapToGrid w:val="0"/>
          <w:color w:val="auto"/>
          <w:kern w:val="0"/>
          <w:sz w:val="32"/>
          <w:szCs w:val="32"/>
          <w:highlight w:val="none"/>
          <w:lang w:val="zh-CN"/>
        </w:rPr>
        <w:t>对所判定的危害采取的降低风险的控制措施</w:t>
      </w:r>
      <w:r>
        <w:rPr>
          <w:rFonts w:hint="eastAsia" w:ascii="Times New Roman" w:hAnsi="Times New Roman" w:eastAsia="仿宋_GB2312"/>
          <w:snapToGrid w:val="0"/>
          <w:color w:val="auto"/>
          <w:kern w:val="0"/>
          <w:sz w:val="32"/>
          <w:szCs w:val="32"/>
          <w:highlight w:val="none"/>
          <w:lang w:val="zh-CN"/>
        </w:rPr>
        <w:t>。</w:t>
      </w:r>
    </w:p>
    <w:p w14:paraId="25AEC933">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hint="eastAsia" w:ascii="Times New Roman" w:hAnsi="Times New Roman"/>
          <w:color w:val="auto"/>
          <w:highlight w:val="none"/>
        </w:rPr>
      </w:pPr>
      <w:r>
        <w:rPr>
          <w:rFonts w:hint="eastAsia" w:ascii="Times New Roman" w:hAnsi="Times New Roman" w:eastAsia="仿宋_GB2312"/>
          <w:snapToGrid w:val="0"/>
          <w:color w:val="auto"/>
          <w:kern w:val="0"/>
          <w:sz w:val="32"/>
          <w:szCs w:val="32"/>
          <w:highlight w:val="none"/>
        </w:rPr>
        <w:t>1.7</w:t>
      </w:r>
      <w:r>
        <w:rPr>
          <w:rFonts w:ascii="Times New Roman" w:hAnsi="Times New Roman" w:eastAsia="仿宋_GB2312"/>
          <w:snapToGrid w:val="0"/>
          <w:color w:val="auto"/>
          <w:kern w:val="0"/>
          <w:sz w:val="32"/>
          <w:szCs w:val="32"/>
          <w:highlight w:val="none"/>
          <w:lang w:val="zh-CN"/>
        </w:rPr>
        <w:t>对采取控制措施后的剩余风险进行估计和评价</w:t>
      </w:r>
      <w:r>
        <w:rPr>
          <w:rFonts w:hint="eastAsia" w:ascii="Times New Roman" w:hAnsi="Times New Roman"/>
          <w:color w:val="auto"/>
          <w:highlight w:val="none"/>
        </w:rPr>
        <w:t>。</w:t>
      </w:r>
    </w:p>
    <w:p w14:paraId="4613D44D">
      <w:pPr>
        <w:keepNext w:val="0"/>
        <w:keepLines w:val="0"/>
        <w:pageBreakBefore w:val="0"/>
        <w:kinsoku/>
        <w:wordWrap/>
        <w:overflowPunct w:val="0"/>
        <w:topLinePunct w:val="0"/>
        <w:autoSpaceDE/>
        <w:autoSpaceDN/>
        <w:bidi w:val="0"/>
        <w:adjustRightInd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val="zh-CN"/>
        </w:rPr>
      </w:pPr>
      <w:r>
        <w:rPr>
          <w:rFonts w:hint="eastAsia" w:ascii="Times New Roman" w:hAnsi="Times New Roman" w:eastAsia="仿宋_GB2312" w:cs="Times New Roman"/>
          <w:snapToGrid w:val="0"/>
          <w:color w:val="auto"/>
          <w:kern w:val="0"/>
          <w:sz w:val="32"/>
          <w:szCs w:val="32"/>
          <w:highlight w:val="none"/>
          <w:lang w:val="zh-CN" w:eastAsia="zh-CN"/>
        </w:rPr>
        <w:t>2.医疗器械安全和性能基本原则清单</w:t>
      </w:r>
    </w:p>
    <w:p w14:paraId="01B88FD0">
      <w:pPr>
        <w:tabs>
          <w:tab w:val="left" w:pos="540"/>
        </w:tabs>
        <w:spacing w:line="520" w:lineRule="exact"/>
        <w:ind w:firstLine="640" w:firstLineChars="200"/>
        <w:rPr>
          <w:rFonts w:eastAsia="仿宋_GB2312"/>
          <w:sz w:val="32"/>
          <w:szCs w:val="32"/>
        </w:rPr>
      </w:pPr>
      <w:r>
        <w:rPr>
          <w:rFonts w:eastAsia="仿宋_GB2312"/>
          <w:sz w:val="32"/>
          <w:szCs w:val="32"/>
        </w:rPr>
        <w:t>说明产品符合《医疗器械安全和性能基本原则清单》各项适用要求所采用的方法，以及证明其符合性的文件。对于不适用的各项要求，应当说明理由。</w:t>
      </w:r>
    </w:p>
    <w:p w14:paraId="3C121AAA">
      <w:pPr>
        <w:keepNext w:val="0"/>
        <w:keepLines w:val="0"/>
        <w:pageBreakBefore w:val="0"/>
        <w:kinsoku/>
        <w:wordWrap/>
        <w:overflowPunct w:val="0"/>
        <w:topLinePunct w:val="0"/>
        <w:autoSpaceDE/>
        <w:autoSpaceDN/>
        <w:bidi w:val="0"/>
        <w:spacing w:line="500" w:lineRule="exact"/>
        <w:ind w:firstLine="640" w:firstLineChars="200"/>
        <w:textAlignment w:val="auto"/>
        <w:outlineLvl w:val="2"/>
        <w:rPr>
          <w:rFonts w:ascii="Times New Roman" w:hAnsi="Times New Roman" w:eastAsia="仿宋_GB2312" w:cs="仿宋_GB2312"/>
          <w:snapToGrid w:val="0"/>
          <w:color w:val="auto"/>
          <w:kern w:val="0"/>
          <w:sz w:val="32"/>
          <w:szCs w:val="32"/>
          <w:highlight w:val="none"/>
        </w:rPr>
      </w:pPr>
      <w:bookmarkStart w:id="2" w:name="_Toc432753650"/>
      <w:r>
        <w:rPr>
          <w:rFonts w:hint="eastAsia" w:ascii="Times New Roman" w:hAnsi="Times New Roman" w:eastAsia="仿宋"/>
          <w:color w:val="auto"/>
          <w:sz w:val="32"/>
          <w:szCs w:val="32"/>
          <w:highlight w:val="none"/>
          <w:lang w:val="en-US" w:eastAsia="zh-CN"/>
        </w:rPr>
        <w:t>3</w:t>
      </w:r>
      <w:r>
        <w:rPr>
          <w:rFonts w:hint="eastAsia" w:ascii="Times New Roman" w:hAnsi="Times New Roman" w:eastAsia="仿宋"/>
          <w:color w:val="auto"/>
          <w:sz w:val="32"/>
          <w:szCs w:val="32"/>
          <w:highlight w:val="none"/>
        </w:rPr>
        <w:t>.</w:t>
      </w:r>
      <w:r>
        <w:rPr>
          <w:rFonts w:hint="eastAsia" w:ascii="Times New Roman" w:hAnsi="Times New Roman" w:eastAsia="仿宋_GB2312" w:cs="仿宋_GB2312"/>
          <w:snapToGrid w:val="0"/>
          <w:color w:val="auto"/>
          <w:kern w:val="0"/>
          <w:sz w:val="32"/>
          <w:szCs w:val="32"/>
          <w:highlight w:val="none"/>
        </w:rPr>
        <w:t>产品技术要求</w:t>
      </w:r>
      <w:bookmarkEnd w:id="2"/>
      <w:r>
        <w:rPr>
          <w:rFonts w:hint="eastAsia" w:ascii="Times New Roman" w:hAnsi="Times New Roman" w:eastAsia="仿宋_GB2312" w:cs="仿宋_GB2312"/>
          <w:snapToGrid w:val="0"/>
          <w:color w:val="auto"/>
          <w:kern w:val="0"/>
          <w:sz w:val="32"/>
          <w:szCs w:val="32"/>
          <w:highlight w:val="none"/>
        </w:rPr>
        <w:t>及</w:t>
      </w:r>
      <w:r>
        <w:rPr>
          <w:rFonts w:ascii="Times New Roman" w:hAnsi="Times New Roman" w:eastAsia="仿宋_GB2312" w:cs="仿宋_GB2312"/>
          <w:snapToGrid w:val="0"/>
          <w:color w:val="auto"/>
          <w:kern w:val="0"/>
          <w:sz w:val="32"/>
          <w:szCs w:val="32"/>
          <w:highlight w:val="none"/>
        </w:rPr>
        <w:t>检</w:t>
      </w:r>
      <w:r>
        <w:rPr>
          <w:rFonts w:hint="eastAsia" w:ascii="Times New Roman" w:hAnsi="Times New Roman" w:eastAsia="仿宋_GB2312" w:cs="仿宋_GB2312"/>
          <w:snapToGrid w:val="0"/>
          <w:color w:val="auto"/>
          <w:kern w:val="0"/>
          <w:sz w:val="32"/>
          <w:szCs w:val="32"/>
          <w:highlight w:val="none"/>
        </w:rPr>
        <w:t>验</w:t>
      </w:r>
      <w:r>
        <w:rPr>
          <w:rFonts w:ascii="Times New Roman" w:hAnsi="Times New Roman" w:eastAsia="仿宋_GB2312" w:cs="仿宋_GB2312"/>
          <w:snapToGrid w:val="0"/>
          <w:color w:val="auto"/>
          <w:kern w:val="0"/>
          <w:sz w:val="32"/>
          <w:szCs w:val="32"/>
          <w:highlight w:val="none"/>
        </w:rPr>
        <w:t>报告</w:t>
      </w:r>
    </w:p>
    <w:p w14:paraId="72F36709">
      <w:pPr>
        <w:keepNext w:val="0"/>
        <w:keepLines w:val="0"/>
        <w:pageBreakBefore w:val="0"/>
        <w:kinsoku/>
        <w:wordWrap/>
        <w:overflowPunct w:val="0"/>
        <w:topLinePunct w:val="0"/>
        <w:autoSpaceDE/>
        <w:autoSpaceDN/>
        <w:bidi w:val="0"/>
        <w:spacing w:line="500" w:lineRule="exact"/>
        <w:ind w:firstLine="640" w:firstLineChars="200"/>
        <w:textAlignment w:val="auto"/>
        <w:outlineLvl w:val="3"/>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3</w:t>
      </w:r>
      <w:r>
        <w:rPr>
          <w:rFonts w:hint="eastAsia" w:ascii="Times New Roman" w:hAnsi="Times New Roman" w:eastAsia="仿宋_GB2312"/>
          <w:snapToGrid w:val="0"/>
          <w:color w:val="auto"/>
          <w:kern w:val="0"/>
          <w:sz w:val="32"/>
          <w:szCs w:val="32"/>
          <w:highlight w:val="none"/>
        </w:rPr>
        <w:t>.1</w:t>
      </w:r>
      <w:r>
        <w:rPr>
          <w:rFonts w:ascii="Times New Roman" w:hAnsi="Times New Roman" w:eastAsia="仿宋_GB2312"/>
          <w:snapToGrid w:val="0"/>
          <w:color w:val="auto"/>
          <w:kern w:val="0"/>
          <w:sz w:val="32"/>
          <w:szCs w:val="32"/>
          <w:highlight w:val="none"/>
        </w:rPr>
        <w:t>产品技术要求</w:t>
      </w:r>
    </w:p>
    <w:p w14:paraId="4A647B58">
      <w:pPr>
        <w:keepNext w:val="0"/>
        <w:keepLines w:val="0"/>
        <w:pageBreakBefore w:val="0"/>
        <w:kinsoku/>
        <w:wordWrap/>
        <w:overflowPunct w:val="0"/>
        <w:topLinePunct w:val="0"/>
        <w:autoSpaceDE/>
        <w:autoSpaceDN/>
        <w:bidi w:val="0"/>
        <w:spacing w:line="500" w:lineRule="exact"/>
        <w:ind w:firstLine="640" w:firstLineChars="200"/>
        <w:textAlignment w:val="auto"/>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依据</w:t>
      </w:r>
      <w:r>
        <w:rPr>
          <w:rFonts w:ascii="Times New Roman" w:hAnsi="Times New Roman" w:eastAsia="仿宋_GB2312"/>
          <w:snapToGrid w:val="0"/>
          <w:color w:val="auto"/>
          <w:kern w:val="0"/>
          <w:sz w:val="32"/>
          <w:szCs w:val="32"/>
          <w:highlight w:val="none"/>
        </w:rPr>
        <w:t>《医疗器械产品技术要求编写指导原则》</w:t>
      </w:r>
      <w:r>
        <w:rPr>
          <w:rFonts w:hint="eastAsia" w:ascii="Times New Roman" w:hAnsi="Times New Roman" w:eastAsia="仿宋_GB2312"/>
          <w:snapToGrid w:val="0"/>
          <w:color w:val="auto"/>
          <w:kern w:val="0"/>
          <w:sz w:val="32"/>
          <w:szCs w:val="32"/>
          <w:highlight w:val="none"/>
        </w:rPr>
        <w:t>和《医疗器械软件注册审查指导原则》</w:t>
      </w:r>
      <w:r>
        <w:rPr>
          <w:rFonts w:ascii="Times New Roman" w:hAnsi="Times New Roman" w:eastAsia="仿宋_GB2312"/>
          <w:snapToGrid w:val="0"/>
          <w:color w:val="auto"/>
          <w:kern w:val="0"/>
          <w:sz w:val="32"/>
          <w:szCs w:val="32"/>
          <w:highlight w:val="none"/>
        </w:rPr>
        <w:t>进行编制。</w:t>
      </w:r>
    </w:p>
    <w:p w14:paraId="66B6191E">
      <w:pPr>
        <w:pStyle w:val="57"/>
        <w:keepNext w:val="0"/>
        <w:keepLines w:val="0"/>
        <w:pageBreakBefore w:val="0"/>
        <w:kinsoku/>
        <w:wordWrap/>
        <w:overflowPunct w:val="0"/>
        <w:topLinePunct w:val="0"/>
        <w:autoSpaceDE/>
        <w:autoSpaceDN/>
        <w:bidi w:val="0"/>
        <w:spacing w:line="500" w:lineRule="exact"/>
        <w:ind w:right="210" w:firstLine="640"/>
        <w:textAlignment w:val="auto"/>
        <w:rPr>
          <w:rFonts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3</w:t>
      </w:r>
      <w:r>
        <w:rPr>
          <w:rFonts w:ascii="Times New Roman" w:hAnsi="Times New Roman" w:eastAsia="仿宋_GB2312"/>
          <w:snapToGrid w:val="0"/>
          <w:color w:val="auto"/>
          <w:kern w:val="0"/>
          <w:sz w:val="32"/>
          <w:szCs w:val="32"/>
          <w:highlight w:val="none"/>
        </w:rPr>
        <w:t>.</w:t>
      </w:r>
      <w:r>
        <w:rPr>
          <w:rFonts w:hint="eastAsia" w:ascii="Times New Roman" w:hAnsi="Times New Roman" w:eastAsia="仿宋_GB2312"/>
          <w:snapToGrid w:val="0"/>
          <w:color w:val="auto"/>
          <w:kern w:val="0"/>
          <w:sz w:val="32"/>
          <w:szCs w:val="32"/>
          <w:highlight w:val="none"/>
        </w:rPr>
        <w:t>1</w:t>
      </w:r>
      <w:r>
        <w:rPr>
          <w:rFonts w:ascii="Times New Roman" w:hAnsi="Times New Roman" w:eastAsia="仿宋_GB2312"/>
          <w:snapToGrid w:val="0"/>
          <w:color w:val="auto"/>
          <w:kern w:val="0"/>
          <w:sz w:val="32"/>
          <w:szCs w:val="32"/>
          <w:highlight w:val="none"/>
        </w:rPr>
        <w:t>.1</w:t>
      </w:r>
      <w:r>
        <w:rPr>
          <w:rFonts w:hint="eastAsia" w:ascii="Times New Roman" w:hAnsi="Times New Roman" w:eastAsia="仿宋_GB2312"/>
          <w:snapToGrid w:val="0"/>
          <w:color w:val="auto"/>
          <w:kern w:val="0"/>
          <w:sz w:val="32"/>
          <w:szCs w:val="32"/>
          <w:highlight w:val="none"/>
        </w:rPr>
        <w:t>规格信息</w:t>
      </w:r>
    </w:p>
    <w:p w14:paraId="2030DEEF">
      <w:pPr>
        <w:keepNext w:val="0"/>
        <w:keepLines w:val="0"/>
        <w:pageBreakBefore w:val="0"/>
        <w:kinsoku/>
        <w:wordWrap/>
        <w:overflowPunct w:val="0"/>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明确软件的名称、型号规格、发布版本、版本命名规则，软件模块（含医用中间件）若有单独的版本、版本命名规则均需说明。</w:t>
      </w:r>
      <w:r>
        <w:rPr>
          <w:rFonts w:hint="eastAsia" w:ascii="Times New Roman" w:hAnsi="Times New Roman" w:eastAsia="仿宋_GB2312"/>
          <w:snapToGrid w:val="0"/>
          <w:color w:val="auto"/>
          <w:kern w:val="0"/>
          <w:sz w:val="32"/>
          <w:szCs w:val="32"/>
          <w:highlight w:val="none"/>
          <w:lang w:val="en-US" w:eastAsia="zh-CN"/>
        </w:rPr>
        <w:t>如有不同的型号规格，</w:t>
      </w:r>
      <w:r>
        <w:rPr>
          <w:rFonts w:hint="eastAsia" w:ascii="Times New Roman" w:hAnsi="Times New Roman" w:eastAsia="仿宋_GB2312"/>
          <w:snapToGrid w:val="0"/>
          <w:color w:val="auto"/>
          <w:kern w:val="0"/>
          <w:sz w:val="32"/>
          <w:szCs w:val="32"/>
          <w:highlight w:val="none"/>
        </w:rPr>
        <w:t>明确不同</w:t>
      </w:r>
      <w:r>
        <w:rPr>
          <w:rFonts w:ascii="Times New Roman" w:hAnsi="Times New Roman" w:eastAsia="仿宋_GB2312"/>
          <w:snapToGrid w:val="0"/>
          <w:color w:val="auto"/>
          <w:kern w:val="0"/>
          <w:sz w:val="32"/>
          <w:szCs w:val="32"/>
          <w:highlight w:val="none"/>
        </w:rPr>
        <w:t>型号</w:t>
      </w:r>
      <w:r>
        <w:rPr>
          <w:rFonts w:hint="eastAsia" w:ascii="Times New Roman" w:hAnsi="Times New Roman" w:eastAsia="仿宋_GB2312"/>
          <w:snapToGrid w:val="0"/>
          <w:color w:val="auto"/>
          <w:kern w:val="0"/>
          <w:sz w:val="32"/>
          <w:szCs w:val="32"/>
          <w:highlight w:val="none"/>
        </w:rPr>
        <w:t>间产品</w:t>
      </w:r>
      <w:r>
        <w:rPr>
          <w:rFonts w:ascii="Times New Roman" w:hAnsi="Times New Roman" w:eastAsia="仿宋_GB2312"/>
          <w:snapToGrid w:val="0"/>
          <w:color w:val="auto"/>
          <w:kern w:val="0"/>
          <w:sz w:val="32"/>
          <w:szCs w:val="32"/>
          <w:highlight w:val="none"/>
        </w:rPr>
        <w:t>差异</w:t>
      </w:r>
      <w:r>
        <w:rPr>
          <w:rFonts w:hint="eastAsia" w:ascii="Times New Roman" w:hAnsi="Times New Roman" w:eastAsia="仿宋_GB2312"/>
          <w:snapToGrid w:val="0"/>
          <w:color w:val="auto"/>
          <w:kern w:val="0"/>
          <w:sz w:val="32"/>
          <w:szCs w:val="32"/>
          <w:highlight w:val="none"/>
        </w:rPr>
        <w:t>。</w:t>
      </w:r>
    </w:p>
    <w:p w14:paraId="0124DF28">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snapToGrid w:val="0"/>
          <w:color w:val="auto"/>
          <w:kern w:val="0"/>
          <w:sz w:val="32"/>
          <w:szCs w:val="32"/>
          <w:highlight w:val="none"/>
          <w:lang w:eastAsia="zh-CN"/>
        </w:rPr>
      </w:pPr>
      <w:r>
        <w:rPr>
          <w:rFonts w:hint="eastAsia" w:ascii="Times New Roman" w:hAnsi="Times New Roman" w:eastAsia="仿宋_GB2312"/>
          <w:snapToGrid w:val="0"/>
          <w:color w:val="auto"/>
          <w:kern w:val="0"/>
          <w:sz w:val="32"/>
          <w:szCs w:val="32"/>
          <w:highlight w:val="none"/>
          <w:lang w:val="en-US" w:eastAsia="zh-CN"/>
        </w:rPr>
        <w:t>3</w:t>
      </w:r>
      <w:r>
        <w:rPr>
          <w:rFonts w:ascii="Times New Roman" w:hAnsi="Times New Roman" w:eastAsia="仿宋_GB2312"/>
          <w:snapToGrid w:val="0"/>
          <w:color w:val="auto"/>
          <w:kern w:val="0"/>
          <w:sz w:val="32"/>
          <w:szCs w:val="32"/>
          <w:highlight w:val="none"/>
        </w:rPr>
        <w:t>.</w:t>
      </w:r>
      <w:r>
        <w:rPr>
          <w:rFonts w:hint="eastAsia" w:ascii="Times New Roman" w:hAnsi="Times New Roman" w:eastAsia="仿宋_GB2312"/>
          <w:snapToGrid w:val="0"/>
          <w:color w:val="auto"/>
          <w:kern w:val="0"/>
          <w:sz w:val="32"/>
          <w:szCs w:val="32"/>
          <w:highlight w:val="none"/>
        </w:rPr>
        <w:t>1</w:t>
      </w:r>
      <w:r>
        <w:rPr>
          <w:rFonts w:ascii="Times New Roman" w:hAnsi="Times New Roman" w:eastAsia="仿宋_GB2312"/>
          <w:snapToGrid w:val="0"/>
          <w:color w:val="auto"/>
          <w:kern w:val="0"/>
          <w:sz w:val="32"/>
          <w:szCs w:val="32"/>
          <w:highlight w:val="none"/>
        </w:rPr>
        <w:t>.2</w:t>
      </w:r>
      <w:r>
        <w:rPr>
          <w:rFonts w:hint="eastAsia" w:ascii="Times New Roman" w:hAnsi="Times New Roman" w:eastAsia="仿宋_GB2312"/>
          <w:snapToGrid w:val="0"/>
          <w:color w:val="auto"/>
          <w:kern w:val="0"/>
          <w:sz w:val="32"/>
          <w:szCs w:val="32"/>
          <w:highlight w:val="none"/>
        </w:rPr>
        <w:t>性能指标</w:t>
      </w:r>
    </w:p>
    <w:p w14:paraId="6FA1BF39">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lang w:eastAsia="zh-CN"/>
        </w:rPr>
      </w:pPr>
      <w:r>
        <w:rPr>
          <w:rFonts w:hint="eastAsia" w:ascii="Times New Roman" w:hAnsi="Times New Roman" w:eastAsia="仿宋_GB2312"/>
          <w:snapToGrid w:val="0"/>
          <w:color w:val="auto"/>
          <w:kern w:val="0"/>
          <w:sz w:val="32"/>
          <w:szCs w:val="32"/>
          <w:highlight w:val="none"/>
          <w:lang w:eastAsia="zh-CN"/>
        </w:rPr>
        <w:t>明确产品处理对象，以及数据接口信息，和特定软硬件名称及型号（如适用）。参照</w:t>
      </w:r>
      <w:bookmarkStart w:id="3" w:name="OLE_LINK10"/>
      <w:r>
        <w:rPr>
          <w:rFonts w:hint="eastAsia" w:ascii="Times New Roman" w:hAnsi="Times New Roman" w:eastAsia="仿宋_GB2312"/>
          <w:snapToGrid w:val="0"/>
          <w:color w:val="auto"/>
          <w:kern w:val="0"/>
          <w:sz w:val="32"/>
          <w:szCs w:val="32"/>
          <w:highlight w:val="none"/>
          <w:lang w:eastAsia="zh-CN"/>
        </w:rPr>
        <w:t>《医疗器械软件注册审查指导原则》</w:t>
      </w:r>
      <w:bookmarkEnd w:id="3"/>
      <w:r>
        <w:rPr>
          <w:rFonts w:hint="eastAsia" w:ascii="Times New Roman" w:hAnsi="Times New Roman" w:eastAsia="仿宋_GB2312"/>
          <w:snapToGrid w:val="0"/>
          <w:color w:val="auto"/>
          <w:kern w:val="0"/>
          <w:sz w:val="32"/>
          <w:szCs w:val="32"/>
          <w:highlight w:val="none"/>
          <w:lang w:eastAsia="zh-CN"/>
        </w:rPr>
        <w:t>。注册申请人可以在此基础上根据产品自身技术特点制定相应的性能指标，同时应在研究资料中详述相关标准不适用条款的理由。性能指标应至少包含下列条款：</w:t>
      </w:r>
    </w:p>
    <w:p w14:paraId="2A4305CE">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.1.2.1通用要求</w:t>
      </w:r>
    </w:p>
    <w:p w14:paraId="42B05B32">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.1.2.1.1功能</w:t>
      </w:r>
    </w:p>
    <w:p w14:paraId="07F2BBDD">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可依据说明书和用户界面明确软件的全部功能</w:t>
      </w:r>
      <w:r>
        <w:rPr>
          <w:rFonts w:hint="eastAsia" w:ascii="Times New Roman" w:hAnsi="Times New Roman" w:eastAsia="仿宋_GB2312" w:cs="Times New Roman"/>
          <w:snapToGrid w:val="0"/>
          <w:color w:val="auto"/>
          <w:kern w:val="0"/>
          <w:sz w:val="32"/>
          <w:szCs w:val="32"/>
          <w:highlight w:val="none"/>
          <w:lang w:eastAsia="zh-CN"/>
        </w:rPr>
        <w:t>（含安全功能）纲要，注明选装、自动功能，其中客观物理测量功能明确测量准确性指标（如适用）。若核心功能相同但核心算法类型不同，则每类核心算法均需备注。通常包括患者信息管理、舌、面、脉、声音、气味等数据采集、管理及分析、输出客观化特征参数及描述性参考信息（如舌象颜色、脉率范围等）。</w:t>
      </w:r>
    </w:p>
    <w:p w14:paraId="5BB95729">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.1.2.1.2使用限制</w:t>
      </w:r>
    </w:p>
    <w:p w14:paraId="5E1EE29B">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eastAsia="zh-CN"/>
        </w:rPr>
        <w:t>依据说明书明确软件的用户使用限制和技术限制。</w:t>
      </w:r>
    </w:p>
    <w:p w14:paraId="19E763D4">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.1.2.1.3输入输出</w:t>
      </w:r>
    </w:p>
    <w:p w14:paraId="2CFED38C">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eastAsia="zh-CN"/>
        </w:rPr>
        <w:t>明确软件的输入数据类型、输出结果类型。</w:t>
      </w:r>
      <w:r>
        <w:rPr>
          <w:rFonts w:hint="eastAsia" w:ascii="Times New Roman" w:hAnsi="Times New Roman" w:eastAsia="仿宋_GB2312" w:cs="Times New Roman"/>
          <w:snapToGrid w:val="0"/>
          <w:color w:val="auto"/>
          <w:kern w:val="0"/>
          <w:sz w:val="32"/>
          <w:szCs w:val="32"/>
          <w:highlight w:val="none"/>
          <w:lang w:val="en-US" w:eastAsia="zh-CN"/>
        </w:rPr>
        <w:t>如</w:t>
      </w:r>
      <w:r>
        <w:rPr>
          <w:rFonts w:hint="eastAsia" w:ascii="Times New Roman" w:hAnsi="Times New Roman" w:eastAsia="仿宋_GB2312" w:cs="Times New Roman"/>
          <w:snapToGrid w:val="0"/>
          <w:color w:val="auto"/>
          <w:kern w:val="0"/>
          <w:sz w:val="32"/>
          <w:szCs w:val="32"/>
          <w:highlight w:val="none"/>
          <w:lang w:eastAsia="zh-CN"/>
        </w:rPr>
        <w:t>按中医四诊信息分类，应至少包含以下一种或</w:t>
      </w:r>
      <w:r>
        <w:rPr>
          <w:rFonts w:hint="eastAsia" w:ascii="Times New Roman" w:hAnsi="Times New Roman" w:eastAsia="仿宋_GB2312" w:cs="Times New Roman"/>
          <w:snapToGrid w:val="0"/>
          <w:color w:val="auto"/>
          <w:kern w:val="0"/>
          <w:sz w:val="32"/>
          <w:szCs w:val="32"/>
          <w:highlight w:val="none"/>
          <w:lang w:val="en-US" w:eastAsia="zh-CN"/>
        </w:rPr>
        <w:t>多</w:t>
      </w:r>
      <w:r>
        <w:rPr>
          <w:rFonts w:hint="eastAsia" w:ascii="Times New Roman" w:hAnsi="Times New Roman" w:eastAsia="仿宋_GB2312" w:cs="Times New Roman"/>
          <w:snapToGrid w:val="0"/>
          <w:color w:val="auto"/>
          <w:kern w:val="0"/>
          <w:sz w:val="32"/>
          <w:szCs w:val="32"/>
          <w:highlight w:val="none"/>
          <w:lang w:eastAsia="zh-CN"/>
        </w:rPr>
        <w:t>种数据类型：</w:t>
      </w:r>
    </w:p>
    <w:p w14:paraId="1DE8CCAF">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eastAsia="zh-CN"/>
        </w:rPr>
        <w:t>（1）望诊信息：</w:t>
      </w:r>
      <w:r>
        <w:rPr>
          <w:rFonts w:hint="eastAsia" w:ascii="Times New Roman" w:hAnsi="Times New Roman" w:eastAsia="仿宋_GB2312" w:cs="Times New Roman"/>
          <w:snapToGrid w:val="0"/>
          <w:color w:val="auto"/>
          <w:kern w:val="0"/>
          <w:sz w:val="32"/>
          <w:szCs w:val="32"/>
          <w:highlight w:val="none"/>
          <w:lang w:val="en-US" w:eastAsia="zh-CN"/>
        </w:rPr>
        <w:t>输入信息通常包括面部图像、舌图像等，</w:t>
      </w:r>
      <w:r>
        <w:rPr>
          <w:rFonts w:hint="eastAsia" w:ascii="Times New Roman" w:hAnsi="Times New Roman" w:eastAsia="仿宋_GB2312" w:cs="Times New Roman"/>
          <w:snapToGrid w:val="0"/>
          <w:color w:val="auto"/>
          <w:kern w:val="0"/>
          <w:sz w:val="32"/>
          <w:szCs w:val="32"/>
          <w:highlight w:val="none"/>
          <w:lang w:eastAsia="zh-CN"/>
        </w:rPr>
        <w:t>需支持提取面色、</w:t>
      </w:r>
      <w:r>
        <w:rPr>
          <w:rFonts w:hint="eastAsia" w:ascii="Times New Roman" w:hAnsi="Times New Roman" w:eastAsia="仿宋_GB2312" w:cs="Times New Roman"/>
          <w:snapToGrid w:val="0"/>
          <w:color w:val="auto"/>
          <w:kern w:val="0"/>
          <w:sz w:val="32"/>
          <w:szCs w:val="32"/>
          <w:highlight w:val="none"/>
          <w:lang w:val="en-US" w:eastAsia="zh-CN"/>
        </w:rPr>
        <w:t>舌色、</w:t>
      </w:r>
      <w:r>
        <w:rPr>
          <w:rFonts w:hint="eastAsia" w:ascii="Times New Roman" w:hAnsi="Times New Roman" w:eastAsia="仿宋_GB2312" w:cs="Times New Roman"/>
          <w:snapToGrid w:val="0"/>
          <w:color w:val="auto"/>
          <w:kern w:val="0"/>
          <w:sz w:val="32"/>
          <w:szCs w:val="32"/>
          <w:highlight w:val="none"/>
          <w:lang w:eastAsia="zh-CN"/>
        </w:rPr>
        <w:t>光泽、局部特征（如眼周、口唇）所需的图像质量。</w:t>
      </w:r>
      <w:r>
        <w:rPr>
          <w:rFonts w:hint="eastAsia" w:ascii="Times New Roman" w:hAnsi="Times New Roman" w:eastAsia="仿宋_GB2312" w:cs="Times New Roman"/>
          <w:snapToGrid w:val="0"/>
          <w:color w:val="auto"/>
          <w:kern w:val="0"/>
          <w:sz w:val="32"/>
          <w:szCs w:val="32"/>
          <w:highlight w:val="none"/>
          <w:lang w:val="en-US" w:eastAsia="zh-CN"/>
        </w:rPr>
        <w:t>如</w:t>
      </w:r>
      <w:r>
        <w:rPr>
          <w:rFonts w:hint="eastAsia" w:ascii="Times New Roman" w:hAnsi="Times New Roman" w:eastAsia="仿宋_GB2312" w:cs="Times New Roman"/>
          <w:snapToGrid w:val="0"/>
          <w:color w:val="auto"/>
          <w:kern w:val="0"/>
          <w:sz w:val="32"/>
          <w:szCs w:val="32"/>
          <w:highlight w:val="none"/>
          <w:lang w:eastAsia="zh-CN"/>
        </w:rPr>
        <w:t>文件格式：需明确支持的图像格式（如JPEG、PNG、BMP等）</w:t>
      </w:r>
      <w:r>
        <w:rPr>
          <w:rFonts w:hint="eastAsia"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eastAsia="zh-CN"/>
        </w:rPr>
        <w:t>图像参数：最低分辨率要求</w:t>
      </w:r>
      <w:r>
        <w:rPr>
          <w:rFonts w:hint="eastAsia" w:eastAsia="仿宋_GB2312" w:cs="Times New Roman"/>
          <w:snapToGrid w:val="0"/>
          <w:color w:val="auto"/>
          <w:kern w:val="0"/>
          <w:sz w:val="32"/>
          <w:szCs w:val="32"/>
          <w:highlight w:val="none"/>
          <w:lang w:eastAsia="zh-CN"/>
        </w:rPr>
        <w:t>等</w:t>
      </w:r>
      <w:r>
        <w:rPr>
          <w:rFonts w:hint="eastAsia" w:ascii="Times New Roman" w:hAnsi="Times New Roman" w:eastAsia="仿宋_GB2312" w:cs="Times New Roman"/>
          <w:snapToGrid w:val="0"/>
          <w:color w:val="auto"/>
          <w:kern w:val="0"/>
          <w:sz w:val="32"/>
          <w:szCs w:val="32"/>
          <w:highlight w:val="none"/>
          <w:lang w:eastAsia="zh-CN"/>
        </w:rPr>
        <w:t>；若软件具备实时视频分析功能，需说明视频流格式、最低帧率、分辨率要求。若涉及耳穴、手掌、小儿指纹等图像输入，</w:t>
      </w:r>
      <w:r>
        <w:rPr>
          <w:rFonts w:hint="eastAsia" w:eastAsia="仿宋_GB2312" w:cs="Times New Roman"/>
          <w:snapToGrid w:val="0"/>
          <w:color w:val="auto"/>
          <w:kern w:val="0"/>
          <w:sz w:val="32"/>
          <w:szCs w:val="32"/>
          <w:highlight w:val="none"/>
          <w:lang w:eastAsia="zh-CN"/>
        </w:rPr>
        <w:t>可</w:t>
      </w:r>
      <w:r>
        <w:rPr>
          <w:rFonts w:hint="eastAsia" w:ascii="Times New Roman" w:hAnsi="Times New Roman" w:eastAsia="仿宋_GB2312" w:cs="Times New Roman"/>
          <w:snapToGrid w:val="0"/>
          <w:color w:val="auto"/>
          <w:kern w:val="0"/>
          <w:sz w:val="32"/>
          <w:szCs w:val="32"/>
          <w:highlight w:val="none"/>
          <w:lang w:eastAsia="zh-CN"/>
        </w:rPr>
        <w:t>参照上述要求明确对应采集参数与质量标准。</w:t>
      </w:r>
      <w:r>
        <w:rPr>
          <w:rFonts w:hint="eastAsia" w:ascii="Times New Roman" w:hAnsi="Times New Roman" w:eastAsia="仿宋_GB2312" w:cs="Times New Roman"/>
          <w:snapToGrid w:val="0"/>
          <w:color w:val="auto"/>
          <w:kern w:val="0"/>
          <w:sz w:val="32"/>
          <w:szCs w:val="32"/>
          <w:highlight w:val="none"/>
          <w:lang w:val="en-US" w:eastAsia="zh-CN"/>
        </w:rPr>
        <w:t>输出面色通常包括面色Lab值、色温、饱和度、亮度、对比度、局部色差等；输出舌色（如RGB均值、HSV空间值或Lab值）、苔色、苔质厚薄指数、润燥指数、裂纹数量及面积、齿痕深度、数量、瘀斑位置与面积比、舌形胖瘦比等。</w:t>
      </w:r>
    </w:p>
    <w:p w14:paraId="1079B146">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eastAsia="zh-CN"/>
        </w:rPr>
        <w:t>（2）闻诊信息：输入声音数据</w:t>
      </w:r>
      <w:r>
        <w:rPr>
          <w:rFonts w:hint="eastAsia" w:ascii="Times New Roman" w:hAnsi="Times New Roman" w:eastAsia="仿宋_GB2312" w:cs="Times New Roman"/>
          <w:snapToGrid w:val="0"/>
          <w:color w:val="auto"/>
          <w:kern w:val="0"/>
          <w:sz w:val="32"/>
          <w:szCs w:val="32"/>
          <w:highlight w:val="none"/>
          <w:lang w:val="en-US" w:eastAsia="zh-CN"/>
        </w:rPr>
        <w:t>时，</w:t>
      </w:r>
      <w:r>
        <w:rPr>
          <w:rFonts w:hint="eastAsia" w:ascii="Times New Roman" w:hAnsi="Times New Roman" w:eastAsia="仿宋_GB2312" w:cs="Times New Roman"/>
          <w:snapToGrid w:val="0"/>
          <w:color w:val="auto"/>
          <w:kern w:val="0"/>
          <w:sz w:val="32"/>
          <w:szCs w:val="32"/>
          <w:highlight w:val="none"/>
          <w:lang w:eastAsia="zh-CN"/>
        </w:rPr>
        <w:t>若软件分析患者语音、咳嗽声、呼吸声等以辅助诊断，需明确音频文件格式（如WAV、MP3</w:t>
      </w:r>
      <w:r>
        <w:rPr>
          <w:rFonts w:hint="eastAsia" w:ascii="Times New Roman" w:hAnsi="Times New Roman" w:eastAsia="仿宋_GB2312" w:cs="Times New Roman"/>
          <w:snapToGrid w:val="0"/>
          <w:color w:val="auto"/>
          <w:kern w:val="0"/>
          <w:sz w:val="32"/>
          <w:szCs w:val="32"/>
          <w:highlight w:val="none"/>
          <w:lang w:val="en-US" w:eastAsia="zh-CN"/>
        </w:rPr>
        <w:t>等</w:t>
      </w:r>
      <w:r>
        <w:rPr>
          <w:rFonts w:hint="eastAsia" w:ascii="Times New Roman" w:hAnsi="Times New Roman" w:eastAsia="仿宋_GB2312" w:cs="Times New Roman"/>
          <w:snapToGrid w:val="0"/>
          <w:color w:val="auto"/>
          <w:kern w:val="0"/>
          <w:sz w:val="32"/>
          <w:szCs w:val="32"/>
          <w:highlight w:val="none"/>
          <w:lang w:eastAsia="zh-CN"/>
        </w:rPr>
        <w:t>）、采样率（如不低于16kHz）、量化位数（不低于16bit）、声道数、背景噪声控制要求及录音环境规范。气味数据：若涉及电子鼻等传感器采集的气味特征数据，应说明数据格式、传感器类型、信号通道数、采样频率及基线校正要求。</w:t>
      </w:r>
    </w:p>
    <w:p w14:paraId="3CD3102B">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val="en-US" w:eastAsia="zh-CN"/>
        </w:rPr>
      </w:pPr>
      <w:r>
        <w:rPr>
          <w:rFonts w:hint="eastAsia" w:ascii="Times New Roman" w:hAnsi="Times New Roman" w:eastAsia="仿宋_GB2312" w:cs="Times New Roman"/>
          <w:snapToGrid w:val="0"/>
          <w:color w:val="auto"/>
          <w:kern w:val="0"/>
          <w:sz w:val="32"/>
          <w:szCs w:val="32"/>
          <w:highlight w:val="none"/>
          <w:lang w:eastAsia="zh-CN"/>
        </w:rPr>
        <w:t>（3）问诊信息输入：如结构化症状问卷数据，需明确中医特有描述（如恶寒发热、口干欲饮等）定义症状列表、严重程度分级（如无、轻、中、重），</w:t>
      </w:r>
      <w:r>
        <w:rPr>
          <w:rFonts w:hint="eastAsia" w:ascii="Times New Roman" w:hAnsi="Times New Roman" w:eastAsia="仿宋_GB2312" w:cs="Times New Roman"/>
          <w:snapToGrid w:val="0"/>
          <w:color w:val="auto"/>
          <w:kern w:val="0"/>
          <w:sz w:val="32"/>
          <w:szCs w:val="32"/>
          <w:highlight w:val="none"/>
          <w:lang w:val="en-US" w:eastAsia="zh-CN"/>
        </w:rPr>
        <w:t>或依据《中医体质分类与判定》问卷数据。</w:t>
      </w:r>
    </w:p>
    <w:p w14:paraId="6AD91AD7">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val="en-US" w:eastAsia="zh-CN"/>
        </w:rPr>
      </w:pPr>
      <w:r>
        <w:rPr>
          <w:rFonts w:hint="eastAsia" w:ascii="Times New Roman" w:hAnsi="Times New Roman" w:eastAsia="仿宋_GB2312" w:cs="Times New Roman"/>
          <w:snapToGrid w:val="0"/>
          <w:color w:val="auto"/>
          <w:kern w:val="0"/>
          <w:sz w:val="32"/>
          <w:szCs w:val="32"/>
          <w:highlight w:val="none"/>
          <w:lang w:val="en-US" w:eastAsia="zh-CN"/>
        </w:rPr>
        <w:t>（4）切诊信息输入：如脉诊波形数据，波形数据格式一般包括压力波形时间序列，需规定采样率、量化精度、通道数（单部采集通道或寸关尺三部采集通道）等。需说明输入的脉图特征参数集，如时域参数、频域特征等，并明确各参数的物理意义及单位。输出脉象特征信息，如脉率（次/分）、脉位、脉势、（如有，浮、中、沉）脉图，或脉象特征信息（如主波上升期、主波幅高、潮波起点、潮波波峰、潮波波幅高、重搏波起点、重搏波波峰、重搏波幅高）等。</w:t>
      </w:r>
    </w:p>
    <w:p w14:paraId="55A4782F">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val="en-US" w:eastAsia="zh-CN"/>
        </w:rPr>
      </w:pPr>
      <w:r>
        <w:rPr>
          <w:rFonts w:hint="eastAsia" w:ascii="Times New Roman" w:hAnsi="Times New Roman" w:eastAsia="仿宋_GB2312" w:cs="Times New Roman"/>
          <w:snapToGrid w:val="0"/>
          <w:color w:val="auto"/>
          <w:kern w:val="0"/>
          <w:sz w:val="32"/>
          <w:szCs w:val="32"/>
          <w:highlight w:val="none"/>
          <w:lang w:val="en-US" w:eastAsia="zh-CN"/>
        </w:rPr>
        <w:t>申请人应在产品技术要求中明确输出参数的准确性指标。如对于脉率测量，应规定其测量范围及在该范围内的最大允许误差，并提供制定依据。</w:t>
      </w:r>
    </w:p>
    <w:p w14:paraId="6B2EF7C3">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.1.2.1.4接口</w:t>
      </w:r>
    </w:p>
    <w:p w14:paraId="239FC6E5">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val="en-US" w:eastAsia="zh-CN"/>
        </w:rPr>
      </w:pPr>
      <w:r>
        <w:rPr>
          <w:rFonts w:hint="eastAsia" w:ascii="Times New Roman" w:hAnsi="Times New Roman" w:eastAsia="仿宋_GB2312" w:cs="Times New Roman"/>
          <w:snapToGrid w:val="0"/>
          <w:color w:val="auto"/>
          <w:kern w:val="0"/>
          <w:sz w:val="32"/>
          <w:szCs w:val="32"/>
          <w:highlight w:val="none"/>
          <w:lang w:eastAsia="zh-CN"/>
        </w:rPr>
        <w:t>应明确软件应用程序接口（API）、业务数据接口：包括数据传输协议（HTTPS、HTTP、FTP等）、数据存储格式、数据存储设备</w:t>
      </w:r>
      <w:r>
        <w:rPr>
          <w:rFonts w:hint="eastAsia" w:ascii="Times New Roman" w:hAnsi="Times New Roman" w:eastAsia="仿宋_GB2312" w:cs="Times New Roman"/>
          <w:snapToGrid w:val="0"/>
          <w:color w:val="auto"/>
          <w:kern w:val="0"/>
          <w:sz w:val="32"/>
          <w:szCs w:val="32"/>
          <w:highlight w:val="none"/>
          <w:lang w:val="en-US" w:eastAsia="zh-CN"/>
        </w:rPr>
        <w:t>接口</w:t>
      </w:r>
      <w:r>
        <w:rPr>
          <w:rFonts w:hint="eastAsia" w:ascii="Times New Roman" w:hAnsi="Times New Roman"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val="en-US" w:eastAsia="zh-CN"/>
        </w:rPr>
        <w:t>如</w:t>
      </w:r>
      <w:r>
        <w:rPr>
          <w:rFonts w:hint="eastAsia" w:ascii="Times New Roman" w:hAnsi="Times New Roman" w:eastAsia="仿宋_GB2312" w:cs="Times New Roman"/>
          <w:snapToGrid w:val="0"/>
          <w:color w:val="auto"/>
          <w:kern w:val="0"/>
          <w:sz w:val="32"/>
          <w:szCs w:val="32"/>
          <w:highlight w:val="none"/>
          <w:lang w:eastAsia="zh-CN"/>
        </w:rPr>
        <w:t>iSCSI协议、NFS、CIFS协议、FC协议）。如涉及调用控制硬件，需明确产品接口</w:t>
      </w:r>
      <w:r>
        <w:rPr>
          <w:rFonts w:hint="eastAsia"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val="en-US" w:eastAsia="zh-CN"/>
        </w:rPr>
        <w:t>通信方式、数据格式与控制逻辑</w:t>
      </w:r>
      <w:r>
        <w:rPr>
          <w:rFonts w:hint="eastAsia" w:ascii="Times New Roman" w:hAnsi="Times New Roman" w:eastAsia="仿宋_GB2312" w:cs="Times New Roman"/>
          <w:snapToGrid w:val="0"/>
          <w:color w:val="auto"/>
          <w:kern w:val="0"/>
          <w:sz w:val="32"/>
          <w:szCs w:val="32"/>
          <w:highlight w:val="none"/>
          <w:lang w:eastAsia="zh-CN"/>
        </w:rPr>
        <w:t>。</w:t>
      </w:r>
      <w:r>
        <w:rPr>
          <w:rFonts w:hint="eastAsia" w:ascii="Times New Roman" w:hAnsi="Times New Roman" w:eastAsia="仿宋_GB2312" w:cs="Times New Roman"/>
          <w:snapToGrid w:val="0"/>
          <w:color w:val="auto"/>
          <w:kern w:val="0"/>
          <w:sz w:val="32"/>
          <w:szCs w:val="32"/>
          <w:highlight w:val="none"/>
          <w:lang w:val="en-US" w:eastAsia="zh-CN"/>
        </w:rPr>
        <w:t>若软件提供数据访问接口，应当明确数据共享方式及加密协议要求。</w:t>
      </w:r>
    </w:p>
    <w:p w14:paraId="6955DE94">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.1.2.1.5必备软硬件（如适用）</w:t>
      </w:r>
    </w:p>
    <w:p w14:paraId="203384FE">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eastAsia="zh-CN"/>
        </w:rPr>
        <w:t>明确软件正常运行所必需的其他的医疗器械独立软件（名称、型号规格、发布版本）及医用中间件（名称、型号规格、发布版本）、医疗器械硬件产品（名称、型号规格）。</w:t>
      </w:r>
    </w:p>
    <w:p w14:paraId="7F3B4ECF">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.1.2.1.6运行环境</w:t>
      </w:r>
    </w:p>
    <w:p w14:paraId="771146F3">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eastAsia="zh-CN"/>
        </w:rPr>
        <w:t>明确软件正常运行所需的典型运行环境，包括硬件配置</w:t>
      </w:r>
      <w:r>
        <w:rPr>
          <w:rFonts w:hint="eastAsia" w:ascii="Times New Roman" w:hAnsi="Times New Roman" w:eastAsia="仿宋_GB2312" w:cs="Times New Roman"/>
          <w:snapToGrid w:val="0"/>
          <w:color w:val="auto"/>
          <w:kern w:val="0"/>
          <w:sz w:val="32"/>
          <w:szCs w:val="32"/>
          <w:highlight w:val="none"/>
          <w:lang w:val="en-US" w:eastAsia="zh-CN"/>
        </w:rPr>
        <w:t>以及改装要求</w:t>
      </w:r>
      <w:r>
        <w:rPr>
          <w:rFonts w:hint="eastAsia" w:ascii="Times New Roman" w:hAnsi="Times New Roman" w:eastAsia="仿宋_GB2312" w:cs="Times New Roman"/>
          <w:snapToGrid w:val="0"/>
          <w:color w:val="auto"/>
          <w:kern w:val="0"/>
          <w:sz w:val="32"/>
          <w:szCs w:val="32"/>
          <w:highlight w:val="none"/>
          <w:lang w:eastAsia="zh-CN"/>
        </w:rPr>
        <w:t>（含处理器、存储器、外设器件），如运行于虚拟化环境，应说明虚拟化平台类型及版本、所分配的虚拟资源（vCPU、内存、磁盘等）的最低要求。外部软件环境（列明全部软件的名称、完整版本、补丁版本，使用“兼容版本”而非“以上版本”“更高版本”）、网络条件（含网络架构、网络类型、网络带宽），涵盖客户端、服务器端（若适用）要求。无需重复描述必备软硬件。</w:t>
      </w:r>
    </w:p>
    <w:p w14:paraId="196BFAF7">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s="Times New Roman"/>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w:t>
      </w:r>
      <w:r>
        <w:rPr>
          <w:rFonts w:hint="eastAsia" w:ascii="Times New Roman" w:hAnsi="Times New Roman" w:eastAsia="仿宋_GB2312" w:cs="Times New Roman"/>
          <w:snapToGrid w:val="0"/>
          <w:color w:val="auto"/>
          <w:kern w:val="0"/>
          <w:sz w:val="32"/>
          <w:szCs w:val="32"/>
          <w:highlight w:val="none"/>
          <w:lang w:val="en-US" w:eastAsia="zh-CN"/>
        </w:rPr>
        <w:t>2.2</w:t>
      </w:r>
      <w:r>
        <w:rPr>
          <w:rFonts w:hint="eastAsia" w:ascii="Times New Roman" w:hAnsi="Times New Roman" w:eastAsia="仿宋_GB2312" w:cs="Times New Roman"/>
          <w:snapToGrid w:val="0"/>
          <w:color w:val="auto"/>
          <w:kern w:val="0"/>
          <w:sz w:val="32"/>
          <w:szCs w:val="32"/>
          <w:highlight w:val="none"/>
          <w:lang w:eastAsia="zh-CN"/>
        </w:rPr>
        <w:t>安全要求</w:t>
      </w:r>
    </w:p>
    <w:p w14:paraId="1C770AF2">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b/>
          <w:bCs/>
          <w:snapToGrid w:val="0"/>
          <w:color w:val="auto"/>
          <w:kern w:val="0"/>
          <w:sz w:val="32"/>
          <w:szCs w:val="32"/>
          <w:highlight w:val="none"/>
          <w:lang w:eastAsia="zh-CN"/>
        </w:rPr>
      </w:pPr>
      <w:r>
        <w:rPr>
          <w:rFonts w:hint="eastAsia" w:ascii="Times New Roman" w:hAnsi="Times New Roman" w:eastAsia="仿宋_GB2312" w:cs="Times New Roman"/>
          <w:snapToGrid w:val="0"/>
          <w:color w:val="auto"/>
          <w:kern w:val="0"/>
          <w:sz w:val="32"/>
          <w:szCs w:val="32"/>
          <w:highlight w:val="none"/>
          <w:lang w:eastAsia="zh-CN"/>
        </w:rPr>
        <w:t>结合</w:t>
      </w:r>
      <w:r>
        <w:rPr>
          <w:rFonts w:hint="eastAsia" w:ascii="Times New Roman" w:hAnsi="Times New Roman" w:eastAsia="仿宋_GB2312" w:cs="Times New Roman"/>
          <w:snapToGrid w:val="0"/>
          <w:color w:val="auto"/>
          <w:kern w:val="0"/>
          <w:sz w:val="32"/>
          <w:szCs w:val="32"/>
          <w:highlight w:val="none"/>
          <w:lang w:val="en-US" w:eastAsia="zh-CN"/>
        </w:rPr>
        <w:t>3</w:t>
      </w:r>
      <w:r>
        <w:rPr>
          <w:rFonts w:hint="eastAsia" w:ascii="Times New Roman" w:hAnsi="Times New Roman" w:eastAsia="仿宋_GB2312" w:cs="Times New Roman"/>
          <w:snapToGrid w:val="0"/>
          <w:color w:val="auto"/>
          <w:kern w:val="0"/>
          <w:sz w:val="32"/>
          <w:szCs w:val="32"/>
          <w:highlight w:val="none"/>
          <w:lang w:eastAsia="zh-CN"/>
        </w:rPr>
        <w:t>.1.2.1.6运行环境对硬件的要求，与联合使用硬件共同符合相应硬件产品的要求。</w:t>
      </w:r>
    </w:p>
    <w:p w14:paraId="4FC25AC8">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lang w:val="en-US" w:eastAsia="zh-CN"/>
        </w:rPr>
        <w:t>3</w:t>
      </w:r>
      <w:r>
        <w:rPr>
          <w:rFonts w:hint="eastAsia" w:ascii="Times New Roman" w:hAnsi="Times New Roman" w:eastAsia="仿宋_GB2312"/>
          <w:snapToGrid w:val="0"/>
          <w:color w:val="auto"/>
          <w:kern w:val="0"/>
          <w:sz w:val="32"/>
          <w:szCs w:val="32"/>
          <w:highlight w:val="none"/>
        </w:rPr>
        <w:t>.1</w:t>
      </w:r>
      <w:r>
        <w:rPr>
          <w:rFonts w:hint="eastAsia" w:ascii="Times New Roman" w:hAnsi="Times New Roman" w:eastAsia="仿宋_GB2312"/>
          <w:snapToGrid w:val="0"/>
          <w:color w:val="auto"/>
          <w:kern w:val="0"/>
          <w:sz w:val="32"/>
          <w:szCs w:val="32"/>
          <w:highlight w:val="none"/>
          <w:lang w:val="en-US" w:eastAsia="zh-CN"/>
        </w:rPr>
        <w:t>.3</w:t>
      </w:r>
      <w:r>
        <w:rPr>
          <w:rFonts w:hint="eastAsia" w:ascii="Times New Roman" w:hAnsi="Times New Roman" w:eastAsia="仿宋_GB2312"/>
          <w:snapToGrid w:val="0"/>
          <w:color w:val="auto"/>
          <w:kern w:val="0"/>
          <w:sz w:val="32"/>
          <w:szCs w:val="32"/>
          <w:highlight w:val="none"/>
        </w:rPr>
        <w:t>申报产品适用标准情况</w:t>
      </w:r>
    </w:p>
    <w:p w14:paraId="3DE7263F">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snapToGrid w:val="0"/>
          <w:color w:val="auto"/>
          <w:kern w:val="0"/>
          <w:sz w:val="32"/>
          <w:szCs w:val="32"/>
          <w:highlight w:val="none"/>
        </w:rPr>
        <w:t>列表说明申报产品符合的国家标准和行业标准，可以参考下表示例</w:t>
      </w:r>
      <w:r>
        <w:rPr>
          <w:rFonts w:hint="eastAsia" w:ascii="Times New Roman" w:hAnsi="Times New Roman" w:eastAsia="仿宋_GB2312"/>
          <w:snapToGrid w:val="0"/>
          <w:color w:val="auto"/>
          <w:kern w:val="0"/>
          <w:sz w:val="32"/>
          <w:szCs w:val="32"/>
          <w:highlight w:val="none"/>
          <w:lang w:eastAsia="zh-CN"/>
        </w:rPr>
        <w:t>。当前常见中医辅助诊断类</w:t>
      </w:r>
      <w:r>
        <w:rPr>
          <w:rFonts w:hint="eastAsia" w:ascii="Times New Roman" w:hAnsi="Times New Roman" w:eastAsia="仿宋_GB2312"/>
          <w:snapToGrid w:val="0"/>
          <w:color w:val="auto"/>
          <w:kern w:val="0"/>
          <w:sz w:val="32"/>
          <w:szCs w:val="32"/>
          <w:highlight w:val="none"/>
        </w:rPr>
        <w:t>产品注册所涉及到的主要标准。注册申请人可根据产品的特点引用其他行业的相关标准。</w:t>
      </w:r>
    </w:p>
    <w:tbl>
      <w:tblPr>
        <w:tblStyle w:val="17"/>
        <w:tblpPr w:leftFromText="180" w:rightFromText="180" w:vertAnchor="text" w:horzAnchor="page" w:tblpX="2368" w:tblpY="39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5459"/>
      </w:tblGrid>
      <w:tr w14:paraId="4B3F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2000" w:type="dxa"/>
            <w:noWrap w:val="0"/>
            <w:vAlign w:val="center"/>
          </w:tcPr>
          <w:p w14:paraId="7D3F99CB">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rPr>
            </w:pPr>
            <w:r>
              <w:rPr>
                <w:rFonts w:hint="eastAsia" w:ascii="Times New Roman" w:hAnsi="Times New Roman" w:eastAsia="仿宋_GB2312"/>
                <w:snapToGrid w:val="0"/>
                <w:color w:val="auto"/>
                <w:kern w:val="0"/>
                <w:sz w:val="24"/>
                <w:szCs w:val="24"/>
                <w:highlight w:val="none"/>
                <w:lang w:eastAsia="zh-CN"/>
              </w:rPr>
              <w:t>GB/T 25000.51</w:t>
            </w:r>
          </w:p>
        </w:tc>
        <w:tc>
          <w:tcPr>
            <w:tcW w:w="5459" w:type="dxa"/>
            <w:noWrap w:val="0"/>
            <w:vAlign w:val="center"/>
          </w:tcPr>
          <w:p w14:paraId="56C397BB">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rPr>
            </w:pPr>
            <w:r>
              <w:rPr>
                <w:rFonts w:hint="eastAsia" w:ascii="Times New Roman" w:hAnsi="Times New Roman" w:eastAsia="仿宋_GB2312"/>
                <w:snapToGrid w:val="0"/>
                <w:color w:val="auto"/>
                <w:kern w:val="0"/>
                <w:sz w:val="24"/>
                <w:szCs w:val="24"/>
                <w:highlight w:val="none"/>
                <w:lang w:eastAsia="zh-CN"/>
              </w:rPr>
              <w:t>《系统与软件工程 系统与软件质量要求和评价(SQuaRE) 第51部分》</w:t>
            </w:r>
          </w:p>
        </w:tc>
      </w:tr>
      <w:tr w14:paraId="1FDD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000" w:type="dxa"/>
            <w:noWrap w:val="0"/>
            <w:vAlign w:val="center"/>
          </w:tcPr>
          <w:p w14:paraId="3D18EA35">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rPr>
            </w:pPr>
            <w:r>
              <w:rPr>
                <w:rFonts w:hint="eastAsia" w:ascii="Times New Roman" w:hAnsi="Times New Roman" w:eastAsia="仿宋_GB2312"/>
                <w:snapToGrid w:val="0"/>
                <w:color w:val="auto"/>
                <w:kern w:val="0"/>
                <w:sz w:val="24"/>
                <w:szCs w:val="24"/>
                <w:highlight w:val="none"/>
                <w:lang w:eastAsia="zh-CN"/>
              </w:rPr>
              <w:t>GB/T 42062</w:t>
            </w:r>
          </w:p>
        </w:tc>
        <w:tc>
          <w:tcPr>
            <w:tcW w:w="5459" w:type="dxa"/>
            <w:noWrap w:val="0"/>
            <w:vAlign w:val="center"/>
          </w:tcPr>
          <w:p w14:paraId="4DE7E6D6">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rPr>
            </w:pPr>
            <w:r>
              <w:rPr>
                <w:rFonts w:hint="eastAsia" w:ascii="Times New Roman" w:hAnsi="Times New Roman" w:eastAsia="仿宋_GB2312"/>
                <w:snapToGrid w:val="0"/>
                <w:color w:val="auto"/>
                <w:kern w:val="0"/>
                <w:sz w:val="24"/>
                <w:szCs w:val="24"/>
                <w:highlight w:val="none"/>
                <w:lang w:eastAsia="zh-CN"/>
              </w:rPr>
              <w:t>《医疗器械 风险管理对医疗器械的应用》</w:t>
            </w:r>
          </w:p>
        </w:tc>
      </w:tr>
      <w:tr w14:paraId="5433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000" w:type="dxa"/>
            <w:noWrap w:val="0"/>
            <w:vAlign w:val="center"/>
          </w:tcPr>
          <w:p w14:paraId="672A855E">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rPr>
            </w:pPr>
            <w:r>
              <w:rPr>
                <w:rFonts w:hint="eastAsia" w:ascii="Times New Roman" w:hAnsi="Times New Roman" w:eastAsia="仿宋_GB2312"/>
                <w:snapToGrid w:val="0"/>
                <w:color w:val="auto"/>
                <w:kern w:val="0"/>
                <w:sz w:val="24"/>
                <w:szCs w:val="24"/>
                <w:highlight w:val="none"/>
                <w:lang w:eastAsia="zh-CN"/>
              </w:rPr>
              <w:t>YY/T 1437</w:t>
            </w:r>
          </w:p>
        </w:tc>
        <w:tc>
          <w:tcPr>
            <w:tcW w:w="5459" w:type="dxa"/>
            <w:noWrap w:val="0"/>
            <w:vAlign w:val="center"/>
          </w:tcPr>
          <w:p w14:paraId="09FFE81C">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rPr>
            </w:pPr>
            <w:r>
              <w:rPr>
                <w:rFonts w:hint="eastAsia" w:ascii="Times New Roman" w:hAnsi="Times New Roman" w:eastAsia="仿宋_GB2312"/>
                <w:snapToGrid w:val="0"/>
                <w:color w:val="auto"/>
                <w:kern w:val="0"/>
                <w:sz w:val="24"/>
                <w:szCs w:val="24"/>
                <w:highlight w:val="none"/>
                <w:lang w:eastAsia="zh-CN"/>
              </w:rPr>
              <w:t>《医疗器械GB/T 42062应用指南》</w:t>
            </w:r>
          </w:p>
        </w:tc>
      </w:tr>
      <w:tr w14:paraId="6F28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000" w:type="dxa"/>
            <w:noWrap w:val="0"/>
            <w:vAlign w:val="center"/>
          </w:tcPr>
          <w:p w14:paraId="6275D6AE">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lang w:eastAsia="zh-CN"/>
              </w:rPr>
            </w:pPr>
            <w:r>
              <w:rPr>
                <w:rFonts w:hint="eastAsia" w:ascii="Times New Roman" w:hAnsi="Times New Roman" w:eastAsia="仿宋_GB2312"/>
                <w:snapToGrid w:val="0"/>
                <w:color w:val="auto"/>
                <w:kern w:val="0"/>
                <w:sz w:val="24"/>
                <w:szCs w:val="24"/>
                <w:highlight w:val="none"/>
                <w:lang w:eastAsia="zh-CN"/>
              </w:rPr>
              <w:t>YY/T 1489</w:t>
            </w:r>
          </w:p>
        </w:tc>
        <w:tc>
          <w:tcPr>
            <w:tcW w:w="5459" w:type="dxa"/>
            <w:noWrap w:val="0"/>
            <w:vAlign w:val="center"/>
          </w:tcPr>
          <w:p w14:paraId="0DC86729">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rPr>
            </w:pPr>
            <w:r>
              <w:rPr>
                <w:rFonts w:hint="eastAsia" w:ascii="Times New Roman" w:hAnsi="Times New Roman" w:eastAsia="仿宋_GB2312"/>
                <w:snapToGrid w:val="0"/>
                <w:color w:val="auto"/>
                <w:kern w:val="0"/>
                <w:sz w:val="24"/>
                <w:szCs w:val="24"/>
                <w:highlight w:val="none"/>
                <w:lang w:eastAsia="zh-CN"/>
              </w:rPr>
              <w:t>《中医脉图采集设备》</w:t>
            </w:r>
          </w:p>
        </w:tc>
      </w:tr>
      <w:tr w14:paraId="654F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000" w:type="dxa"/>
            <w:noWrap w:val="0"/>
            <w:vAlign w:val="center"/>
          </w:tcPr>
          <w:p w14:paraId="78F268AB">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lang w:eastAsia="zh-CN"/>
              </w:rPr>
            </w:pPr>
            <w:r>
              <w:rPr>
                <w:rFonts w:hint="eastAsia" w:ascii="Times New Roman" w:hAnsi="Times New Roman" w:eastAsia="仿宋_GB2312"/>
                <w:snapToGrid w:val="0"/>
                <w:color w:val="auto"/>
                <w:kern w:val="0"/>
                <w:sz w:val="24"/>
                <w:szCs w:val="24"/>
                <w:highlight w:val="none"/>
                <w:lang w:eastAsia="zh-CN"/>
              </w:rPr>
              <w:t>GB/T 40665</w:t>
            </w:r>
          </w:p>
        </w:tc>
        <w:tc>
          <w:tcPr>
            <w:tcW w:w="5459" w:type="dxa"/>
            <w:noWrap w:val="0"/>
            <w:vAlign w:val="center"/>
          </w:tcPr>
          <w:p w14:paraId="6D84FFD9">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lang w:eastAsia="zh-CN"/>
              </w:rPr>
            </w:pPr>
            <w:r>
              <w:rPr>
                <w:rFonts w:hint="eastAsia" w:ascii="Times New Roman" w:hAnsi="Times New Roman" w:eastAsia="仿宋_GB2312"/>
                <w:snapToGrid w:val="0"/>
                <w:color w:val="auto"/>
                <w:kern w:val="0"/>
                <w:sz w:val="24"/>
                <w:szCs w:val="24"/>
                <w:highlight w:val="none"/>
                <w:lang w:eastAsia="zh-CN"/>
              </w:rPr>
              <w:t>《中医四诊操作规范》</w:t>
            </w:r>
          </w:p>
        </w:tc>
      </w:tr>
      <w:tr w14:paraId="3297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000" w:type="dxa"/>
            <w:noWrap w:val="0"/>
            <w:vAlign w:val="center"/>
          </w:tcPr>
          <w:p w14:paraId="0835AE0B">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lang w:eastAsia="zh-CN"/>
              </w:rPr>
            </w:pPr>
            <w:r>
              <w:rPr>
                <w:rFonts w:hint="eastAsia" w:ascii="Times New Roman" w:hAnsi="Times New Roman" w:eastAsia="仿宋_GB2312"/>
                <w:snapToGrid w:val="0"/>
                <w:color w:val="auto"/>
                <w:kern w:val="0"/>
                <w:sz w:val="24"/>
                <w:szCs w:val="24"/>
                <w:highlight w:val="none"/>
                <w:lang w:eastAsia="zh-CN"/>
              </w:rPr>
              <w:t>YY/T 1488</w:t>
            </w:r>
          </w:p>
        </w:tc>
        <w:tc>
          <w:tcPr>
            <w:tcW w:w="5459" w:type="dxa"/>
            <w:noWrap w:val="0"/>
            <w:vAlign w:val="center"/>
          </w:tcPr>
          <w:p w14:paraId="6628C14C">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lang w:eastAsia="zh-CN"/>
              </w:rPr>
            </w:pPr>
            <w:r>
              <w:rPr>
                <w:rFonts w:hint="eastAsia" w:ascii="Times New Roman" w:hAnsi="Times New Roman" w:eastAsia="仿宋_GB2312"/>
                <w:snapToGrid w:val="0"/>
                <w:color w:val="auto"/>
                <w:kern w:val="0"/>
                <w:sz w:val="24"/>
                <w:szCs w:val="24"/>
                <w:highlight w:val="none"/>
                <w:lang w:eastAsia="zh-CN"/>
              </w:rPr>
              <w:t>《舌象信息采集设备》</w:t>
            </w:r>
          </w:p>
        </w:tc>
      </w:tr>
      <w:tr w14:paraId="4A6E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000" w:type="dxa"/>
            <w:noWrap w:val="0"/>
            <w:vAlign w:val="center"/>
          </w:tcPr>
          <w:p w14:paraId="117D8550">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lang w:eastAsia="zh-CN"/>
              </w:rPr>
            </w:pPr>
            <w:r>
              <w:rPr>
                <w:rFonts w:hint="eastAsia" w:ascii="Times New Roman" w:hAnsi="Times New Roman" w:eastAsia="仿宋_GB2312"/>
                <w:snapToGrid w:val="0"/>
                <w:color w:val="auto"/>
                <w:kern w:val="0"/>
                <w:sz w:val="24"/>
                <w:szCs w:val="24"/>
                <w:highlight w:val="none"/>
                <w:lang w:eastAsia="zh-CN"/>
              </w:rPr>
              <w:t>GB/T 46939</w:t>
            </w:r>
          </w:p>
        </w:tc>
        <w:tc>
          <w:tcPr>
            <w:tcW w:w="5459" w:type="dxa"/>
            <w:noWrap w:val="0"/>
            <w:vAlign w:val="center"/>
          </w:tcPr>
          <w:p w14:paraId="3657840D">
            <w:pPr>
              <w:keepNext w:val="0"/>
              <w:keepLines w:val="0"/>
              <w:pageBreakBefore w:val="0"/>
              <w:kinsoku/>
              <w:wordWrap/>
              <w:topLinePunct w:val="0"/>
              <w:autoSpaceDE/>
              <w:autoSpaceDN/>
              <w:bidi w:val="0"/>
              <w:spacing w:line="500" w:lineRule="exact"/>
              <w:jc w:val="both"/>
              <w:textAlignment w:val="auto"/>
              <w:rPr>
                <w:rFonts w:hint="eastAsia" w:ascii="Times New Roman" w:hAnsi="Times New Roman" w:eastAsia="仿宋_GB2312"/>
                <w:snapToGrid w:val="0"/>
                <w:color w:val="auto"/>
                <w:kern w:val="0"/>
                <w:sz w:val="24"/>
                <w:szCs w:val="24"/>
                <w:highlight w:val="none"/>
                <w:lang w:eastAsia="zh-CN"/>
              </w:rPr>
            </w:pPr>
            <w:r>
              <w:rPr>
                <w:rFonts w:hint="eastAsia" w:ascii="Times New Roman" w:hAnsi="Times New Roman" w:eastAsia="仿宋_GB2312"/>
                <w:snapToGrid w:val="0"/>
                <w:color w:val="auto"/>
                <w:kern w:val="0"/>
                <w:sz w:val="24"/>
                <w:szCs w:val="24"/>
                <w:highlight w:val="none"/>
                <w:lang w:eastAsia="zh-CN"/>
              </w:rPr>
              <w:t>《</w:t>
            </w:r>
            <w:r>
              <w:rPr>
                <w:rFonts w:hint="eastAsia" w:ascii="Times New Roman" w:hAnsi="Times New Roman" w:eastAsia="仿宋_GB2312"/>
                <w:snapToGrid w:val="0"/>
                <w:color w:val="auto"/>
                <w:kern w:val="0"/>
                <w:sz w:val="24"/>
                <w:szCs w:val="24"/>
                <w:highlight w:val="none"/>
                <w:lang w:val="en-US" w:eastAsia="zh-CN"/>
              </w:rPr>
              <w:t>中医体质分类与判定</w:t>
            </w:r>
            <w:r>
              <w:rPr>
                <w:rFonts w:hint="eastAsia" w:ascii="Times New Roman" w:hAnsi="Times New Roman" w:eastAsia="仿宋_GB2312"/>
                <w:snapToGrid w:val="0"/>
                <w:color w:val="auto"/>
                <w:kern w:val="0"/>
                <w:sz w:val="24"/>
                <w:szCs w:val="24"/>
                <w:highlight w:val="none"/>
                <w:lang w:eastAsia="zh-CN"/>
              </w:rPr>
              <w:t>》</w:t>
            </w:r>
          </w:p>
        </w:tc>
      </w:tr>
    </w:tbl>
    <w:p w14:paraId="18CF4037">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kern w:val="0"/>
          <w:sz w:val="32"/>
          <w:szCs w:val="32"/>
          <w:highlight w:val="none"/>
          <w:lang w:val="en-US" w:eastAsia="zh-CN"/>
        </w:rPr>
      </w:pPr>
      <w:r>
        <w:rPr>
          <w:rFonts w:hint="eastAsia" w:ascii="Times New Roman" w:hAnsi="Times New Roman" w:eastAsia="仿宋_GB2312"/>
          <w:snapToGrid w:val="0"/>
          <w:color w:val="auto"/>
          <w:kern w:val="0"/>
          <w:sz w:val="32"/>
          <w:szCs w:val="32"/>
          <w:highlight w:val="none"/>
          <w:lang w:val="en-US" w:eastAsia="zh-CN"/>
        </w:rPr>
        <w:t>3.2检验报告</w:t>
      </w:r>
    </w:p>
    <w:p w14:paraId="4B829AA7">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注册申请人应提供产品检验报告，产品检验报告应符合国务院药品监督管理部门的要求，可以是医疗器械注册申请人的自检报告，也可以是委托具有医疗器械检验资质的医疗器械检验机构出具的检验报告。</w:t>
      </w:r>
    </w:p>
    <w:p w14:paraId="27E7BD01">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4.研究资料</w:t>
      </w:r>
    </w:p>
    <w:p w14:paraId="5094986D">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4.1软件研究</w:t>
      </w:r>
    </w:p>
    <w:p w14:paraId="3B3E8885">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注册申请人应依据《医疗器械软件注册审查指导原则》提交软件研究资料（含现成软件组件研究资料、外部软件环境研究资料、互操作性研究资料、GB/T 25000.51的自测报告、自检报告或检验报告等）。</w:t>
      </w:r>
    </w:p>
    <w:p w14:paraId="362D64E1">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建议按照安全性级别的要求提交软件研究资料，中医辅助诊断</w:t>
      </w:r>
      <w:r>
        <w:rPr>
          <w:rFonts w:hint="eastAsia" w:ascii="Times New Roman" w:hAnsi="Times New Roman" w:eastAsia="仿宋_GB2312" w:cs="仿宋_GB2312"/>
          <w:snapToGrid w:val="0"/>
          <w:color w:val="auto"/>
          <w:kern w:val="0"/>
          <w:sz w:val="32"/>
          <w:szCs w:val="32"/>
          <w:highlight w:val="none"/>
        </w:rPr>
        <w:t>软件安全性级别</w:t>
      </w:r>
      <w:r>
        <w:rPr>
          <w:rFonts w:hint="eastAsia" w:ascii="Times New Roman" w:hAnsi="Times New Roman" w:eastAsia="仿宋_GB2312" w:cs="仿宋_GB2312"/>
          <w:snapToGrid w:val="0"/>
          <w:color w:val="auto"/>
          <w:kern w:val="0"/>
          <w:sz w:val="32"/>
          <w:szCs w:val="32"/>
          <w:highlight w:val="none"/>
          <w:lang w:eastAsia="zh-CN"/>
        </w:rPr>
        <w:t>至少</w:t>
      </w:r>
      <w:r>
        <w:rPr>
          <w:rFonts w:hint="eastAsia" w:ascii="Times New Roman" w:hAnsi="Times New Roman" w:eastAsia="仿宋_GB2312" w:cs="仿宋_GB2312"/>
          <w:snapToGrid w:val="0"/>
          <w:color w:val="auto"/>
          <w:kern w:val="0"/>
          <w:sz w:val="32"/>
          <w:szCs w:val="32"/>
          <w:highlight w:val="none"/>
        </w:rPr>
        <w:t>为</w:t>
      </w:r>
      <w:r>
        <w:rPr>
          <w:rFonts w:hint="eastAsia" w:ascii="Times New Roman" w:hAnsi="Times New Roman" w:eastAsia="仿宋_GB2312" w:cs="仿宋_GB2312"/>
          <w:snapToGrid w:val="0"/>
          <w:color w:val="auto"/>
          <w:kern w:val="0"/>
          <w:sz w:val="32"/>
          <w:szCs w:val="32"/>
          <w:highlight w:val="none"/>
          <w:lang w:eastAsia="zh-CN"/>
        </w:rPr>
        <w:t>中等</w:t>
      </w:r>
      <w:r>
        <w:rPr>
          <w:rFonts w:hint="eastAsia" w:ascii="Times New Roman" w:hAnsi="Times New Roman" w:eastAsia="仿宋_GB2312" w:cs="仿宋_GB2312"/>
          <w:snapToGrid w:val="0"/>
          <w:color w:val="auto"/>
          <w:kern w:val="0"/>
          <w:sz w:val="32"/>
          <w:szCs w:val="32"/>
          <w:highlight w:val="none"/>
        </w:rPr>
        <w:t>级别。</w:t>
      </w:r>
    </w:p>
    <w:p w14:paraId="3DF04D9A">
      <w:pPr>
        <w:pStyle w:val="57"/>
        <w:keepNext w:val="0"/>
        <w:keepLines w:val="0"/>
        <w:pageBreakBefore w:val="0"/>
        <w:kinsoku/>
        <w:wordWrap/>
        <w:overflowPunct w:val="0"/>
        <w:topLinePunct w:val="0"/>
        <w:autoSpaceDE/>
        <w:autoSpaceDN/>
        <w:bidi w:val="0"/>
        <w:spacing w:line="500" w:lineRule="exact"/>
        <w:ind w:right="210" w:firstLine="640"/>
        <w:jc w:val="left"/>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需明确软件功能实现用到的算法，提供算法清单，列明各算法的名称、版本、类型，如预处理算法（例如舌象颜色校正、舌体分割、音频降噪、脉图基线漂移去除等），特征提取算法（例如舌色量化、齿痕检测、脉图时域特征点识别、声学特征提取等）；预期用途需注明，并提供相应安全有效性研究资料。全新算法需要提供算法研究报告，通常包括算法基本信息、算法风险管理、算法需求规范、算法质控要求、算法验证与确认、算法可追溯性分析、结论等内容。如为数据驱动型算法，其设计或关键参数阈值（如舌色分类阈值、苔质厚薄指数阈值、脉图特征点判定准则等）是基于特定参考数据集进行统计分析而确立的，应说明该参考数据集的来源、纳排标准、样本量，并提供数据集的基本特征分析（如年龄、性别、病证分布等），以证明其对于目标适用人群的代表性。</w:t>
      </w:r>
    </w:p>
    <w:p w14:paraId="23D17D5B">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应提交算法性能验证资料，验证其在不同干扰条件下的鲁棒性。</w:t>
      </w:r>
      <w:r>
        <w:rPr>
          <w:rFonts w:hint="eastAsia" w:ascii="Times New Roman" w:hAnsi="Times New Roman" w:eastAsia="仿宋_GB2312" w:cs="仿宋_GB2312"/>
          <w:snapToGrid w:val="0"/>
          <w:color w:val="auto"/>
          <w:kern w:val="0"/>
          <w:sz w:val="32"/>
          <w:szCs w:val="32"/>
          <w:highlight w:val="none"/>
        </w:rPr>
        <w:t>（1）干扰因素选择</w:t>
      </w:r>
      <w:r>
        <w:rPr>
          <w:rFonts w:hint="eastAsia" w:ascii="Times New Roman" w:hAnsi="Times New Roman" w:eastAsia="仿宋_GB2312" w:cs="仿宋_GB2312"/>
          <w:snapToGrid w:val="0"/>
          <w:color w:val="auto"/>
          <w:kern w:val="0"/>
          <w:sz w:val="32"/>
          <w:szCs w:val="32"/>
          <w:highlight w:val="none"/>
          <w:lang w:eastAsia="zh-CN"/>
        </w:rPr>
        <w:t>：</w:t>
      </w:r>
      <w:r>
        <w:rPr>
          <w:rFonts w:hint="eastAsia" w:ascii="Times New Roman" w:hAnsi="Times New Roman" w:eastAsia="仿宋_GB2312" w:cs="仿宋_GB2312"/>
          <w:snapToGrid w:val="0"/>
          <w:color w:val="auto"/>
          <w:kern w:val="0"/>
          <w:sz w:val="32"/>
          <w:szCs w:val="32"/>
          <w:highlight w:val="none"/>
        </w:rPr>
        <w:t>应覆盖预期使用中可能发生的主要干扰，如输入数据质量退化（噪声、模糊、光照变化）、采集条件变异（分辨率下降、有损压缩、角度倾斜、局部遮挡）、被测者特征变异（极端舌色、厚腻苔覆盖）及设备操作差异等。申请人应根据产品特点选取适用项目，并说明理由。（2）测试方案</w:t>
      </w:r>
      <w:r>
        <w:rPr>
          <w:rFonts w:hint="eastAsia" w:ascii="Times New Roman" w:hAnsi="Times New Roman" w:eastAsia="仿宋_GB2312" w:cs="仿宋_GB2312"/>
          <w:snapToGrid w:val="0"/>
          <w:color w:val="auto"/>
          <w:kern w:val="0"/>
          <w:sz w:val="32"/>
          <w:szCs w:val="32"/>
          <w:highlight w:val="none"/>
          <w:lang w:eastAsia="zh-CN"/>
        </w:rPr>
        <w:t>：</w:t>
      </w:r>
      <w:r>
        <w:rPr>
          <w:rFonts w:hint="eastAsia" w:ascii="Times New Roman" w:hAnsi="Times New Roman" w:eastAsia="仿宋_GB2312" w:cs="仿宋_GB2312"/>
          <w:snapToGrid w:val="0"/>
          <w:color w:val="auto"/>
          <w:kern w:val="0"/>
          <w:sz w:val="32"/>
          <w:szCs w:val="32"/>
          <w:highlight w:val="none"/>
        </w:rPr>
        <w:t>应明确施加方式，并至少设置“无干扰、轻微干扰、中度干扰”三个等级。（3）结果分析</w:t>
      </w:r>
      <w:r>
        <w:rPr>
          <w:rFonts w:hint="eastAsia" w:ascii="Times New Roman" w:hAnsi="Times New Roman" w:eastAsia="仿宋_GB2312" w:cs="仿宋_GB2312"/>
          <w:snapToGrid w:val="0"/>
          <w:color w:val="auto"/>
          <w:kern w:val="0"/>
          <w:sz w:val="32"/>
          <w:szCs w:val="32"/>
          <w:highlight w:val="none"/>
          <w:lang w:eastAsia="zh-CN"/>
        </w:rPr>
        <w:t>：</w:t>
      </w:r>
      <w:r>
        <w:rPr>
          <w:rFonts w:hint="eastAsia" w:ascii="Times New Roman" w:hAnsi="Times New Roman" w:eastAsia="仿宋_GB2312" w:cs="仿宋_GB2312"/>
          <w:snapToGrid w:val="0"/>
          <w:color w:val="auto"/>
          <w:kern w:val="0"/>
          <w:sz w:val="32"/>
          <w:szCs w:val="32"/>
          <w:highlight w:val="none"/>
        </w:rPr>
        <w:t>应报告基线性能及各干扰条件下性能的变化情况，识别导致性能不可接受的干扰类型及强度阈值。（4）风险控制</w:t>
      </w:r>
      <w:r>
        <w:rPr>
          <w:rFonts w:hint="eastAsia" w:ascii="Times New Roman" w:hAnsi="Times New Roman" w:eastAsia="仿宋_GB2312" w:cs="仿宋_GB2312"/>
          <w:snapToGrid w:val="0"/>
          <w:color w:val="auto"/>
          <w:kern w:val="0"/>
          <w:sz w:val="32"/>
          <w:szCs w:val="32"/>
          <w:highlight w:val="none"/>
          <w:lang w:eastAsia="zh-CN"/>
        </w:rPr>
        <w:t>：</w:t>
      </w:r>
      <w:r>
        <w:rPr>
          <w:rFonts w:hint="eastAsia" w:ascii="Times New Roman" w:hAnsi="Times New Roman" w:eastAsia="仿宋_GB2312" w:cs="仿宋_GB2312"/>
          <w:snapToGrid w:val="0"/>
          <w:color w:val="auto"/>
          <w:kern w:val="0"/>
          <w:sz w:val="32"/>
          <w:szCs w:val="32"/>
          <w:highlight w:val="none"/>
        </w:rPr>
        <w:t>基于研究结果，应明确产品使用限制（如不适用的场景或人群）、用户提示（如图像质量不合格时提示重新采集）及算法自检机制（如输入质量自动检测的判定依据）。</w:t>
      </w:r>
    </w:p>
    <w:p w14:paraId="282E1A31">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rPr>
        <w:t>建议开展算法性能影响因素分析，详述影响算法性能的主要因素及其影响程度，如采集设备、采集参数、疾病构成、病变特征等因素，基于分析结果明确产品使用限制和必要警示提示信息。</w:t>
      </w:r>
    </w:p>
    <w:p w14:paraId="47F67EE1">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需提供算法设计和功能的信息，提供流程图及注释，明确算法名称、版本、软件平台的相关特性。需描述算法每个阶段的设计和功能，描述数据采集、储存、识别、分析计算等算法详细过程。</w:t>
      </w:r>
    </w:p>
    <w:p w14:paraId="772AA8D2">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软件若运行于移动计算终端（如平板计算机、智能手机等）应参考</w:t>
      </w:r>
      <w:r>
        <w:rPr>
          <w:rFonts w:hint="eastAsia" w:ascii="Times New Roman" w:hAnsi="Times New Roman" w:eastAsia="仿宋_GB2312" w:cs="仿宋_GB2312"/>
          <w:snapToGrid w:val="0"/>
          <w:color w:val="auto"/>
          <w:kern w:val="0"/>
          <w:sz w:val="32"/>
          <w:szCs w:val="32"/>
          <w:highlight w:val="none"/>
        </w:rPr>
        <w:t>《移动医疗器械注册技术审查指导原则》相关要求。</w:t>
      </w:r>
      <w:r>
        <w:rPr>
          <w:rFonts w:hint="eastAsia" w:ascii="Times New Roman" w:hAnsi="Times New Roman" w:eastAsia="仿宋_GB2312" w:cs="仿宋_GB2312"/>
          <w:snapToGrid w:val="0"/>
          <w:color w:val="auto"/>
          <w:kern w:val="0"/>
          <w:sz w:val="32"/>
          <w:szCs w:val="32"/>
          <w:highlight w:val="none"/>
          <w:lang w:val="en-US" w:eastAsia="zh-CN"/>
        </w:rPr>
        <w:t>若采用云计算技术，应当参照《医疗器械软件注册审查指导原则》相关要求执行。</w:t>
      </w:r>
    </w:p>
    <w:p w14:paraId="38D220AA">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4.2网络安全研究</w:t>
      </w:r>
    </w:p>
    <w:p w14:paraId="3947E1A8">
      <w:pPr>
        <w:pStyle w:val="57"/>
        <w:keepNext w:val="0"/>
        <w:keepLines w:val="0"/>
        <w:pageBreakBefore w:val="0"/>
        <w:kinsoku/>
        <w:wordWrap/>
        <w:overflowPunct w:val="0"/>
        <w:topLinePunct w:val="0"/>
        <w:autoSpaceDE/>
        <w:autoSpaceDN/>
        <w:bidi w:val="0"/>
        <w:spacing w:line="500" w:lineRule="exact"/>
        <w:ind w:right="210" w:firstLine="640"/>
        <w:textAlignment w:val="auto"/>
        <w:rPr>
          <w:rFonts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rPr>
        <w:t>注册申请人应</w:t>
      </w:r>
      <w:r>
        <w:rPr>
          <w:rFonts w:ascii="Times New Roman" w:hAnsi="Times New Roman" w:eastAsia="仿宋_GB2312" w:cs="仿宋_GB2312"/>
          <w:snapToGrid w:val="0"/>
          <w:color w:val="auto"/>
          <w:kern w:val="0"/>
          <w:sz w:val="32"/>
          <w:szCs w:val="32"/>
          <w:highlight w:val="none"/>
        </w:rPr>
        <w:t>依据</w:t>
      </w:r>
      <w:r>
        <w:rPr>
          <w:rFonts w:hint="eastAsia" w:ascii="Times New Roman" w:hAnsi="Times New Roman" w:eastAsia="仿宋_GB2312" w:cs="仿宋_GB2312"/>
          <w:snapToGrid w:val="0"/>
          <w:color w:val="auto"/>
          <w:kern w:val="0"/>
          <w:sz w:val="32"/>
          <w:szCs w:val="32"/>
          <w:highlight w:val="none"/>
        </w:rPr>
        <w:t>《医疗器械网络安全技术审查指导原则》提交网络安全研究资料</w:t>
      </w:r>
      <w:r>
        <w:rPr>
          <w:rFonts w:hint="eastAsia" w:ascii="Times New Roman" w:hAnsi="Times New Roman" w:eastAsia="仿宋_GB2312" w:cs="仿宋_GB2312"/>
          <w:snapToGrid w:val="0"/>
          <w:color w:val="auto"/>
          <w:kern w:val="0"/>
          <w:sz w:val="32"/>
          <w:szCs w:val="32"/>
          <w:highlight w:val="none"/>
          <w:lang w:eastAsia="zh-CN"/>
        </w:rPr>
        <w:t>（如适用）</w:t>
      </w:r>
      <w:r>
        <w:rPr>
          <w:rFonts w:hint="eastAsia" w:ascii="Times New Roman" w:hAnsi="Times New Roman" w:eastAsia="仿宋_GB2312" w:cs="仿宋_GB2312"/>
          <w:snapToGrid w:val="0"/>
          <w:color w:val="auto"/>
          <w:kern w:val="0"/>
          <w:sz w:val="32"/>
          <w:szCs w:val="32"/>
          <w:highlight w:val="none"/>
        </w:rPr>
        <w:t>，</w:t>
      </w:r>
      <w:r>
        <w:rPr>
          <w:rFonts w:ascii="Times New Roman" w:hAnsi="Times New Roman" w:eastAsia="仿宋_GB2312" w:cs="仿宋_GB2312"/>
          <w:snapToGrid w:val="0"/>
          <w:color w:val="auto"/>
          <w:kern w:val="0"/>
          <w:sz w:val="32"/>
          <w:szCs w:val="32"/>
          <w:highlight w:val="none"/>
        </w:rPr>
        <w:t>详尽程度取决于软件安全性级别。</w:t>
      </w:r>
    </w:p>
    <w:p w14:paraId="55AAEB3A">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4.3可用性研究</w:t>
      </w:r>
    </w:p>
    <w:p w14:paraId="0DA09F0D">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应依据《医疗器械可用性工程注册审查指导原则》，提交使用错误评估报告。若前期已开展可用性工程研究，亦可提交可用性工程研究报告，用于替代使用错误评估报告。</w:t>
      </w:r>
    </w:p>
    <w:p w14:paraId="4C0F4D41">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olor w:val="auto"/>
          <w:sz w:val="32"/>
          <w:szCs w:val="32"/>
          <w:highlight w:val="none"/>
          <w:lang w:eastAsia="zh-CN"/>
        </w:rPr>
      </w:pP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eastAsia="zh-CN"/>
        </w:rPr>
        <w:t>其他</w:t>
      </w:r>
    </w:p>
    <w:p w14:paraId="02CA12A0">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如申报产品预期与其他医疗器械产品联合使用实现同一预期用途，注册申请人应当提供证明联合使用安全有效的研究资料，包括对硬件的</w:t>
      </w:r>
      <w:r>
        <w:rPr>
          <w:rFonts w:hint="eastAsia" w:ascii="Times New Roman" w:hAnsi="Times New Roman" w:eastAsia="仿宋_GB2312"/>
          <w:strike w:val="0"/>
          <w:dstrike w:val="0"/>
          <w:color w:val="auto"/>
          <w:sz w:val="32"/>
          <w:szCs w:val="32"/>
          <w:highlight w:val="none"/>
        </w:rPr>
        <w:t>要求</w:t>
      </w:r>
      <w:r>
        <w:rPr>
          <w:rFonts w:hint="eastAsia" w:ascii="Times New Roman" w:hAnsi="Times New Roman" w:eastAsia="仿宋_GB2312"/>
          <w:color w:val="auto"/>
          <w:sz w:val="32"/>
          <w:szCs w:val="32"/>
          <w:highlight w:val="none"/>
        </w:rPr>
        <w:t>、互联基本信息（连接类型、接口、协议、最低性能）、</w:t>
      </w:r>
      <w:r>
        <w:rPr>
          <w:rFonts w:hint="eastAsia" w:ascii="Times New Roman" w:hAnsi="Times New Roman" w:eastAsia="仿宋_GB2312"/>
          <w:color w:val="auto"/>
          <w:sz w:val="32"/>
          <w:szCs w:val="32"/>
          <w:highlight w:val="none"/>
          <w:lang w:val="en-US" w:eastAsia="zh-CN"/>
        </w:rPr>
        <w:t>对于采用私有协议进行数据传输的联合使用器械应提交联合开发协议，明确</w:t>
      </w:r>
      <w:r>
        <w:rPr>
          <w:rFonts w:hint="eastAsia" w:ascii="Times New Roman" w:hAnsi="Times New Roman" w:eastAsia="仿宋_GB2312"/>
          <w:color w:val="auto"/>
          <w:sz w:val="32"/>
          <w:szCs w:val="32"/>
          <w:highlight w:val="none"/>
        </w:rPr>
        <w:t>联合使用风险及控制措施、联合使用上的限制、</w:t>
      </w:r>
      <w:r>
        <w:rPr>
          <w:rFonts w:hint="eastAsia" w:ascii="Times New Roman" w:hAnsi="Times New Roman" w:eastAsia="仿宋_GB2312"/>
          <w:snapToGrid w:val="0"/>
          <w:color w:val="auto"/>
          <w:kern w:val="0"/>
          <w:sz w:val="32"/>
          <w:szCs w:val="32"/>
          <w:highlight w:val="none"/>
        </w:rPr>
        <w:t>配套使用的典型附件或第三方设备的兼容性测试资料、器械联用的集成测试报告等支持性资料。</w:t>
      </w:r>
    </w:p>
    <w:p w14:paraId="224EF351">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楷体_GB2312" w:cs="楷体_GB2312"/>
          <w:color w:val="auto"/>
          <w:sz w:val="32"/>
          <w:szCs w:val="32"/>
          <w:highlight w:val="none"/>
        </w:rPr>
      </w:pPr>
      <w:r>
        <w:rPr>
          <w:rFonts w:hint="eastAsia" w:ascii="Times New Roman" w:hAnsi="Times New Roman" w:eastAsia="楷体_GB2312" w:cs="楷体_GB2312"/>
          <w:color w:val="auto"/>
          <w:sz w:val="32"/>
          <w:szCs w:val="32"/>
          <w:highlight w:val="none"/>
        </w:rPr>
        <w:t>（四）临床评价资料</w:t>
      </w:r>
    </w:p>
    <w:p w14:paraId="564069D5">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申请人应按照《医疗器械临床评价技术指导原则》《医疗器械临床评价等同性论证技术指导原则》《医疗器械注册申报临床评价报告技术指导原则》以及《医疗器械临床试验设计指导原则》（如适用）的要求，基于软件功能进行临床评价，必要时可基于软件算法进行临床评价。</w:t>
      </w:r>
    </w:p>
    <w:p w14:paraId="07AEC29E">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临床评价需结合软件的预期用途和成熟度予以综合考虑，可选择已上市医疗器械所含同类软件功能进行同品种医疗器械比对。通过对同品种医疗器械临床数据（含临床文献数据、临床经验数据和临床试验数据）评估和分析的方法进行临床评价，以确认申报产品对安全和性能基本原则的符合性，产品的安全性、临床性能和有效性已被证明，与患者受益相比，器械相关的风险可接受。申请人应依据适用范围、技术特征等选取境内已上市同品种产品，比对项目应包含但不限于适用范围、关键性能指标、主要功能及相关指标、软件核心算法等。存在差异的，应依据《医疗器械临床评价等同性论证技术指导原则》的要求，提供差异性不会对安全有效性产生不利影响的支持性资料。</w:t>
      </w:r>
    </w:p>
    <w:p w14:paraId="18E4CC9F">
      <w:pPr>
        <w:pStyle w:val="57"/>
        <w:keepNext w:val="0"/>
        <w:keepLines w:val="0"/>
        <w:pageBreakBefore w:val="0"/>
        <w:kinsoku/>
        <w:wordWrap/>
        <w:overflowPunct w:val="0"/>
        <w:topLinePunct w:val="0"/>
        <w:autoSpaceDE/>
        <w:autoSpaceDN/>
        <w:bidi w:val="0"/>
        <w:spacing w:line="500" w:lineRule="exact"/>
        <w:ind w:right="210" w:firstLine="640"/>
        <w:textAlignment w:val="auto"/>
        <w:rPr>
          <w:rFonts w:hint="eastAsia" w:ascii="Times New Roman" w:hAnsi="Times New Roman" w:eastAsia="仿宋_GB2312"/>
          <w:color w:val="auto"/>
          <w:sz w:val="32"/>
          <w:szCs w:val="32"/>
          <w:highlight w:val="none"/>
        </w:rPr>
      </w:pPr>
      <w:r>
        <w:rPr>
          <w:rFonts w:hint="eastAsia" w:ascii="Times New Roman" w:hAnsi="Times New Roman" w:eastAsia="楷体_GB2312" w:cs="楷体_GB2312"/>
          <w:color w:val="auto"/>
          <w:sz w:val="32"/>
          <w:szCs w:val="32"/>
          <w:highlight w:val="none"/>
        </w:rPr>
        <w:t>（五）产品说明书和标签样稿</w:t>
      </w:r>
    </w:p>
    <w:p w14:paraId="60F7A0BC">
      <w:pPr>
        <w:keepNext w:val="0"/>
        <w:keepLines w:val="0"/>
        <w:pageBreakBefore w:val="0"/>
        <w:kinsoku/>
        <w:wordWrap/>
        <w:overflowPunct w:val="0"/>
        <w:topLinePunct w:val="0"/>
        <w:autoSpaceDE/>
        <w:autoSpaceDN/>
        <w:bidi w:val="0"/>
        <w:spacing w:line="500" w:lineRule="exact"/>
        <w:ind w:firstLine="640" w:firstLineChars="200"/>
        <w:textAlignment w:val="auto"/>
        <w:rPr>
          <w:rFonts w:ascii="Times New Roman" w:hAnsi="Times New Roman" w:eastAsia="仿宋_GB2312"/>
          <w:snapToGrid w:val="0"/>
          <w:color w:val="auto"/>
          <w:kern w:val="0"/>
          <w:sz w:val="32"/>
          <w:szCs w:val="32"/>
          <w:highlight w:val="none"/>
        </w:rPr>
      </w:pPr>
      <w:r>
        <w:rPr>
          <w:rFonts w:ascii="Times New Roman" w:hAnsi="Times New Roman" w:eastAsia="仿宋_GB2312"/>
          <w:snapToGrid w:val="0"/>
          <w:color w:val="auto"/>
          <w:kern w:val="0"/>
          <w:sz w:val="32"/>
          <w:szCs w:val="32"/>
          <w:highlight w:val="none"/>
        </w:rPr>
        <w:t>说明书、标签和包装标识</w:t>
      </w:r>
      <w:r>
        <w:rPr>
          <w:rFonts w:hint="eastAsia" w:ascii="Times New Roman" w:hAnsi="Times New Roman" w:eastAsia="仿宋_GB2312"/>
          <w:snapToGrid w:val="0"/>
          <w:color w:val="auto"/>
          <w:kern w:val="0"/>
          <w:sz w:val="32"/>
          <w:szCs w:val="32"/>
          <w:highlight w:val="none"/>
        </w:rPr>
        <w:t>需</w:t>
      </w:r>
      <w:r>
        <w:rPr>
          <w:rFonts w:ascii="Times New Roman" w:hAnsi="Times New Roman" w:eastAsia="仿宋_GB2312"/>
          <w:snapToGrid w:val="0"/>
          <w:color w:val="auto"/>
          <w:kern w:val="0"/>
          <w:sz w:val="32"/>
          <w:szCs w:val="32"/>
          <w:highlight w:val="none"/>
        </w:rPr>
        <w:t>符合《医疗器械说明书和标签管理规定》</w:t>
      </w:r>
      <w:r>
        <w:rPr>
          <w:rFonts w:hint="eastAsia" w:ascii="Times New Roman" w:hAnsi="Times New Roman" w:eastAsia="仿宋_GB2312"/>
          <w:snapToGrid w:val="0"/>
          <w:color w:val="auto"/>
          <w:kern w:val="0"/>
          <w:sz w:val="32"/>
          <w:szCs w:val="32"/>
          <w:highlight w:val="none"/>
        </w:rPr>
        <w:t>《医疗器械</w:t>
      </w:r>
      <w:r>
        <w:rPr>
          <w:rFonts w:ascii="Times New Roman" w:hAnsi="Times New Roman" w:eastAsia="仿宋_GB2312"/>
          <w:snapToGrid w:val="0"/>
          <w:color w:val="auto"/>
          <w:kern w:val="0"/>
          <w:sz w:val="32"/>
          <w:szCs w:val="32"/>
          <w:highlight w:val="none"/>
        </w:rPr>
        <w:t>软件</w:t>
      </w:r>
      <w:r>
        <w:rPr>
          <w:rFonts w:hint="eastAsia" w:ascii="Times New Roman" w:hAnsi="Times New Roman" w:eastAsia="仿宋_GB2312"/>
          <w:snapToGrid w:val="0"/>
          <w:color w:val="auto"/>
          <w:kern w:val="0"/>
          <w:sz w:val="32"/>
          <w:szCs w:val="32"/>
          <w:highlight w:val="none"/>
        </w:rPr>
        <w:t>注册</w:t>
      </w:r>
      <w:r>
        <w:rPr>
          <w:rFonts w:ascii="Times New Roman" w:hAnsi="Times New Roman" w:eastAsia="仿宋_GB2312"/>
          <w:snapToGrid w:val="0"/>
          <w:color w:val="auto"/>
          <w:kern w:val="0"/>
          <w:sz w:val="32"/>
          <w:szCs w:val="32"/>
          <w:highlight w:val="none"/>
        </w:rPr>
        <w:t>审查指导原则</w:t>
      </w:r>
      <w:r>
        <w:rPr>
          <w:rFonts w:hint="eastAsia" w:ascii="Times New Roman" w:hAnsi="Times New Roman" w:eastAsia="仿宋_GB2312"/>
          <w:snapToGrid w:val="0"/>
          <w:color w:val="auto"/>
          <w:kern w:val="0"/>
          <w:sz w:val="32"/>
          <w:szCs w:val="32"/>
          <w:highlight w:val="none"/>
        </w:rPr>
        <w:t>》</w:t>
      </w:r>
      <w:r>
        <w:rPr>
          <w:rFonts w:ascii="Times New Roman" w:hAnsi="Times New Roman" w:eastAsia="仿宋_GB2312"/>
          <w:snapToGrid w:val="0"/>
          <w:color w:val="auto"/>
          <w:kern w:val="0"/>
          <w:sz w:val="32"/>
          <w:szCs w:val="32"/>
          <w:highlight w:val="none"/>
        </w:rPr>
        <w:t>《</w:t>
      </w:r>
      <w:r>
        <w:rPr>
          <w:rFonts w:hint="eastAsia" w:ascii="Times New Roman" w:hAnsi="Times New Roman" w:eastAsia="仿宋_GB2312"/>
          <w:snapToGrid w:val="0"/>
          <w:color w:val="auto"/>
          <w:kern w:val="0"/>
          <w:sz w:val="32"/>
          <w:szCs w:val="32"/>
          <w:highlight w:val="none"/>
        </w:rPr>
        <w:t>医疗</w:t>
      </w:r>
      <w:r>
        <w:rPr>
          <w:rFonts w:ascii="Times New Roman" w:hAnsi="Times New Roman" w:eastAsia="仿宋_GB2312"/>
          <w:snapToGrid w:val="0"/>
          <w:color w:val="auto"/>
          <w:kern w:val="0"/>
          <w:sz w:val="32"/>
          <w:szCs w:val="32"/>
          <w:highlight w:val="none"/>
        </w:rPr>
        <w:t>器械</w:t>
      </w:r>
      <w:r>
        <w:rPr>
          <w:rFonts w:hint="eastAsia" w:ascii="Times New Roman" w:hAnsi="Times New Roman" w:eastAsia="仿宋_GB2312"/>
          <w:snapToGrid w:val="0"/>
          <w:color w:val="auto"/>
          <w:kern w:val="0"/>
          <w:sz w:val="32"/>
          <w:szCs w:val="32"/>
          <w:highlight w:val="none"/>
        </w:rPr>
        <w:t>网络</w:t>
      </w:r>
      <w:r>
        <w:rPr>
          <w:rFonts w:ascii="Times New Roman" w:hAnsi="Times New Roman" w:eastAsia="仿宋_GB2312"/>
          <w:snapToGrid w:val="0"/>
          <w:color w:val="auto"/>
          <w:kern w:val="0"/>
          <w:sz w:val="32"/>
          <w:szCs w:val="32"/>
          <w:highlight w:val="none"/>
        </w:rPr>
        <w:t>安全</w:t>
      </w:r>
      <w:r>
        <w:rPr>
          <w:rFonts w:hint="eastAsia" w:ascii="Times New Roman" w:hAnsi="Times New Roman" w:eastAsia="仿宋_GB2312"/>
          <w:snapToGrid w:val="0"/>
          <w:color w:val="auto"/>
          <w:kern w:val="0"/>
          <w:sz w:val="32"/>
          <w:szCs w:val="32"/>
          <w:highlight w:val="none"/>
        </w:rPr>
        <w:t>注册</w:t>
      </w:r>
      <w:r>
        <w:rPr>
          <w:rFonts w:ascii="Times New Roman" w:hAnsi="Times New Roman" w:eastAsia="仿宋_GB2312"/>
          <w:snapToGrid w:val="0"/>
          <w:color w:val="auto"/>
          <w:kern w:val="0"/>
          <w:sz w:val="32"/>
          <w:szCs w:val="32"/>
          <w:highlight w:val="none"/>
        </w:rPr>
        <w:t>审查指导原则》</w:t>
      </w:r>
      <w:r>
        <w:rPr>
          <w:rFonts w:hint="eastAsia" w:ascii="Times New Roman" w:hAnsi="Times New Roman" w:eastAsia="仿宋_GB2312"/>
          <w:snapToGrid w:val="0"/>
          <w:color w:val="auto"/>
          <w:kern w:val="0"/>
          <w:sz w:val="32"/>
          <w:szCs w:val="32"/>
          <w:highlight w:val="none"/>
          <w:lang w:val="en-US" w:eastAsia="zh-CN"/>
        </w:rPr>
        <w:t>等相关法规、规章及指导原则的要求</w:t>
      </w:r>
      <w:r>
        <w:rPr>
          <w:rFonts w:ascii="Times New Roman" w:hAnsi="Times New Roman" w:eastAsia="仿宋_GB2312"/>
          <w:snapToGrid w:val="0"/>
          <w:color w:val="auto"/>
          <w:kern w:val="0"/>
          <w:sz w:val="32"/>
          <w:szCs w:val="32"/>
          <w:highlight w:val="none"/>
        </w:rPr>
        <w:t>。</w:t>
      </w:r>
    </w:p>
    <w:p w14:paraId="38917F82">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1.说明书</w:t>
      </w:r>
    </w:p>
    <w:p w14:paraId="3F6254F1">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说明书需体现软件的功能、使用限制、输入输出数据类型、必备软硬件、最大并发数、接口、访问控制、运行环境（如适用）、测量准确性、性能效率（如适用）等信息，明确软件发布版本。其中，软件功能包括全部核心功能（含安全功能），注明选装、自动功能。</w:t>
      </w:r>
    </w:p>
    <w:p w14:paraId="38874F43">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说明书应提供网络安全说明和使用指导，明确用户访问控制机制、电子接口（含网络接口、电子数据交换接口）及其数据类型和技术特征、网络安全特征配置、数据备份与灾难恢复、运行环境（含硬件配置、外部软件环境、网络环境，如适用）、安全软件兼容性列表（如适用）、外部软件环境与安全软件更新（如适用）等要求。</w:t>
      </w:r>
    </w:p>
    <w:p w14:paraId="6EE97862">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1.1产品规格型号：应与其他注册申报文件（如申请表、综述资料、产品技术要求等）中规格型号描述一致。</w:t>
      </w:r>
    </w:p>
    <w:p w14:paraId="349272AB">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1.2产品结构及组成：应与其他注册申报文件（如申请表、综述资料等）中一致；应明确运行环境（操作系统、硬件配置要求、显示器分辨率、显示器尺寸大小等）。</w:t>
      </w:r>
    </w:p>
    <w:p w14:paraId="16F136E0">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1.3适用范围：应与其他注册申报文件（如申请表、综述资料、临床评价资料等）中一致，明确预期使用的地点（如医疗机构）。</w:t>
      </w:r>
    </w:p>
    <w:p w14:paraId="0F4FAA8D">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1.4使用方法：包括产品操作的顺序和步骤、各功能的描述，对产品操作按钮等是否有清楚的解释和说明。</w:t>
      </w:r>
    </w:p>
    <w:p w14:paraId="5823B568">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1.5禁忌证：应与其他注册申报文件（如申请表、综述资料、临床评价资料等）中一致；列出该产品不适宜的使用情况（或联合使用硬件不适用情况），如“暂未发现”或其他描述。</w:t>
      </w:r>
    </w:p>
    <w:p w14:paraId="58781CC0">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1.6性能指标：需完整说明产品技术要求中需在说明书明示的主要性能指标，宣称的性能指标不能超出性能研究部分的要求。</w:t>
      </w:r>
    </w:p>
    <w:p w14:paraId="23F7EB32">
      <w:pPr>
        <w:pStyle w:val="57"/>
        <w:keepNext w:val="0"/>
        <w:keepLines w:val="0"/>
        <w:pageBreakBefore w:val="0"/>
        <w:widowControl w:val="0"/>
        <w:tabs>
          <w:tab w:val="left" w:pos="2441"/>
        </w:tabs>
        <w:kinsoku/>
        <w:wordWrap/>
        <w:overflowPunct/>
        <w:topLinePunct/>
        <w:autoSpaceDE/>
        <w:autoSpaceDN/>
        <w:bidi w:val="0"/>
        <w:adjustRightInd/>
        <w:snapToGrid/>
        <w:spacing w:line="500" w:lineRule="exact"/>
        <w:ind w:right="210"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1.7注意事项：应当明确产品仅限执业医师使用，所得结果仅作为辨证参考，不得单独作为诊断依据，需结合患者临床症状、病史等综合判断。</w:t>
      </w:r>
    </w:p>
    <w:p w14:paraId="7584EA8B">
      <w:pPr>
        <w:pStyle w:val="58"/>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sz w:val="32"/>
          <w:szCs w:val="32"/>
          <w:highlight w:val="none"/>
        </w:rPr>
      </w:pPr>
      <w:r>
        <w:rPr>
          <w:rFonts w:hint="eastAsia" w:ascii="Times New Roman" w:hAnsi="Times New Roman" w:eastAsia="仿宋_GB2312"/>
          <w:snapToGrid w:val="0"/>
          <w:color w:val="auto"/>
          <w:sz w:val="32"/>
          <w:szCs w:val="32"/>
          <w:highlight w:val="none"/>
        </w:rPr>
        <w:t>2.标签样稿</w:t>
      </w:r>
    </w:p>
    <w:p w14:paraId="27C76B76">
      <w:pPr>
        <w:pStyle w:val="58"/>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sz w:val="32"/>
          <w:szCs w:val="32"/>
          <w:highlight w:val="none"/>
        </w:rPr>
      </w:pPr>
      <w:r>
        <w:rPr>
          <w:rFonts w:hint="eastAsia" w:ascii="Times New Roman" w:hAnsi="Times New Roman" w:eastAsia="仿宋_GB2312"/>
          <w:snapToGrid w:val="0"/>
          <w:color w:val="auto"/>
          <w:sz w:val="32"/>
          <w:szCs w:val="32"/>
          <w:highlight w:val="none"/>
        </w:rPr>
        <w:t>对于物理交付方式，产品标签应符合相应规定。对于网络交付方式，提交产品网络交付页面照片。</w:t>
      </w:r>
    </w:p>
    <w:p w14:paraId="23977581">
      <w:pPr>
        <w:pStyle w:val="58"/>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sz w:val="32"/>
          <w:szCs w:val="32"/>
          <w:highlight w:val="none"/>
        </w:rPr>
      </w:pPr>
      <w:r>
        <w:rPr>
          <w:rFonts w:hint="eastAsia" w:ascii="Times New Roman" w:hAnsi="Times New Roman" w:eastAsia="仿宋_GB2312"/>
          <w:snapToGrid w:val="0"/>
          <w:color w:val="auto"/>
          <w:sz w:val="32"/>
          <w:szCs w:val="32"/>
          <w:highlight w:val="none"/>
        </w:rPr>
        <w:t>此外，建议在“关于”或“帮助”等软件用户界面体现产品注册信息。</w:t>
      </w:r>
    </w:p>
    <w:p w14:paraId="0EFE122A">
      <w:pPr>
        <w:pStyle w:val="58"/>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楷体_GB2312" w:cs="楷体_GB2312"/>
          <w:color w:val="auto"/>
          <w:kern w:val="2"/>
          <w:sz w:val="32"/>
          <w:szCs w:val="32"/>
          <w:highlight w:val="none"/>
        </w:rPr>
      </w:pPr>
      <w:r>
        <w:rPr>
          <w:rFonts w:hint="eastAsia" w:ascii="Times New Roman" w:hAnsi="Times New Roman" w:eastAsia="楷体_GB2312" w:cs="楷体_GB2312"/>
          <w:color w:val="auto"/>
          <w:kern w:val="2"/>
          <w:sz w:val="32"/>
          <w:szCs w:val="32"/>
          <w:highlight w:val="none"/>
        </w:rPr>
        <w:t>（六）质量管理体系文件</w:t>
      </w:r>
    </w:p>
    <w:p w14:paraId="14EC30B3">
      <w:pPr>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仿宋_GB2312"/>
          <w:snapToGrid w:val="0"/>
          <w:color w:val="auto"/>
          <w:sz w:val="32"/>
          <w:szCs w:val="32"/>
          <w:highlight w:val="none"/>
        </w:rPr>
      </w:pPr>
      <w:r>
        <w:rPr>
          <w:rFonts w:ascii="Times New Roman" w:hAnsi="Times New Roman" w:eastAsia="仿宋_GB2312"/>
          <w:color w:val="auto"/>
          <w:sz w:val="32"/>
          <w:szCs w:val="32"/>
          <w:highlight w:val="none"/>
        </w:rPr>
        <w:t>产品的质量管理体系文件应符合《医疗器械生产质量管理规范》</w:t>
      </w:r>
      <w:r>
        <w:rPr>
          <w:rFonts w:hint="eastAsia" w:ascii="Times New Roman" w:hAnsi="Times New Roman" w:eastAsia="仿宋_GB2312"/>
          <w:color w:val="auto"/>
          <w:sz w:val="32"/>
          <w:szCs w:val="32"/>
          <w:highlight w:val="none"/>
        </w:rPr>
        <w:t>和《医疗器械生产质量管理规范附录独立软件》</w:t>
      </w:r>
      <w:r>
        <w:rPr>
          <w:rFonts w:ascii="Times New Roman" w:hAnsi="Times New Roman" w:eastAsia="仿宋_GB2312"/>
          <w:color w:val="auto"/>
          <w:sz w:val="32"/>
          <w:szCs w:val="32"/>
          <w:highlight w:val="none"/>
        </w:rPr>
        <w:t>的要求，并按《医疗器械注册申报资料要求及说明》提交资料。</w:t>
      </w:r>
    </w:p>
    <w:p w14:paraId="3A9E9F2F">
      <w:pPr>
        <w:pStyle w:val="58"/>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sz w:val="32"/>
          <w:szCs w:val="32"/>
          <w:highlight w:val="none"/>
          <w:lang w:val="en-US" w:eastAsia="zh-CN"/>
        </w:rPr>
      </w:pPr>
      <w:r>
        <w:rPr>
          <w:rFonts w:hint="eastAsia" w:ascii="Times New Roman" w:hAnsi="Times New Roman" w:eastAsia="仿宋_GB2312"/>
          <w:snapToGrid w:val="0"/>
          <w:color w:val="auto"/>
          <w:sz w:val="32"/>
          <w:szCs w:val="32"/>
          <w:highlight w:val="none"/>
        </w:rPr>
        <w:t>应当明确产品生产及研发过程，可采用流程图的形式，并说明其过程控制点。提交软件开发与测试工具确认的过程文件</w:t>
      </w:r>
      <w:r>
        <w:rPr>
          <w:rFonts w:hint="eastAsia" w:ascii="Times New Roman" w:hAnsi="Times New Roman" w:eastAsia="仿宋_GB2312"/>
          <w:snapToGrid w:val="0"/>
          <w:color w:val="auto"/>
          <w:sz w:val="32"/>
          <w:szCs w:val="32"/>
          <w:highlight w:val="none"/>
          <w:lang w:val="en-US" w:eastAsia="zh-CN"/>
        </w:rPr>
        <w:t>。</w:t>
      </w:r>
    </w:p>
    <w:p w14:paraId="1F7AFC2C">
      <w:pPr>
        <w:pStyle w:val="58"/>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snapToGrid w:val="0"/>
          <w:color w:val="auto"/>
          <w:sz w:val="32"/>
          <w:szCs w:val="32"/>
          <w:highlight w:val="none"/>
          <w:lang w:val="en-US" w:eastAsia="zh-CN"/>
        </w:rPr>
      </w:pPr>
      <w:bookmarkStart w:id="4" w:name="_GoBack"/>
      <w:bookmarkEnd w:id="4"/>
    </w:p>
    <w:p w14:paraId="57F5ABB2">
      <w:pPr>
        <w:pStyle w:val="58"/>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黑体" w:cs="仿宋_GB2312"/>
          <w:snapToGrid w:val="0"/>
          <w:color w:val="auto"/>
          <w:kern w:val="0"/>
          <w:sz w:val="32"/>
          <w:szCs w:val="32"/>
          <w:highlight w:val="none"/>
        </w:rPr>
      </w:pPr>
      <w:r>
        <w:rPr>
          <w:rFonts w:hint="eastAsia" w:ascii="Times New Roman" w:hAnsi="Times New Roman" w:eastAsia="黑体" w:cs="仿宋_GB2312"/>
          <w:snapToGrid w:val="0"/>
          <w:color w:val="auto"/>
          <w:kern w:val="0"/>
          <w:sz w:val="32"/>
          <w:szCs w:val="32"/>
          <w:highlight w:val="none"/>
        </w:rPr>
        <w:t>三</w:t>
      </w:r>
      <w:r>
        <w:rPr>
          <w:rFonts w:ascii="Times New Roman" w:hAnsi="Times New Roman" w:eastAsia="黑体" w:cs="仿宋_GB2312"/>
          <w:snapToGrid w:val="0"/>
          <w:color w:val="auto"/>
          <w:kern w:val="0"/>
          <w:sz w:val="32"/>
          <w:szCs w:val="32"/>
          <w:highlight w:val="none"/>
        </w:rPr>
        <w:t>、</w:t>
      </w:r>
      <w:r>
        <w:rPr>
          <w:rFonts w:hint="eastAsia" w:ascii="Times New Roman" w:hAnsi="Times New Roman" w:eastAsia="黑体" w:cs="黑体"/>
          <w:snapToGrid w:val="0"/>
          <w:color w:val="auto"/>
          <w:kern w:val="0"/>
          <w:sz w:val="32"/>
          <w:szCs w:val="32"/>
          <w:highlight w:val="none"/>
        </w:rPr>
        <w:t>参考文献</w:t>
      </w:r>
    </w:p>
    <w:p w14:paraId="1C150A85">
      <w:pPr>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snapToGrid w:val="0"/>
          <w:color w:val="auto"/>
          <w:kern w:val="0"/>
          <w:sz w:val="32"/>
          <w:szCs w:val="32"/>
          <w:highlight w:val="none"/>
        </w:rPr>
        <w:t>[1]</w:t>
      </w:r>
      <w:r>
        <w:rPr>
          <w:rFonts w:ascii="Times New Roman" w:hAnsi="Times New Roman" w:eastAsia="仿宋_GB2312"/>
          <w:color w:val="auto"/>
          <w:sz w:val="32"/>
          <w:szCs w:val="32"/>
          <w:highlight w:val="none"/>
          <w:lang w:val="en"/>
        </w:rPr>
        <w:t>国家食品药品监督管理总局</w:t>
      </w:r>
      <w:r>
        <w:rPr>
          <w:rFonts w:ascii="Times New Roman" w:hAnsi="Times New Roman" w:eastAsia="仿宋_GB2312"/>
          <w:color w:val="auto"/>
          <w:sz w:val="32"/>
          <w:szCs w:val="32"/>
          <w:highlight w:val="none"/>
        </w:rPr>
        <w:t>.医疗器械分类目录</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lang w:val="en"/>
        </w:rPr>
        <w:t>国家食品药品监督管理总局</w:t>
      </w:r>
      <w:r>
        <w:rPr>
          <w:rFonts w:hint="eastAsia" w:ascii="Times New Roman" w:hAnsi="Times New Roman" w:eastAsia="仿宋_GB2312"/>
          <w:color w:val="auto"/>
          <w:sz w:val="32"/>
          <w:szCs w:val="32"/>
          <w:highlight w:val="none"/>
          <w:lang w:val="en"/>
        </w:rPr>
        <w:t>公告</w:t>
      </w:r>
      <w:r>
        <w:rPr>
          <w:rFonts w:ascii="Times New Roman" w:hAnsi="Times New Roman" w:eastAsia="仿宋_GB2312"/>
          <w:color w:val="auto"/>
          <w:sz w:val="32"/>
          <w:szCs w:val="32"/>
          <w:highlight w:val="none"/>
          <w:lang w:val="en"/>
        </w:rPr>
        <w:t>2017年第104号</w:t>
      </w:r>
      <w:r>
        <w:rPr>
          <w:rFonts w:ascii="Times New Roman" w:hAnsi="Times New Roman" w:eastAsia="仿宋_GB2312"/>
          <w:color w:val="auto"/>
          <w:sz w:val="32"/>
          <w:szCs w:val="32"/>
          <w:highlight w:val="none"/>
        </w:rPr>
        <w:t>[Z].</w:t>
      </w:r>
    </w:p>
    <w:p w14:paraId="02440C73">
      <w:pPr>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snapToGrid w:val="0"/>
          <w:color w:val="auto"/>
          <w:kern w:val="0"/>
          <w:sz w:val="32"/>
          <w:szCs w:val="32"/>
          <w:highlight w:val="none"/>
        </w:rPr>
        <w:t>[2]</w:t>
      </w:r>
      <w:r>
        <w:rPr>
          <w:rFonts w:ascii="Times New Roman" w:hAnsi="Times New Roman" w:eastAsia="仿宋_GB2312"/>
          <w:color w:val="auto"/>
          <w:sz w:val="32"/>
          <w:szCs w:val="32"/>
          <w:highlight w:val="none"/>
        </w:rPr>
        <w:t>国家市场监督管理总局</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医疗器械注册与备案管理办法:国家市场监督管理总局令第47号</w:t>
      </w:r>
      <w:r>
        <w:rPr>
          <w:rFonts w:ascii="Times New Roman" w:hAnsi="Times New Roman" w:eastAsia="仿宋_GB2312"/>
          <w:color w:val="auto"/>
          <w:sz w:val="32"/>
          <w:szCs w:val="32"/>
          <w:highlight w:val="none"/>
          <w:lang w:val="en"/>
        </w:rPr>
        <w:t>[Z]</w:t>
      </w:r>
      <w:r>
        <w:rPr>
          <w:rFonts w:ascii="Times New Roman" w:hAnsi="Times New Roman" w:eastAsia="仿宋_GB2312"/>
          <w:color w:val="auto"/>
          <w:sz w:val="32"/>
          <w:szCs w:val="32"/>
          <w:highlight w:val="none"/>
        </w:rPr>
        <w:t>.</w:t>
      </w:r>
    </w:p>
    <w:p w14:paraId="698FA4B1">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snapToGrid w:val="0"/>
          <w:color w:val="auto"/>
          <w:kern w:val="0"/>
          <w:sz w:val="32"/>
          <w:szCs w:val="32"/>
          <w:highlight w:val="none"/>
        </w:rPr>
      </w:pPr>
      <w:r>
        <w:rPr>
          <w:rFonts w:hint="eastAsia" w:ascii="Times New Roman" w:hAnsi="Times New Roman" w:eastAsia="仿宋_GB2312"/>
          <w:color w:val="auto"/>
          <w:sz w:val="32"/>
          <w:szCs w:val="32"/>
          <w:highlight w:val="none"/>
        </w:rPr>
        <w:t>[3]</w:t>
      </w:r>
      <w:r>
        <w:rPr>
          <w:rFonts w:ascii="Times New Roman" w:hAnsi="Times New Roman" w:eastAsia="仿宋_GB2312"/>
          <w:color w:val="auto"/>
          <w:sz w:val="32"/>
          <w:szCs w:val="28"/>
          <w:highlight w:val="none"/>
        </w:rPr>
        <w:t>国家食品药品监督管理总局</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医疗器械通用名称命名规则</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28"/>
          <w:highlight w:val="none"/>
        </w:rPr>
        <w:t>国家食品药品监督管理总局令第19号</w:t>
      </w:r>
      <w:r>
        <w:rPr>
          <w:rFonts w:ascii="Times New Roman" w:hAnsi="Times New Roman" w:eastAsia="仿宋_GB2312"/>
          <w:color w:val="auto"/>
          <w:sz w:val="32"/>
          <w:szCs w:val="32"/>
          <w:highlight w:val="none"/>
        </w:rPr>
        <w:t>[Z].</w:t>
      </w:r>
    </w:p>
    <w:p w14:paraId="21ED9ACC">
      <w:pPr>
        <w:keepNext w:val="0"/>
        <w:keepLines w:val="0"/>
        <w:pageBreakBefore w:val="0"/>
        <w:kinsoku/>
        <w:wordWrap/>
        <w:topLinePunct w:val="0"/>
        <w:autoSpaceDE/>
        <w:autoSpaceDN/>
        <w:bidi w:val="0"/>
        <w:spacing w:line="500" w:lineRule="exact"/>
        <w:ind w:right="-67" w:rightChars="-32"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楷体_GB2312"/>
          <w:color w:val="auto"/>
          <w:sz w:val="32"/>
          <w:szCs w:val="32"/>
          <w:highlight w:val="none"/>
        </w:rPr>
        <w:t>[4]</w:t>
      </w:r>
      <w:r>
        <w:rPr>
          <w:rFonts w:hint="eastAsia" w:ascii="Times New Roman" w:hAnsi="Times New Roman" w:eastAsia="仿宋_GB2312"/>
          <w:color w:val="auto"/>
          <w:sz w:val="32"/>
          <w:szCs w:val="32"/>
          <w:highlight w:val="none"/>
        </w:rPr>
        <w:t>国家药品监督管理局.</w:t>
      </w:r>
      <w:r>
        <w:rPr>
          <w:rFonts w:ascii="Times New Roman" w:hAnsi="Times New Roman" w:eastAsia="仿宋_GB2312"/>
          <w:color w:val="auto"/>
          <w:sz w:val="32"/>
          <w:szCs w:val="32"/>
          <w:highlight w:val="none"/>
        </w:rPr>
        <w:t>医疗器械注册申报资料要求和批准证明文件格式</w:t>
      </w:r>
      <w:r>
        <w:rPr>
          <w:rFonts w:hint="eastAsia" w:ascii="Times New Roman" w:hAnsi="Times New Roman" w:eastAsia="仿宋_GB2312"/>
          <w:color w:val="auto"/>
          <w:sz w:val="32"/>
          <w:szCs w:val="32"/>
          <w:highlight w:val="none"/>
        </w:rPr>
        <w:t>:国家药监局公告2021年第121号</w:t>
      </w:r>
      <w:r>
        <w:rPr>
          <w:rFonts w:ascii="Times New Roman" w:hAnsi="Times New Roman" w:eastAsia="仿宋_GB2312"/>
          <w:color w:val="auto"/>
          <w:sz w:val="32"/>
          <w:szCs w:val="32"/>
          <w:highlight w:val="none"/>
          <w:lang w:val="en"/>
        </w:rPr>
        <w:t>[Z]</w:t>
      </w:r>
      <w:r>
        <w:rPr>
          <w:rFonts w:ascii="Times New Roman" w:hAnsi="Times New Roman" w:eastAsia="仿宋_GB2312"/>
          <w:color w:val="auto"/>
          <w:sz w:val="32"/>
          <w:szCs w:val="32"/>
          <w:highlight w:val="none"/>
        </w:rPr>
        <w:t>.</w:t>
      </w:r>
    </w:p>
    <w:p w14:paraId="2C470276">
      <w:pPr>
        <w:keepNext w:val="0"/>
        <w:keepLines w:val="0"/>
        <w:pageBreakBefore w:val="0"/>
        <w:kinsoku/>
        <w:wordWrap/>
        <w:topLinePunct w:val="0"/>
        <w:autoSpaceDE/>
        <w:autoSpaceDN/>
        <w:bidi w:val="0"/>
        <w:spacing w:line="500" w:lineRule="exact"/>
        <w:ind w:right="-67" w:rightChars="-32"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[5]</w:t>
      </w:r>
      <w:r>
        <w:rPr>
          <w:rFonts w:hint="eastAsia" w:ascii="Times New Roman" w:hAnsi="Times New Roman" w:eastAsia="仿宋_GB2312"/>
          <w:color w:val="auto"/>
          <w:sz w:val="32"/>
          <w:szCs w:val="32"/>
          <w:highlight w:val="none"/>
          <w:lang w:val="en-US" w:eastAsia="zh-CN"/>
        </w:rPr>
        <w:t>国家药品监督管理局.医疗器械注册单元划分指导原则:</w:t>
      </w:r>
      <w:r>
        <w:rPr>
          <w:rFonts w:hint="eastAsia" w:eastAsia="仿宋_GB2312"/>
          <w:color w:val="auto"/>
          <w:sz w:val="32"/>
          <w:szCs w:val="32"/>
          <w:highlight w:val="none"/>
          <w:lang w:val="en-US" w:eastAsia="zh-CN"/>
        </w:rPr>
        <w:t>国</w:t>
      </w:r>
      <w:r>
        <w:rPr>
          <w:rFonts w:hint="eastAsia" w:ascii="Times New Roman" w:hAnsi="Times New Roman" w:eastAsia="仿宋_GB2312"/>
          <w:color w:val="auto"/>
          <w:sz w:val="32"/>
          <w:szCs w:val="32"/>
          <w:highlight w:val="none"/>
          <w:lang w:val="en-US" w:eastAsia="zh-CN"/>
        </w:rPr>
        <w:t>家药监局通告2017年第187号[Z].</w:t>
      </w:r>
    </w:p>
    <w:p w14:paraId="5DB06ECA">
      <w:pPr>
        <w:keepNext w:val="0"/>
        <w:keepLines w:val="0"/>
        <w:pageBreakBefore w:val="0"/>
        <w:kinsoku/>
        <w:wordWrap/>
        <w:topLinePunct w:val="0"/>
        <w:autoSpaceDE/>
        <w:autoSpaceDN/>
        <w:bidi w:val="0"/>
        <w:spacing w:line="500" w:lineRule="exact"/>
        <w:ind w:right="-67" w:rightChars="-32" w:firstLine="640" w:firstLineChars="200"/>
        <w:textAlignment w:val="auto"/>
        <w:rPr>
          <w:rFonts w:ascii="Times New Roman" w:hAnsi="Times New Roman" w:eastAsia="仿宋_GB2312"/>
          <w:color w:val="auto"/>
          <w:sz w:val="32"/>
          <w:szCs w:val="32"/>
          <w:highlight w:val="none"/>
        </w:rPr>
      </w:pPr>
      <w:r>
        <w:rPr>
          <w:rFonts w:ascii="Times New Roman" w:hAnsi="Times New Roman" w:eastAsia="仿宋_GB2312"/>
          <w:color w:val="auto"/>
          <w:kern w:val="0"/>
          <w:sz w:val="32"/>
          <w:szCs w:val="32"/>
          <w:highlight w:val="none"/>
        </w:rPr>
        <w:t>[</w:t>
      </w:r>
      <w:r>
        <w:rPr>
          <w:rFonts w:hint="eastAsia" w:ascii="Times New Roman" w:hAnsi="Times New Roman" w:eastAsia="仿宋_GB2312"/>
          <w:color w:val="auto"/>
          <w:kern w:val="0"/>
          <w:sz w:val="32"/>
          <w:szCs w:val="32"/>
          <w:highlight w:val="none"/>
        </w:rPr>
        <w:t>6</w:t>
      </w:r>
      <w:r>
        <w:rPr>
          <w:rFonts w:ascii="Times New Roman" w:hAnsi="Times New Roman" w:eastAsia="仿宋_GB2312"/>
          <w:color w:val="auto"/>
          <w:kern w:val="0"/>
          <w:sz w:val="32"/>
          <w:szCs w:val="32"/>
          <w:highlight w:val="none"/>
        </w:rPr>
        <w:t>]</w:t>
      </w:r>
      <w:r>
        <w:rPr>
          <w:rFonts w:hint="eastAsia" w:ascii="Times New Roman" w:hAnsi="Times New Roman" w:eastAsia="仿宋_GB2312"/>
          <w:color w:val="auto"/>
          <w:sz w:val="32"/>
          <w:szCs w:val="32"/>
          <w:highlight w:val="none"/>
        </w:rPr>
        <w:t>国家药品监督管理局.</w:t>
      </w:r>
      <w:r>
        <w:rPr>
          <w:rFonts w:ascii="Times New Roman" w:hAnsi="Times New Roman" w:eastAsia="仿宋_GB2312"/>
          <w:color w:val="auto"/>
          <w:sz w:val="32"/>
          <w:szCs w:val="32"/>
          <w:highlight w:val="none"/>
        </w:rPr>
        <w:t>医疗器械产品技术要求编写指导原则</w:t>
      </w:r>
      <w:r>
        <w:rPr>
          <w:rFonts w:hint="eastAsia" w:ascii="Times New Roman" w:hAnsi="Times New Roman" w:eastAsia="仿宋_GB2312"/>
          <w:color w:val="auto"/>
          <w:sz w:val="32"/>
          <w:szCs w:val="32"/>
          <w:highlight w:val="none"/>
        </w:rPr>
        <w:t>:国家药监局</w:t>
      </w:r>
      <w:r>
        <w:rPr>
          <w:rFonts w:hint="eastAsia" w:ascii="Times New Roman" w:hAnsi="Times New Roman" w:eastAsia="仿宋_GB2312"/>
          <w:color w:val="auto"/>
          <w:sz w:val="32"/>
          <w:szCs w:val="32"/>
          <w:highlight w:val="none"/>
          <w:lang w:val="en"/>
        </w:rPr>
        <w:t>通告</w:t>
      </w:r>
      <w:r>
        <w:rPr>
          <w:rFonts w:ascii="Times New Roman" w:hAnsi="Times New Roman" w:eastAsia="仿宋_GB2312"/>
          <w:color w:val="auto"/>
          <w:sz w:val="32"/>
          <w:szCs w:val="32"/>
          <w:highlight w:val="none"/>
          <w:lang w:val="en"/>
        </w:rPr>
        <w:t>20</w:t>
      </w:r>
      <w:r>
        <w:rPr>
          <w:rFonts w:hint="eastAsia" w:ascii="Times New Roman" w:hAnsi="Times New Roman" w:eastAsia="仿宋_GB2312"/>
          <w:color w:val="auto"/>
          <w:sz w:val="32"/>
          <w:szCs w:val="32"/>
          <w:highlight w:val="none"/>
          <w:lang w:val="en"/>
        </w:rPr>
        <w:t>22</w:t>
      </w:r>
      <w:r>
        <w:rPr>
          <w:rFonts w:ascii="Times New Roman" w:hAnsi="Times New Roman" w:eastAsia="仿宋_GB2312"/>
          <w:color w:val="auto"/>
          <w:sz w:val="32"/>
          <w:szCs w:val="32"/>
          <w:highlight w:val="none"/>
          <w:lang w:val="en"/>
        </w:rPr>
        <w:t>年第8号[Z]</w:t>
      </w:r>
      <w:r>
        <w:rPr>
          <w:rFonts w:ascii="Times New Roman" w:hAnsi="Times New Roman" w:eastAsia="仿宋_GB2312"/>
          <w:color w:val="auto"/>
          <w:sz w:val="32"/>
          <w:szCs w:val="32"/>
          <w:highlight w:val="none"/>
        </w:rPr>
        <w:t>.</w:t>
      </w:r>
    </w:p>
    <w:p w14:paraId="5FA7E59D">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28"/>
          <w:highlight w:val="none"/>
        </w:rPr>
      </w:pPr>
      <w:r>
        <w:rPr>
          <w:rFonts w:hint="eastAsia" w:ascii="Times New Roman" w:hAnsi="Times New Roman" w:eastAsia="仿宋_GB2312"/>
          <w:color w:val="auto"/>
          <w:sz w:val="32"/>
          <w:szCs w:val="32"/>
          <w:highlight w:val="none"/>
        </w:rPr>
        <w:t>[7]</w:t>
      </w:r>
      <w:r>
        <w:rPr>
          <w:rFonts w:hint="eastAsia" w:ascii="Times New Roman" w:hAnsi="Times New Roman" w:eastAsia="仿宋_GB2312"/>
          <w:color w:val="auto"/>
          <w:kern w:val="0"/>
          <w:sz w:val="32"/>
          <w:szCs w:val="32"/>
          <w:highlight w:val="none"/>
        </w:rPr>
        <w:t>国家药品监督管理局医疗器械</w:t>
      </w:r>
      <w:r>
        <w:rPr>
          <w:rFonts w:hint="eastAsia" w:eastAsia="仿宋_GB2312"/>
          <w:color w:val="auto"/>
          <w:kern w:val="0"/>
          <w:sz w:val="32"/>
          <w:szCs w:val="32"/>
          <w:highlight w:val="none"/>
          <w:lang w:eastAsia="zh-CN"/>
        </w:rPr>
        <w:t>技术</w:t>
      </w:r>
      <w:r>
        <w:rPr>
          <w:rFonts w:hint="eastAsia" w:ascii="Times New Roman" w:hAnsi="Times New Roman" w:eastAsia="仿宋_GB2312"/>
          <w:color w:val="auto"/>
          <w:kern w:val="0"/>
          <w:sz w:val="32"/>
          <w:szCs w:val="32"/>
          <w:highlight w:val="none"/>
        </w:rPr>
        <w:t>审评中心.</w:t>
      </w:r>
      <w:r>
        <w:rPr>
          <w:rFonts w:ascii="Times New Roman" w:hAnsi="Times New Roman" w:eastAsia="仿宋_GB2312"/>
          <w:color w:val="auto"/>
          <w:kern w:val="0"/>
          <w:sz w:val="32"/>
          <w:szCs w:val="32"/>
          <w:highlight w:val="none"/>
        </w:rPr>
        <w:t>医疗器械软件注册审查指导原则</w:t>
      </w:r>
      <w:r>
        <w:rPr>
          <w:rFonts w:hint="eastAsia" w:ascii="Times New Roman" w:hAnsi="Times New Roman" w:eastAsia="仿宋_GB2312"/>
          <w:color w:val="auto"/>
          <w:kern w:val="0"/>
          <w:sz w:val="32"/>
          <w:szCs w:val="32"/>
          <w:highlight w:val="none"/>
        </w:rPr>
        <w:t>（2022年修订版）:国家药监局器审中心通告2022年第9号</w:t>
      </w:r>
      <w:r>
        <w:rPr>
          <w:rFonts w:ascii="Times New Roman" w:hAnsi="Times New Roman" w:eastAsia="仿宋_GB2312"/>
          <w:color w:val="auto"/>
          <w:sz w:val="32"/>
          <w:szCs w:val="32"/>
          <w:highlight w:val="none"/>
          <w:lang w:val="en"/>
        </w:rPr>
        <w:t>[Z]</w:t>
      </w:r>
      <w:r>
        <w:rPr>
          <w:rFonts w:ascii="Times New Roman" w:hAnsi="Times New Roman" w:eastAsia="仿宋_GB2312"/>
          <w:color w:val="auto"/>
          <w:sz w:val="32"/>
          <w:szCs w:val="32"/>
          <w:highlight w:val="none"/>
        </w:rPr>
        <w:t>.</w:t>
      </w:r>
    </w:p>
    <w:p w14:paraId="478B7A08">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28"/>
          <w:highlight w:val="none"/>
        </w:rPr>
      </w:pPr>
      <w:r>
        <w:rPr>
          <w:rFonts w:ascii="Times New Roman" w:hAnsi="Times New Roman" w:eastAsia="仿宋_GB2312"/>
          <w:color w:val="auto"/>
          <w:sz w:val="32"/>
          <w:szCs w:val="28"/>
          <w:highlight w:val="none"/>
        </w:rPr>
        <w:t>[</w:t>
      </w:r>
      <w:r>
        <w:rPr>
          <w:rFonts w:hint="eastAsia" w:ascii="Times New Roman" w:hAnsi="Times New Roman" w:eastAsia="仿宋_GB2312"/>
          <w:color w:val="auto"/>
          <w:sz w:val="32"/>
          <w:szCs w:val="28"/>
          <w:highlight w:val="none"/>
        </w:rPr>
        <w:t>8</w:t>
      </w:r>
      <w:r>
        <w:rPr>
          <w:rFonts w:ascii="Times New Roman" w:hAnsi="Times New Roman" w:eastAsia="仿宋_GB2312"/>
          <w:color w:val="auto"/>
          <w:sz w:val="32"/>
          <w:szCs w:val="28"/>
          <w:highlight w:val="none"/>
        </w:rPr>
        <w:t>]</w:t>
      </w:r>
      <w:r>
        <w:rPr>
          <w:rFonts w:hint="eastAsia" w:ascii="Times New Roman" w:hAnsi="Times New Roman" w:eastAsia="仿宋_GB2312"/>
          <w:color w:val="auto"/>
          <w:sz w:val="32"/>
          <w:szCs w:val="28"/>
          <w:highlight w:val="none"/>
        </w:rPr>
        <w:t>国家药品监督管理局医疗器械审评中心.人工智能医疗器械注册审查指导原则:国家药监局器审中心通告2022年第</w:t>
      </w:r>
      <w:r>
        <w:rPr>
          <w:rFonts w:ascii="Times New Roman" w:hAnsi="Times New Roman" w:eastAsia="仿宋_GB2312"/>
          <w:color w:val="auto"/>
          <w:sz w:val="32"/>
          <w:szCs w:val="28"/>
          <w:highlight w:val="none"/>
        </w:rPr>
        <w:t>8</w:t>
      </w:r>
      <w:r>
        <w:rPr>
          <w:rFonts w:hint="eastAsia" w:ascii="Times New Roman" w:hAnsi="Times New Roman" w:eastAsia="仿宋_GB2312"/>
          <w:color w:val="auto"/>
          <w:sz w:val="32"/>
          <w:szCs w:val="28"/>
          <w:highlight w:val="none"/>
        </w:rPr>
        <w:t>号[Z].</w:t>
      </w:r>
    </w:p>
    <w:p w14:paraId="14DBF94B">
      <w:pPr>
        <w:keepNext w:val="0"/>
        <w:keepLines w:val="0"/>
        <w:pageBreakBefore w:val="0"/>
        <w:kinsoku/>
        <w:wordWrap/>
        <w:topLinePunct w:val="0"/>
        <w:autoSpaceDE/>
        <w:autoSpaceDN/>
        <w:bidi w:val="0"/>
        <w:spacing w:line="500" w:lineRule="exact"/>
        <w:ind w:right="-67" w:rightChars="-32"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[9]</w:t>
      </w:r>
      <w:r>
        <w:rPr>
          <w:rFonts w:hint="eastAsia" w:ascii="Times New Roman" w:hAnsi="Times New Roman" w:eastAsia="仿宋_GB2312"/>
          <w:color w:val="auto"/>
          <w:kern w:val="0"/>
          <w:sz w:val="32"/>
          <w:szCs w:val="32"/>
          <w:highlight w:val="none"/>
        </w:rPr>
        <w:t>国家药品监督管理局医疗器械审评中心</w:t>
      </w:r>
      <w:r>
        <w:rPr>
          <w:rFonts w:ascii="Times New Roman" w:hAnsi="Times New Roman" w:eastAsia="仿宋_GB2312"/>
          <w:color w:val="auto"/>
          <w:sz w:val="32"/>
          <w:szCs w:val="32"/>
          <w:highlight w:val="none"/>
        </w:rPr>
        <w:t>.医疗器械网络安全注册审查指导原则（2022年修订版）</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kern w:val="0"/>
          <w:sz w:val="32"/>
          <w:szCs w:val="32"/>
          <w:highlight w:val="none"/>
        </w:rPr>
        <w:t>国家药监局器审中心通告2022年第7号</w:t>
      </w:r>
      <w:r>
        <w:rPr>
          <w:rFonts w:ascii="Times New Roman" w:hAnsi="Times New Roman" w:eastAsia="仿宋_GB2312"/>
          <w:color w:val="auto"/>
          <w:sz w:val="32"/>
          <w:szCs w:val="32"/>
          <w:highlight w:val="none"/>
        </w:rPr>
        <w:t>[Z].</w:t>
      </w:r>
    </w:p>
    <w:p w14:paraId="6B42A2EB">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28"/>
          <w:highlight w:val="none"/>
        </w:rPr>
      </w:pPr>
      <w:r>
        <w:rPr>
          <w:rFonts w:hint="eastAsia" w:ascii="Times New Roman" w:hAnsi="Times New Roman" w:eastAsia="仿宋_GB2312"/>
          <w:color w:val="auto"/>
          <w:sz w:val="32"/>
          <w:szCs w:val="28"/>
          <w:highlight w:val="none"/>
        </w:rPr>
        <w:t>[</w:t>
      </w:r>
      <w:r>
        <w:rPr>
          <w:rFonts w:ascii="Times New Roman" w:hAnsi="Times New Roman" w:eastAsia="仿宋_GB2312"/>
          <w:color w:val="auto"/>
          <w:sz w:val="32"/>
          <w:szCs w:val="28"/>
          <w:highlight w:val="none"/>
        </w:rPr>
        <w:t>1</w:t>
      </w:r>
      <w:r>
        <w:rPr>
          <w:rFonts w:hint="eastAsia" w:ascii="Times New Roman" w:hAnsi="Times New Roman" w:eastAsia="仿宋_GB2312"/>
          <w:color w:val="auto"/>
          <w:sz w:val="32"/>
          <w:szCs w:val="28"/>
          <w:highlight w:val="none"/>
        </w:rPr>
        <w:t>0</w:t>
      </w:r>
      <w:r>
        <w:rPr>
          <w:rFonts w:ascii="Times New Roman" w:hAnsi="Times New Roman" w:eastAsia="仿宋_GB2312"/>
          <w:color w:val="auto"/>
          <w:sz w:val="32"/>
          <w:szCs w:val="28"/>
          <w:highlight w:val="none"/>
        </w:rPr>
        <w:t>]</w:t>
      </w:r>
      <w:r>
        <w:rPr>
          <w:rFonts w:hint="eastAsia" w:ascii="Times New Roman" w:hAnsi="Times New Roman" w:eastAsia="仿宋_GB2312"/>
          <w:color w:val="auto"/>
          <w:sz w:val="32"/>
          <w:szCs w:val="28"/>
          <w:highlight w:val="none"/>
        </w:rPr>
        <w:t>国家药品监督管理局医疗器械审评中心.移动医疗器械注册技术审查指导原则:国家药监局器审中心通告20</w:t>
      </w:r>
      <w:r>
        <w:rPr>
          <w:rFonts w:hint="eastAsia" w:ascii="Times New Roman" w:hAnsi="Times New Roman" w:eastAsia="仿宋_GB2312"/>
          <w:color w:val="auto"/>
          <w:sz w:val="32"/>
          <w:szCs w:val="28"/>
          <w:highlight w:val="none"/>
          <w:lang w:val="en-US" w:eastAsia="zh-CN"/>
        </w:rPr>
        <w:t>25</w:t>
      </w:r>
      <w:r>
        <w:rPr>
          <w:rFonts w:hint="eastAsia" w:ascii="Times New Roman" w:hAnsi="Times New Roman" w:eastAsia="仿宋_GB2312"/>
          <w:color w:val="auto"/>
          <w:sz w:val="32"/>
          <w:szCs w:val="28"/>
          <w:highlight w:val="none"/>
        </w:rPr>
        <w:t>年第</w:t>
      </w:r>
      <w:r>
        <w:rPr>
          <w:rFonts w:hint="eastAsia" w:ascii="Times New Roman" w:hAnsi="Times New Roman" w:eastAsia="仿宋_GB2312"/>
          <w:color w:val="auto"/>
          <w:sz w:val="32"/>
          <w:szCs w:val="28"/>
          <w:highlight w:val="none"/>
          <w:lang w:val="en-US" w:eastAsia="zh-CN"/>
        </w:rPr>
        <w:t>9</w:t>
      </w:r>
      <w:r>
        <w:rPr>
          <w:rFonts w:hint="eastAsia" w:ascii="Times New Roman" w:hAnsi="Times New Roman" w:eastAsia="仿宋_GB2312"/>
          <w:color w:val="auto"/>
          <w:sz w:val="32"/>
          <w:szCs w:val="28"/>
          <w:highlight w:val="none"/>
        </w:rPr>
        <w:t>号[Z].</w:t>
      </w:r>
    </w:p>
    <w:p w14:paraId="32D2B835">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s="Times New Roman"/>
          <w:color w:val="auto"/>
          <w:sz w:val="32"/>
          <w:szCs w:val="28"/>
          <w:highlight w:val="none"/>
        </w:rPr>
      </w:pPr>
      <w:r>
        <w:rPr>
          <w:rFonts w:hint="eastAsia" w:ascii="Times New Roman" w:hAnsi="Times New Roman" w:eastAsia="仿宋_GB2312" w:cs="Times New Roman"/>
          <w:color w:val="auto"/>
          <w:sz w:val="32"/>
          <w:szCs w:val="28"/>
          <w:highlight w:val="none"/>
        </w:rPr>
        <w:t>[11]</w:t>
      </w:r>
      <w:r>
        <w:rPr>
          <w:rFonts w:hint="eastAsia" w:ascii="Times New Roman" w:hAnsi="Times New Roman" w:eastAsia="仿宋_GB2312" w:cs="Times New Roman"/>
          <w:color w:val="auto"/>
          <w:sz w:val="32"/>
          <w:szCs w:val="28"/>
          <w:highlight w:val="none"/>
          <w:lang w:val="en-US" w:eastAsia="zh-CN"/>
        </w:rPr>
        <w:t>国家药品监督管理局</w:t>
      </w:r>
      <w:r>
        <w:rPr>
          <w:rFonts w:hint="default" w:ascii="Times New Roman" w:hAnsi="Times New Roman" w:eastAsia="仿宋_GB2312" w:cs="Times New Roman"/>
          <w:color w:val="auto"/>
          <w:sz w:val="32"/>
          <w:szCs w:val="28"/>
          <w:highlight w:val="none"/>
          <w:lang w:val="en-US" w:eastAsia="zh-CN"/>
        </w:rPr>
        <w:t>.</w:t>
      </w:r>
      <w:r>
        <w:rPr>
          <w:rFonts w:hint="eastAsia" w:ascii="Times New Roman" w:hAnsi="Times New Roman" w:eastAsia="仿宋_GB2312" w:cs="Times New Roman"/>
          <w:color w:val="auto"/>
          <w:sz w:val="32"/>
          <w:szCs w:val="28"/>
          <w:highlight w:val="none"/>
          <w:lang w:val="en-US" w:eastAsia="zh-CN"/>
        </w:rPr>
        <w:t>医疗器械临床评价技术指导原则</w:t>
      </w:r>
      <w:r>
        <w:rPr>
          <w:rFonts w:hint="default" w:ascii="Times New Roman" w:hAnsi="Times New Roman" w:eastAsia="仿宋_GB2312" w:cs="Times New Roman"/>
          <w:color w:val="auto"/>
          <w:sz w:val="32"/>
          <w:szCs w:val="28"/>
          <w:highlight w:val="none"/>
          <w:lang w:val="en-US" w:eastAsia="zh-CN"/>
        </w:rPr>
        <w:t>:</w:t>
      </w:r>
      <w:r>
        <w:rPr>
          <w:rFonts w:hint="eastAsia" w:ascii="Times New Roman" w:hAnsi="Times New Roman" w:eastAsia="仿宋_GB2312" w:cs="Times New Roman"/>
          <w:color w:val="auto"/>
          <w:sz w:val="32"/>
          <w:szCs w:val="28"/>
          <w:highlight w:val="none"/>
          <w:lang w:val="en-US" w:eastAsia="zh-CN"/>
        </w:rPr>
        <w:t>国家药监局通告</w:t>
      </w:r>
      <w:r>
        <w:rPr>
          <w:rFonts w:hint="default" w:ascii="Times New Roman" w:hAnsi="Times New Roman" w:eastAsia="仿宋_GB2312" w:cs="Times New Roman"/>
          <w:color w:val="auto"/>
          <w:sz w:val="32"/>
          <w:szCs w:val="28"/>
          <w:highlight w:val="none"/>
          <w:lang w:val="en-US" w:eastAsia="zh-CN"/>
        </w:rPr>
        <w:t>2021</w:t>
      </w:r>
      <w:r>
        <w:rPr>
          <w:rFonts w:hint="eastAsia" w:ascii="Times New Roman" w:hAnsi="Times New Roman" w:eastAsia="仿宋_GB2312" w:cs="Times New Roman"/>
          <w:color w:val="auto"/>
          <w:sz w:val="32"/>
          <w:szCs w:val="28"/>
          <w:highlight w:val="none"/>
          <w:lang w:val="en-US" w:eastAsia="zh-CN"/>
        </w:rPr>
        <w:t>年第</w:t>
      </w:r>
      <w:r>
        <w:rPr>
          <w:rFonts w:hint="default" w:ascii="Times New Roman" w:hAnsi="Times New Roman" w:eastAsia="仿宋_GB2312" w:cs="Times New Roman"/>
          <w:color w:val="auto"/>
          <w:sz w:val="32"/>
          <w:szCs w:val="28"/>
          <w:highlight w:val="none"/>
          <w:lang w:val="en-US" w:eastAsia="zh-CN"/>
        </w:rPr>
        <w:t>73</w:t>
      </w:r>
      <w:r>
        <w:rPr>
          <w:rFonts w:hint="eastAsia" w:ascii="Times New Roman" w:hAnsi="Times New Roman" w:eastAsia="仿宋_GB2312" w:cs="Times New Roman"/>
          <w:color w:val="auto"/>
          <w:sz w:val="32"/>
          <w:szCs w:val="28"/>
          <w:highlight w:val="none"/>
          <w:lang w:val="en-US" w:eastAsia="zh-CN"/>
        </w:rPr>
        <w:t>号</w:t>
      </w:r>
      <w:r>
        <w:rPr>
          <w:rFonts w:hint="default" w:ascii="Times New Roman" w:hAnsi="Times New Roman" w:eastAsia="仿宋_GB2312" w:cs="Times New Roman"/>
          <w:color w:val="auto"/>
          <w:sz w:val="32"/>
          <w:szCs w:val="28"/>
          <w:highlight w:val="none"/>
          <w:lang w:val="en-US" w:eastAsia="zh-CN"/>
        </w:rPr>
        <w:t>[Z].</w:t>
      </w:r>
    </w:p>
    <w:p w14:paraId="10131A8F">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s="Times New Roman"/>
          <w:color w:val="auto"/>
          <w:sz w:val="32"/>
          <w:szCs w:val="28"/>
          <w:highlight w:val="none"/>
        </w:rPr>
      </w:pPr>
      <w:r>
        <w:rPr>
          <w:rFonts w:hint="eastAsia" w:ascii="Times New Roman" w:hAnsi="Times New Roman" w:eastAsia="仿宋_GB2312" w:cs="Times New Roman"/>
          <w:color w:val="auto"/>
          <w:sz w:val="32"/>
          <w:szCs w:val="28"/>
          <w:highlight w:val="none"/>
        </w:rPr>
        <w:t>[1</w:t>
      </w:r>
      <w:r>
        <w:rPr>
          <w:rFonts w:hint="eastAsia" w:ascii="Times New Roman" w:hAnsi="Times New Roman" w:eastAsia="仿宋_GB2312" w:cs="Times New Roman"/>
          <w:color w:val="auto"/>
          <w:sz w:val="32"/>
          <w:szCs w:val="28"/>
          <w:highlight w:val="none"/>
          <w:lang w:val="en-US" w:eastAsia="zh-CN"/>
        </w:rPr>
        <w:t>2</w:t>
      </w:r>
      <w:r>
        <w:rPr>
          <w:rFonts w:hint="eastAsia" w:ascii="Times New Roman" w:hAnsi="Times New Roman" w:eastAsia="仿宋_GB2312" w:cs="Times New Roman"/>
          <w:color w:val="auto"/>
          <w:sz w:val="32"/>
          <w:szCs w:val="28"/>
          <w:highlight w:val="none"/>
        </w:rPr>
        <w:t>]</w:t>
      </w:r>
      <w:r>
        <w:rPr>
          <w:rFonts w:hint="eastAsia" w:ascii="Times New Roman" w:hAnsi="Times New Roman" w:eastAsia="仿宋_GB2312" w:cs="Times New Roman"/>
          <w:color w:val="auto"/>
          <w:sz w:val="32"/>
          <w:szCs w:val="28"/>
          <w:highlight w:val="none"/>
          <w:lang w:val="en-US" w:eastAsia="zh-CN"/>
        </w:rPr>
        <w:t>国家药品监督管理局</w:t>
      </w:r>
      <w:r>
        <w:rPr>
          <w:rFonts w:hint="default" w:ascii="Times New Roman" w:hAnsi="Times New Roman" w:eastAsia="仿宋_GB2312" w:cs="Times New Roman"/>
          <w:color w:val="auto"/>
          <w:sz w:val="32"/>
          <w:szCs w:val="28"/>
          <w:highlight w:val="none"/>
          <w:lang w:val="en-US" w:eastAsia="zh-CN"/>
        </w:rPr>
        <w:t>.</w:t>
      </w:r>
      <w:r>
        <w:rPr>
          <w:rFonts w:hint="eastAsia" w:ascii="Times New Roman" w:hAnsi="Times New Roman" w:eastAsia="仿宋_GB2312" w:cs="Times New Roman"/>
          <w:color w:val="auto"/>
          <w:sz w:val="32"/>
          <w:szCs w:val="28"/>
          <w:highlight w:val="none"/>
          <w:lang w:val="en-US" w:eastAsia="zh-CN"/>
        </w:rPr>
        <w:t>医疗器械临床评价等同性论证技术指导原则</w:t>
      </w:r>
      <w:r>
        <w:rPr>
          <w:rFonts w:hint="default" w:ascii="Times New Roman" w:hAnsi="Times New Roman" w:eastAsia="仿宋_GB2312" w:cs="Times New Roman"/>
          <w:color w:val="auto"/>
          <w:sz w:val="32"/>
          <w:szCs w:val="28"/>
          <w:highlight w:val="none"/>
          <w:lang w:val="en-US" w:eastAsia="zh-CN"/>
        </w:rPr>
        <w:t>:</w:t>
      </w:r>
      <w:r>
        <w:rPr>
          <w:rFonts w:hint="eastAsia" w:ascii="Times New Roman" w:hAnsi="Times New Roman" w:eastAsia="仿宋_GB2312" w:cs="Times New Roman"/>
          <w:color w:val="auto"/>
          <w:sz w:val="32"/>
          <w:szCs w:val="28"/>
          <w:highlight w:val="none"/>
          <w:lang w:val="en-US" w:eastAsia="zh-CN"/>
        </w:rPr>
        <w:t>国家药监局通告</w:t>
      </w:r>
      <w:r>
        <w:rPr>
          <w:rFonts w:hint="default" w:ascii="Times New Roman" w:hAnsi="Times New Roman" w:eastAsia="仿宋_GB2312" w:cs="Times New Roman"/>
          <w:color w:val="auto"/>
          <w:sz w:val="32"/>
          <w:szCs w:val="28"/>
          <w:highlight w:val="none"/>
          <w:lang w:val="en-US" w:eastAsia="zh-CN"/>
        </w:rPr>
        <w:t>2021</w:t>
      </w:r>
      <w:r>
        <w:rPr>
          <w:rFonts w:hint="eastAsia" w:ascii="Times New Roman" w:hAnsi="Times New Roman" w:eastAsia="仿宋_GB2312" w:cs="Times New Roman"/>
          <w:color w:val="auto"/>
          <w:sz w:val="32"/>
          <w:szCs w:val="28"/>
          <w:highlight w:val="none"/>
          <w:lang w:val="en-US" w:eastAsia="zh-CN"/>
        </w:rPr>
        <w:t>年第</w:t>
      </w:r>
      <w:r>
        <w:rPr>
          <w:rFonts w:hint="default" w:ascii="Times New Roman" w:hAnsi="Times New Roman" w:eastAsia="仿宋_GB2312" w:cs="Times New Roman"/>
          <w:color w:val="auto"/>
          <w:sz w:val="32"/>
          <w:szCs w:val="28"/>
          <w:highlight w:val="none"/>
          <w:lang w:val="en-US" w:eastAsia="zh-CN"/>
        </w:rPr>
        <w:t>73</w:t>
      </w:r>
      <w:r>
        <w:rPr>
          <w:rFonts w:hint="eastAsia" w:ascii="Times New Roman" w:hAnsi="Times New Roman" w:eastAsia="仿宋_GB2312" w:cs="Times New Roman"/>
          <w:color w:val="auto"/>
          <w:sz w:val="32"/>
          <w:szCs w:val="28"/>
          <w:highlight w:val="none"/>
          <w:lang w:val="en-US" w:eastAsia="zh-CN"/>
        </w:rPr>
        <w:t>号</w:t>
      </w:r>
      <w:r>
        <w:rPr>
          <w:rFonts w:hint="default" w:ascii="Times New Roman" w:hAnsi="Times New Roman" w:eastAsia="仿宋_GB2312" w:cs="Times New Roman"/>
          <w:color w:val="auto"/>
          <w:sz w:val="32"/>
          <w:szCs w:val="28"/>
          <w:highlight w:val="none"/>
          <w:lang w:val="en-US" w:eastAsia="zh-CN"/>
        </w:rPr>
        <w:t>[Z].</w:t>
      </w:r>
    </w:p>
    <w:p w14:paraId="72F0497C">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lang w:val="en-US" w:eastAsia="zh-CN"/>
        </w:rPr>
        <w:t>3</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val="en-US" w:eastAsia="zh-CN"/>
        </w:rPr>
        <w:t>国家药品监督管理局.医疗器械注册申报临床评价报告技术指导原则:国家药监局通告2021年第73号[Z].</w:t>
      </w:r>
    </w:p>
    <w:p w14:paraId="748F243D">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lang w:val="en-US" w:eastAsia="zh-CN"/>
        </w:rPr>
        <w:t>4</w:t>
      </w:r>
      <w:r>
        <w:rPr>
          <w:rFonts w:hint="eastAsia" w:ascii="Times New Roman" w:hAnsi="Times New Roman" w:eastAsia="仿宋_GB2312"/>
          <w:color w:val="auto"/>
          <w:sz w:val="32"/>
          <w:szCs w:val="32"/>
          <w:highlight w:val="none"/>
        </w:rPr>
        <w:t>]国家食品药品监督管理总局.医疗器械说明书和标签管理规定:国家食品药品监督管理总局令第6号[Z].</w:t>
      </w:r>
    </w:p>
    <w:p w14:paraId="34EB1F68">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val="en-US" w:eastAsia="zh-CN"/>
        </w:rPr>
        <w:t>YY/T 0664-2020, 医疗器械软件 软件生存周期过程[S].</w:t>
      </w:r>
    </w:p>
    <w:p w14:paraId="217618EB">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lang w:val="en-US" w:eastAsia="zh-CN"/>
        </w:rPr>
        <w:t>6</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eastAsia="zh-CN"/>
        </w:rPr>
        <w:t xml:space="preserve">YY/T </w:t>
      </w:r>
      <w:r>
        <w:rPr>
          <w:rFonts w:hint="eastAsia" w:ascii="Times New Roman" w:hAnsi="Times New Roman" w:eastAsia="仿宋_GB2312"/>
          <w:color w:val="auto"/>
          <w:sz w:val="32"/>
          <w:szCs w:val="32"/>
          <w:highlight w:val="none"/>
        </w:rPr>
        <w:t>1843-2022, 医用电气设备网络安全基本要求</w:t>
      </w:r>
      <w:r>
        <w:rPr>
          <w:rFonts w:hint="eastAsia" w:ascii="Times New Roman" w:hAnsi="Times New Roman" w:eastAsia="仿宋_GB2312"/>
          <w:color w:val="auto"/>
          <w:sz w:val="32"/>
          <w:szCs w:val="32"/>
          <w:highlight w:val="none"/>
          <w:lang w:val="en-US" w:eastAsia="zh-CN"/>
        </w:rPr>
        <w:t>[S].</w:t>
      </w:r>
    </w:p>
    <w:p w14:paraId="137479CC">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lang w:val="en-US" w:eastAsia="zh-CN"/>
        </w:rPr>
        <w:t>7</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eastAsia="zh-CN"/>
        </w:rPr>
        <w:t>GB/T</w:t>
      </w:r>
      <w:r>
        <w:rPr>
          <w:rFonts w:hint="eastAsia" w:ascii="Times New Roman" w:hAnsi="Times New Roman" w:eastAsia="仿宋_GB2312"/>
          <w:color w:val="auto"/>
          <w:sz w:val="32"/>
          <w:szCs w:val="32"/>
          <w:highlight w:val="none"/>
        </w:rPr>
        <w:t xml:space="preserve"> 42062-2022,医疗器械 风险管理对医疗器械的应用[S].</w:t>
      </w:r>
    </w:p>
    <w:p w14:paraId="18F1EFEA">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仿宋_GB2312"/>
          <w:color w:val="auto"/>
          <w:sz w:val="32"/>
          <w:szCs w:val="28"/>
          <w:highlight w:val="none"/>
        </w:rPr>
      </w:pPr>
      <w:r>
        <w:rPr>
          <w:rFonts w:hint="eastAsia" w:ascii="Times New Roman" w:hAnsi="Times New Roman" w:eastAsia="仿宋_GB2312"/>
          <w:color w:val="auto"/>
          <w:sz w:val="32"/>
          <w:szCs w:val="28"/>
          <w:highlight w:val="none"/>
        </w:rPr>
        <w:t>[1</w:t>
      </w:r>
      <w:r>
        <w:rPr>
          <w:rFonts w:hint="eastAsia" w:ascii="Times New Roman" w:hAnsi="Times New Roman" w:eastAsia="仿宋_GB2312"/>
          <w:color w:val="auto"/>
          <w:sz w:val="32"/>
          <w:szCs w:val="28"/>
          <w:highlight w:val="none"/>
          <w:lang w:val="en-US" w:eastAsia="zh-CN"/>
        </w:rPr>
        <w:t>8</w:t>
      </w:r>
      <w:r>
        <w:rPr>
          <w:rFonts w:hint="eastAsia" w:ascii="Times New Roman" w:hAnsi="Times New Roman" w:eastAsia="仿宋_GB2312"/>
          <w:color w:val="auto"/>
          <w:sz w:val="32"/>
          <w:szCs w:val="28"/>
          <w:highlight w:val="none"/>
        </w:rPr>
        <w:t>]</w:t>
      </w:r>
      <w:r>
        <w:rPr>
          <w:rFonts w:hint="eastAsia" w:ascii="Times New Roman" w:hAnsi="Times New Roman" w:eastAsia="仿宋_GB2312"/>
          <w:color w:val="auto"/>
          <w:sz w:val="32"/>
          <w:szCs w:val="28"/>
          <w:highlight w:val="none"/>
          <w:lang w:eastAsia="zh-CN"/>
        </w:rPr>
        <w:t>GB/T</w:t>
      </w:r>
      <w:r>
        <w:rPr>
          <w:rFonts w:hint="eastAsia" w:ascii="Times New Roman" w:hAnsi="Times New Roman" w:eastAsia="仿宋_GB2312"/>
          <w:color w:val="auto"/>
          <w:sz w:val="32"/>
          <w:szCs w:val="28"/>
          <w:highlight w:val="none"/>
        </w:rPr>
        <w:t xml:space="preserve"> 25000.51-2016,系统与软件工程 系统与软件质量要求和评价（SQuaRE） 第51部分：就绪可用软件产品（RUSP）的质量要求和测试细则[S].</w:t>
      </w:r>
    </w:p>
    <w:p w14:paraId="4236EF2D">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黑体" w:cs="黑体"/>
          <w:snapToGrid w:val="0"/>
          <w:color w:val="auto"/>
          <w:kern w:val="0"/>
          <w:sz w:val="32"/>
          <w:szCs w:val="32"/>
          <w:highlight w:val="none"/>
          <w:lang w:val="en-US" w:eastAsia="zh-CN"/>
        </w:rPr>
      </w:pPr>
      <w:r>
        <w:rPr>
          <w:rFonts w:hint="eastAsia" w:ascii="Times New Roman" w:hAnsi="Times New Roman" w:eastAsia="黑体" w:cs="黑体"/>
          <w:snapToGrid w:val="0"/>
          <w:color w:val="auto"/>
          <w:kern w:val="0"/>
          <w:sz w:val="32"/>
          <w:szCs w:val="32"/>
          <w:highlight w:val="none"/>
        </w:rPr>
        <w:br w:type="page"/>
      </w:r>
      <w:r>
        <w:rPr>
          <w:rFonts w:hint="eastAsia" w:ascii="Times New Roman" w:hAnsi="Times New Roman" w:eastAsia="黑体" w:cs="黑体"/>
          <w:snapToGrid w:val="0"/>
          <w:color w:val="auto"/>
          <w:kern w:val="0"/>
          <w:sz w:val="32"/>
          <w:szCs w:val="32"/>
          <w:highlight w:val="none"/>
        </w:rPr>
        <w:t>附件</w:t>
      </w:r>
      <w:r>
        <w:rPr>
          <w:rFonts w:hint="eastAsia" w:ascii="Times New Roman" w:hAnsi="Times New Roman" w:eastAsia="黑体" w:cs="黑体"/>
          <w:snapToGrid w:val="0"/>
          <w:color w:val="auto"/>
          <w:kern w:val="0"/>
          <w:sz w:val="32"/>
          <w:szCs w:val="32"/>
          <w:highlight w:val="none"/>
          <w:lang w:val="en-US" w:eastAsia="zh-CN"/>
        </w:rPr>
        <w:t>1</w:t>
      </w:r>
    </w:p>
    <w:p w14:paraId="29138462">
      <w:pPr>
        <w:keepNext w:val="0"/>
        <w:keepLines w:val="0"/>
        <w:pageBreakBefore w:val="0"/>
        <w:kinsoku/>
        <w:wordWrap/>
        <w:topLinePunct w:val="0"/>
        <w:autoSpaceDE/>
        <w:autoSpaceDN/>
        <w:bidi w:val="0"/>
        <w:spacing w:line="500" w:lineRule="exact"/>
        <w:ind w:right="-67" w:rightChars="-32" w:firstLine="640" w:firstLineChars="200"/>
        <w:textAlignment w:val="auto"/>
        <w:rPr>
          <w:rFonts w:hint="eastAsia" w:ascii="Times New Roman" w:hAnsi="Times New Roman" w:eastAsia="黑体" w:cs="黑体"/>
          <w:snapToGrid w:val="0"/>
          <w:color w:val="auto"/>
          <w:kern w:val="0"/>
          <w:sz w:val="32"/>
          <w:szCs w:val="32"/>
          <w:highlight w:val="none"/>
        </w:rPr>
      </w:pPr>
    </w:p>
    <w:p w14:paraId="4371AB06">
      <w:pPr>
        <w:keepNext w:val="0"/>
        <w:keepLines w:val="0"/>
        <w:pageBreakBefore w:val="0"/>
        <w:kinsoku/>
        <w:wordWrap/>
        <w:topLinePunct w:val="0"/>
        <w:autoSpaceDE/>
        <w:autoSpaceDN/>
        <w:bidi w:val="0"/>
        <w:spacing w:line="500" w:lineRule="exact"/>
        <w:jc w:val="center"/>
        <w:textAlignment w:val="auto"/>
        <w:rPr>
          <w:rFonts w:hint="eastAsia" w:ascii="Times New Roman" w:hAnsi="Times New Roman" w:eastAsia="方正小标宋简体"/>
          <w:bCs/>
          <w:snapToGrid w:val="0"/>
          <w:color w:val="auto"/>
          <w:sz w:val="44"/>
          <w:szCs w:val="44"/>
          <w:highlight w:val="none"/>
          <w:lang w:val="zh-CN"/>
        </w:rPr>
      </w:pPr>
      <w:r>
        <w:rPr>
          <w:rFonts w:hint="eastAsia" w:ascii="Times New Roman" w:hAnsi="Times New Roman" w:eastAsia="方正小标宋简体"/>
          <w:bCs/>
          <w:snapToGrid w:val="0"/>
          <w:color w:val="auto"/>
          <w:sz w:val="44"/>
          <w:szCs w:val="44"/>
          <w:highlight w:val="none"/>
          <w:lang w:val="zh-CN"/>
        </w:rPr>
        <w:t>产品风险点举例</w:t>
      </w:r>
    </w:p>
    <w:p w14:paraId="75EF06B3">
      <w:pPr>
        <w:keepNext w:val="0"/>
        <w:keepLines w:val="0"/>
        <w:pageBreakBefore w:val="0"/>
        <w:kinsoku/>
        <w:wordWrap/>
        <w:topLinePunct w:val="0"/>
        <w:autoSpaceDE/>
        <w:autoSpaceDN/>
        <w:bidi w:val="0"/>
        <w:spacing w:line="500" w:lineRule="exact"/>
        <w:ind w:firstLine="640" w:firstLineChars="200"/>
        <w:textAlignment w:val="auto"/>
        <w:rPr>
          <w:rFonts w:ascii="Times New Roman" w:hAnsi="Times New Roman" w:eastAsia="仿宋_GB2312"/>
          <w:color w:val="auto"/>
          <w:sz w:val="32"/>
          <w:szCs w:val="32"/>
          <w:highlight w:val="none"/>
        </w:rPr>
      </w:pPr>
    </w:p>
    <w:p w14:paraId="0DBECB43">
      <w:pPr>
        <w:keepNext w:val="0"/>
        <w:keepLines w:val="0"/>
        <w:pageBreakBefore w:val="0"/>
        <w:kinsoku/>
        <w:wordWrap/>
        <w:topLinePunct w:val="0"/>
        <w:autoSpaceDE/>
        <w:autoSpaceDN/>
        <w:bidi w:val="0"/>
        <w:spacing w:line="5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下表所列为常见可预见事件序列／可能的伤害示例，需关注：</w:t>
      </w:r>
    </w:p>
    <w:p w14:paraId="17DCF2C5">
      <w:pPr>
        <w:keepNext w:val="0"/>
        <w:keepLines w:val="0"/>
        <w:pageBreakBefore w:val="0"/>
        <w:kinsoku/>
        <w:wordWrap/>
        <w:topLinePunct w:val="0"/>
        <w:autoSpaceDE/>
        <w:autoSpaceDN/>
        <w:bidi w:val="0"/>
        <w:spacing w:line="500" w:lineRule="exact"/>
        <w:jc w:val="center"/>
        <w:textAlignment w:val="auto"/>
        <w:rPr>
          <w:rFonts w:hint="eastAsia" w:ascii="Times New Roman" w:hAnsi="Times New Roman" w:eastAsia="黑体"/>
          <w:color w:val="auto"/>
          <w:sz w:val="28"/>
          <w:szCs w:val="28"/>
          <w:highlight w:val="none"/>
        </w:rPr>
      </w:pPr>
      <w:r>
        <w:rPr>
          <w:rFonts w:hint="eastAsia" w:ascii="Times New Roman" w:hAnsi="Times New Roman" w:eastAsia="黑体"/>
          <w:color w:val="auto"/>
          <w:sz w:val="28"/>
          <w:szCs w:val="28"/>
          <w:highlight w:val="none"/>
        </w:rPr>
        <w:t>表</w:t>
      </w:r>
      <w:r>
        <w:rPr>
          <w:rFonts w:ascii="Times New Roman" w:hAnsi="Times New Roman" w:eastAsia="黑体"/>
          <w:color w:val="auto"/>
          <w:sz w:val="28"/>
          <w:szCs w:val="28"/>
          <w:highlight w:val="none"/>
        </w:rPr>
        <w:t xml:space="preserve"> </w:t>
      </w:r>
      <w:r>
        <w:rPr>
          <w:rFonts w:hint="eastAsia" w:ascii="Times New Roman" w:hAnsi="Times New Roman" w:eastAsia="黑体"/>
          <w:color w:val="auto"/>
          <w:sz w:val="28"/>
          <w:szCs w:val="28"/>
          <w:highlight w:val="none"/>
        </w:rPr>
        <w:t>常见可预见事件序列／可能的伤害示例</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3"/>
        <w:gridCol w:w="2529"/>
        <w:gridCol w:w="5267"/>
      </w:tblGrid>
      <w:tr w14:paraId="6F374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5" w:hRule="atLeast"/>
          <w:tblHeader/>
          <w:jc w:val="center"/>
        </w:trPr>
        <w:tc>
          <w:tcPr>
            <w:tcW w:w="813" w:type="dxa"/>
            <w:tcBorders>
              <w:top w:val="single" w:color="auto" w:sz="4" w:space="0"/>
              <w:left w:val="single" w:color="auto" w:sz="4" w:space="0"/>
              <w:bottom w:val="single" w:color="auto" w:sz="4" w:space="0"/>
              <w:right w:val="single" w:color="auto" w:sz="4" w:space="0"/>
            </w:tcBorders>
            <w:noWrap w:val="0"/>
            <w:vAlign w:val="top"/>
          </w:tcPr>
          <w:p w14:paraId="7E5D8021">
            <w:pPr>
              <w:keepNext w:val="0"/>
              <w:keepLines w:val="0"/>
              <w:pageBreakBefore w:val="0"/>
              <w:kinsoku/>
              <w:wordWrap/>
              <w:topLinePunct w:val="0"/>
              <w:autoSpaceDE/>
              <w:autoSpaceDN/>
              <w:bidi w:val="0"/>
              <w:spacing w:line="500" w:lineRule="exact"/>
              <w:jc w:val="center"/>
              <w:textAlignment w:val="auto"/>
              <w:rPr>
                <w:rFonts w:hint="eastAsia" w:ascii="Times New Roman" w:hAnsi="Times New Roman" w:eastAsia="仿宋_GB2312" w:cs="仿宋_GB2312"/>
                <w:b/>
                <w:color w:val="auto"/>
                <w:sz w:val="28"/>
                <w:szCs w:val="28"/>
                <w:highlight w:val="none"/>
              </w:rPr>
            </w:pPr>
            <w:r>
              <w:rPr>
                <w:rFonts w:hint="eastAsia" w:ascii="Times New Roman" w:hAnsi="Times New Roman" w:eastAsia="仿宋_GB2312" w:cs="仿宋_GB2312"/>
                <w:b/>
                <w:snapToGrid w:val="0"/>
                <w:color w:val="auto"/>
                <w:kern w:val="0"/>
                <w:sz w:val="28"/>
                <w:szCs w:val="28"/>
                <w:highlight w:val="none"/>
              </w:rPr>
              <w:t>危险</w:t>
            </w:r>
          </w:p>
        </w:tc>
        <w:tc>
          <w:tcPr>
            <w:tcW w:w="2529" w:type="dxa"/>
            <w:tcBorders>
              <w:top w:val="single" w:color="auto" w:sz="4" w:space="0"/>
              <w:left w:val="single" w:color="auto" w:sz="4" w:space="0"/>
              <w:bottom w:val="single" w:color="auto" w:sz="4" w:space="0"/>
              <w:right w:val="single" w:color="auto" w:sz="4" w:space="0"/>
            </w:tcBorders>
            <w:noWrap w:val="0"/>
            <w:vAlign w:val="top"/>
          </w:tcPr>
          <w:p w14:paraId="59FCDAD8">
            <w:pPr>
              <w:keepNext w:val="0"/>
              <w:keepLines w:val="0"/>
              <w:pageBreakBefore w:val="0"/>
              <w:kinsoku/>
              <w:wordWrap/>
              <w:topLinePunct w:val="0"/>
              <w:autoSpaceDE/>
              <w:autoSpaceDN/>
              <w:bidi w:val="0"/>
              <w:spacing w:line="500" w:lineRule="exact"/>
              <w:jc w:val="center"/>
              <w:textAlignment w:val="auto"/>
              <w:rPr>
                <w:rFonts w:hint="eastAsia" w:ascii="Times New Roman" w:hAnsi="Times New Roman" w:eastAsia="仿宋_GB2312" w:cs="仿宋_GB2312"/>
                <w:b/>
                <w:i/>
                <w:color w:val="auto"/>
                <w:sz w:val="28"/>
                <w:szCs w:val="28"/>
                <w:highlight w:val="none"/>
              </w:rPr>
            </w:pPr>
            <w:r>
              <w:rPr>
                <w:rFonts w:hint="eastAsia" w:ascii="Times New Roman" w:hAnsi="Times New Roman" w:eastAsia="仿宋_GB2312" w:cs="仿宋_GB2312"/>
                <w:b/>
                <w:snapToGrid w:val="0"/>
                <w:color w:val="auto"/>
                <w:kern w:val="0"/>
                <w:sz w:val="28"/>
                <w:szCs w:val="28"/>
                <w:highlight w:val="none"/>
              </w:rPr>
              <w:t>可预见事件序列</w:t>
            </w:r>
          </w:p>
        </w:tc>
        <w:tc>
          <w:tcPr>
            <w:tcW w:w="5267" w:type="dxa"/>
            <w:tcBorders>
              <w:top w:val="single" w:color="auto" w:sz="4" w:space="0"/>
              <w:left w:val="single" w:color="auto" w:sz="4" w:space="0"/>
              <w:bottom w:val="single" w:color="auto" w:sz="4" w:space="0"/>
              <w:right w:val="single" w:color="auto" w:sz="4" w:space="0"/>
            </w:tcBorders>
            <w:noWrap w:val="0"/>
            <w:vAlign w:val="top"/>
          </w:tcPr>
          <w:p w14:paraId="2F3B71A1">
            <w:pPr>
              <w:keepNext w:val="0"/>
              <w:keepLines w:val="0"/>
              <w:pageBreakBefore w:val="0"/>
              <w:kinsoku/>
              <w:wordWrap/>
              <w:topLinePunct w:val="0"/>
              <w:autoSpaceDE/>
              <w:autoSpaceDN/>
              <w:bidi w:val="0"/>
              <w:spacing w:line="500" w:lineRule="exact"/>
              <w:jc w:val="center"/>
              <w:textAlignment w:val="auto"/>
              <w:rPr>
                <w:rFonts w:hint="eastAsia" w:ascii="Times New Roman" w:hAnsi="Times New Roman" w:eastAsia="仿宋_GB2312" w:cs="仿宋_GB2312"/>
                <w:b/>
                <w:color w:val="auto"/>
                <w:sz w:val="28"/>
                <w:szCs w:val="28"/>
                <w:highlight w:val="none"/>
              </w:rPr>
            </w:pPr>
            <w:r>
              <w:rPr>
                <w:rFonts w:hint="eastAsia" w:ascii="Times New Roman" w:hAnsi="Times New Roman" w:eastAsia="仿宋_GB2312" w:cs="仿宋_GB2312"/>
                <w:b/>
                <w:snapToGrid w:val="0"/>
                <w:color w:val="auto"/>
                <w:kern w:val="0"/>
                <w:sz w:val="28"/>
                <w:szCs w:val="28"/>
                <w:highlight w:val="none"/>
              </w:rPr>
              <w:t>可能的伤害</w:t>
            </w:r>
          </w:p>
        </w:tc>
      </w:tr>
      <w:tr w14:paraId="05051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restart"/>
            <w:tcBorders>
              <w:top w:val="single" w:color="auto" w:sz="4" w:space="0"/>
              <w:left w:val="single" w:color="auto" w:sz="4" w:space="0"/>
              <w:right w:val="single" w:color="auto" w:sz="4" w:space="0"/>
            </w:tcBorders>
            <w:noWrap w:val="0"/>
            <w:vAlign w:val="center"/>
          </w:tcPr>
          <w:p w14:paraId="256CEC30">
            <w:pPr>
              <w:spacing w:line="300" w:lineRule="exact"/>
              <w:jc w:val="left"/>
              <w:rPr>
                <w:rFonts w:hint="eastAsia" w:ascii="Times New Roman" w:hAnsi="Times New Roman" w:eastAsia="宋体" w:cs="Times New Roman"/>
                <w:color w:val="auto"/>
                <w:kern w:val="0"/>
                <w:szCs w:val="18"/>
                <w:highlight w:val="none"/>
              </w:rPr>
            </w:pPr>
            <w:r>
              <w:rPr>
                <w:rFonts w:hint="eastAsia" w:ascii="Times New Roman" w:hAnsi="Times New Roman" w:eastAsia="宋体" w:cs="Times New Roman"/>
                <w:color w:val="auto"/>
                <w:kern w:val="0"/>
                <w:szCs w:val="18"/>
                <w:highlight w:val="none"/>
              </w:rPr>
              <w:t>操作危险</w:t>
            </w:r>
          </w:p>
        </w:tc>
        <w:tc>
          <w:tcPr>
            <w:tcW w:w="2529" w:type="dxa"/>
            <w:vMerge w:val="restart"/>
            <w:tcBorders>
              <w:top w:val="single" w:color="auto" w:sz="4" w:space="0"/>
              <w:left w:val="single" w:color="auto" w:sz="4" w:space="0"/>
              <w:right w:val="single" w:color="auto" w:sz="4" w:space="0"/>
            </w:tcBorders>
            <w:noWrap w:val="0"/>
            <w:vAlign w:val="center"/>
          </w:tcPr>
          <w:p w14:paraId="6860664D">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功能的丧失或变坏</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1D759FAC">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在</w:t>
            </w:r>
            <w:r>
              <w:rPr>
                <w:rFonts w:hint="eastAsia" w:ascii="Times New Roman" w:hAnsi="Times New Roman" w:eastAsia="宋体" w:cs="Times New Roman"/>
                <w:color w:val="auto"/>
                <w:kern w:val="0"/>
                <w:szCs w:val="18"/>
                <w:highlight w:val="none"/>
                <w:lang w:val="en-US" w:eastAsia="zh-CN"/>
              </w:rPr>
              <w:t>数据</w:t>
            </w:r>
            <w:r>
              <w:rPr>
                <w:rFonts w:ascii="Times New Roman" w:hAnsi="Times New Roman" w:eastAsia="宋体" w:cs="Times New Roman"/>
                <w:color w:val="auto"/>
                <w:kern w:val="0"/>
                <w:szCs w:val="18"/>
                <w:highlight w:val="none"/>
              </w:rPr>
              <w:t>存储和传输过程中，可能出现患者信息的隐私泄露、数据丢失、无法访问、感染软件病毒等危害。</w:t>
            </w:r>
          </w:p>
        </w:tc>
      </w:tr>
      <w:tr w14:paraId="0D9068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right w:val="single" w:color="auto" w:sz="4" w:space="0"/>
            </w:tcBorders>
            <w:noWrap w:val="0"/>
            <w:vAlign w:val="center"/>
          </w:tcPr>
          <w:p w14:paraId="2F58B99E">
            <w:pPr>
              <w:spacing w:line="300" w:lineRule="exact"/>
              <w:jc w:val="left"/>
              <w:rPr>
                <w:rFonts w:hint="eastAsia" w:ascii="Times New Roman" w:hAnsi="Times New Roman" w:eastAsia="宋体" w:cs="Times New Roman"/>
                <w:color w:val="auto"/>
                <w:kern w:val="0"/>
                <w:szCs w:val="18"/>
                <w:highlight w:val="none"/>
              </w:rPr>
            </w:pPr>
          </w:p>
        </w:tc>
        <w:tc>
          <w:tcPr>
            <w:tcW w:w="2529" w:type="dxa"/>
            <w:vMerge w:val="continue"/>
            <w:tcBorders>
              <w:left w:val="single" w:color="auto" w:sz="4" w:space="0"/>
              <w:bottom w:val="single" w:color="auto" w:sz="4" w:space="0"/>
              <w:right w:val="single" w:color="auto" w:sz="4" w:space="0"/>
            </w:tcBorders>
            <w:noWrap w:val="0"/>
            <w:vAlign w:val="center"/>
          </w:tcPr>
          <w:p w14:paraId="6B0499C9">
            <w:pPr>
              <w:spacing w:line="300" w:lineRule="exact"/>
              <w:jc w:val="left"/>
              <w:rPr>
                <w:rFonts w:ascii="Times New Roman" w:hAnsi="Times New Roman" w:eastAsia="宋体" w:cs="Times New Roman"/>
                <w:color w:val="auto"/>
                <w:kern w:val="0"/>
                <w:szCs w:val="18"/>
                <w:highlight w:val="none"/>
              </w:rPr>
            </w:pPr>
          </w:p>
        </w:tc>
        <w:tc>
          <w:tcPr>
            <w:tcW w:w="5267" w:type="dxa"/>
            <w:tcBorders>
              <w:top w:val="single" w:color="auto" w:sz="4" w:space="0"/>
              <w:left w:val="single" w:color="auto" w:sz="4" w:space="0"/>
              <w:bottom w:val="single" w:color="auto" w:sz="4" w:space="0"/>
              <w:right w:val="single" w:color="auto" w:sz="4" w:space="0"/>
            </w:tcBorders>
            <w:noWrap w:val="0"/>
            <w:vAlign w:val="center"/>
          </w:tcPr>
          <w:p w14:paraId="2C9D6A58">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软件在单一故障状态（如</w:t>
            </w:r>
            <w:r>
              <w:rPr>
                <w:rFonts w:hint="eastAsia" w:ascii="Times New Roman" w:hAnsi="Times New Roman" w:eastAsia="宋体" w:cs="Times New Roman"/>
                <w:color w:val="auto"/>
                <w:kern w:val="0"/>
                <w:szCs w:val="18"/>
                <w:highlight w:val="none"/>
                <w:lang w:val="en-US" w:eastAsia="zh-CN"/>
              </w:rPr>
              <w:t>数据</w:t>
            </w:r>
            <w:r>
              <w:rPr>
                <w:rFonts w:ascii="Times New Roman" w:hAnsi="Times New Roman" w:eastAsia="宋体" w:cs="Times New Roman"/>
                <w:color w:val="auto"/>
                <w:kern w:val="0"/>
                <w:szCs w:val="18"/>
                <w:highlight w:val="none"/>
              </w:rPr>
              <w:t>存储故障、图像传输失真等）下运行可产生危险。</w:t>
            </w:r>
          </w:p>
        </w:tc>
      </w:tr>
      <w:tr w14:paraId="26626B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right w:val="single" w:color="auto" w:sz="4" w:space="0"/>
            </w:tcBorders>
            <w:noWrap w:val="0"/>
            <w:vAlign w:val="center"/>
          </w:tcPr>
          <w:p w14:paraId="5E96BA1C">
            <w:pPr>
              <w:spacing w:line="300" w:lineRule="exact"/>
              <w:jc w:val="left"/>
              <w:rPr>
                <w:rFonts w:ascii="Times New Roman" w:hAnsi="Times New Roman" w:eastAsia="宋体" w:cs="Times New Roman"/>
                <w:color w:val="auto"/>
                <w:kern w:val="0"/>
                <w:szCs w:val="18"/>
                <w:highlight w:val="none"/>
              </w:rPr>
            </w:pPr>
          </w:p>
        </w:tc>
        <w:tc>
          <w:tcPr>
            <w:tcW w:w="2529" w:type="dxa"/>
            <w:vMerge w:val="restart"/>
            <w:tcBorders>
              <w:top w:val="single" w:color="auto" w:sz="4" w:space="0"/>
              <w:left w:val="single" w:color="auto" w:sz="4" w:space="0"/>
              <w:right w:val="single" w:color="auto" w:sz="4" w:space="0"/>
            </w:tcBorders>
            <w:noWrap w:val="0"/>
            <w:vAlign w:val="center"/>
          </w:tcPr>
          <w:p w14:paraId="7051DB53">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不正确或不适当的输出或功能</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585D7925">
            <w:pPr>
              <w:spacing w:line="300" w:lineRule="exact"/>
              <w:jc w:val="left"/>
              <w:rPr>
                <w:rFonts w:ascii="Times New Roman" w:hAnsi="Times New Roman" w:eastAsia="宋体" w:cs="Times New Roman"/>
                <w:color w:val="auto"/>
                <w:kern w:val="0"/>
                <w:szCs w:val="18"/>
                <w:highlight w:val="none"/>
              </w:rPr>
            </w:pPr>
            <w:r>
              <w:rPr>
                <w:rFonts w:hint="eastAsia" w:ascii="Times New Roman" w:hAnsi="Times New Roman" w:eastAsia="宋体" w:cs="Times New Roman"/>
                <w:color w:val="auto"/>
                <w:kern w:val="0"/>
                <w:szCs w:val="18"/>
                <w:highlight w:val="none"/>
                <w:lang w:eastAsia="zh-CN"/>
              </w:rPr>
              <w:t>在</w:t>
            </w:r>
            <w:r>
              <w:rPr>
                <w:rFonts w:hint="eastAsia" w:ascii="Times New Roman" w:hAnsi="Times New Roman" w:eastAsia="宋体" w:cs="Times New Roman"/>
                <w:color w:val="auto"/>
                <w:kern w:val="0"/>
                <w:szCs w:val="18"/>
                <w:highlight w:val="none"/>
                <w:lang w:val="en-US" w:eastAsia="zh-CN"/>
              </w:rPr>
              <w:t>数据</w:t>
            </w:r>
            <w:r>
              <w:rPr>
                <w:rFonts w:ascii="Times New Roman" w:hAnsi="Times New Roman" w:eastAsia="宋体" w:cs="Times New Roman"/>
                <w:color w:val="auto"/>
                <w:kern w:val="0"/>
                <w:szCs w:val="18"/>
                <w:highlight w:val="none"/>
              </w:rPr>
              <w:t>存储和传输过程中，患者信息和</w:t>
            </w:r>
            <w:r>
              <w:rPr>
                <w:rFonts w:hint="eastAsia" w:ascii="Times New Roman" w:hAnsi="Times New Roman" w:eastAsia="宋体" w:cs="Times New Roman"/>
                <w:color w:val="auto"/>
                <w:kern w:val="0"/>
                <w:szCs w:val="18"/>
                <w:highlight w:val="none"/>
                <w:lang w:val="en-US" w:eastAsia="zh-CN"/>
              </w:rPr>
              <w:t>原始数据</w:t>
            </w:r>
            <w:r>
              <w:rPr>
                <w:rFonts w:ascii="Times New Roman" w:hAnsi="Times New Roman" w:eastAsia="宋体" w:cs="Times New Roman"/>
                <w:color w:val="auto"/>
                <w:kern w:val="0"/>
                <w:szCs w:val="18"/>
                <w:highlight w:val="none"/>
              </w:rPr>
              <w:t>可能出现不匹配、不准确，造成</w:t>
            </w:r>
            <w:r>
              <w:rPr>
                <w:rFonts w:hint="eastAsia" w:ascii="Times New Roman" w:hAnsi="Times New Roman" w:eastAsia="宋体" w:cs="Times New Roman"/>
                <w:color w:val="auto"/>
                <w:kern w:val="0"/>
                <w:szCs w:val="18"/>
                <w:highlight w:val="none"/>
                <w:lang w:val="en-US" w:eastAsia="zh-CN"/>
              </w:rPr>
              <w:t>医生</w:t>
            </w:r>
            <w:r>
              <w:rPr>
                <w:rFonts w:ascii="Times New Roman" w:hAnsi="Times New Roman" w:eastAsia="宋体" w:cs="Times New Roman"/>
                <w:color w:val="auto"/>
                <w:kern w:val="0"/>
                <w:szCs w:val="18"/>
                <w:highlight w:val="none"/>
              </w:rPr>
              <w:t>诊断错误等。</w:t>
            </w:r>
          </w:p>
        </w:tc>
      </w:tr>
      <w:tr w14:paraId="0ACF12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right w:val="single" w:color="auto" w:sz="4" w:space="0"/>
            </w:tcBorders>
            <w:noWrap w:val="0"/>
            <w:vAlign w:val="center"/>
          </w:tcPr>
          <w:p w14:paraId="4312571A">
            <w:pPr>
              <w:spacing w:line="300" w:lineRule="exact"/>
              <w:jc w:val="left"/>
              <w:rPr>
                <w:rFonts w:ascii="Times New Roman" w:hAnsi="Times New Roman" w:eastAsia="宋体" w:cs="Times New Roman"/>
                <w:color w:val="auto"/>
                <w:kern w:val="0"/>
                <w:szCs w:val="18"/>
                <w:highlight w:val="none"/>
              </w:rPr>
            </w:pPr>
          </w:p>
        </w:tc>
        <w:tc>
          <w:tcPr>
            <w:tcW w:w="2529" w:type="dxa"/>
            <w:vMerge w:val="continue"/>
            <w:tcBorders>
              <w:left w:val="single" w:color="auto" w:sz="4" w:space="0"/>
              <w:bottom w:val="single" w:color="auto" w:sz="4" w:space="0"/>
              <w:right w:val="single" w:color="auto" w:sz="4" w:space="0"/>
            </w:tcBorders>
            <w:noWrap w:val="0"/>
            <w:vAlign w:val="center"/>
          </w:tcPr>
          <w:p w14:paraId="241B8C43">
            <w:pPr>
              <w:spacing w:line="300" w:lineRule="exact"/>
              <w:jc w:val="left"/>
              <w:rPr>
                <w:rFonts w:ascii="Times New Roman" w:hAnsi="Times New Roman" w:eastAsia="宋体" w:cs="Times New Roman"/>
                <w:color w:val="auto"/>
                <w:kern w:val="0"/>
                <w:szCs w:val="18"/>
                <w:highlight w:val="none"/>
              </w:rPr>
            </w:pPr>
          </w:p>
        </w:tc>
        <w:tc>
          <w:tcPr>
            <w:tcW w:w="5267" w:type="dxa"/>
            <w:tcBorders>
              <w:top w:val="single" w:color="auto" w:sz="4" w:space="0"/>
              <w:left w:val="single" w:color="auto" w:sz="4" w:space="0"/>
              <w:bottom w:val="single" w:color="auto" w:sz="4" w:space="0"/>
              <w:right w:val="single" w:color="auto" w:sz="4" w:space="0"/>
            </w:tcBorders>
            <w:noWrap w:val="0"/>
            <w:vAlign w:val="center"/>
          </w:tcPr>
          <w:p w14:paraId="108495C0">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软件人机交流界面应清晰明确、易操作，功能设置应明确、易识别，不能过于复杂，否则容易出现错误造成危害。</w:t>
            </w:r>
          </w:p>
        </w:tc>
      </w:tr>
      <w:tr w14:paraId="6DEE8F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bottom w:val="single" w:color="auto" w:sz="4" w:space="0"/>
              <w:right w:val="single" w:color="auto" w:sz="4" w:space="0"/>
            </w:tcBorders>
            <w:noWrap w:val="0"/>
            <w:vAlign w:val="center"/>
          </w:tcPr>
          <w:p w14:paraId="4F1E1D05">
            <w:pPr>
              <w:spacing w:line="300" w:lineRule="exact"/>
              <w:jc w:val="left"/>
              <w:rPr>
                <w:rFonts w:ascii="Times New Roman" w:hAnsi="Times New Roman" w:eastAsia="宋体" w:cs="Times New Roman"/>
                <w:color w:val="auto"/>
                <w:kern w:val="0"/>
                <w:szCs w:val="18"/>
                <w:highlight w:val="none"/>
              </w:rPr>
            </w:pPr>
          </w:p>
        </w:tc>
        <w:tc>
          <w:tcPr>
            <w:tcW w:w="2529" w:type="dxa"/>
            <w:tcBorders>
              <w:left w:val="single" w:color="auto" w:sz="4" w:space="0"/>
              <w:bottom w:val="single" w:color="auto" w:sz="4" w:space="0"/>
              <w:right w:val="single" w:color="auto" w:sz="4" w:space="0"/>
            </w:tcBorders>
            <w:noWrap w:val="0"/>
            <w:vAlign w:val="center"/>
          </w:tcPr>
          <w:p w14:paraId="2D9EA6F6">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错误的数据转换</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4A13E935">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图像存储或传输中出现数据错误</w:t>
            </w:r>
            <w:r>
              <w:rPr>
                <w:rFonts w:hint="eastAsia" w:ascii="Times New Roman" w:hAnsi="Times New Roman" w:eastAsia="宋体" w:cs="Times New Roman"/>
                <w:color w:val="auto"/>
                <w:kern w:val="0"/>
                <w:szCs w:val="18"/>
                <w:highlight w:val="none"/>
              </w:rPr>
              <w:t>，</w:t>
            </w:r>
            <w:r>
              <w:rPr>
                <w:rFonts w:ascii="Times New Roman" w:hAnsi="Times New Roman" w:eastAsia="宋体" w:cs="Times New Roman"/>
                <w:color w:val="auto"/>
                <w:kern w:val="0"/>
                <w:szCs w:val="18"/>
                <w:highlight w:val="none"/>
              </w:rPr>
              <w:t>造成延误诊断、诊断错误等。</w:t>
            </w:r>
          </w:p>
        </w:tc>
      </w:tr>
      <w:tr w14:paraId="203B1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tcBorders>
              <w:top w:val="single" w:color="auto" w:sz="4" w:space="0"/>
              <w:left w:val="single" w:color="auto" w:sz="4" w:space="0"/>
              <w:bottom w:val="single" w:color="auto" w:sz="4" w:space="0"/>
              <w:right w:val="single" w:color="auto" w:sz="4" w:space="0"/>
            </w:tcBorders>
            <w:noWrap w:val="0"/>
            <w:vAlign w:val="center"/>
          </w:tcPr>
          <w:p w14:paraId="544C0D1C">
            <w:pPr>
              <w:spacing w:line="300" w:lineRule="exact"/>
              <w:jc w:val="left"/>
              <w:rPr>
                <w:rFonts w:ascii="Times New Roman" w:hAnsi="Times New Roman" w:eastAsia="宋体" w:cs="Times New Roman"/>
                <w:color w:val="auto"/>
                <w:kern w:val="0"/>
                <w:szCs w:val="18"/>
                <w:highlight w:val="none"/>
              </w:rPr>
            </w:pPr>
            <w:r>
              <w:rPr>
                <w:rFonts w:hint="eastAsia" w:cs="Times New Roman"/>
                <w:color w:val="auto"/>
                <w:kern w:val="0"/>
                <w:szCs w:val="18"/>
                <w:highlight w:val="none"/>
                <w:lang w:eastAsia="zh-CN"/>
              </w:rPr>
              <w:t>使用</w:t>
            </w:r>
            <w:r>
              <w:rPr>
                <w:rFonts w:hint="eastAsia" w:ascii="Times New Roman" w:hAnsi="Times New Roman" w:eastAsia="宋体" w:cs="Times New Roman"/>
                <w:color w:val="auto"/>
                <w:kern w:val="0"/>
                <w:szCs w:val="18"/>
                <w:highlight w:val="none"/>
              </w:rPr>
              <w:t>危险</w:t>
            </w:r>
          </w:p>
        </w:tc>
        <w:tc>
          <w:tcPr>
            <w:tcW w:w="2529" w:type="dxa"/>
            <w:tcBorders>
              <w:top w:val="single" w:color="auto" w:sz="4" w:space="0"/>
              <w:left w:val="single" w:color="auto" w:sz="4" w:space="0"/>
              <w:bottom w:val="single" w:color="auto" w:sz="4" w:space="0"/>
              <w:right w:val="single" w:color="auto" w:sz="4" w:space="0"/>
            </w:tcBorders>
            <w:noWrap w:val="0"/>
            <w:vAlign w:val="center"/>
          </w:tcPr>
          <w:p w14:paraId="2F096AAA">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使用错误造成的危害、缺乏注意力、不遵守规则、缺乏常识、违反常规</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15C5E170">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未按操作手册或说明书进行安装、调试、使用，对软件正常使用造成隐患。</w:t>
            </w:r>
          </w:p>
          <w:p w14:paraId="383ED374">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由不熟练</w:t>
            </w:r>
            <w:r>
              <w:rPr>
                <w:rFonts w:hint="eastAsia" w:ascii="Times New Roman" w:hAnsi="Times New Roman" w:eastAsia="宋体" w:cs="Times New Roman"/>
                <w:color w:val="auto"/>
                <w:kern w:val="0"/>
                <w:szCs w:val="18"/>
                <w:highlight w:val="none"/>
                <w:lang w:eastAsia="zh-CN"/>
              </w:rPr>
              <w:t>、</w:t>
            </w:r>
            <w:r>
              <w:rPr>
                <w:rFonts w:ascii="Times New Roman" w:hAnsi="Times New Roman" w:eastAsia="宋体" w:cs="Times New Roman"/>
                <w:color w:val="auto"/>
                <w:kern w:val="0"/>
                <w:szCs w:val="18"/>
                <w:highlight w:val="none"/>
              </w:rPr>
              <w:t>未经培训的人员使用易造成危害，操作人员必须经过严格培训，否则可能产生各种危害。</w:t>
            </w:r>
          </w:p>
        </w:tc>
      </w:tr>
      <w:tr w14:paraId="742E65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restart"/>
            <w:tcBorders>
              <w:top w:val="single" w:color="auto" w:sz="4" w:space="0"/>
              <w:left w:val="single" w:color="auto" w:sz="4" w:space="0"/>
              <w:right w:val="single" w:color="auto" w:sz="4" w:space="0"/>
            </w:tcBorders>
            <w:noWrap w:val="0"/>
            <w:vAlign w:val="center"/>
          </w:tcPr>
          <w:p w14:paraId="3090F9B8">
            <w:pPr>
              <w:spacing w:line="300" w:lineRule="exact"/>
              <w:jc w:val="left"/>
              <w:rPr>
                <w:rFonts w:hint="eastAsia" w:ascii="Times New Roman" w:hAnsi="Times New Roman" w:eastAsia="宋体" w:cs="Times New Roman"/>
                <w:color w:val="auto"/>
                <w:kern w:val="0"/>
                <w:szCs w:val="18"/>
                <w:highlight w:val="none"/>
                <w:lang w:eastAsia="zh-CN"/>
              </w:rPr>
            </w:pPr>
            <w:r>
              <w:rPr>
                <w:rFonts w:hint="eastAsia" w:ascii="Times New Roman" w:hAnsi="Times New Roman" w:eastAsia="宋体" w:cs="Times New Roman"/>
                <w:color w:val="auto"/>
                <w:kern w:val="0"/>
                <w:szCs w:val="18"/>
                <w:highlight w:val="none"/>
              </w:rPr>
              <w:t>信息危</w:t>
            </w:r>
            <w:r>
              <w:rPr>
                <w:rFonts w:hint="eastAsia" w:cs="Times New Roman"/>
                <w:color w:val="auto"/>
                <w:kern w:val="0"/>
                <w:szCs w:val="18"/>
                <w:highlight w:val="none"/>
                <w:lang w:eastAsia="zh-CN"/>
              </w:rPr>
              <w:t>害</w:t>
            </w:r>
          </w:p>
        </w:tc>
        <w:tc>
          <w:tcPr>
            <w:tcW w:w="2529" w:type="dxa"/>
            <w:tcBorders>
              <w:top w:val="single" w:color="auto" w:sz="4" w:space="0"/>
              <w:left w:val="single" w:color="auto" w:sz="4" w:space="0"/>
              <w:bottom w:val="single" w:color="auto" w:sz="4" w:space="0"/>
              <w:right w:val="single" w:color="auto" w:sz="4" w:space="0"/>
            </w:tcBorders>
            <w:noWrap w:val="0"/>
            <w:vAlign w:val="center"/>
          </w:tcPr>
          <w:p w14:paraId="7B5444AC">
            <w:pPr>
              <w:spacing w:line="300" w:lineRule="exact"/>
              <w:jc w:val="left"/>
              <w:rPr>
                <w:rFonts w:hint="eastAsia"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标记</w:t>
            </w:r>
            <w:r>
              <w:rPr>
                <w:rFonts w:hint="eastAsia" w:ascii="Times New Roman" w:hAnsi="Times New Roman" w:eastAsia="宋体" w:cs="Times New Roman"/>
                <w:color w:val="auto"/>
                <w:kern w:val="0"/>
                <w:szCs w:val="18"/>
                <w:highlight w:val="none"/>
              </w:rPr>
              <w:t>不清楚</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4BD3A937">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软件包装标记不全面、标记不足、标记不正确或不能够清楚易认。如：软件版本、软件名称等标记出现问题，易产生安装、调试错误。</w:t>
            </w:r>
          </w:p>
        </w:tc>
      </w:tr>
      <w:tr w14:paraId="0C8BF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right w:val="single" w:color="auto" w:sz="4" w:space="0"/>
            </w:tcBorders>
            <w:noWrap w:val="0"/>
            <w:vAlign w:val="center"/>
          </w:tcPr>
          <w:p w14:paraId="1E690070">
            <w:pPr>
              <w:spacing w:line="300" w:lineRule="exact"/>
              <w:jc w:val="left"/>
              <w:rPr>
                <w:rFonts w:ascii="Times New Roman" w:hAnsi="Times New Roman" w:eastAsia="宋体" w:cs="Times New Roman"/>
                <w:color w:val="auto"/>
                <w:kern w:val="0"/>
                <w:szCs w:val="18"/>
                <w:highlight w:val="none"/>
              </w:rPr>
            </w:pPr>
          </w:p>
        </w:tc>
        <w:tc>
          <w:tcPr>
            <w:tcW w:w="2529" w:type="dxa"/>
            <w:tcBorders>
              <w:top w:val="single" w:color="auto" w:sz="4" w:space="0"/>
              <w:left w:val="single" w:color="auto" w:sz="4" w:space="0"/>
              <w:bottom w:val="single" w:color="auto" w:sz="4" w:space="0"/>
              <w:right w:val="single" w:color="auto" w:sz="4" w:space="0"/>
            </w:tcBorders>
            <w:noWrap w:val="0"/>
            <w:vAlign w:val="center"/>
          </w:tcPr>
          <w:p w14:paraId="76843B85">
            <w:pPr>
              <w:spacing w:line="300" w:lineRule="exact"/>
              <w:jc w:val="left"/>
              <w:rPr>
                <w:rFonts w:hint="eastAsia"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使用说明书、操作说明书</w:t>
            </w:r>
            <w:r>
              <w:rPr>
                <w:rFonts w:hint="eastAsia" w:ascii="Times New Roman" w:hAnsi="Times New Roman" w:eastAsia="宋体" w:cs="Times New Roman"/>
                <w:color w:val="auto"/>
                <w:kern w:val="0"/>
                <w:szCs w:val="18"/>
                <w:highlight w:val="none"/>
              </w:rPr>
              <w:t>内容不全或缺失</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664CF202">
            <w:pPr>
              <w:spacing w:line="300" w:lineRule="exact"/>
              <w:jc w:val="left"/>
              <w:rPr>
                <w:rFonts w:ascii="Times New Roman" w:hAnsi="Times New Roman" w:eastAsia="宋体" w:cs="Times New Roman"/>
                <w:color w:val="auto"/>
                <w:kern w:val="0"/>
                <w:szCs w:val="18"/>
                <w:highlight w:val="none"/>
              </w:rPr>
            </w:pPr>
            <w:r>
              <w:rPr>
                <w:rFonts w:hint="eastAsia" w:ascii="Times New Roman" w:hAnsi="Times New Roman" w:eastAsia="宋体" w:cs="Times New Roman"/>
                <w:color w:val="auto"/>
                <w:kern w:val="0"/>
                <w:szCs w:val="18"/>
                <w:highlight w:val="none"/>
                <w:lang w:eastAsia="zh-CN"/>
              </w:rPr>
              <w:t>产</w:t>
            </w:r>
            <w:r>
              <w:rPr>
                <w:rFonts w:ascii="Times New Roman" w:hAnsi="Times New Roman" w:eastAsia="宋体" w:cs="Times New Roman"/>
                <w:color w:val="auto"/>
                <w:kern w:val="0"/>
                <w:szCs w:val="18"/>
                <w:highlight w:val="none"/>
              </w:rPr>
              <w:t>品没有使用说明书和技术说明书，或其内容不全、有缺失。如缺少必要的警告说明、缺少详细的使用方法、缺少必要的技术参数、缺少安装调试说明</w:t>
            </w:r>
            <w:r>
              <w:rPr>
                <w:rFonts w:hint="eastAsia" w:ascii="Times New Roman" w:hAnsi="Times New Roman" w:eastAsia="宋体" w:cs="Times New Roman"/>
                <w:color w:val="auto"/>
                <w:kern w:val="0"/>
                <w:szCs w:val="18"/>
                <w:highlight w:val="none"/>
                <w:lang w:val="en-US" w:eastAsia="zh-CN"/>
              </w:rPr>
              <w:t>等</w:t>
            </w:r>
            <w:r>
              <w:rPr>
                <w:rFonts w:ascii="Times New Roman" w:hAnsi="Times New Roman" w:eastAsia="宋体" w:cs="Times New Roman"/>
                <w:color w:val="auto"/>
                <w:kern w:val="0"/>
                <w:szCs w:val="18"/>
                <w:highlight w:val="none"/>
              </w:rPr>
              <w:t>。</w:t>
            </w:r>
          </w:p>
          <w:p w14:paraId="4B9B28E1">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性能特征的不适当的描述。</w:t>
            </w:r>
          </w:p>
          <w:p w14:paraId="143B6E32">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不适当的预期使用规范。</w:t>
            </w:r>
          </w:p>
          <w:p w14:paraId="448D5763">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过于复杂的操作说明。</w:t>
            </w:r>
          </w:p>
        </w:tc>
      </w:tr>
      <w:tr w14:paraId="7B68F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right w:val="single" w:color="auto" w:sz="4" w:space="0"/>
            </w:tcBorders>
            <w:noWrap w:val="0"/>
            <w:vAlign w:val="center"/>
          </w:tcPr>
          <w:p w14:paraId="274FEE99">
            <w:pPr>
              <w:spacing w:line="300" w:lineRule="exact"/>
              <w:jc w:val="left"/>
              <w:rPr>
                <w:rFonts w:ascii="Times New Roman" w:hAnsi="Times New Roman" w:eastAsia="宋体" w:cs="Times New Roman"/>
                <w:color w:val="auto"/>
                <w:kern w:val="0"/>
                <w:szCs w:val="18"/>
                <w:highlight w:val="none"/>
              </w:rPr>
            </w:pPr>
          </w:p>
        </w:tc>
        <w:tc>
          <w:tcPr>
            <w:tcW w:w="2529" w:type="dxa"/>
            <w:tcBorders>
              <w:top w:val="single" w:color="auto" w:sz="4" w:space="0"/>
              <w:left w:val="single" w:color="auto" w:sz="4" w:space="0"/>
              <w:bottom w:val="single" w:color="auto" w:sz="4" w:space="0"/>
              <w:right w:val="single" w:color="auto" w:sz="4" w:space="0"/>
            </w:tcBorders>
            <w:noWrap w:val="0"/>
            <w:vAlign w:val="center"/>
          </w:tcPr>
          <w:p w14:paraId="14B30738">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与消耗品</w:t>
            </w:r>
            <w:r>
              <w:rPr>
                <w:rFonts w:hint="eastAsia" w:ascii="Times New Roman" w:hAnsi="Times New Roman" w:eastAsia="宋体" w:cs="Times New Roman"/>
                <w:color w:val="auto"/>
                <w:kern w:val="0"/>
                <w:szCs w:val="18"/>
                <w:highlight w:val="none"/>
                <w:lang w:eastAsia="zh-CN"/>
              </w:rPr>
              <w:t>、</w:t>
            </w:r>
            <w:r>
              <w:rPr>
                <w:rFonts w:ascii="Times New Roman" w:hAnsi="Times New Roman" w:eastAsia="宋体" w:cs="Times New Roman"/>
                <w:color w:val="auto"/>
                <w:kern w:val="0"/>
                <w:szCs w:val="18"/>
                <w:highlight w:val="none"/>
              </w:rPr>
              <w:t>附件</w:t>
            </w:r>
            <w:r>
              <w:rPr>
                <w:rFonts w:hint="eastAsia" w:ascii="Times New Roman" w:hAnsi="Times New Roman" w:eastAsia="宋体" w:cs="Times New Roman"/>
                <w:color w:val="auto"/>
                <w:kern w:val="0"/>
                <w:szCs w:val="18"/>
                <w:highlight w:val="none"/>
                <w:lang w:eastAsia="zh-CN"/>
              </w:rPr>
              <w:t>、</w:t>
            </w:r>
            <w:r>
              <w:rPr>
                <w:rFonts w:ascii="Times New Roman" w:hAnsi="Times New Roman" w:eastAsia="宋体" w:cs="Times New Roman"/>
                <w:color w:val="auto"/>
                <w:kern w:val="0"/>
                <w:szCs w:val="18"/>
                <w:highlight w:val="none"/>
              </w:rPr>
              <w:t>其他医疗器械的不相容性</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2A27EAB5">
            <w:pPr>
              <w:spacing w:line="300" w:lineRule="exact"/>
              <w:jc w:val="left"/>
              <w:rPr>
                <w:rFonts w:ascii="Times New Roman" w:hAnsi="Times New Roman" w:eastAsia="宋体" w:cs="Times New Roman"/>
                <w:color w:val="auto"/>
                <w:kern w:val="0"/>
                <w:szCs w:val="18"/>
                <w:highlight w:val="none"/>
              </w:rPr>
            </w:pPr>
            <w:r>
              <w:rPr>
                <w:rFonts w:hint="eastAsia" w:ascii="Times New Roman" w:hAnsi="Times New Roman" w:eastAsia="宋体" w:cs="Times New Roman"/>
                <w:color w:val="auto"/>
                <w:kern w:val="0"/>
                <w:szCs w:val="18"/>
                <w:highlight w:val="none"/>
                <w:lang w:val="en-US" w:eastAsia="zh-CN"/>
              </w:rPr>
              <w:t>硬件装置、网络环境与软件不适配</w:t>
            </w:r>
            <w:r>
              <w:rPr>
                <w:rFonts w:ascii="Times New Roman" w:hAnsi="Times New Roman" w:eastAsia="宋体" w:cs="Times New Roman"/>
                <w:color w:val="auto"/>
                <w:kern w:val="0"/>
                <w:szCs w:val="18"/>
                <w:highlight w:val="none"/>
              </w:rPr>
              <w:t>，如存储空间不足，无法存储新采集图像；如网络故障，无法进行图像传输，可能对患者造成延误诊断。</w:t>
            </w:r>
          </w:p>
        </w:tc>
      </w:tr>
      <w:tr w14:paraId="330E73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right w:val="single" w:color="auto" w:sz="4" w:space="0"/>
            </w:tcBorders>
            <w:noWrap w:val="0"/>
            <w:vAlign w:val="center"/>
          </w:tcPr>
          <w:p w14:paraId="1F866F49">
            <w:pPr>
              <w:spacing w:line="300" w:lineRule="exact"/>
              <w:jc w:val="left"/>
              <w:rPr>
                <w:rFonts w:ascii="Times New Roman" w:hAnsi="Times New Roman" w:eastAsia="宋体" w:cs="Times New Roman"/>
                <w:color w:val="auto"/>
                <w:kern w:val="0"/>
                <w:szCs w:val="18"/>
                <w:highlight w:val="none"/>
              </w:rPr>
            </w:pPr>
          </w:p>
        </w:tc>
        <w:tc>
          <w:tcPr>
            <w:tcW w:w="2529" w:type="dxa"/>
            <w:tcBorders>
              <w:top w:val="single" w:color="auto" w:sz="4" w:space="0"/>
              <w:left w:val="single" w:color="auto" w:sz="4" w:space="0"/>
              <w:bottom w:val="single" w:color="auto" w:sz="4" w:space="0"/>
              <w:right w:val="single" w:color="auto" w:sz="4" w:space="0"/>
            </w:tcBorders>
            <w:noWrap w:val="0"/>
            <w:vAlign w:val="center"/>
          </w:tcPr>
          <w:p w14:paraId="58324AC6">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警告</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56E45E10">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警告不恰当、不充分。</w:t>
            </w:r>
          </w:p>
        </w:tc>
      </w:tr>
      <w:tr w14:paraId="06054C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3" w:type="dxa"/>
            <w:vMerge w:val="continue"/>
            <w:tcBorders>
              <w:left w:val="single" w:color="auto" w:sz="4" w:space="0"/>
              <w:bottom w:val="single" w:color="auto" w:sz="4" w:space="0"/>
              <w:right w:val="single" w:color="auto" w:sz="4" w:space="0"/>
            </w:tcBorders>
            <w:noWrap w:val="0"/>
            <w:vAlign w:val="center"/>
          </w:tcPr>
          <w:p w14:paraId="01CDFDEC">
            <w:pPr>
              <w:spacing w:line="300" w:lineRule="exact"/>
              <w:jc w:val="left"/>
              <w:rPr>
                <w:rFonts w:ascii="Times New Roman" w:hAnsi="Times New Roman" w:eastAsia="宋体" w:cs="Times New Roman"/>
                <w:color w:val="auto"/>
                <w:kern w:val="0"/>
                <w:szCs w:val="18"/>
                <w:highlight w:val="none"/>
              </w:rPr>
            </w:pPr>
          </w:p>
        </w:tc>
        <w:tc>
          <w:tcPr>
            <w:tcW w:w="2529" w:type="dxa"/>
            <w:tcBorders>
              <w:top w:val="single" w:color="auto" w:sz="4" w:space="0"/>
              <w:left w:val="single" w:color="auto" w:sz="4" w:space="0"/>
              <w:bottom w:val="single" w:color="auto" w:sz="4" w:space="0"/>
              <w:right w:val="single" w:color="auto" w:sz="4" w:space="0"/>
            </w:tcBorders>
            <w:noWrap w:val="0"/>
            <w:vAlign w:val="center"/>
          </w:tcPr>
          <w:p w14:paraId="10C271F8">
            <w:pPr>
              <w:spacing w:line="300" w:lineRule="exact"/>
              <w:jc w:val="left"/>
              <w:rPr>
                <w:rFonts w:ascii="Times New Roman" w:hAnsi="Times New Roman" w:eastAsia="宋体" w:cs="Times New Roman"/>
                <w:color w:val="auto"/>
                <w:kern w:val="0"/>
                <w:szCs w:val="18"/>
                <w:highlight w:val="none"/>
              </w:rPr>
            </w:pPr>
            <w:r>
              <w:rPr>
                <w:rFonts w:hint="eastAsia" w:ascii="Times New Roman" w:hAnsi="Times New Roman" w:eastAsia="宋体" w:cs="Times New Roman"/>
                <w:color w:val="auto"/>
                <w:kern w:val="0"/>
                <w:szCs w:val="18"/>
                <w:highlight w:val="none"/>
              </w:rPr>
              <w:t>缺少</w:t>
            </w:r>
            <w:r>
              <w:rPr>
                <w:rFonts w:ascii="Times New Roman" w:hAnsi="Times New Roman" w:eastAsia="宋体" w:cs="Times New Roman"/>
                <w:color w:val="auto"/>
                <w:kern w:val="0"/>
                <w:szCs w:val="18"/>
                <w:highlight w:val="none"/>
              </w:rPr>
              <w:t>服务和维护规范</w:t>
            </w:r>
          </w:p>
        </w:tc>
        <w:tc>
          <w:tcPr>
            <w:tcW w:w="5267" w:type="dxa"/>
            <w:tcBorders>
              <w:top w:val="single" w:color="auto" w:sz="4" w:space="0"/>
              <w:left w:val="single" w:color="auto" w:sz="4" w:space="0"/>
              <w:bottom w:val="single" w:color="auto" w:sz="4" w:space="0"/>
              <w:right w:val="single" w:color="auto" w:sz="4" w:space="0"/>
            </w:tcBorders>
            <w:noWrap w:val="0"/>
            <w:vAlign w:val="center"/>
          </w:tcPr>
          <w:p w14:paraId="72F286E0">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服务和维护规范缺少或不适当，包括维护后功能性检查规范的不适当。</w:t>
            </w:r>
          </w:p>
          <w:p w14:paraId="204400F5">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说明书中应提供维护、校正细则等可供技术人员维护的必须的资料。</w:t>
            </w:r>
          </w:p>
          <w:p w14:paraId="0F03E8C3">
            <w:pPr>
              <w:spacing w:line="300" w:lineRule="exact"/>
              <w:jc w:val="left"/>
              <w:rPr>
                <w:rFonts w:ascii="Times New Roman" w:hAnsi="Times New Roman" w:eastAsia="宋体" w:cs="Times New Roman"/>
                <w:color w:val="auto"/>
                <w:kern w:val="0"/>
                <w:szCs w:val="18"/>
                <w:highlight w:val="none"/>
              </w:rPr>
            </w:pPr>
            <w:r>
              <w:rPr>
                <w:rFonts w:ascii="Times New Roman" w:hAnsi="Times New Roman" w:eastAsia="宋体" w:cs="Times New Roman"/>
                <w:color w:val="auto"/>
                <w:kern w:val="0"/>
                <w:szCs w:val="18"/>
                <w:highlight w:val="none"/>
              </w:rPr>
              <w:t>技术人员在维修后应对软件进行功能性检查，达到相关要求后再投入使用，否则将带来危害。</w:t>
            </w:r>
          </w:p>
        </w:tc>
      </w:tr>
    </w:tbl>
    <w:p w14:paraId="6B18196E">
      <w:pPr>
        <w:pStyle w:val="58"/>
        <w:keepNext w:val="0"/>
        <w:keepLines w:val="0"/>
        <w:pageBreakBefore w:val="0"/>
        <w:kinsoku/>
        <w:wordWrap/>
        <w:topLinePunct w:val="0"/>
        <w:autoSpaceDE/>
        <w:autoSpaceDN/>
        <w:bidi w:val="0"/>
        <w:spacing w:line="500" w:lineRule="exact"/>
        <w:textAlignment w:val="auto"/>
        <w:rPr>
          <w:rFonts w:hint="eastAsia" w:ascii="Times New Roman" w:hAnsi="Times New Roman"/>
          <w:color w:val="auto"/>
          <w:highlight w:val="none"/>
        </w:rPr>
      </w:pPr>
    </w:p>
    <w:sectPr>
      <w:footerReference r:id="rId3" w:type="default"/>
      <w:footerReference r:id="rId4" w:type="even"/>
      <w:pgSz w:w="11906" w:h="16838"/>
      <w:pgMar w:top="1701" w:right="1588" w:bottom="1701" w:left="1588" w:header="851" w:footer="1207" w:gutter="0"/>
      <w:lnNumType w:countBy="1" w:restart="continuou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等线 Light">
    <w:altName w:val="原版宋体"/>
    <w:panose1 w:val="02010600030101010101"/>
    <w:charset w:val="00"/>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Consolas">
    <w:altName w:val="Liberation Sans Narrow"/>
    <w:panose1 w:val="020B0609020204030204"/>
    <w:charset w:val="00"/>
    <w:family w:val="modern"/>
    <w:pitch w:val="default"/>
    <w:sig w:usb0="00000000" w:usb1="00000000" w:usb2="00000001" w:usb3="00000000" w:csb0="6000019F" w:csb1="DFD70000"/>
  </w:font>
  <w:font w:name="Liberation Sans Narrow">
    <w:panose1 w:val="020B0606020202030204"/>
    <w:charset w:val="00"/>
    <w:family w:val="auto"/>
    <w:pitch w:val="default"/>
    <w:sig w:usb0="A00002AF" w:usb1="500078FB" w:usb2="00000000" w:usb3="00000000" w:csb0="6000009F" w:csb1="DFD70000"/>
  </w:font>
  <w:font w:name="ArnoPro-Italic">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ArnoPro-Regular">
    <w:altName w:val="华文仿宋"/>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微软雅黑">
    <w:altName w:val="黑体"/>
    <w:panose1 w:val="020B0503020204020204"/>
    <w:charset w:val="00"/>
    <w:family w:val="swiss"/>
    <w:pitch w:val="default"/>
    <w:sig w:usb0="00000000" w:usb1="00000000" w:usb2="00000016" w:usb3="00000000" w:csb0="0004001F" w:csb1="00000000"/>
  </w:font>
  <w:font w:name="Arial Unicode MS">
    <w:altName w:val="宋体"/>
    <w:panose1 w:val="020B0604020202020204"/>
    <w:charset w:val="00"/>
    <w:family w:val="roman"/>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988DD">
    <w:pPr>
      <w:pStyle w:val="11"/>
      <w:wordWrap w:val="0"/>
      <w:jc w:val="right"/>
      <w:rPr>
        <w:sz w:val="28"/>
        <w:szCs w:val="28"/>
      </w:rPr>
    </w:pPr>
    <w:r>
      <w:rPr>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885</w:t>
    </w:r>
    <w:r>
      <w:rPr>
        <w:sz w:val="28"/>
        <w:szCs w:val="28"/>
      </w:rPr>
      <w:fldChar w:fldCharType="end"/>
    </w:r>
    <w:r>
      <w:rPr>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BA2FD">
    <w:pPr>
      <w:pStyle w:val="11"/>
      <w:rPr>
        <w:sz w:val="28"/>
        <w:szCs w:val="28"/>
      </w:rPr>
    </w:pPr>
    <w:r>
      <w:rPr>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886</w:t>
    </w:r>
    <w:r>
      <w:rPr>
        <w:sz w:val="28"/>
        <w:szCs w:val="28"/>
      </w:rPr>
      <w:fldChar w:fldCharType="end"/>
    </w:r>
    <w:r>
      <w:rPr>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ZDQwMmNiOWFlYzZjYTcwOWJiZGQ0YTA5ODBmZGUifQ=="/>
    <w:docVar w:name="KSO_WPS_MARK_KEY" w:val="7a5a45d8-2c33-473e-91c4-f374b1dfa89a"/>
  </w:docVars>
  <w:rsids>
    <w:rsidRoot w:val="002533D4"/>
    <w:rsid w:val="00003156"/>
    <w:rsid w:val="00003493"/>
    <w:rsid w:val="00005D32"/>
    <w:rsid w:val="0000618E"/>
    <w:rsid w:val="00006C17"/>
    <w:rsid w:val="00006DBA"/>
    <w:rsid w:val="000073AA"/>
    <w:rsid w:val="000074A5"/>
    <w:rsid w:val="00010782"/>
    <w:rsid w:val="000110AA"/>
    <w:rsid w:val="00011FB2"/>
    <w:rsid w:val="0001394C"/>
    <w:rsid w:val="000139EF"/>
    <w:rsid w:val="00013B03"/>
    <w:rsid w:val="000144F0"/>
    <w:rsid w:val="0001535B"/>
    <w:rsid w:val="00017CB3"/>
    <w:rsid w:val="00020571"/>
    <w:rsid w:val="00020B1E"/>
    <w:rsid w:val="0002174D"/>
    <w:rsid w:val="00022043"/>
    <w:rsid w:val="000223F4"/>
    <w:rsid w:val="0002254A"/>
    <w:rsid w:val="00022A1B"/>
    <w:rsid w:val="000233F3"/>
    <w:rsid w:val="00023DCB"/>
    <w:rsid w:val="00024713"/>
    <w:rsid w:val="00026670"/>
    <w:rsid w:val="0002670D"/>
    <w:rsid w:val="00027EDA"/>
    <w:rsid w:val="00030C95"/>
    <w:rsid w:val="0003125F"/>
    <w:rsid w:val="00031707"/>
    <w:rsid w:val="00031BD0"/>
    <w:rsid w:val="00033BD7"/>
    <w:rsid w:val="00035B4E"/>
    <w:rsid w:val="00040DA8"/>
    <w:rsid w:val="00044235"/>
    <w:rsid w:val="000470D5"/>
    <w:rsid w:val="00047726"/>
    <w:rsid w:val="0005148A"/>
    <w:rsid w:val="00055297"/>
    <w:rsid w:val="000577CB"/>
    <w:rsid w:val="000579EB"/>
    <w:rsid w:val="0006169D"/>
    <w:rsid w:val="00062B75"/>
    <w:rsid w:val="00062FED"/>
    <w:rsid w:val="00063739"/>
    <w:rsid w:val="000650E8"/>
    <w:rsid w:val="00065B62"/>
    <w:rsid w:val="00065D4E"/>
    <w:rsid w:val="00065EBA"/>
    <w:rsid w:val="00067526"/>
    <w:rsid w:val="000676AA"/>
    <w:rsid w:val="00070374"/>
    <w:rsid w:val="00071A37"/>
    <w:rsid w:val="00071CD7"/>
    <w:rsid w:val="000726A9"/>
    <w:rsid w:val="00073E31"/>
    <w:rsid w:val="00074890"/>
    <w:rsid w:val="00075704"/>
    <w:rsid w:val="0007690B"/>
    <w:rsid w:val="0007712E"/>
    <w:rsid w:val="000801E2"/>
    <w:rsid w:val="00081A69"/>
    <w:rsid w:val="00082288"/>
    <w:rsid w:val="00087FDA"/>
    <w:rsid w:val="00090439"/>
    <w:rsid w:val="00091C84"/>
    <w:rsid w:val="00092F19"/>
    <w:rsid w:val="00093CF6"/>
    <w:rsid w:val="00095042"/>
    <w:rsid w:val="0009523A"/>
    <w:rsid w:val="000970EA"/>
    <w:rsid w:val="000A04FC"/>
    <w:rsid w:val="000A116A"/>
    <w:rsid w:val="000A2C01"/>
    <w:rsid w:val="000A3004"/>
    <w:rsid w:val="000A32FF"/>
    <w:rsid w:val="000A7604"/>
    <w:rsid w:val="000B0595"/>
    <w:rsid w:val="000B0751"/>
    <w:rsid w:val="000B15E3"/>
    <w:rsid w:val="000B1E8D"/>
    <w:rsid w:val="000B3AB8"/>
    <w:rsid w:val="000B4405"/>
    <w:rsid w:val="000B44A0"/>
    <w:rsid w:val="000B5035"/>
    <w:rsid w:val="000B6C4C"/>
    <w:rsid w:val="000B6EB1"/>
    <w:rsid w:val="000C2025"/>
    <w:rsid w:val="000C2A23"/>
    <w:rsid w:val="000C42DB"/>
    <w:rsid w:val="000C46D4"/>
    <w:rsid w:val="000C51B7"/>
    <w:rsid w:val="000C5E42"/>
    <w:rsid w:val="000C6B4C"/>
    <w:rsid w:val="000C746B"/>
    <w:rsid w:val="000D07B7"/>
    <w:rsid w:val="000D1382"/>
    <w:rsid w:val="000D2197"/>
    <w:rsid w:val="000D2817"/>
    <w:rsid w:val="000D39D7"/>
    <w:rsid w:val="000E3175"/>
    <w:rsid w:val="000E396F"/>
    <w:rsid w:val="000E4C5B"/>
    <w:rsid w:val="000E6245"/>
    <w:rsid w:val="000F38EB"/>
    <w:rsid w:val="000F4588"/>
    <w:rsid w:val="000F4C9F"/>
    <w:rsid w:val="000F507B"/>
    <w:rsid w:val="000F730A"/>
    <w:rsid w:val="001010CC"/>
    <w:rsid w:val="0010164F"/>
    <w:rsid w:val="00101981"/>
    <w:rsid w:val="00102456"/>
    <w:rsid w:val="00103210"/>
    <w:rsid w:val="0010397B"/>
    <w:rsid w:val="00103AE3"/>
    <w:rsid w:val="0010444E"/>
    <w:rsid w:val="00104659"/>
    <w:rsid w:val="00104F8C"/>
    <w:rsid w:val="001051DB"/>
    <w:rsid w:val="0010666D"/>
    <w:rsid w:val="00107934"/>
    <w:rsid w:val="001145BD"/>
    <w:rsid w:val="00114ADB"/>
    <w:rsid w:val="001155C6"/>
    <w:rsid w:val="00115DC2"/>
    <w:rsid w:val="00116145"/>
    <w:rsid w:val="00116677"/>
    <w:rsid w:val="00120745"/>
    <w:rsid w:val="001208A0"/>
    <w:rsid w:val="00120AFE"/>
    <w:rsid w:val="00123540"/>
    <w:rsid w:val="00126E7F"/>
    <w:rsid w:val="00127F61"/>
    <w:rsid w:val="00131B46"/>
    <w:rsid w:val="0013290E"/>
    <w:rsid w:val="0013589A"/>
    <w:rsid w:val="001370B3"/>
    <w:rsid w:val="001457CD"/>
    <w:rsid w:val="00145EE8"/>
    <w:rsid w:val="00145F20"/>
    <w:rsid w:val="00146430"/>
    <w:rsid w:val="0014736E"/>
    <w:rsid w:val="00150068"/>
    <w:rsid w:val="0015016E"/>
    <w:rsid w:val="001509F0"/>
    <w:rsid w:val="00150D5B"/>
    <w:rsid w:val="00153A6C"/>
    <w:rsid w:val="00155976"/>
    <w:rsid w:val="00156EE9"/>
    <w:rsid w:val="00157D35"/>
    <w:rsid w:val="00160066"/>
    <w:rsid w:val="0016247C"/>
    <w:rsid w:val="00162739"/>
    <w:rsid w:val="00163660"/>
    <w:rsid w:val="0016389B"/>
    <w:rsid w:val="00163A12"/>
    <w:rsid w:val="00163D1F"/>
    <w:rsid w:val="00165148"/>
    <w:rsid w:val="00166DC5"/>
    <w:rsid w:val="001671D8"/>
    <w:rsid w:val="001672B9"/>
    <w:rsid w:val="00167452"/>
    <w:rsid w:val="00167686"/>
    <w:rsid w:val="0016772E"/>
    <w:rsid w:val="00171545"/>
    <w:rsid w:val="0017420D"/>
    <w:rsid w:val="0017439D"/>
    <w:rsid w:val="00174BBD"/>
    <w:rsid w:val="0017566C"/>
    <w:rsid w:val="00176DDC"/>
    <w:rsid w:val="00176FAD"/>
    <w:rsid w:val="0017756E"/>
    <w:rsid w:val="00177592"/>
    <w:rsid w:val="00177CB9"/>
    <w:rsid w:val="00177CD1"/>
    <w:rsid w:val="0018094D"/>
    <w:rsid w:val="00181708"/>
    <w:rsid w:val="00181869"/>
    <w:rsid w:val="00183315"/>
    <w:rsid w:val="001834CB"/>
    <w:rsid w:val="00183DE1"/>
    <w:rsid w:val="00184DCD"/>
    <w:rsid w:val="00186D76"/>
    <w:rsid w:val="00186EA9"/>
    <w:rsid w:val="00187EA0"/>
    <w:rsid w:val="00190CC2"/>
    <w:rsid w:val="00194D93"/>
    <w:rsid w:val="00195058"/>
    <w:rsid w:val="001953C7"/>
    <w:rsid w:val="00195425"/>
    <w:rsid w:val="001A18EF"/>
    <w:rsid w:val="001A1DB0"/>
    <w:rsid w:val="001A1DBC"/>
    <w:rsid w:val="001A1FAF"/>
    <w:rsid w:val="001A2D1F"/>
    <w:rsid w:val="001A30FE"/>
    <w:rsid w:val="001A3907"/>
    <w:rsid w:val="001A6630"/>
    <w:rsid w:val="001A6B82"/>
    <w:rsid w:val="001B0392"/>
    <w:rsid w:val="001B07CE"/>
    <w:rsid w:val="001B3501"/>
    <w:rsid w:val="001B3AA8"/>
    <w:rsid w:val="001B43E6"/>
    <w:rsid w:val="001B7F6C"/>
    <w:rsid w:val="001C0143"/>
    <w:rsid w:val="001C066A"/>
    <w:rsid w:val="001C083D"/>
    <w:rsid w:val="001C0EA9"/>
    <w:rsid w:val="001C19D1"/>
    <w:rsid w:val="001C2F85"/>
    <w:rsid w:val="001C3926"/>
    <w:rsid w:val="001C5713"/>
    <w:rsid w:val="001C610B"/>
    <w:rsid w:val="001D45CE"/>
    <w:rsid w:val="001D5B87"/>
    <w:rsid w:val="001D5F3C"/>
    <w:rsid w:val="001D701E"/>
    <w:rsid w:val="001D7AAF"/>
    <w:rsid w:val="001D7D5C"/>
    <w:rsid w:val="001E0851"/>
    <w:rsid w:val="001E089F"/>
    <w:rsid w:val="001E1F86"/>
    <w:rsid w:val="001E2A7A"/>
    <w:rsid w:val="001E2DA4"/>
    <w:rsid w:val="001E2F73"/>
    <w:rsid w:val="001E33F8"/>
    <w:rsid w:val="001E3C29"/>
    <w:rsid w:val="001E5DDE"/>
    <w:rsid w:val="001E65EB"/>
    <w:rsid w:val="001E74D2"/>
    <w:rsid w:val="001F09D2"/>
    <w:rsid w:val="001F1DED"/>
    <w:rsid w:val="001F3838"/>
    <w:rsid w:val="001F6A77"/>
    <w:rsid w:val="001F7039"/>
    <w:rsid w:val="002025BC"/>
    <w:rsid w:val="00202B82"/>
    <w:rsid w:val="002031E7"/>
    <w:rsid w:val="00205D8A"/>
    <w:rsid w:val="00205F25"/>
    <w:rsid w:val="00206C44"/>
    <w:rsid w:val="002128AB"/>
    <w:rsid w:val="00213DCE"/>
    <w:rsid w:val="0021417B"/>
    <w:rsid w:val="00214B47"/>
    <w:rsid w:val="00215C9D"/>
    <w:rsid w:val="00217025"/>
    <w:rsid w:val="0021713A"/>
    <w:rsid w:val="002215E1"/>
    <w:rsid w:val="00221885"/>
    <w:rsid w:val="002220FE"/>
    <w:rsid w:val="00222C17"/>
    <w:rsid w:val="00222DE9"/>
    <w:rsid w:val="00224D7F"/>
    <w:rsid w:val="00226CC0"/>
    <w:rsid w:val="00231147"/>
    <w:rsid w:val="0023226D"/>
    <w:rsid w:val="00232D5F"/>
    <w:rsid w:val="002338F7"/>
    <w:rsid w:val="00235EBA"/>
    <w:rsid w:val="0024002C"/>
    <w:rsid w:val="00240D62"/>
    <w:rsid w:val="00242231"/>
    <w:rsid w:val="002433F6"/>
    <w:rsid w:val="00243AAE"/>
    <w:rsid w:val="00245320"/>
    <w:rsid w:val="00246002"/>
    <w:rsid w:val="00246AE8"/>
    <w:rsid w:val="00246B04"/>
    <w:rsid w:val="00250D74"/>
    <w:rsid w:val="002519CB"/>
    <w:rsid w:val="0025296D"/>
    <w:rsid w:val="00252B65"/>
    <w:rsid w:val="00252DAC"/>
    <w:rsid w:val="002533D4"/>
    <w:rsid w:val="00253704"/>
    <w:rsid w:val="00254A1A"/>
    <w:rsid w:val="0025596E"/>
    <w:rsid w:val="0025655C"/>
    <w:rsid w:val="00257FF0"/>
    <w:rsid w:val="00260055"/>
    <w:rsid w:val="0026056D"/>
    <w:rsid w:val="00261734"/>
    <w:rsid w:val="002617BE"/>
    <w:rsid w:val="00263D5B"/>
    <w:rsid w:val="00264FA9"/>
    <w:rsid w:val="00266A37"/>
    <w:rsid w:val="002703B7"/>
    <w:rsid w:val="00275050"/>
    <w:rsid w:val="0027520A"/>
    <w:rsid w:val="00275503"/>
    <w:rsid w:val="002761CA"/>
    <w:rsid w:val="002774FB"/>
    <w:rsid w:val="002777E2"/>
    <w:rsid w:val="00277868"/>
    <w:rsid w:val="0028122C"/>
    <w:rsid w:val="0028192F"/>
    <w:rsid w:val="00283DCD"/>
    <w:rsid w:val="00283FD5"/>
    <w:rsid w:val="0028413F"/>
    <w:rsid w:val="00284B5E"/>
    <w:rsid w:val="00285154"/>
    <w:rsid w:val="002914AC"/>
    <w:rsid w:val="00294741"/>
    <w:rsid w:val="00296044"/>
    <w:rsid w:val="002A3287"/>
    <w:rsid w:val="002A45B5"/>
    <w:rsid w:val="002A5BF2"/>
    <w:rsid w:val="002A6478"/>
    <w:rsid w:val="002A721E"/>
    <w:rsid w:val="002B0A01"/>
    <w:rsid w:val="002B3A27"/>
    <w:rsid w:val="002B432A"/>
    <w:rsid w:val="002B46A5"/>
    <w:rsid w:val="002B6076"/>
    <w:rsid w:val="002B60E4"/>
    <w:rsid w:val="002C028F"/>
    <w:rsid w:val="002C0FFF"/>
    <w:rsid w:val="002C10C9"/>
    <w:rsid w:val="002C2F1F"/>
    <w:rsid w:val="002C5CBE"/>
    <w:rsid w:val="002C683E"/>
    <w:rsid w:val="002C6851"/>
    <w:rsid w:val="002C7363"/>
    <w:rsid w:val="002D05BF"/>
    <w:rsid w:val="002D07BF"/>
    <w:rsid w:val="002D1913"/>
    <w:rsid w:val="002D2367"/>
    <w:rsid w:val="002D42FA"/>
    <w:rsid w:val="002D55C5"/>
    <w:rsid w:val="002D7054"/>
    <w:rsid w:val="002D7AA4"/>
    <w:rsid w:val="002E1CB2"/>
    <w:rsid w:val="002E5D1F"/>
    <w:rsid w:val="002F04E6"/>
    <w:rsid w:val="002F3CDC"/>
    <w:rsid w:val="002F60C7"/>
    <w:rsid w:val="002F7366"/>
    <w:rsid w:val="002F7CF7"/>
    <w:rsid w:val="00301326"/>
    <w:rsid w:val="003028D2"/>
    <w:rsid w:val="00303231"/>
    <w:rsid w:val="0030366E"/>
    <w:rsid w:val="00304354"/>
    <w:rsid w:val="00304F07"/>
    <w:rsid w:val="00304FA4"/>
    <w:rsid w:val="00306436"/>
    <w:rsid w:val="00306757"/>
    <w:rsid w:val="003069DD"/>
    <w:rsid w:val="00310276"/>
    <w:rsid w:val="00310741"/>
    <w:rsid w:val="00310938"/>
    <w:rsid w:val="00312D12"/>
    <w:rsid w:val="00314988"/>
    <w:rsid w:val="00316B61"/>
    <w:rsid w:val="0032168D"/>
    <w:rsid w:val="003219FD"/>
    <w:rsid w:val="00322945"/>
    <w:rsid w:val="00324C52"/>
    <w:rsid w:val="0032700B"/>
    <w:rsid w:val="00327431"/>
    <w:rsid w:val="00327859"/>
    <w:rsid w:val="00327DE4"/>
    <w:rsid w:val="003332B8"/>
    <w:rsid w:val="003356F5"/>
    <w:rsid w:val="003378B9"/>
    <w:rsid w:val="00340495"/>
    <w:rsid w:val="00340EA8"/>
    <w:rsid w:val="0034155E"/>
    <w:rsid w:val="003423FC"/>
    <w:rsid w:val="003435B3"/>
    <w:rsid w:val="00343B05"/>
    <w:rsid w:val="00344960"/>
    <w:rsid w:val="00345381"/>
    <w:rsid w:val="00345747"/>
    <w:rsid w:val="0034638B"/>
    <w:rsid w:val="00346A69"/>
    <w:rsid w:val="003479DB"/>
    <w:rsid w:val="00347F87"/>
    <w:rsid w:val="003500BD"/>
    <w:rsid w:val="0035043D"/>
    <w:rsid w:val="00350D88"/>
    <w:rsid w:val="00352C65"/>
    <w:rsid w:val="00352E69"/>
    <w:rsid w:val="0035392D"/>
    <w:rsid w:val="00353F69"/>
    <w:rsid w:val="003541F0"/>
    <w:rsid w:val="00354C8A"/>
    <w:rsid w:val="00356C22"/>
    <w:rsid w:val="00361303"/>
    <w:rsid w:val="0036181B"/>
    <w:rsid w:val="0036339B"/>
    <w:rsid w:val="0036394E"/>
    <w:rsid w:val="00364091"/>
    <w:rsid w:val="00364476"/>
    <w:rsid w:val="00364D9F"/>
    <w:rsid w:val="00364EB8"/>
    <w:rsid w:val="0036660D"/>
    <w:rsid w:val="00371649"/>
    <w:rsid w:val="00372398"/>
    <w:rsid w:val="00372F59"/>
    <w:rsid w:val="00373F69"/>
    <w:rsid w:val="0037448C"/>
    <w:rsid w:val="00374FE2"/>
    <w:rsid w:val="00375616"/>
    <w:rsid w:val="00375DCC"/>
    <w:rsid w:val="00376932"/>
    <w:rsid w:val="003803CD"/>
    <w:rsid w:val="00381719"/>
    <w:rsid w:val="00381C8B"/>
    <w:rsid w:val="003822B6"/>
    <w:rsid w:val="003833EF"/>
    <w:rsid w:val="0038409D"/>
    <w:rsid w:val="003848FF"/>
    <w:rsid w:val="00385A86"/>
    <w:rsid w:val="00386331"/>
    <w:rsid w:val="003869C3"/>
    <w:rsid w:val="00386E4F"/>
    <w:rsid w:val="003925C6"/>
    <w:rsid w:val="003926B7"/>
    <w:rsid w:val="003935B7"/>
    <w:rsid w:val="00394582"/>
    <w:rsid w:val="003953AE"/>
    <w:rsid w:val="0039587E"/>
    <w:rsid w:val="003965B3"/>
    <w:rsid w:val="0039681E"/>
    <w:rsid w:val="003975A5"/>
    <w:rsid w:val="003A08F1"/>
    <w:rsid w:val="003A0B58"/>
    <w:rsid w:val="003A2524"/>
    <w:rsid w:val="003A37AA"/>
    <w:rsid w:val="003A4F00"/>
    <w:rsid w:val="003A5063"/>
    <w:rsid w:val="003A63EA"/>
    <w:rsid w:val="003A7B58"/>
    <w:rsid w:val="003B077E"/>
    <w:rsid w:val="003B0AD1"/>
    <w:rsid w:val="003B0B87"/>
    <w:rsid w:val="003B0E5C"/>
    <w:rsid w:val="003B222C"/>
    <w:rsid w:val="003B2775"/>
    <w:rsid w:val="003B361C"/>
    <w:rsid w:val="003B37AD"/>
    <w:rsid w:val="003B39B1"/>
    <w:rsid w:val="003B44C2"/>
    <w:rsid w:val="003B5792"/>
    <w:rsid w:val="003C1106"/>
    <w:rsid w:val="003C1333"/>
    <w:rsid w:val="003C1FAE"/>
    <w:rsid w:val="003C273B"/>
    <w:rsid w:val="003C28FB"/>
    <w:rsid w:val="003C3586"/>
    <w:rsid w:val="003C4EED"/>
    <w:rsid w:val="003C51C6"/>
    <w:rsid w:val="003C6E42"/>
    <w:rsid w:val="003C7EA9"/>
    <w:rsid w:val="003D086F"/>
    <w:rsid w:val="003D0BE0"/>
    <w:rsid w:val="003D139B"/>
    <w:rsid w:val="003D503E"/>
    <w:rsid w:val="003D6656"/>
    <w:rsid w:val="003D7C92"/>
    <w:rsid w:val="003E0502"/>
    <w:rsid w:val="003E063B"/>
    <w:rsid w:val="003E0B20"/>
    <w:rsid w:val="003E0B38"/>
    <w:rsid w:val="003E1838"/>
    <w:rsid w:val="003E2B70"/>
    <w:rsid w:val="003E3665"/>
    <w:rsid w:val="003E3B8D"/>
    <w:rsid w:val="003E3C82"/>
    <w:rsid w:val="003E49E0"/>
    <w:rsid w:val="003E4B88"/>
    <w:rsid w:val="003E5E52"/>
    <w:rsid w:val="003E5F82"/>
    <w:rsid w:val="003E77CD"/>
    <w:rsid w:val="003E7C81"/>
    <w:rsid w:val="003F02F0"/>
    <w:rsid w:val="003F5B6A"/>
    <w:rsid w:val="003F6555"/>
    <w:rsid w:val="003F6942"/>
    <w:rsid w:val="003F6B2F"/>
    <w:rsid w:val="00400B5E"/>
    <w:rsid w:val="00403909"/>
    <w:rsid w:val="00404735"/>
    <w:rsid w:val="00405A53"/>
    <w:rsid w:val="00406D03"/>
    <w:rsid w:val="00410039"/>
    <w:rsid w:val="0041056A"/>
    <w:rsid w:val="00411223"/>
    <w:rsid w:val="00412BD3"/>
    <w:rsid w:val="00414FFE"/>
    <w:rsid w:val="004152B4"/>
    <w:rsid w:val="00415F23"/>
    <w:rsid w:val="004164BF"/>
    <w:rsid w:val="00420D75"/>
    <w:rsid w:val="004211E3"/>
    <w:rsid w:val="0042378D"/>
    <w:rsid w:val="00423F63"/>
    <w:rsid w:val="004253BE"/>
    <w:rsid w:val="00427A01"/>
    <w:rsid w:val="00427DC0"/>
    <w:rsid w:val="00427E33"/>
    <w:rsid w:val="004303F7"/>
    <w:rsid w:val="004316BD"/>
    <w:rsid w:val="00431AB3"/>
    <w:rsid w:val="00431E5A"/>
    <w:rsid w:val="00433130"/>
    <w:rsid w:val="00433806"/>
    <w:rsid w:val="0043785A"/>
    <w:rsid w:val="00437FE7"/>
    <w:rsid w:val="00440151"/>
    <w:rsid w:val="00441345"/>
    <w:rsid w:val="00441DDA"/>
    <w:rsid w:val="00446B7B"/>
    <w:rsid w:val="00446DE3"/>
    <w:rsid w:val="00447B8B"/>
    <w:rsid w:val="00450BB7"/>
    <w:rsid w:val="0045143D"/>
    <w:rsid w:val="004514CF"/>
    <w:rsid w:val="004515F7"/>
    <w:rsid w:val="00451A05"/>
    <w:rsid w:val="00453550"/>
    <w:rsid w:val="00453B46"/>
    <w:rsid w:val="00453E83"/>
    <w:rsid w:val="00454840"/>
    <w:rsid w:val="00455339"/>
    <w:rsid w:val="00455B98"/>
    <w:rsid w:val="00455FDD"/>
    <w:rsid w:val="004560F6"/>
    <w:rsid w:val="00456DB1"/>
    <w:rsid w:val="00457267"/>
    <w:rsid w:val="0045787E"/>
    <w:rsid w:val="00460316"/>
    <w:rsid w:val="0046218F"/>
    <w:rsid w:val="00463ACA"/>
    <w:rsid w:val="00464420"/>
    <w:rsid w:val="004705E9"/>
    <w:rsid w:val="00471948"/>
    <w:rsid w:val="00472890"/>
    <w:rsid w:val="00473F75"/>
    <w:rsid w:val="0047483B"/>
    <w:rsid w:val="00474ACD"/>
    <w:rsid w:val="0048115B"/>
    <w:rsid w:val="00481CF5"/>
    <w:rsid w:val="00485F8C"/>
    <w:rsid w:val="00486B4C"/>
    <w:rsid w:val="00490A86"/>
    <w:rsid w:val="0049269C"/>
    <w:rsid w:val="00493549"/>
    <w:rsid w:val="0049552E"/>
    <w:rsid w:val="00496B2A"/>
    <w:rsid w:val="00497DA4"/>
    <w:rsid w:val="004A2499"/>
    <w:rsid w:val="004A30EE"/>
    <w:rsid w:val="004A4A8D"/>
    <w:rsid w:val="004A57E7"/>
    <w:rsid w:val="004A59B4"/>
    <w:rsid w:val="004A6F56"/>
    <w:rsid w:val="004B3855"/>
    <w:rsid w:val="004B3C0E"/>
    <w:rsid w:val="004B52F9"/>
    <w:rsid w:val="004B5FAA"/>
    <w:rsid w:val="004B608E"/>
    <w:rsid w:val="004B669D"/>
    <w:rsid w:val="004C034F"/>
    <w:rsid w:val="004C1396"/>
    <w:rsid w:val="004C197D"/>
    <w:rsid w:val="004C1BF6"/>
    <w:rsid w:val="004C3998"/>
    <w:rsid w:val="004C4813"/>
    <w:rsid w:val="004C4A27"/>
    <w:rsid w:val="004C5F83"/>
    <w:rsid w:val="004C7A88"/>
    <w:rsid w:val="004D0FFE"/>
    <w:rsid w:val="004D1F54"/>
    <w:rsid w:val="004D2100"/>
    <w:rsid w:val="004D3C22"/>
    <w:rsid w:val="004D502A"/>
    <w:rsid w:val="004D5EB4"/>
    <w:rsid w:val="004D636D"/>
    <w:rsid w:val="004E1DF0"/>
    <w:rsid w:val="004E5770"/>
    <w:rsid w:val="004E5FF0"/>
    <w:rsid w:val="004E604E"/>
    <w:rsid w:val="004E6AA1"/>
    <w:rsid w:val="004E7E22"/>
    <w:rsid w:val="004F0897"/>
    <w:rsid w:val="004F166F"/>
    <w:rsid w:val="004F20F8"/>
    <w:rsid w:val="004F2835"/>
    <w:rsid w:val="004F4C65"/>
    <w:rsid w:val="004F4D92"/>
    <w:rsid w:val="004F582A"/>
    <w:rsid w:val="004F60B3"/>
    <w:rsid w:val="004F71DE"/>
    <w:rsid w:val="004F7EF9"/>
    <w:rsid w:val="00500B70"/>
    <w:rsid w:val="005010AA"/>
    <w:rsid w:val="005021B3"/>
    <w:rsid w:val="005024FA"/>
    <w:rsid w:val="0050259C"/>
    <w:rsid w:val="005028CD"/>
    <w:rsid w:val="005031F5"/>
    <w:rsid w:val="00505992"/>
    <w:rsid w:val="00506564"/>
    <w:rsid w:val="0050687F"/>
    <w:rsid w:val="00506D11"/>
    <w:rsid w:val="00510FB8"/>
    <w:rsid w:val="0051109A"/>
    <w:rsid w:val="00514CB8"/>
    <w:rsid w:val="005200C2"/>
    <w:rsid w:val="005219C0"/>
    <w:rsid w:val="00521CEB"/>
    <w:rsid w:val="00521E34"/>
    <w:rsid w:val="005235C7"/>
    <w:rsid w:val="00523B2C"/>
    <w:rsid w:val="0052469F"/>
    <w:rsid w:val="0052558E"/>
    <w:rsid w:val="005262E7"/>
    <w:rsid w:val="0053092F"/>
    <w:rsid w:val="00530F55"/>
    <w:rsid w:val="00531080"/>
    <w:rsid w:val="00531AED"/>
    <w:rsid w:val="00532001"/>
    <w:rsid w:val="00532193"/>
    <w:rsid w:val="00534FD3"/>
    <w:rsid w:val="005350EF"/>
    <w:rsid w:val="005351D1"/>
    <w:rsid w:val="0053599C"/>
    <w:rsid w:val="00535A26"/>
    <w:rsid w:val="00535E2F"/>
    <w:rsid w:val="00536BB0"/>
    <w:rsid w:val="0053709E"/>
    <w:rsid w:val="00537976"/>
    <w:rsid w:val="00540693"/>
    <w:rsid w:val="005414AA"/>
    <w:rsid w:val="005426EE"/>
    <w:rsid w:val="00545705"/>
    <w:rsid w:val="0054571A"/>
    <w:rsid w:val="0054684B"/>
    <w:rsid w:val="00546EC2"/>
    <w:rsid w:val="00547042"/>
    <w:rsid w:val="00547B77"/>
    <w:rsid w:val="005501EF"/>
    <w:rsid w:val="005510D8"/>
    <w:rsid w:val="00552286"/>
    <w:rsid w:val="00552FA8"/>
    <w:rsid w:val="005539C7"/>
    <w:rsid w:val="00553E97"/>
    <w:rsid w:val="005555BF"/>
    <w:rsid w:val="00555930"/>
    <w:rsid w:val="00556F63"/>
    <w:rsid w:val="0055763B"/>
    <w:rsid w:val="005576CD"/>
    <w:rsid w:val="00560199"/>
    <w:rsid w:val="00560D81"/>
    <w:rsid w:val="00561F07"/>
    <w:rsid w:val="00562314"/>
    <w:rsid w:val="005632FA"/>
    <w:rsid w:val="005638A5"/>
    <w:rsid w:val="00563946"/>
    <w:rsid w:val="00563E34"/>
    <w:rsid w:val="00564042"/>
    <w:rsid w:val="00564175"/>
    <w:rsid w:val="005660C3"/>
    <w:rsid w:val="00566A5B"/>
    <w:rsid w:val="005675C7"/>
    <w:rsid w:val="00572003"/>
    <w:rsid w:val="00572151"/>
    <w:rsid w:val="0057254F"/>
    <w:rsid w:val="005742C5"/>
    <w:rsid w:val="00574C49"/>
    <w:rsid w:val="00574E92"/>
    <w:rsid w:val="00575146"/>
    <w:rsid w:val="0057519D"/>
    <w:rsid w:val="00576706"/>
    <w:rsid w:val="00577A97"/>
    <w:rsid w:val="00581AB7"/>
    <w:rsid w:val="00582C24"/>
    <w:rsid w:val="00582FDF"/>
    <w:rsid w:val="00584C30"/>
    <w:rsid w:val="005852C5"/>
    <w:rsid w:val="00585CEC"/>
    <w:rsid w:val="0058662B"/>
    <w:rsid w:val="005869F0"/>
    <w:rsid w:val="00586A2A"/>
    <w:rsid w:val="00586D3B"/>
    <w:rsid w:val="00587CBC"/>
    <w:rsid w:val="00587CC3"/>
    <w:rsid w:val="00587E36"/>
    <w:rsid w:val="005911B7"/>
    <w:rsid w:val="00594BD6"/>
    <w:rsid w:val="0059759D"/>
    <w:rsid w:val="005A021C"/>
    <w:rsid w:val="005A02AB"/>
    <w:rsid w:val="005A1665"/>
    <w:rsid w:val="005A27C4"/>
    <w:rsid w:val="005A410D"/>
    <w:rsid w:val="005A49B0"/>
    <w:rsid w:val="005A5099"/>
    <w:rsid w:val="005A6A02"/>
    <w:rsid w:val="005A7776"/>
    <w:rsid w:val="005B1652"/>
    <w:rsid w:val="005B1B07"/>
    <w:rsid w:val="005B4DF6"/>
    <w:rsid w:val="005B58A7"/>
    <w:rsid w:val="005B7145"/>
    <w:rsid w:val="005B7DE4"/>
    <w:rsid w:val="005C0BD3"/>
    <w:rsid w:val="005C0ED1"/>
    <w:rsid w:val="005C150C"/>
    <w:rsid w:val="005C1B87"/>
    <w:rsid w:val="005C1BFB"/>
    <w:rsid w:val="005C1D32"/>
    <w:rsid w:val="005C2BB7"/>
    <w:rsid w:val="005C3273"/>
    <w:rsid w:val="005C491B"/>
    <w:rsid w:val="005C4B0A"/>
    <w:rsid w:val="005C51FC"/>
    <w:rsid w:val="005C5442"/>
    <w:rsid w:val="005C563C"/>
    <w:rsid w:val="005C692E"/>
    <w:rsid w:val="005C6AD0"/>
    <w:rsid w:val="005D0421"/>
    <w:rsid w:val="005D1C49"/>
    <w:rsid w:val="005D2D58"/>
    <w:rsid w:val="005D3BDC"/>
    <w:rsid w:val="005D40E3"/>
    <w:rsid w:val="005D71B3"/>
    <w:rsid w:val="005D7722"/>
    <w:rsid w:val="005D7828"/>
    <w:rsid w:val="005D7A7B"/>
    <w:rsid w:val="005E238F"/>
    <w:rsid w:val="005E3A33"/>
    <w:rsid w:val="005E598E"/>
    <w:rsid w:val="005E6227"/>
    <w:rsid w:val="005E71B7"/>
    <w:rsid w:val="005F3DC1"/>
    <w:rsid w:val="005F44BD"/>
    <w:rsid w:val="005F4667"/>
    <w:rsid w:val="005F6BBC"/>
    <w:rsid w:val="005F7BCC"/>
    <w:rsid w:val="0060059F"/>
    <w:rsid w:val="00600B43"/>
    <w:rsid w:val="006012A9"/>
    <w:rsid w:val="00602AED"/>
    <w:rsid w:val="006037B0"/>
    <w:rsid w:val="0060408F"/>
    <w:rsid w:val="0060536E"/>
    <w:rsid w:val="00607359"/>
    <w:rsid w:val="006078DD"/>
    <w:rsid w:val="00613725"/>
    <w:rsid w:val="00615D25"/>
    <w:rsid w:val="00620CEE"/>
    <w:rsid w:val="00621758"/>
    <w:rsid w:val="00621EC6"/>
    <w:rsid w:val="006239BA"/>
    <w:rsid w:val="00623D51"/>
    <w:rsid w:val="00623EBA"/>
    <w:rsid w:val="00624D92"/>
    <w:rsid w:val="0062539A"/>
    <w:rsid w:val="006254DA"/>
    <w:rsid w:val="006268FB"/>
    <w:rsid w:val="00627310"/>
    <w:rsid w:val="00627606"/>
    <w:rsid w:val="00631010"/>
    <w:rsid w:val="00633135"/>
    <w:rsid w:val="00633D8D"/>
    <w:rsid w:val="00633E6D"/>
    <w:rsid w:val="006340BD"/>
    <w:rsid w:val="006349A0"/>
    <w:rsid w:val="00634CF6"/>
    <w:rsid w:val="00635B7E"/>
    <w:rsid w:val="00636329"/>
    <w:rsid w:val="00636B72"/>
    <w:rsid w:val="00637986"/>
    <w:rsid w:val="00641D83"/>
    <w:rsid w:val="00643AB4"/>
    <w:rsid w:val="006502F8"/>
    <w:rsid w:val="00650790"/>
    <w:rsid w:val="00650BE4"/>
    <w:rsid w:val="00650D24"/>
    <w:rsid w:val="00652E20"/>
    <w:rsid w:val="006557CC"/>
    <w:rsid w:val="00655A5A"/>
    <w:rsid w:val="0065655F"/>
    <w:rsid w:val="006600AA"/>
    <w:rsid w:val="00666E23"/>
    <w:rsid w:val="006702FC"/>
    <w:rsid w:val="00670733"/>
    <w:rsid w:val="00670E24"/>
    <w:rsid w:val="00671186"/>
    <w:rsid w:val="006714B7"/>
    <w:rsid w:val="0067270A"/>
    <w:rsid w:val="006733C9"/>
    <w:rsid w:val="0067349D"/>
    <w:rsid w:val="00673505"/>
    <w:rsid w:val="00673F2A"/>
    <w:rsid w:val="006748AC"/>
    <w:rsid w:val="006769DE"/>
    <w:rsid w:val="00677E7C"/>
    <w:rsid w:val="00680AB2"/>
    <w:rsid w:val="00680C42"/>
    <w:rsid w:val="00681546"/>
    <w:rsid w:val="006815E1"/>
    <w:rsid w:val="00681D77"/>
    <w:rsid w:val="0068246D"/>
    <w:rsid w:val="00682FB7"/>
    <w:rsid w:val="0068341F"/>
    <w:rsid w:val="006868BE"/>
    <w:rsid w:val="00687540"/>
    <w:rsid w:val="00692531"/>
    <w:rsid w:val="00695177"/>
    <w:rsid w:val="0069633C"/>
    <w:rsid w:val="00696C84"/>
    <w:rsid w:val="006973A0"/>
    <w:rsid w:val="006A0C00"/>
    <w:rsid w:val="006A1BAF"/>
    <w:rsid w:val="006A2D61"/>
    <w:rsid w:val="006A30E5"/>
    <w:rsid w:val="006A3CF5"/>
    <w:rsid w:val="006A441D"/>
    <w:rsid w:val="006A4864"/>
    <w:rsid w:val="006B4B61"/>
    <w:rsid w:val="006B5C00"/>
    <w:rsid w:val="006B7BBB"/>
    <w:rsid w:val="006B7EB1"/>
    <w:rsid w:val="006B7F2D"/>
    <w:rsid w:val="006C0F8D"/>
    <w:rsid w:val="006C242B"/>
    <w:rsid w:val="006C36DB"/>
    <w:rsid w:val="006C4F4D"/>
    <w:rsid w:val="006C5389"/>
    <w:rsid w:val="006C58E2"/>
    <w:rsid w:val="006C599E"/>
    <w:rsid w:val="006C6621"/>
    <w:rsid w:val="006C69EC"/>
    <w:rsid w:val="006C6F44"/>
    <w:rsid w:val="006D0C70"/>
    <w:rsid w:val="006D22B9"/>
    <w:rsid w:val="006D2F07"/>
    <w:rsid w:val="006D4FFB"/>
    <w:rsid w:val="006D547D"/>
    <w:rsid w:val="006D6CC6"/>
    <w:rsid w:val="006D7109"/>
    <w:rsid w:val="006D726A"/>
    <w:rsid w:val="006D77D2"/>
    <w:rsid w:val="006E0499"/>
    <w:rsid w:val="006E129D"/>
    <w:rsid w:val="006E226B"/>
    <w:rsid w:val="006E256D"/>
    <w:rsid w:val="006E2922"/>
    <w:rsid w:val="006E2998"/>
    <w:rsid w:val="006E3587"/>
    <w:rsid w:val="006E4924"/>
    <w:rsid w:val="006E51D9"/>
    <w:rsid w:val="006E6DBB"/>
    <w:rsid w:val="006F0C53"/>
    <w:rsid w:val="006F15E5"/>
    <w:rsid w:val="006F2588"/>
    <w:rsid w:val="006F358A"/>
    <w:rsid w:val="006F4AAB"/>
    <w:rsid w:val="006F4C26"/>
    <w:rsid w:val="006F6200"/>
    <w:rsid w:val="006F634B"/>
    <w:rsid w:val="00701008"/>
    <w:rsid w:val="0070125A"/>
    <w:rsid w:val="00702007"/>
    <w:rsid w:val="0070578D"/>
    <w:rsid w:val="00706405"/>
    <w:rsid w:val="00707908"/>
    <w:rsid w:val="007101E5"/>
    <w:rsid w:val="0071124E"/>
    <w:rsid w:val="007122DA"/>
    <w:rsid w:val="00712F35"/>
    <w:rsid w:val="007143CD"/>
    <w:rsid w:val="00720241"/>
    <w:rsid w:val="0072184E"/>
    <w:rsid w:val="00721E22"/>
    <w:rsid w:val="007311E0"/>
    <w:rsid w:val="00732729"/>
    <w:rsid w:val="00732FD7"/>
    <w:rsid w:val="00734015"/>
    <w:rsid w:val="007341A8"/>
    <w:rsid w:val="00735091"/>
    <w:rsid w:val="00736440"/>
    <w:rsid w:val="007365C2"/>
    <w:rsid w:val="00736B05"/>
    <w:rsid w:val="0073716D"/>
    <w:rsid w:val="007372FA"/>
    <w:rsid w:val="00740389"/>
    <w:rsid w:val="0074047C"/>
    <w:rsid w:val="00740C08"/>
    <w:rsid w:val="007507A4"/>
    <w:rsid w:val="00752CF7"/>
    <w:rsid w:val="007536D1"/>
    <w:rsid w:val="00753B4A"/>
    <w:rsid w:val="00753CCF"/>
    <w:rsid w:val="00753E3E"/>
    <w:rsid w:val="00754B24"/>
    <w:rsid w:val="007570DF"/>
    <w:rsid w:val="00761119"/>
    <w:rsid w:val="007616C9"/>
    <w:rsid w:val="0076174A"/>
    <w:rsid w:val="00761755"/>
    <w:rsid w:val="007629B4"/>
    <w:rsid w:val="00763991"/>
    <w:rsid w:val="007648A2"/>
    <w:rsid w:val="007674A7"/>
    <w:rsid w:val="0077087C"/>
    <w:rsid w:val="007751A1"/>
    <w:rsid w:val="00775F79"/>
    <w:rsid w:val="00776FDC"/>
    <w:rsid w:val="0078053D"/>
    <w:rsid w:val="007811BF"/>
    <w:rsid w:val="007820BB"/>
    <w:rsid w:val="0078293F"/>
    <w:rsid w:val="00783DCD"/>
    <w:rsid w:val="00783F7B"/>
    <w:rsid w:val="007849B5"/>
    <w:rsid w:val="0078675C"/>
    <w:rsid w:val="00790927"/>
    <w:rsid w:val="00790DC7"/>
    <w:rsid w:val="00790EB6"/>
    <w:rsid w:val="007910A0"/>
    <w:rsid w:val="00791E02"/>
    <w:rsid w:val="007924E2"/>
    <w:rsid w:val="00793921"/>
    <w:rsid w:val="00793EBF"/>
    <w:rsid w:val="00794A42"/>
    <w:rsid w:val="00794DB7"/>
    <w:rsid w:val="007958A4"/>
    <w:rsid w:val="00796A97"/>
    <w:rsid w:val="00797BE6"/>
    <w:rsid w:val="007A06E7"/>
    <w:rsid w:val="007A3586"/>
    <w:rsid w:val="007A3622"/>
    <w:rsid w:val="007A3A84"/>
    <w:rsid w:val="007A545B"/>
    <w:rsid w:val="007A5A9E"/>
    <w:rsid w:val="007B10D5"/>
    <w:rsid w:val="007B1C37"/>
    <w:rsid w:val="007B204D"/>
    <w:rsid w:val="007B2262"/>
    <w:rsid w:val="007B2B66"/>
    <w:rsid w:val="007B4A4F"/>
    <w:rsid w:val="007B53FE"/>
    <w:rsid w:val="007B5FF0"/>
    <w:rsid w:val="007B6BD9"/>
    <w:rsid w:val="007C4ECF"/>
    <w:rsid w:val="007C5FC4"/>
    <w:rsid w:val="007C6DDE"/>
    <w:rsid w:val="007D1170"/>
    <w:rsid w:val="007D1BB9"/>
    <w:rsid w:val="007D2C2F"/>
    <w:rsid w:val="007D4321"/>
    <w:rsid w:val="007D600B"/>
    <w:rsid w:val="007D620A"/>
    <w:rsid w:val="007E0E06"/>
    <w:rsid w:val="007E3714"/>
    <w:rsid w:val="007E4D89"/>
    <w:rsid w:val="007E607A"/>
    <w:rsid w:val="007E60A2"/>
    <w:rsid w:val="007E77BA"/>
    <w:rsid w:val="007E7ECC"/>
    <w:rsid w:val="007F06F2"/>
    <w:rsid w:val="007F080D"/>
    <w:rsid w:val="007F211F"/>
    <w:rsid w:val="007F2F50"/>
    <w:rsid w:val="007F3A04"/>
    <w:rsid w:val="007F4D3F"/>
    <w:rsid w:val="007F4DE2"/>
    <w:rsid w:val="007F5D28"/>
    <w:rsid w:val="007F63CF"/>
    <w:rsid w:val="007F6DC4"/>
    <w:rsid w:val="00800419"/>
    <w:rsid w:val="0080048D"/>
    <w:rsid w:val="00800E21"/>
    <w:rsid w:val="0080275D"/>
    <w:rsid w:val="008032F2"/>
    <w:rsid w:val="008057C6"/>
    <w:rsid w:val="00805869"/>
    <w:rsid w:val="00805ED5"/>
    <w:rsid w:val="0080733E"/>
    <w:rsid w:val="0081005D"/>
    <w:rsid w:val="00810EAA"/>
    <w:rsid w:val="00811D80"/>
    <w:rsid w:val="0081203A"/>
    <w:rsid w:val="008142E7"/>
    <w:rsid w:val="0081433E"/>
    <w:rsid w:val="0081478F"/>
    <w:rsid w:val="00814DA0"/>
    <w:rsid w:val="008153B4"/>
    <w:rsid w:val="008153FC"/>
    <w:rsid w:val="00816A8C"/>
    <w:rsid w:val="00816F5C"/>
    <w:rsid w:val="00820134"/>
    <w:rsid w:val="0082063F"/>
    <w:rsid w:val="00821F9E"/>
    <w:rsid w:val="008233A9"/>
    <w:rsid w:val="00823CBC"/>
    <w:rsid w:val="00825C5D"/>
    <w:rsid w:val="00825CB0"/>
    <w:rsid w:val="00826354"/>
    <w:rsid w:val="0083001B"/>
    <w:rsid w:val="0083227F"/>
    <w:rsid w:val="00832A40"/>
    <w:rsid w:val="00832DDF"/>
    <w:rsid w:val="00834C57"/>
    <w:rsid w:val="00835A65"/>
    <w:rsid w:val="0084055A"/>
    <w:rsid w:val="00840A4D"/>
    <w:rsid w:val="00841077"/>
    <w:rsid w:val="00841D5F"/>
    <w:rsid w:val="00842DFB"/>
    <w:rsid w:val="008445EC"/>
    <w:rsid w:val="00844727"/>
    <w:rsid w:val="008456F4"/>
    <w:rsid w:val="00845CEC"/>
    <w:rsid w:val="00846048"/>
    <w:rsid w:val="008472C5"/>
    <w:rsid w:val="008478A2"/>
    <w:rsid w:val="00850206"/>
    <w:rsid w:val="00850D83"/>
    <w:rsid w:val="0085507B"/>
    <w:rsid w:val="00856F11"/>
    <w:rsid w:val="00857036"/>
    <w:rsid w:val="0085728E"/>
    <w:rsid w:val="00857BFD"/>
    <w:rsid w:val="00862771"/>
    <w:rsid w:val="0086375E"/>
    <w:rsid w:val="00864168"/>
    <w:rsid w:val="00864CAF"/>
    <w:rsid w:val="0086590D"/>
    <w:rsid w:val="00865AEE"/>
    <w:rsid w:val="00865C6F"/>
    <w:rsid w:val="0086658F"/>
    <w:rsid w:val="00866F2F"/>
    <w:rsid w:val="00867178"/>
    <w:rsid w:val="00867ECB"/>
    <w:rsid w:val="008708BE"/>
    <w:rsid w:val="0087129E"/>
    <w:rsid w:val="00872B68"/>
    <w:rsid w:val="00874F9C"/>
    <w:rsid w:val="008755D3"/>
    <w:rsid w:val="008759B3"/>
    <w:rsid w:val="00875B21"/>
    <w:rsid w:val="008762C4"/>
    <w:rsid w:val="008772E8"/>
    <w:rsid w:val="00880A53"/>
    <w:rsid w:val="0088424A"/>
    <w:rsid w:val="0088473A"/>
    <w:rsid w:val="00884971"/>
    <w:rsid w:val="008871E4"/>
    <w:rsid w:val="00890963"/>
    <w:rsid w:val="00890D8F"/>
    <w:rsid w:val="00892C65"/>
    <w:rsid w:val="00892E8D"/>
    <w:rsid w:val="0089374C"/>
    <w:rsid w:val="00893C70"/>
    <w:rsid w:val="00894328"/>
    <w:rsid w:val="008945B5"/>
    <w:rsid w:val="00896CE1"/>
    <w:rsid w:val="008A21C5"/>
    <w:rsid w:val="008A287F"/>
    <w:rsid w:val="008A37CF"/>
    <w:rsid w:val="008A4521"/>
    <w:rsid w:val="008A560D"/>
    <w:rsid w:val="008A5DD5"/>
    <w:rsid w:val="008B0C54"/>
    <w:rsid w:val="008B210F"/>
    <w:rsid w:val="008B2E2C"/>
    <w:rsid w:val="008B533E"/>
    <w:rsid w:val="008B5AEE"/>
    <w:rsid w:val="008B63E7"/>
    <w:rsid w:val="008B65A0"/>
    <w:rsid w:val="008B6732"/>
    <w:rsid w:val="008B6C96"/>
    <w:rsid w:val="008B7545"/>
    <w:rsid w:val="008B78FB"/>
    <w:rsid w:val="008C2F3C"/>
    <w:rsid w:val="008C4C6E"/>
    <w:rsid w:val="008C5B7B"/>
    <w:rsid w:val="008C5EDA"/>
    <w:rsid w:val="008C6771"/>
    <w:rsid w:val="008C68C2"/>
    <w:rsid w:val="008C6F1F"/>
    <w:rsid w:val="008C7657"/>
    <w:rsid w:val="008D01DA"/>
    <w:rsid w:val="008D08CE"/>
    <w:rsid w:val="008D264A"/>
    <w:rsid w:val="008D2989"/>
    <w:rsid w:val="008D3783"/>
    <w:rsid w:val="008D3786"/>
    <w:rsid w:val="008D42C3"/>
    <w:rsid w:val="008D5155"/>
    <w:rsid w:val="008D5277"/>
    <w:rsid w:val="008D6A75"/>
    <w:rsid w:val="008D6C52"/>
    <w:rsid w:val="008D72DC"/>
    <w:rsid w:val="008D7472"/>
    <w:rsid w:val="008D7727"/>
    <w:rsid w:val="008E0076"/>
    <w:rsid w:val="008E00C7"/>
    <w:rsid w:val="008E0736"/>
    <w:rsid w:val="008E0B97"/>
    <w:rsid w:val="008E190D"/>
    <w:rsid w:val="008E4286"/>
    <w:rsid w:val="008E5A11"/>
    <w:rsid w:val="008E6FA5"/>
    <w:rsid w:val="008E73C5"/>
    <w:rsid w:val="008F0961"/>
    <w:rsid w:val="008F0C96"/>
    <w:rsid w:val="008F1644"/>
    <w:rsid w:val="008F16F3"/>
    <w:rsid w:val="008F23D7"/>
    <w:rsid w:val="008F4582"/>
    <w:rsid w:val="008F4F27"/>
    <w:rsid w:val="008F53B7"/>
    <w:rsid w:val="008F5A2C"/>
    <w:rsid w:val="008F5B9A"/>
    <w:rsid w:val="008F6545"/>
    <w:rsid w:val="008F6B8F"/>
    <w:rsid w:val="008F6CE0"/>
    <w:rsid w:val="008F74B1"/>
    <w:rsid w:val="008F786B"/>
    <w:rsid w:val="0090112D"/>
    <w:rsid w:val="00901E71"/>
    <w:rsid w:val="00903695"/>
    <w:rsid w:val="00904168"/>
    <w:rsid w:val="00905E71"/>
    <w:rsid w:val="00906786"/>
    <w:rsid w:val="0091182E"/>
    <w:rsid w:val="00912343"/>
    <w:rsid w:val="009123C8"/>
    <w:rsid w:val="00912ADF"/>
    <w:rsid w:val="009132D0"/>
    <w:rsid w:val="009160AB"/>
    <w:rsid w:val="00916568"/>
    <w:rsid w:val="009171E4"/>
    <w:rsid w:val="00920331"/>
    <w:rsid w:val="00921C96"/>
    <w:rsid w:val="00921DC6"/>
    <w:rsid w:val="00924356"/>
    <w:rsid w:val="00924433"/>
    <w:rsid w:val="00932D52"/>
    <w:rsid w:val="00933257"/>
    <w:rsid w:val="00933A74"/>
    <w:rsid w:val="00933C83"/>
    <w:rsid w:val="00934778"/>
    <w:rsid w:val="00934D6D"/>
    <w:rsid w:val="00934E96"/>
    <w:rsid w:val="009405D2"/>
    <w:rsid w:val="00941424"/>
    <w:rsid w:val="00941E94"/>
    <w:rsid w:val="00941F9E"/>
    <w:rsid w:val="009427B4"/>
    <w:rsid w:val="00944EEF"/>
    <w:rsid w:val="009458FC"/>
    <w:rsid w:val="0094719D"/>
    <w:rsid w:val="0094736D"/>
    <w:rsid w:val="009503B4"/>
    <w:rsid w:val="00950975"/>
    <w:rsid w:val="0095237E"/>
    <w:rsid w:val="009525B9"/>
    <w:rsid w:val="00953997"/>
    <w:rsid w:val="00953B14"/>
    <w:rsid w:val="00953ED3"/>
    <w:rsid w:val="009544F0"/>
    <w:rsid w:val="00955BF9"/>
    <w:rsid w:val="00956F8E"/>
    <w:rsid w:val="00957294"/>
    <w:rsid w:val="00961448"/>
    <w:rsid w:val="00963D04"/>
    <w:rsid w:val="00964B4A"/>
    <w:rsid w:val="009655E8"/>
    <w:rsid w:val="0096575D"/>
    <w:rsid w:val="00967DD2"/>
    <w:rsid w:val="0097082F"/>
    <w:rsid w:val="00970903"/>
    <w:rsid w:val="0097155E"/>
    <w:rsid w:val="00973827"/>
    <w:rsid w:val="009749DE"/>
    <w:rsid w:val="0097560B"/>
    <w:rsid w:val="00977E7C"/>
    <w:rsid w:val="00980535"/>
    <w:rsid w:val="009812DC"/>
    <w:rsid w:val="0098141A"/>
    <w:rsid w:val="00981A34"/>
    <w:rsid w:val="00983CA3"/>
    <w:rsid w:val="00984721"/>
    <w:rsid w:val="009857E1"/>
    <w:rsid w:val="00986968"/>
    <w:rsid w:val="00986B66"/>
    <w:rsid w:val="0099060C"/>
    <w:rsid w:val="00990CDB"/>
    <w:rsid w:val="00991303"/>
    <w:rsid w:val="009919A9"/>
    <w:rsid w:val="00991A81"/>
    <w:rsid w:val="00991C0D"/>
    <w:rsid w:val="009921AF"/>
    <w:rsid w:val="0099228F"/>
    <w:rsid w:val="0099462A"/>
    <w:rsid w:val="00995108"/>
    <w:rsid w:val="00995890"/>
    <w:rsid w:val="0099635E"/>
    <w:rsid w:val="009A0F9F"/>
    <w:rsid w:val="009A43F6"/>
    <w:rsid w:val="009A7120"/>
    <w:rsid w:val="009B0082"/>
    <w:rsid w:val="009B0A77"/>
    <w:rsid w:val="009B0E4C"/>
    <w:rsid w:val="009B10D6"/>
    <w:rsid w:val="009B28F1"/>
    <w:rsid w:val="009B2FFE"/>
    <w:rsid w:val="009B4629"/>
    <w:rsid w:val="009B6272"/>
    <w:rsid w:val="009B6880"/>
    <w:rsid w:val="009C0644"/>
    <w:rsid w:val="009C07E8"/>
    <w:rsid w:val="009C0A66"/>
    <w:rsid w:val="009C14B0"/>
    <w:rsid w:val="009C30D8"/>
    <w:rsid w:val="009C36FF"/>
    <w:rsid w:val="009C3855"/>
    <w:rsid w:val="009C4021"/>
    <w:rsid w:val="009C7678"/>
    <w:rsid w:val="009C7811"/>
    <w:rsid w:val="009D0124"/>
    <w:rsid w:val="009D05BD"/>
    <w:rsid w:val="009D0EDD"/>
    <w:rsid w:val="009D1A20"/>
    <w:rsid w:val="009D3023"/>
    <w:rsid w:val="009D5925"/>
    <w:rsid w:val="009D5CD1"/>
    <w:rsid w:val="009D646C"/>
    <w:rsid w:val="009D7B92"/>
    <w:rsid w:val="009E1096"/>
    <w:rsid w:val="009E276D"/>
    <w:rsid w:val="009E29EB"/>
    <w:rsid w:val="009E4FBD"/>
    <w:rsid w:val="009E6A7D"/>
    <w:rsid w:val="009E763F"/>
    <w:rsid w:val="009E7E67"/>
    <w:rsid w:val="009F134B"/>
    <w:rsid w:val="009F2D25"/>
    <w:rsid w:val="009F2D4B"/>
    <w:rsid w:val="009F3975"/>
    <w:rsid w:val="009F3C63"/>
    <w:rsid w:val="009F4C3C"/>
    <w:rsid w:val="009F5377"/>
    <w:rsid w:val="009F779D"/>
    <w:rsid w:val="00A0215A"/>
    <w:rsid w:val="00A04216"/>
    <w:rsid w:val="00A06FB6"/>
    <w:rsid w:val="00A0781D"/>
    <w:rsid w:val="00A11062"/>
    <w:rsid w:val="00A11077"/>
    <w:rsid w:val="00A11BC4"/>
    <w:rsid w:val="00A1206F"/>
    <w:rsid w:val="00A12ABE"/>
    <w:rsid w:val="00A12CEC"/>
    <w:rsid w:val="00A13F48"/>
    <w:rsid w:val="00A14B05"/>
    <w:rsid w:val="00A1549B"/>
    <w:rsid w:val="00A157DE"/>
    <w:rsid w:val="00A172A9"/>
    <w:rsid w:val="00A215EE"/>
    <w:rsid w:val="00A21B9A"/>
    <w:rsid w:val="00A231B4"/>
    <w:rsid w:val="00A25865"/>
    <w:rsid w:val="00A266D9"/>
    <w:rsid w:val="00A2672B"/>
    <w:rsid w:val="00A268A9"/>
    <w:rsid w:val="00A26A37"/>
    <w:rsid w:val="00A30741"/>
    <w:rsid w:val="00A3122D"/>
    <w:rsid w:val="00A323D0"/>
    <w:rsid w:val="00A37860"/>
    <w:rsid w:val="00A405C9"/>
    <w:rsid w:val="00A40FC0"/>
    <w:rsid w:val="00A439AB"/>
    <w:rsid w:val="00A443EC"/>
    <w:rsid w:val="00A4457B"/>
    <w:rsid w:val="00A46AA0"/>
    <w:rsid w:val="00A479C1"/>
    <w:rsid w:val="00A501BF"/>
    <w:rsid w:val="00A52B1F"/>
    <w:rsid w:val="00A53ED2"/>
    <w:rsid w:val="00A5448B"/>
    <w:rsid w:val="00A547EF"/>
    <w:rsid w:val="00A55059"/>
    <w:rsid w:val="00A5546D"/>
    <w:rsid w:val="00A56572"/>
    <w:rsid w:val="00A56C64"/>
    <w:rsid w:val="00A60089"/>
    <w:rsid w:val="00A60C82"/>
    <w:rsid w:val="00A6133E"/>
    <w:rsid w:val="00A63914"/>
    <w:rsid w:val="00A64057"/>
    <w:rsid w:val="00A66F98"/>
    <w:rsid w:val="00A672F3"/>
    <w:rsid w:val="00A7070B"/>
    <w:rsid w:val="00A70C41"/>
    <w:rsid w:val="00A71AA8"/>
    <w:rsid w:val="00A726C9"/>
    <w:rsid w:val="00A741D5"/>
    <w:rsid w:val="00A75D6E"/>
    <w:rsid w:val="00A768D9"/>
    <w:rsid w:val="00A76B30"/>
    <w:rsid w:val="00A7727E"/>
    <w:rsid w:val="00A80BFB"/>
    <w:rsid w:val="00A80F4A"/>
    <w:rsid w:val="00A81FAF"/>
    <w:rsid w:val="00A84EB7"/>
    <w:rsid w:val="00A850AF"/>
    <w:rsid w:val="00A86031"/>
    <w:rsid w:val="00A92816"/>
    <w:rsid w:val="00A92C05"/>
    <w:rsid w:val="00A93708"/>
    <w:rsid w:val="00A9476F"/>
    <w:rsid w:val="00A94D5C"/>
    <w:rsid w:val="00A95770"/>
    <w:rsid w:val="00A97B4B"/>
    <w:rsid w:val="00AA2D63"/>
    <w:rsid w:val="00AA467E"/>
    <w:rsid w:val="00AA4910"/>
    <w:rsid w:val="00AA499F"/>
    <w:rsid w:val="00AA5AB6"/>
    <w:rsid w:val="00AA6342"/>
    <w:rsid w:val="00AA7085"/>
    <w:rsid w:val="00AA7E77"/>
    <w:rsid w:val="00AB01E9"/>
    <w:rsid w:val="00AB0428"/>
    <w:rsid w:val="00AB09B4"/>
    <w:rsid w:val="00AB0E1B"/>
    <w:rsid w:val="00AB23C9"/>
    <w:rsid w:val="00AB2FF2"/>
    <w:rsid w:val="00AB6212"/>
    <w:rsid w:val="00AB6E7E"/>
    <w:rsid w:val="00AC0269"/>
    <w:rsid w:val="00AC0537"/>
    <w:rsid w:val="00AC0DB6"/>
    <w:rsid w:val="00AC1163"/>
    <w:rsid w:val="00AC1514"/>
    <w:rsid w:val="00AC16DB"/>
    <w:rsid w:val="00AC2858"/>
    <w:rsid w:val="00AC35B6"/>
    <w:rsid w:val="00AC42C6"/>
    <w:rsid w:val="00AC4329"/>
    <w:rsid w:val="00AC5B8D"/>
    <w:rsid w:val="00AC5CE9"/>
    <w:rsid w:val="00AC66EE"/>
    <w:rsid w:val="00AC6EEC"/>
    <w:rsid w:val="00AC7D00"/>
    <w:rsid w:val="00AD0A40"/>
    <w:rsid w:val="00AD1B5E"/>
    <w:rsid w:val="00AD1CFF"/>
    <w:rsid w:val="00AD211E"/>
    <w:rsid w:val="00AD228E"/>
    <w:rsid w:val="00AD25CF"/>
    <w:rsid w:val="00AD3DF3"/>
    <w:rsid w:val="00AD4573"/>
    <w:rsid w:val="00AD4EE9"/>
    <w:rsid w:val="00AD60C2"/>
    <w:rsid w:val="00AD75AE"/>
    <w:rsid w:val="00AE072D"/>
    <w:rsid w:val="00AE0E63"/>
    <w:rsid w:val="00AE1322"/>
    <w:rsid w:val="00AE2330"/>
    <w:rsid w:val="00AE26D7"/>
    <w:rsid w:val="00AE6743"/>
    <w:rsid w:val="00AE6AE7"/>
    <w:rsid w:val="00AE6D25"/>
    <w:rsid w:val="00AF0A17"/>
    <w:rsid w:val="00AF1038"/>
    <w:rsid w:val="00AF1571"/>
    <w:rsid w:val="00AF16F5"/>
    <w:rsid w:val="00AF17F7"/>
    <w:rsid w:val="00AF251C"/>
    <w:rsid w:val="00AF3A3E"/>
    <w:rsid w:val="00AF3A4A"/>
    <w:rsid w:val="00AF4CA4"/>
    <w:rsid w:val="00AF52E8"/>
    <w:rsid w:val="00B00CD5"/>
    <w:rsid w:val="00B00DA3"/>
    <w:rsid w:val="00B012D0"/>
    <w:rsid w:val="00B035FE"/>
    <w:rsid w:val="00B0453D"/>
    <w:rsid w:val="00B04B84"/>
    <w:rsid w:val="00B04C4E"/>
    <w:rsid w:val="00B05271"/>
    <w:rsid w:val="00B05F80"/>
    <w:rsid w:val="00B06E21"/>
    <w:rsid w:val="00B06F73"/>
    <w:rsid w:val="00B07A9B"/>
    <w:rsid w:val="00B106CE"/>
    <w:rsid w:val="00B114BE"/>
    <w:rsid w:val="00B11AFE"/>
    <w:rsid w:val="00B1342C"/>
    <w:rsid w:val="00B141BE"/>
    <w:rsid w:val="00B15164"/>
    <w:rsid w:val="00B16551"/>
    <w:rsid w:val="00B165D7"/>
    <w:rsid w:val="00B20306"/>
    <w:rsid w:val="00B20DF2"/>
    <w:rsid w:val="00B233E7"/>
    <w:rsid w:val="00B24660"/>
    <w:rsid w:val="00B247CB"/>
    <w:rsid w:val="00B24AA6"/>
    <w:rsid w:val="00B253E4"/>
    <w:rsid w:val="00B254C3"/>
    <w:rsid w:val="00B25512"/>
    <w:rsid w:val="00B25A9A"/>
    <w:rsid w:val="00B312EF"/>
    <w:rsid w:val="00B325C3"/>
    <w:rsid w:val="00B3269A"/>
    <w:rsid w:val="00B32793"/>
    <w:rsid w:val="00B33355"/>
    <w:rsid w:val="00B33FE6"/>
    <w:rsid w:val="00B3467E"/>
    <w:rsid w:val="00B34E49"/>
    <w:rsid w:val="00B367D9"/>
    <w:rsid w:val="00B373FE"/>
    <w:rsid w:val="00B40161"/>
    <w:rsid w:val="00B43BDE"/>
    <w:rsid w:val="00B457B2"/>
    <w:rsid w:val="00B469B3"/>
    <w:rsid w:val="00B47D82"/>
    <w:rsid w:val="00B50B25"/>
    <w:rsid w:val="00B5147D"/>
    <w:rsid w:val="00B51BBA"/>
    <w:rsid w:val="00B53857"/>
    <w:rsid w:val="00B551C3"/>
    <w:rsid w:val="00B5543A"/>
    <w:rsid w:val="00B55E4B"/>
    <w:rsid w:val="00B56667"/>
    <w:rsid w:val="00B56D62"/>
    <w:rsid w:val="00B61AB9"/>
    <w:rsid w:val="00B61FFA"/>
    <w:rsid w:val="00B62C57"/>
    <w:rsid w:val="00B64E86"/>
    <w:rsid w:val="00B667B9"/>
    <w:rsid w:val="00B70D7C"/>
    <w:rsid w:val="00B70DD0"/>
    <w:rsid w:val="00B720D0"/>
    <w:rsid w:val="00B72D5B"/>
    <w:rsid w:val="00B759E8"/>
    <w:rsid w:val="00B778E6"/>
    <w:rsid w:val="00B77A56"/>
    <w:rsid w:val="00B81716"/>
    <w:rsid w:val="00B84B44"/>
    <w:rsid w:val="00B85B55"/>
    <w:rsid w:val="00B86097"/>
    <w:rsid w:val="00B87579"/>
    <w:rsid w:val="00B8777F"/>
    <w:rsid w:val="00B91E05"/>
    <w:rsid w:val="00B93673"/>
    <w:rsid w:val="00B937B0"/>
    <w:rsid w:val="00B95ADF"/>
    <w:rsid w:val="00B969EC"/>
    <w:rsid w:val="00B97185"/>
    <w:rsid w:val="00BA047C"/>
    <w:rsid w:val="00BA3039"/>
    <w:rsid w:val="00BA3084"/>
    <w:rsid w:val="00BA399D"/>
    <w:rsid w:val="00BA3CE7"/>
    <w:rsid w:val="00BA46D5"/>
    <w:rsid w:val="00BA539C"/>
    <w:rsid w:val="00BA75BA"/>
    <w:rsid w:val="00BB00BC"/>
    <w:rsid w:val="00BB0194"/>
    <w:rsid w:val="00BB0417"/>
    <w:rsid w:val="00BB0612"/>
    <w:rsid w:val="00BB0643"/>
    <w:rsid w:val="00BB08E9"/>
    <w:rsid w:val="00BB1596"/>
    <w:rsid w:val="00BB2B95"/>
    <w:rsid w:val="00BB398D"/>
    <w:rsid w:val="00BB4ABA"/>
    <w:rsid w:val="00BB563E"/>
    <w:rsid w:val="00BB5C2F"/>
    <w:rsid w:val="00BB6821"/>
    <w:rsid w:val="00BB6A83"/>
    <w:rsid w:val="00BC10BB"/>
    <w:rsid w:val="00BC24E0"/>
    <w:rsid w:val="00BC2E4D"/>
    <w:rsid w:val="00BC3122"/>
    <w:rsid w:val="00BC31D0"/>
    <w:rsid w:val="00BC49B5"/>
    <w:rsid w:val="00BC55AB"/>
    <w:rsid w:val="00BD1974"/>
    <w:rsid w:val="00BD1DCA"/>
    <w:rsid w:val="00BD3F89"/>
    <w:rsid w:val="00BD57E1"/>
    <w:rsid w:val="00BD6093"/>
    <w:rsid w:val="00BD60EE"/>
    <w:rsid w:val="00BD77A7"/>
    <w:rsid w:val="00BD7D9E"/>
    <w:rsid w:val="00BE1147"/>
    <w:rsid w:val="00BE1627"/>
    <w:rsid w:val="00BE4054"/>
    <w:rsid w:val="00BE5AF1"/>
    <w:rsid w:val="00BE6B98"/>
    <w:rsid w:val="00BE7275"/>
    <w:rsid w:val="00BE7879"/>
    <w:rsid w:val="00BF0372"/>
    <w:rsid w:val="00BF0467"/>
    <w:rsid w:val="00BF06E7"/>
    <w:rsid w:val="00BF15E0"/>
    <w:rsid w:val="00BF257A"/>
    <w:rsid w:val="00BF2B88"/>
    <w:rsid w:val="00BF3025"/>
    <w:rsid w:val="00BF350F"/>
    <w:rsid w:val="00BF43C3"/>
    <w:rsid w:val="00BF4B23"/>
    <w:rsid w:val="00BF5B28"/>
    <w:rsid w:val="00BF6AF2"/>
    <w:rsid w:val="00BF6DDE"/>
    <w:rsid w:val="00BF6FFF"/>
    <w:rsid w:val="00BF7611"/>
    <w:rsid w:val="00BF7A48"/>
    <w:rsid w:val="00C00133"/>
    <w:rsid w:val="00C0076C"/>
    <w:rsid w:val="00C00D1B"/>
    <w:rsid w:val="00C00E87"/>
    <w:rsid w:val="00C021B1"/>
    <w:rsid w:val="00C03AF4"/>
    <w:rsid w:val="00C0555D"/>
    <w:rsid w:val="00C07E3A"/>
    <w:rsid w:val="00C07FC4"/>
    <w:rsid w:val="00C10168"/>
    <w:rsid w:val="00C110CD"/>
    <w:rsid w:val="00C11626"/>
    <w:rsid w:val="00C11F85"/>
    <w:rsid w:val="00C12799"/>
    <w:rsid w:val="00C1578A"/>
    <w:rsid w:val="00C15992"/>
    <w:rsid w:val="00C15E2B"/>
    <w:rsid w:val="00C16308"/>
    <w:rsid w:val="00C16B27"/>
    <w:rsid w:val="00C16DD9"/>
    <w:rsid w:val="00C20B84"/>
    <w:rsid w:val="00C218BC"/>
    <w:rsid w:val="00C21A1F"/>
    <w:rsid w:val="00C227B8"/>
    <w:rsid w:val="00C2337A"/>
    <w:rsid w:val="00C23FF8"/>
    <w:rsid w:val="00C26AE2"/>
    <w:rsid w:val="00C3024E"/>
    <w:rsid w:val="00C30DC1"/>
    <w:rsid w:val="00C3197C"/>
    <w:rsid w:val="00C3212D"/>
    <w:rsid w:val="00C3296F"/>
    <w:rsid w:val="00C3351E"/>
    <w:rsid w:val="00C33AFE"/>
    <w:rsid w:val="00C37C72"/>
    <w:rsid w:val="00C40E45"/>
    <w:rsid w:val="00C419AD"/>
    <w:rsid w:val="00C41EC6"/>
    <w:rsid w:val="00C42EE1"/>
    <w:rsid w:val="00C45406"/>
    <w:rsid w:val="00C45D83"/>
    <w:rsid w:val="00C46FB2"/>
    <w:rsid w:val="00C47456"/>
    <w:rsid w:val="00C50666"/>
    <w:rsid w:val="00C52B93"/>
    <w:rsid w:val="00C534BB"/>
    <w:rsid w:val="00C553F1"/>
    <w:rsid w:val="00C5608E"/>
    <w:rsid w:val="00C575AB"/>
    <w:rsid w:val="00C604F5"/>
    <w:rsid w:val="00C629AB"/>
    <w:rsid w:val="00C62D79"/>
    <w:rsid w:val="00C62F0F"/>
    <w:rsid w:val="00C64AE9"/>
    <w:rsid w:val="00C651D3"/>
    <w:rsid w:val="00C707C6"/>
    <w:rsid w:val="00C713E3"/>
    <w:rsid w:val="00C714EB"/>
    <w:rsid w:val="00C7242A"/>
    <w:rsid w:val="00C73867"/>
    <w:rsid w:val="00C74001"/>
    <w:rsid w:val="00C74072"/>
    <w:rsid w:val="00C74E83"/>
    <w:rsid w:val="00C75397"/>
    <w:rsid w:val="00C75BA5"/>
    <w:rsid w:val="00C76EC2"/>
    <w:rsid w:val="00C77655"/>
    <w:rsid w:val="00C808F4"/>
    <w:rsid w:val="00C8305C"/>
    <w:rsid w:val="00C83C32"/>
    <w:rsid w:val="00C844DF"/>
    <w:rsid w:val="00C8531C"/>
    <w:rsid w:val="00C86172"/>
    <w:rsid w:val="00C86C50"/>
    <w:rsid w:val="00C907DC"/>
    <w:rsid w:val="00C91676"/>
    <w:rsid w:val="00C944FD"/>
    <w:rsid w:val="00C94E88"/>
    <w:rsid w:val="00C9677C"/>
    <w:rsid w:val="00C96B97"/>
    <w:rsid w:val="00C96C0C"/>
    <w:rsid w:val="00C96DE9"/>
    <w:rsid w:val="00C97A85"/>
    <w:rsid w:val="00C97BA0"/>
    <w:rsid w:val="00CA243C"/>
    <w:rsid w:val="00CA40F4"/>
    <w:rsid w:val="00CA79C9"/>
    <w:rsid w:val="00CB027C"/>
    <w:rsid w:val="00CB0473"/>
    <w:rsid w:val="00CB0F25"/>
    <w:rsid w:val="00CB1099"/>
    <w:rsid w:val="00CB4045"/>
    <w:rsid w:val="00CB4D17"/>
    <w:rsid w:val="00CB52D5"/>
    <w:rsid w:val="00CB539B"/>
    <w:rsid w:val="00CB68F1"/>
    <w:rsid w:val="00CB6DA0"/>
    <w:rsid w:val="00CC024B"/>
    <w:rsid w:val="00CC1003"/>
    <w:rsid w:val="00CC1BE9"/>
    <w:rsid w:val="00CC36C4"/>
    <w:rsid w:val="00CC4070"/>
    <w:rsid w:val="00CC4A46"/>
    <w:rsid w:val="00CC4E8E"/>
    <w:rsid w:val="00CC7962"/>
    <w:rsid w:val="00CD3BA4"/>
    <w:rsid w:val="00CD3CE6"/>
    <w:rsid w:val="00CD724F"/>
    <w:rsid w:val="00CE13B8"/>
    <w:rsid w:val="00CE2031"/>
    <w:rsid w:val="00CE3078"/>
    <w:rsid w:val="00CE41C3"/>
    <w:rsid w:val="00CE4252"/>
    <w:rsid w:val="00CE4F24"/>
    <w:rsid w:val="00CE5E3F"/>
    <w:rsid w:val="00CE6000"/>
    <w:rsid w:val="00CE656B"/>
    <w:rsid w:val="00CE72B0"/>
    <w:rsid w:val="00CF1673"/>
    <w:rsid w:val="00CF4648"/>
    <w:rsid w:val="00CF5442"/>
    <w:rsid w:val="00D00602"/>
    <w:rsid w:val="00D01719"/>
    <w:rsid w:val="00D04051"/>
    <w:rsid w:val="00D0664B"/>
    <w:rsid w:val="00D11401"/>
    <w:rsid w:val="00D11EB0"/>
    <w:rsid w:val="00D13CD1"/>
    <w:rsid w:val="00D143B3"/>
    <w:rsid w:val="00D1506C"/>
    <w:rsid w:val="00D15ED6"/>
    <w:rsid w:val="00D1682F"/>
    <w:rsid w:val="00D20216"/>
    <w:rsid w:val="00D204FB"/>
    <w:rsid w:val="00D20D20"/>
    <w:rsid w:val="00D212BC"/>
    <w:rsid w:val="00D22E56"/>
    <w:rsid w:val="00D243AA"/>
    <w:rsid w:val="00D24FD0"/>
    <w:rsid w:val="00D27C00"/>
    <w:rsid w:val="00D30332"/>
    <w:rsid w:val="00D36023"/>
    <w:rsid w:val="00D36773"/>
    <w:rsid w:val="00D36EFD"/>
    <w:rsid w:val="00D3773B"/>
    <w:rsid w:val="00D406BA"/>
    <w:rsid w:val="00D43322"/>
    <w:rsid w:val="00D43340"/>
    <w:rsid w:val="00D44101"/>
    <w:rsid w:val="00D4413D"/>
    <w:rsid w:val="00D444B1"/>
    <w:rsid w:val="00D44723"/>
    <w:rsid w:val="00D454F0"/>
    <w:rsid w:val="00D4554E"/>
    <w:rsid w:val="00D462FF"/>
    <w:rsid w:val="00D46C64"/>
    <w:rsid w:val="00D472C6"/>
    <w:rsid w:val="00D47EEA"/>
    <w:rsid w:val="00D51382"/>
    <w:rsid w:val="00D5214A"/>
    <w:rsid w:val="00D52C11"/>
    <w:rsid w:val="00D54B77"/>
    <w:rsid w:val="00D55AC4"/>
    <w:rsid w:val="00D61AA1"/>
    <w:rsid w:val="00D62DFB"/>
    <w:rsid w:val="00D64067"/>
    <w:rsid w:val="00D65A07"/>
    <w:rsid w:val="00D66778"/>
    <w:rsid w:val="00D66AFA"/>
    <w:rsid w:val="00D72545"/>
    <w:rsid w:val="00D732AC"/>
    <w:rsid w:val="00D74A70"/>
    <w:rsid w:val="00D74C9C"/>
    <w:rsid w:val="00D7648F"/>
    <w:rsid w:val="00D778D2"/>
    <w:rsid w:val="00D827D3"/>
    <w:rsid w:val="00D83ECA"/>
    <w:rsid w:val="00D867D1"/>
    <w:rsid w:val="00D8687D"/>
    <w:rsid w:val="00D87B0E"/>
    <w:rsid w:val="00D925F2"/>
    <w:rsid w:val="00D932F7"/>
    <w:rsid w:val="00D93CA4"/>
    <w:rsid w:val="00D947FA"/>
    <w:rsid w:val="00D95236"/>
    <w:rsid w:val="00D95A13"/>
    <w:rsid w:val="00D95CE4"/>
    <w:rsid w:val="00D9668F"/>
    <w:rsid w:val="00D97741"/>
    <w:rsid w:val="00D979A2"/>
    <w:rsid w:val="00DA0B0E"/>
    <w:rsid w:val="00DA33FD"/>
    <w:rsid w:val="00DA41E7"/>
    <w:rsid w:val="00DA5AF5"/>
    <w:rsid w:val="00DB2143"/>
    <w:rsid w:val="00DB251C"/>
    <w:rsid w:val="00DB2FA6"/>
    <w:rsid w:val="00DB69A3"/>
    <w:rsid w:val="00DC4A34"/>
    <w:rsid w:val="00DC4B98"/>
    <w:rsid w:val="00DC5C28"/>
    <w:rsid w:val="00DC5F7E"/>
    <w:rsid w:val="00DC752B"/>
    <w:rsid w:val="00DD0199"/>
    <w:rsid w:val="00DD0593"/>
    <w:rsid w:val="00DD1158"/>
    <w:rsid w:val="00DD2558"/>
    <w:rsid w:val="00DD5189"/>
    <w:rsid w:val="00DD5723"/>
    <w:rsid w:val="00DD6BD8"/>
    <w:rsid w:val="00DD6CED"/>
    <w:rsid w:val="00DD71F0"/>
    <w:rsid w:val="00DD786F"/>
    <w:rsid w:val="00DE1BA9"/>
    <w:rsid w:val="00DE2592"/>
    <w:rsid w:val="00DE2B32"/>
    <w:rsid w:val="00DE3130"/>
    <w:rsid w:val="00DE343F"/>
    <w:rsid w:val="00DE639C"/>
    <w:rsid w:val="00DE6E71"/>
    <w:rsid w:val="00DE7293"/>
    <w:rsid w:val="00DF10BF"/>
    <w:rsid w:val="00DF4295"/>
    <w:rsid w:val="00DF4A7B"/>
    <w:rsid w:val="00E00AF5"/>
    <w:rsid w:val="00E02CCD"/>
    <w:rsid w:val="00E0359E"/>
    <w:rsid w:val="00E038A1"/>
    <w:rsid w:val="00E03E5D"/>
    <w:rsid w:val="00E048C8"/>
    <w:rsid w:val="00E04D61"/>
    <w:rsid w:val="00E04D8E"/>
    <w:rsid w:val="00E0780B"/>
    <w:rsid w:val="00E10E4B"/>
    <w:rsid w:val="00E1117A"/>
    <w:rsid w:val="00E11507"/>
    <w:rsid w:val="00E1208E"/>
    <w:rsid w:val="00E12991"/>
    <w:rsid w:val="00E134CC"/>
    <w:rsid w:val="00E135DA"/>
    <w:rsid w:val="00E1362A"/>
    <w:rsid w:val="00E13799"/>
    <w:rsid w:val="00E138BA"/>
    <w:rsid w:val="00E172C7"/>
    <w:rsid w:val="00E17DF0"/>
    <w:rsid w:val="00E2001D"/>
    <w:rsid w:val="00E224A8"/>
    <w:rsid w:val="00E234BE"/>
    <w:rsid w:val="00E255A5"/>
    <w:rsid w:val="00E25CF6"/>
    <w:rsid w:val="00E2651C"/>
    <w:rsid w:val="00E2682D"/>
    <w:rsid w:val="00E27775"/>
    <w:rsid w:val="00E30D2B"/>
    <w:rsid w:val="00E3125F"/>
    <w:rsid w:val="00E31C0C"/>
    <w:rsid w:val="00E31F4D"/>
    <w:rsid w:val="00E32A00"/>
    <w:rsid w:val="00E32BD5"/>
    <w:rsid w:val="00E342AE"/>
    <w:rsid w:val="00E351D1"/>
    <w:rsid w:val="00E40277"/>
    <w:rsid w:val="00E4223F"/>
    <w:rsid w:val="00E43E2A"/>
    <w:rsid w:val="00E43E8E"/>
    <w:rsid w:val="00E44349"/>
    <w:rsid w:val="00E473C4"/>
    <w:rsid w:val="00E50280"/>
    <w:rsid w:val="00E5032E"/>
    <w:rsid w:val="00E5065F"/>
    <w:rsid w:val="00E53466"/>
    <w:rsid w:val="00E55221"/>
    <w:rsid w:val="00E559D1"/>
    <w:rsid w:val="00E561F6"/>
    <w:rsid w:val="00E61057"/>
    <w:rsid w:val="00E61118"/>
    <w:rsid w:val="00E61996"/>
    <w:rsid w:val="00E63949"/>
    <w:rsid w:val="00E642D2"/>
    <w:rsid w:val="00E64A6A"/>
    <w:rsid w:val="00E6563B"/>
    <w:rsid w:val="00E6699A"/>
    <w:rsid w:val="00E677F7"/>
    <w:rsid w:val="00E67C6D"/>
    <w:rsid w:val="00E711E1"/>
    <w:rsid w:val="00E722ED"/>
    <w:rsid w:val="00E72459"/>
    <w:rsid w:val="00E72BA0"/>
    <w:rsid w:val="00E73255"/>
    <w:rsid w:val="00E73D66"/>
    <w:rsid w:val="00E7534D"/>
    <w:rsid w:val="00E7642A"/>
    <w:rsid w:val="00E77103"/>
    <w:rsid w:val="00E77405"/>
    <w:rsid w:val="00E822AD"/>
    <w:rsid w:val="00E8363E"/>
    <w:rsid w:val="00E854F6"/>
    <w:rsid w:val="00E85F3E"/>
    <w:rsid w:val="00E87441"/>
    <w:rsid w:val="00E90AB7"/>
    <w:rsid w:val="00E90BC1"/>
    <w:rsid w:val="00E91085"/>
    <w:rsid w:val="00E91A1E"/>
    <w:rsid w:val="00E92CB5"/>
    <w:rsid w:val="00E93AD6"/>
    <w:rsid w:val="00E945EE"/>
    <w:rsid w:val="00E95ABF"/>
    <w:rsid w:val="00E96280"/>
    <w:rsid w:val="00E965A3"/>
    <w:rsid w:val="00E97803"/>
    <w:rsid w:val="00E97CB5"/>
    <w:rsid w:val="00EA04BF"/>
    <w:rsid w:val="00EA04EE"/>
    <w:rsid w:val="00EA0A49"/>
    <w:rsid w:val="00EA23DF"/>
    <w:rsid w:val="00EA3981"/>
    <w:rsid w:val="00EA73B6"/>
    <w:rsid w:val="00EA7F90"/>
    <w:rsid w:val="00EB0B1D"/>
    <w:rsid w:val="00EB0FCE"/>
    <w:rsid w:val="00EB2F60"/>
    <w:rsid w:val="00EB4249"/>
    <w:rsid w:val="00EB49C7"/>
    <w:rsid w:val="00EB56B3"/>
    <w:rsid w:val="00EB62EE"/>
    <w:rsid w:val="00EB71CA"/>
    <w:rsid w:val="00EC105E"/>
    <w:rsid w:val="00EC21EA"/>
    <w:rsid w:val="00EC26E5"/>
    <w:rsid w:val="00EC484C"/>
    <w:rsid w:val="00EC492B"/>
    <w:rsid w:val="00EC55B1"/>
    <w:rsid w:val="00EC5ADA"/>
    <w:rsid w:val="00EC61B3"/>
    <w:rsid w:val="00EC7582"/>
    <w:rsid w:val="00EC7594"/>
    <w:rsid w:val="00ED0435"/>
    <w:rsid w:val="00ED21EB"/>
    <w:rsid w:val="00ED2672"/>
    <w:rsid w:val="00ED3421"/>
    <w:rsid w:val="00ED365F"/>
    <w:rsid w:val="00ED44AF"/>
    <w:rsid w:val="00ED61C7"/>
    <w:rsid w:val="00ED69D1"/>
    <w:rsid w:val="00ED6E8C"/>
    <w:rsid w:val="00EE1286"/>
    <w:rsid w:val="00EE2639"/>
    <w:rsid w:val="00EE4BB5"/>
    <w:rsid w:val="00EE6360"/>
    <w:rsid w:val="00EE6871"/>
    <w:rsid w:val="00EE72D3"/>
    <w:rsid w:val="00EF0458"/>
    <w:rsid w:val="00EF0C76"/>
    <w:rsid w:val="00EF0D23"/>
    <w:rsid w:val="00EF212A"/>
    <w:rsid w:val="00EF3F6F"/>
    <w:rsid w:val="00EF4E49"/>
    <w:rsid w:val="00EF70FE"/>
    <w:rsid w:val="00EF79FF"/>
    <w:rsid w:val="00F035F5"/>
    <w:rsid w:val="00F057A8"/>
    <w:rsid w:val="00F060E6"/>
    <w:rsid w:val="00F06FEA"/>
    <w:rsid w:val="00F076CE"/>
    <w:rsid w:val="00F104B1"/>
    <w:rsid w:val="00F104C1"/>
    <w:rsid w:val="00F1223A"/>
    <w:rsid w:val="00F130F2"/>
    <w:rsid w:val="00F137DB"/>
    <w:rsid w:val="00F13A8A"/>
    <w:rsid w:val="00F13AFB"/>
    <w:rsid w:val="00F14F1E"/>
    <w:rsid w:val="00F14F61"/>
    <w:rsid w:val="00F1505A"/>
    <w:rsid w:val="00F15325"/>
    <w:rsid w:val="00F15B40"/>
    <w:rsid w:val="00F16831"/>
    <w:rsid w:val="00F203B8"/>
    <w:rsid w:val="00F22297"/>
    <w:rsid w:val="00F225CB"/>
    <w:rsid w:val="00F238AC"/>
    <w:rsid w:val="00F24AB4"/>
    <w:rsid w:val="00F2550B"/>
    <w:rsid w:val="00F26BA9"/>
    <w:rsid w:val="00F30A21"/>
    <w:rsid w:val="00F32008"/>
    <w:rsid w:val="00F32C51"/>
    <w:rsid w:val="00F3388B"/>
    <w:rsid w:val="00F35BC6"/>
    <w:rsid w:val="00F35E76"/>
    <w:rsid w:val="00F3650D"/>
    <w:rsid w:val="00F36C89"/>
    <w:rsid w:val="00F372C8"/>
    <w:rsid w:val="00F37C70"/>
    <w:rsid w:val="00F40814"/>
    <w:rsid w:val="00F41E16"/>
    <w:rsid w:val="00F42AF3"/>
    <w:rsid w:val="00F42BA2"/>
    <w:rsid w:val="00F43724"/>
    <w:rsid w:val="00F44F74"/>
    <w:rsid w:val="00F472C6"/>
    <w:rsid w:val="00F4785C"/>
    <w:rsid w:val="00F47988"/>
    <w:rsid w:val="00F47FB6"/>
    <w:rsid w:val="00F501DF"/>
    <w:rsid w:val="00F5031D"/>
    <w:rsid w:val="00F50408"/>
    <w:rsid w:val="00F50F37"/>
    <w:rsid w:val="00F51E2E"/>
    <w:rsid w:val="00F52D6E"/>
    <w:rsid w:val="00F52EE7"/>
    <w:rsid w:val="00F53067"/>
    <w:rsid w:val="00F5396F"/>
    <w:rsid w:val="00F5417E"/>
    <w:rsid w:val="00F54FA9"/>
    <w:rsid w:val="00F55867"/>
    <w:rsid w:val="00F56D05"/>
    <w:rsid w:val="00F57BC5"/>
    <w:rsid w:val="00F62A31"/>
    <w:rsid w:val="00F636B7"/>
    <w:rsid w:val="00F64A1D"/>
    <w:rsid w:val="00F656C3"/>
    <w:rsid w:val="00F66204"/>
    <w:rsid w:val="00F6647A"/>
    <w:rsid w:val="00F715F4"/>
    <w:rsid w:val="00F7271E"/>
    <w:rsid w:val="00F7312A"/>
    <w:rsid w:val="00F75B5D"/>
    <w:rsid w:val="00F7738A"/>
    <w:rsid w:val="00F800E7"/>
    <w:rsid w:val="00F80ED5"/>
    <w:rsid w:val="00F81542"/>
    <w:rsid w:val="00F82DCD"/>
    <w:rsid w:val="00F856A4"/>
    <w:rsid w:val="00F8694F"/>
    <w:rsid w:val="00F92598"/>
    <w:rsid w:val="00F929DA"/>
    <w:rsid w:val="00F93C5B"/>
    <w:rsid w:val="00F955FB"/>
    <w:rsid w:val="00F95AEB"/>
    <w:rsid w:val="00FA06AA"/>
    <w:rsid w:val="00FA0A48"/>
    <w:rsid w:val="00FA1B20"/>
    <w:rsid w:val="00FA20AC"/>
    <w:rsid w:val="00FA32DA"/>
    <w:rsid w:val="00FA4238"/>
    <w:rsid w:val="00FA483A"/>
    <w:rsid w:val="00FA5F02"/>
    <w:rsid w:val="00FA6087"/>
    <w:rsid w:val="00FA61DA"/>
    <w:rsid w:val="00FA61FA"/>
    <w:rsid w:val="00FA65DC"/>
    <w:rsid w:val="00FA67E9"/>
    <w:rsid w:val="00FA7B81"/>
    <w:rsid w:val="00FA7EF9"/>
    <w:rsid w:val="00FB0B08"/>
    <w:rsid w:val="00FB3886"/>
    <w:rsid w:val="00FB435F"/>
    <w:rsid w:val="00FB45DB"/>
    <w:rsid w:val="00FB4AB2"/>
    <w:rsid w:val="00FB4F35"/>
    <w:rsid w:val="00FB548D"/>
    <w:rsid w:val="00FB5C30"/>
    <w:rsid w:val="00FB5FCA"/>
    <w:rsid w:val="00FC01A7"/>
    <w:rsid w:val="00FC0469"/>
    <w:rsid w:val="00FC0998"/>
    <w:rsid w:val="00FC245D"/>
    <w:rsid w:val="00FC2DCE"/>
    <w:rsid w:val="00FC343F"/>
    <w:rsid w:val="00FC3CD3"/>
    <w:rsid w:val="00FC461A"/>
    <w:rsid w:val="00FC52C7"/>
    <w:rsid w:val="00FC604A"/>
    <w:rsid w:val="00FC70CD"/>
    <w:rsid w:val="00FC7D00"/>
    <w:rsid w:val="00FD0B9A"/>
    <w:rsid w:val="00FD1B68"/>
    <w:rsid w:val="00FD2883"/>
    <w:rsid w:val="00FD489B"/>
    <w:rsid w:val="00FD5519"/>
    <w:rsid w:val="00FD5A8B"/>
    <w:rsid w:val="00FD62BA"/>
    <w:rsid w:val="00FD6D4E"/>
    <w:rsid w:val="00FE1897"/>
    <w:rsid w:val="00FE2048"/>
    <w:rsid w:val="00FE3041"/>
    <w:rsid w:val="00FE349D"/>
    <w:rsid w:val="00FE466A"/>
    <w:rsid w:val="00FE48AB"/>
    <w:rsid w:val="00FE63CB"/>
    <w:rsid w:val="00FE6D05"/>
    <w:rsid w:val="00FE6DDC"/>
    <w:rsid w:val="00FE7AC5"/>
    <w:rsid w:val="00FE7B90"/>
    <w:rsid w:val="00FF18FB"/>
    <w:rsid w:val="00FF3A9B"/>
    <w:rsid w:val="00FF4CE2"/>
    <w:rsid w:val="010A32F0"/>
    <w:rsid w:val="011E0E77"/>
    <w:rsid w:val="0132783D"/>
    <w:rsid w:val="016465C8"/>
    <w:rsid w:val="01653C43"/>
    <w:rsid w:val="01816A09"/>
    <w:rsid w:val="01A06E9D"/>
    <w:rsid w:val="01AF5332"/>
    <w:rsid w:val="01B34E22"/>
    <w:rsid w:val="01E50D53"/>
    <w:rsid w:val="02107B5C"/>
    <w:rsid w:val="022655F4"/>
    <w:rsid w:val="027D2A45"/>
    <w:rsid w:val="028C55DD"/>
    <w:rsid w:val="02C7204A"/>
    <w:rsid w:val="02D4312D"/>
    <w:rsid w:val="02DC5B52"/>
    <w:rsid w:val="03311797"/>
    <w:rsid w:val="033755DF"/>
    <w:rsid w:val="03666B5A"/>
    <w:rsid w:val="037C44AF"/>
    <w:rsid w:val="03BE1D80"/>
    <w:rsid w:val="03EE2141"/>
    <w:rsid w:val="04372CA8"/>
    <w:rsid w:val="043B1CAB"/>
    <w:rsid w:val="04425600"/>
    <w:rsid w:val="044F0706"/>
    <w:rsid w:val="0451447E"/>
    <w:rsid w:val="046F3736"/>
    <w:rsid w:val="047E3BC7"/>
    <w:rsid w:val="04977498"/>
    <w:rsid w:val="04B42036"/>
    <w:rsid w:val="04C90968"/>
    <w:rsid w:val="04CA7450"/>
    <w:rsid w:val="050547A8"/>
    <w:rsid w:val="05216546"/>
    <w:rsid w:val="052A705E"/>
    <w:rsid w:val="05300538"/>
    <w:rsid w:val="057933F7"/>
    <w:rsid w:val="05B178E3"/>
    <w:rsid w:val="05B253F0"/>
    <w:rsid w:val="05B36535"/>
    <w:rsid w:val="06011770"/>
    <w:rsid w:val="06113CB0"/>
    <w:rsid w:val="061331A3"/>
    <w:rsid w:val="06316315"/>
    <w:rsid w:val="063752F0"/>
    <w:rsid w:val="068C3E93"/>
    <w:rsid w:val="069B792B"/>
    <w:rsid w:val="071A324D"/>
    <w:rsid w:val="071F09A6"/>
    <w:rsid w:val="072D1343"/>
    <w:rsid w:val="073C27EF"/>
    <w:rsid w:val="077C1812"/>
    <w:rsid w:val="07A07BF6"/>
    <w:rsid w:val="07C60F85"/>
    <w:rsid w:val="07C82CA9"/>
    <w:rsid w:val="080A1514"/>
    <w:rsid w:val="08482EC1"/>
    <w:rsid w:val="08502299"/>
    <w:rsid w:val="08A547B2"/>
    <w:rsid w:val="08AC523A"/>
    <w:rsid w:val="08BD189B"/>
    <w:rsid w:val="08C47915"/>
    <w:rsid w:val="08C8253E"/>
    <w:rsid w:val="09102B5A"/>
    <w:rsid w:val="0962402C"/>
    <w:rsid w:val="098826F0"/>
    <w:rsid w:val="09A950D4"/>
    <w:rsid w:val="09B94F9F"/>
    <w:rsid w:val="09BA5194"/>
    <w:rsid w:val="09DF7650"/>
    <w:rsid w:val="0A375B31"/>
    <w:rsid w:val="0AC754A3"/>
    <w:rsid w:val="0AC91212"/>
    <w:rsid w:val="0B097861"/>
    <w:rsid w:val="0B5605CC"/>
    <w:rsid w:val="0B795403"/>
    <w:rsid w:val="0BAE0408"/>
    <w:rsid w:val="0BBA4FFF"/>
    <w:rsid w:val="0BC761C8"/>
    <w:rsid w:val="0BF72A78"/>
    <w:rsid w:val="0C287965"/>
    <w:rsid w:val="0C2C216E"/>
    <w:rsid w:val="0C395F24"/>
    <w:rsid w:val="0C5D0572"/>
    <w:rsid w:val="0C5D60B6"/>
    <w:rsid w:val="0C945850"/>
    <w:rsid w:val="0C9E222B"/>
    <w:rsid w:val="0CCC7839"/>
    <w:rsid w:val="0CEA099D"/>
    <w:rsid w:val="0CFC48D1"/>
    <w:rsid w:val="0D005FD5"/>
    <w:rsid w:val="0D1557C7"/>
    <w:rsid w:val="0D49663A"/>
    <w:rsid w:val="0D554FDF"/>
    <w:rsid w:val="0D61063A"/>
    <w:rsid w:val="0D664287"/>
    <w:rsid w:val="0D904269"/>
    <w:rsid w:val="0DCB34F3"/>
    <w:rsid w:val="0DFB6A23"/>
    <w:rsid w:val="0E032C8D"/>
    <w:rsid w:val="0E511C4A"/>
    <w:rsid w:val="0E59465B"/>
    <w:rsid w:val="0E6928D6"/>
    <w:rsid w:val="0E77111C"/>
    <w:rsid w:val="0E835B7C"/>
    <w:rsid w:val="0EB421D9"/>
    <w:rsid w:val="0EC04821"/>
    <w:rsid w:val="0ED62150"/>
    <w:rsid w:val="0F0A256B"/>
    <w:rsid w:val="0F1F58A5"/>
    <w:rsid w:val="0F2033CB"/>
    <w:rsid w:val="0F317386"/>
    <w:rsid w:val="0F3F5408"/>
    <w:rsid w:val="0F6C228C"/>
    <w:rsid w:val="0F735BF1"/>
    <w:rsid w:val="0F8E47D8"/>
    <w:rsid w:val="1020187E"/>
    <w:rsid w:val="104F3C6E"/>
    <w:rsid w:val="108F2D03"/>
    <w:rsid w:val="10A2678D"/>
    <w:rsid w:val="10BE4C49"/>
    <w:rsid w:val="11001706"/>
    <w:rsid w:val="1101153C"/>
    <w:rsid w:val="111540A7"/>
    <w:rsid w:val="11207F59"/>
    <w:rsid w:val="11511160"/>
    <w:rsid w:val="11603F53"/>
    <w:rsid w:val="116B3023"/>
    <w:rsid w:val="117F6ACF"/>
    <w:rsid w:val="11AE509C"/>
    <w:rsid w:val="122431D2"/>
    <w:rsid w:val="1232769D"/>
    <w:rsid w:val="12443874"/>
    <w:rsid w:val="12712DC5"/>
    <w:rsid w:val="12C64289"/>
    <w:rsid w:val="12D15108"/>
    <w:rsid w:val="12DF5F39"/>
    <w:rsid w:val="130A3A9D"/>
    <w:rsid w:val="13456EB3"/>
    <w:rsid w:val="138403CC"/>
    <w:rsid w:val="139B5716"/>
    <w:rsid w:val="13A13FDB"/>
    <w:rsid w:val="13AE6C55"/>
    <w:rsid w:val="13CF4F59"/>
    <w:rsid w:val="140C2170"/>
    <w:rsid w:val="1412709D"/>
    <w:rsid w:val="142E5A78"/>
    <w:rsid w:val="14AD2CF4"/>
    <w:rsid w:val="14D64C58"/>
    <w:rsid w:val="14EF3F6B"/>
    <w:rsid w:val="14F7697C"/>
    <w:rsid w:val="14FA39C1"/>
    <w:rsid w:val="15325C06"/>
    <w:rsid w:val="1534372C"/>
    <w:rsid w:val="153C0833"/>
    <w:rsid w:val="159D03F5"/>
    <w:rsid w:val="15BD7B36"/>
    <w:rsid w:val="15C01464"/>
    <w:rsid w:val="15C076B6"/>
    <w:rsid w:val="15E038B4"/>
    <w:rsid w:val="16287735"/>
    <w:rsid w:val="163E3C3A"/>
    <w:rsid w:val="16695657"/>
    <w:rsid w:val="1675224E"/>
    <w:rsid w:val="16760333"/>
    <w:rsid w:val="16774218"/>
    <w:rsid w:val="16797F90"/>
    <w:rsid w:val="16A918E4"/>
    <w:rsid w:val="16B051E2"/>
    <w:rsid w:val="16BC42DB"/>
    <w:rsid w:val="16E55626"/>
    <w:rsid w:val="172B1987"/>
    <w:rsid w:val="17314A2D"/>
    <w:rsid w:val="17732C32"/>
    <w:rsid w:val="178030F5"/>
    <w:rsid w:val="178C0ED3"/>
    <w:rsid w:val="17A34C18"/>
    <w:rsid w:val="17B600BD"/>
    <w:rsid w:val="17CE6414"/>
    <w:rsid w:val="17CF1E32"/>
    <w:rsid w:val="17E05DED"/>
    <w:rsid w:val="18357EE7"/>
    <w:rsid w:val="18574301"/>
    <w:rsid w:val="187D21A7"/>
    <w:rsid w:val="18D95C2A"/>
    <w:rsid w:val="1900173C"/>
    <w:rsid w:val="190E28EE"/>
    <w:rsid w:val="1919733A"/>
    <w:rsid w:val="194E79EE"/>
    <w:rsid w:val="19597C05"/>
    <w:rsid w:val="19632314"/>
    <w:rsid w:val="19996254"/>
    <w:rsid w:val="19D35C0A"/>
    <w:rsid w:val="1A134258"/>
    <w:rsid w:val="1A226249"/>
    <w:rsid w:val="1A2E4BEE"/>
    <w:rsid w:val="1A622AE9"/>
    <w:rsid w:val="1A670100"/>
    <w:rsid w:val="1AC6FCB4"/>
    <w:rsid w:val="1AD02149"/>
    <w:rsid w:val="1B466E13"/>
    <w:rsid w:val="1B487F31"/>
    <w:rsid w:val="1B4E4DE8"/>
    <w:rsid w:val="1B5C1C2F"/>
    <w:rsid w:val="1B6C00C4"/>
    <w:rsid w:val="1B7D3A59"/>
    <w:rsid w:val="1B8E670F"/>
    <w:rsid w:val="1BD712B5"/>
    <w:rsid w:val="1BDE8155"/>
    <w:rsid w:val="1BF306EA"/>
    <w:rsid w:val="1C061731"/>
    <w:rsid w:val="1C07351B"/>
    <w:rsid w:val="1C330BE1"/>
    <w:rsid w:val="1C3E1334"/>
    <w:rsid w:val="1CC96E50"/>
    <w:rsid w:val="1CD85CD4"/>
    <w:rsid w:val="1CFE11EF"/>
    <w:rsid w:val="1D0D31E0"/>
    <w:rsid w:val="1D3F0AEA"/>
    <w:rsid w:val="1D550252"/>
    <w:rsid w:val="1D5E3A3C"/>
    <w:rsid w:val="1D7D52A4"/>
    <w:rsid w:val="1D7E7C3A"/>
    <w:rsid w:val="1DE37A6B"/>
    <w:rsid w:val="1E396257"/>
    <w:rsid w:val="1E5906A7"/>
    <w:rsid w:val="1E630B60"/>
    <w:rsid w:val="1E8C35AF"/>
    <w:rsid w:val="1EA85A4A"/>
    <w:rsid w:val="1EAA53BD"/>
    <w:rsid w:val="1ECA0940"/>
    <w:rsid w:val="1EDC3AC2"/>
    <w:rsid w:val="1EEA4952"/>
    <w:rsid w:val="1EEC198E"/>
    <w:rsid w:val="1F30765A"/>
    <w:rsid w:val="1F5D7D23"/>
    <w:rsid w:val="1F7237CF"/>
    <w:rsid w:val="1F952318"/>
    <w:rsid w:val="1FA53BA4"/>
    <w:rsid w:val="1FB042F7"/>
    <w:rsid w:val="1FBF278C"/>
    <w:rsid w:val="1FCF405F"/>
    <w:rsid w:val="1FCF5C89"/>
    <w:rsid w:val="1FDE0E64"/>
    <w:rsid w:val="1FE30229"/>
    <w:rsid w:val="1FFC5DA6"/>
    <w:rsid w:val="201605FE"/>
    <w:rsid w:val="203B0065"/>
    <w:rsid w:val="20510493"/>
    <w:rsid w:val="20626B3E"/>
    <w:rsid w:val="207D68CF"/>
    <w:rsid w:val="20C64259"/>
    <w:rsid w:val="20D153E2"/>
    <w:rsid w:val="21162880"/>
    <w:rsid w:val="213C22E6"/>
    <w:rsid w:val="21417BBB"/>
    <w:rsid w:val="21555156"/>
    <w:rsid w:val="217001E2"/>
    <w:rsid w:val="218B28D6"/>
    <w:rsid w:val="21B300CF"/>
    <w:rsid w:val="21BF4CC5"/>
    <w:rsid w:val="21CB71C6"/>
    <w:rsid w:val="21D95D87"/>
    <w:rsid w:val="21DA38AD"/>
    <w:rsid w:val="21DE514B"/>
    <w:rsid w:val="220B5180"/>
    <w:rsid w:val="2228286B"/>
    <w:rsid w:val="22350E20"/>
    <w:rsid w:val="22456F79"/>
    <w:rsid w:val="22484CBB"/>
    <w:rsid w:val="226118D9"/>
    <w:rsid w:val="2262184E"/>
    <w:rsid w:val="226E48F4"/>
    <w:rsid w:val="22715FC0"/>
    <w:rsid w:val="22733C5E"/>
    <w:rsid w:val="229E597B"/>
    <w:rsid w:val="22B2291D"/>
    <w:rsid w:val="22CC7306"/>
    <w:rsid w:val="22F96506"/>
    <w:rsid w:val="2307242F"/>
    <w:rsid w:val="230F7587"/>
    <w:rsid w:val="231F5A1C"/>
    <w:rsid w:val="233A69CA"/>
    <w:rsid w:val="234B6811"/>
    <w:rsid w:val="23705995"/>
    <w:rsid w:val="237E6DB6"/>
    <w:rsid w:val="239C7D94"/>
    <w:rsid w:val="23B55643"/>
    <w:rsid w:val="23FB00EA"/>
    <w:rsid w:val="240A73B4"/>
    <w:rsid w:val="240F1DF7"/>
    <w:rsid w:val="24134E54"/>
    <w:rsid w:val="24217571"/>
    <w:rsid w:val="244119C2"/>
    <w:rsid w:val="249B061C"/>
    <w:rsid w:val="24B85AC3"/>
    <w:rsid w:val="253357AE"/>
    <w:rsid w:val="254259F1"/>
    <w:rsid w:val="25AC5561"/>
    <w:rsid w:val="25C74B94"/>
    <w:rsid w:val="25DA3E7C"/>
    <w:rsid w:val="25E90563"/>
    <w:rsid w:val="261977E6"/>
    <w:rsid w:val="262F241A"/>
    <w:rsid w:val="26FB22FC"/>
    <w:rsid w:val="26FF061D"/>
    <w:rsid w:val="270C4C5A"/>
    <w:rsid w:val="27255194"/>
    <w:rsid w:val="27864EE7"/>
    <w:rsid w:val="27D50D9F"/>
    <w:rsid w:val="2830587D"/>
    <w:rsid w:val="286A44B4"/>
    <w:rsid w:val="287E1436"/>
    <w:rsid w:val="28956780"/>
    <w:rsid w:val="289C7B0E"/>
    <w:rsid w:val="28BD3EE7"/>
    <w:rsid w:val="28C11323"/>
    <w:rsid w:val="28C80AFD"/>
    <w:rsid w:val="28CC623A"/>
    <w:rsid w:val="28D15A0A"/>
    <w:rsid w:val="28D21317"/>
    <w:rsid w:val="29051210"/>
    <w:rsid w:val="291476A5"/>
    <w:rsid w:val="2920604A"/>
    <w:rsid w:val="29396C32"/>
    <w:rsid w:val="294C2026"/>
    <w:rsid w:val="295A6F72"/>
    <w:rsid w:val="296C74E1"/>
    <w:rsid w:val="296E1D00"/>
    <w:rsid w:val="296F6FD1"/>
    <w:rsid w:val="299C0252"/>
    <w:rsid w:val="29A44ECD"/>
    <w:rsid w:val="29AA5774"/>
    <w:rsid w:val="29BA46F0"/>
    <w:rsid w:val="2A007C29"/>
    <w:rsid w:val="2A21651D"/>
    <w:rsid w:val="2A656F6C"/>
    <w:rsid w:val="2A693A20"/>
    <w:rsid w:val="2A77438F"/>
    <w:rsid w:val="2A8E16D9"/>
    <w:rsid w:val="2AA61441"/>
    <w:rsid w:val="2AB44103"/>
    <w:rsid w:val="2ADBF547"/>
    <w:rsid w:val="2B0100FD"/>
    <w:rsid w:val="2B2A797E"/>
    <w:rsid w:val="2B2F07C6"/>
    <w:rsid w:val="2B453DB1"/>
    <w:rsid w:val="2B495A19"/>
    <w:rsid w:val="2B4D3342"/>
    <w:rsid w:val="2B5B15BB"/>
    <w:rsid w:val="2B7F7B26"/>
    <w:rsid w:val="2B8C3E6A"/>
    <w:rsid w:val="2B8D2C6F"/>
    <w:rsid w:val="2BF27A28"/>
    <w:rsid w:val="2BF42271"/>
    <w:rsid w:val="2BF61B10"/>
    <w:rsid w:val="2BFB4B4C"/>
    <w:rsid w:val="2C3A38C6"/>
    <w:rsid w:val="2C646D6B"/>
    <w:rsid w:val="2C6A659A"/>
    <w:rsid w:val="2C9023F9"/>
    <w:rsid w:val="2CB847EB"/>
    <w:rsid w:val="2CBE44F7"/>
    <w:rsid w:val="2CC94C4A"/>
    <w:rsid w:val="2CC97CBB"/>
    <w:rsid w:val="2CCB6C14"/>
    <w:rsid w:val="2CD0422B"/>
    <w:rsid w:val="2CDE24A4"/>
    <w:rsid w:val="2CE37ABA"/>
    <w:rsid w:val="2D1623D7"/>
    <w:rsid w:val="2D5E35E4"/>
    <w:rsid w:val="2D9B2143"/>
    <w:rsid w:val="2DDFB8D0"/>
    <w:rsid w:val="2DE26AED"/>
    <w:rsid w:val="2E222864"/>
    <w:rsid w:val="2E33681F"/>
    <w:rsid w:val="2E693FEF"/>
    <w:rsid w:val="2E7F3812"/>
    <w:rsid w:val="2EAD1421"/>
    <w:rsid w:val="2F067A90"/>
    <w:rsid w:val="2F083808"/>
    <w:rsid w:val="2F2634F6"/>
    <w:rsid w:val="2F3C5BA7"/>
    <w:rsid w:val="2F6B2E95"/>
    <w:rsid w:val="2F8111E1"/>
    <w:rsid w:val="2F8C115E"/>
    <w:rsid w:val="2F9F2EBA"/>
    <w:rsid w:val="2FA16275"/>
    <w:rsid w:val="2FBB2F70"/>
    <w:rsid w:val="2FC33BD3"/>
    <w:rsid w:val="2FCE1DAF"/>
    <w:rsid w:val="2FDC6A42"/>
    <w:rsid w:val="2FE83639"/>
    <w:rsid w:val="2FE853E7"/>
    <w:rsid w:val="300600E8"/>
    <w:rsid w:val="301669ED"/>
    <w:rsid w:val="301A61CB"/>
    <w:rsid w:val="307E479B"/>
    <w:rsid w:val="30B04157"/>
    <w:rsid w:val="30B31E99"/>
    <w:rsid w:val="30CA4147"/>
    <w:rsid w:val="30CB71E3"/>
    <w:rsid w:val="30F93C52"/>
    <w:rsid w:val="30FA1876"/>
    <w:rsid w:val="310D3357"/>
    <w:rsid w:val="312E32CE"/>
    <w:rsid w:val="314B5B2D"/>
    <w:rsid w:val="316D029A"/>
    <w:rsid w:val="31AA6DF8"/>
    <w:rsid w:val="31AA76EF"/>
    <w:rsid w:val="31E97560"/>
    <w:rsid w:val="32202B8F"/>
    <w:rsid w:val="32A366B2"/>
    <w:rsid w:val="32A9587D"/>
    <w:rsid w:val="32AC4DF2"/>
    <w:rsid w:val="32EF45DF"/>
    <w:rsid w:val="3303652C"/>
    <w:rsid w:val="33081FED"/>
    <w:rsid w:val="3312101D"/>
    <w:rsid w:val="333117AB"/>
    <w:rsid w:val="335F6FD7"/>
    <w:rsid w:val="33635E53"/>
    <w:rsid w:val="336F5D12"/>
    <w:rsid w:val="33F726A6"/>
    <w:rsid w:val="33F9467B"/>
    <w:rsid w:val="343B01DB"/>
    <w:rsid w:val="34466594"/>
    <w:rsid w:val="347F27BE"/>
    <w:rsid w:val="34A93A93"/>
    <w:rsid w:val="34C440BC"/>
    <w:rsid w:val="34D9542F"/>
    <w:rsid w:val="34DB376C"/>
    <w:rsid w:val="35003C26"/>
    <w:rsid w:val="35486254"/>
    <w:rsid w:val="354C51E4"/>
    <w:rsid w:val="35537C19"/>
    <w:rsid w:val="359A566F"/>
    <w:rsid w:val="35BD5486"/>
    <w:rsid w:val="35BEA5D5"/>
    <w:rsid w:val="35F7E4FF"/>
    <w:rsid w:val="36015455"/>
    <w:rsid w:val="36160F00"/>
    <w:rsid w:val="361E756D"/>
    <w:rsid w:val="363E0457"/>
    <w:rsid w:val="36941E25"/>
    <w:rsid w:val="36965B9D"/>
    <w:rsid w:val="36BA5AAE"/>
    <w:rsid w:val="36E84357"/>
    <w:rsid w:val="36F4B48A"/>
    <w:rsid w:val="37386C54"/>
    <w:rsid w:val="375F4F50"/>
    <w:rsid w:val="37693FDD"/>
    <w:rsid w:val="377F8FD2"/>
    <w:rsid w:val="378B147A"/>
    <w:rsid w:val="379522F8"/>
    <w:rsid w:val="37964132"/>
    <w:rsid w:val="37A94A71"/>
    <w:rsid w:val="37A97B52"/>
    <w:rsid w:val="37E33064"/>
    <w:rsid w:val="3814146F"/>
    <w:rsid w:val="384004B6"/>
    <w:rsid w:val="385541C5"/>
    <w:rsid w:val="386341A5"/>
    <w:rsid w:val="38637D01"/>
    <w:rsid w:val="387311A0"/>
    <w:rsid w:val="387E2D8D"/>
    <w:rsid w:val="389B5548"/>
    <w:rsid w:val="38A722E3"/>
    <w:rsid w:val="39057B3E"/>
    <w:rsid w:val="390B168F"/>
    <w:rsid w:val="39300E93"/>
    <w:rsid w:val="39713306"/>
    <w:rsid w:val="39730417"/>
    <w:rsid w:val="399565E0"/>
    <w:rsid w:val="39B7604A"/>
    <w:rsid w:val="39BD78E5"/>
    <w:rsid w:val="39C563DC"/>
    <w:rsid w:val="39CB0253"/>
    <w:rsid w:val="39DA0497"/>
    <w:rsid w:val="39DF785B"/>
    <w:rsid w:val="39E60BE9"/>
    <w:rsid w:val="39FF709C"/>
    <w:rsid w:val="3A4253AF"/>
    <w:rsid w:val="3A4D6EBA"/>
    <w:rsid w:val="3A7E7719"/>
    <w:rsid w:val="3A941A91"/>
    <w:rsid w:val="3ACC4283"/>
    <w:rsid w:val="3ADF780E"/>
    <w:rsid w:val="3B090FDB"/>
    <w:rsid w:val="3B0B3206"/>
    <w:rsid w:val="3B31149A"/>
    <w:rsid w:val="3B957101"/>
    <w:rsid w:val="3BAB7ADE"/>
    <w:rsid w:val="3BD3519D"/>
    <w:rsid w:val="3BF335A0"/>
    <w:rsid w:val="3BF5218E"/>
    <w:rsid w:val="3BFC2F6B"/>
    <w:rsid w:val="3C1C53E4"/>
    <w:rsid w:val="3C2007BF"/>
    <w:rsid w:val="3C21415B"/>
    <w:rsid w:val="3C4165AB"/>
    <w:rsid w:val="3C7445C0"/>
    <w:rsid w:val="3C82303A"/>
    <w:rsid w:val="3C8666B4"/>
    <w:rsid w:val="3CB21257"/>
    <w:rsid w:val="3CD2520D"/>
    <w:rsid w:val="3D2F3816"/>
    <w:rsid w:val="3D3B7F38"/>
    <w:rsid w:val="3D4933B5"/>
    <w:rsid w:val="3D662619"/>
    <w:rsid w:val="3D6E0245"/>
    <w:rsid w:val="3D8F5966"/>
    <w:rsid w:val="3DB26765"/>
    <w:rsid w:val="3DCB0822"/>
    <w:rsid w:val="3DEA0F04"/>
    <w:rsid w:val="3E1D166F"/>
    <w:rsid w:val="3E2A2AA6"/>
    <w:rsid w:val="3E422702"/>
    <w:rsid w:val="3E4405D4"/>
    <w:rsid w:val="3E5E3444"/>
    <w:rsid w:val="3E6622F9"/>
    <w:rsid w:val="3E77AB8C"/>
    <w:rsid w:val="3E7C7D6E"/>
    <w:rsid w:val="3E9A3969"/>
    <w:rsid w:val="3ECF60F0"/>
    <w:rsid w:val="3EEC4EF4"/>
    <w:rsid w:val="3EFC33BF"/>
    <w:rsid w:val="3EFE5A25"/>
    <w:rsid w:val="3F2672E1"/>
    <w:rsid w:val="3F3F1C02"/>
    <w:rsid w:val="3F6C6822"/>
    <w:rsid w:val="3F6E7903"/>
    <w:rsid w:val="3F744EE9"/>
    <w:rsid w:val="3F779F04"/>
    <w:rsid w:val="3F7A1CB9"/>
    <w:rsid w:val="3F8B2CA4"/>
    <w:rsid w:val="3FAC6431"/>
    <w:rsid w:val="3FCC6AD3"/>
    <w:rsid w:val="3FCE45FA"/>
    <w:rsid w:val="3FCE6ABE"/>
    <w:rsid w:val="3FD7A06E"/>
    <w:rsid w:val="3FEBA2F3"/>
    <w:rsid w:val="3FF7B605"/>
    <w:rsid w:val="3FFF9F61"/>
    <w:rsid w:val="4033757C"/>
    <w:rsid w:val="40373D7C"/>
    <w:rsid w:val="406311E6"/>
    <w:rsid w:val="407451A1"/>
    <w:rsid w:val="40754A75"/>
    <w:rsid w:val="40761782"/>
    <w:rsid w:val="409A7415"/>
    <w:rsid w:val="40B96480"/>
    <w:rsid w:val="40D50B51"/>
    <w:rsid w:val="40E01908"/>
    <w:rsid w:val="41076015"/>
    <w:rsid w:val="4116561C"/>
    <w:rsid w:val="41396EFA"/>
    <w:rsid w:val="419E7FFC"/>
    <w:rsid w:val="41BB295C"/>
    <w:rsid w:val="41C07489"/>
    <w:rsid w:val="41C7335B"/>
    <w:rsid w:val="41CE268F"/>
    <w:rsid w:val="41FA7928"/>
    <w:rsid w:val="423E007E"/>
    <w:rsid w:val="424A433D"/>
    <w:rsid w:val="424B1882"/>
    <w:rsid w:val="42552B50"/>
    <w:rsid w:val="426254CD"/>
    <w:rsid w:val="42935686"/>
    <w:rsid w:val="42BA720B"/>
    <w:rsid w:val="42EE0B0F"/>
    <w:rsid w:val="43566DE0"/>
    <w:rsid w:val="435803B3"/>
    <w:rsid w:val="4368266F"/>
    <w:rsid w:val="437F11E8"/>
    <w:rsid w:val="439434E4"/>
    <w:rsid w:val="43AA2608"/>
    <w:rsid w:val="43CA4E38"/>
    <w:rsid w:val="43D2053B"/>
    <w:rsid w:val="445A12F5"/>
    <w:rsid w:val="44676DCB"/>
    <w:rsid w:val="44692B43"/>
    <w:rsid w:val="4484172B"/>
    <w:rsid w:val="44B244EA"/>
    <w:rsid w:val="44BC677F"/>
    <w:rsid w:val="44C85ABB"/>
    <w:rsid w:val="44D34C9C"/>
    <w:rsid w:val="45010FCD"/>
    <w:rsid w:val="450902BE"/>
    <w:rsid w:val="45166086"/>
    <w:rsid w:val="45556889"/>
    <w:rsid w:val="455B692F"/>
    <w:rsid w:val="457C68A6"/>
    <w:rsid w:val="45B002FD"/>
    <w:rsid w:val="46317690"/>
    <w:rsid w:val="466B6511"/>
    <w:rsid w:val="466C5A2F"/>
    <w:rsid w:val="46CB12A4"/>
    <w:rsid w:val="46D83FB0"/>
    <w:rsid w:val="46FB1D24"/>
    <w:rsid w:val="472E2F99"/>
    <w:rsid w:val="47347438"/>
    <w:rsid w:val="473A07C7"/>
    <w:rsid w:val="476F66C2"/>
    <w:rsid w:val="478F59E1"/>
    <w:rsid w:val="47961EA1"/>
    <w:rsid w:val="47C73FEF"/>
    <w:rsid w:val="47D44777"/>
    <w:rsid w:val="47DF3578"/>
    <w:rsid w:val="4807138A"/>
    <w:rsid w:val="482416C3"/>
    <w:rsid w:val="48323545"/>
    <w:rsid w:val="48360ECA"/>
    <w:rsid w:val="487877F8"/>
    <w:rsid w:val="48831CF9"/>
    <w:rsid w:val="488A7DA1"/>
    <w:rsid w:val="48A759E8"/>
    <w:rsid w:val="48AD5549"/>
    <w:rsid w:val="48CD6036"/>
    <w:rsid w:val="48E2E38E"/>
    <w:rsid w:val="48F0738F"/>
    <w:rsid w:val="4927377C"/>
    <w:rsid w:val="49307E9E"/>
    <w:rsid w:val="4998236C"/>
    <w:rsid w:val="49BE56DF"/>
    <w:rsid w:val="49CF3448"/>
    <w:rsid w:val="49DC7913"/>
    <w:rsid w:val="4A0155CC"/>
    <w:rsid w:val="4A084BAC"/>
    <w:rsid w:val="4A38723F"/>
    <w:rsid w:val="4A631DE2"/>
    <w:rsid w:val="4A6C513B"/>
    <w:rsid w:val="4A981A8C"/>
    <w:rsid w:val="4A9F1C2A"/>
    <w:rsid w:val="4AD2339F"/>
    <w:rsid w:val="4B112940"/>
    <w:rsid w:val="4B1732F9"/>
    <w:rsid w:val="4B2B0B52"/>
    <w:rsid w:val="4B2F4FC1"/>
    <w:rsid w:val="4B3D5A2E"/>
    <w:rsid w:val="4B533C05"/>
    <w:rsid w:val="4B7D6ED4"/>
    <w:rsid w:val="4B811F7D"/>
    <w:rsid w:val="4BA91610"/>
    <w:rsid w:val="4BB70638"/>
    <w:rsid w:val="4BEBFDC4"/>
    <w:rsid w:val="4BF72460"/>
    <w:rsid w:val="4C0E21B9"/>
    <w:rsid w:val="4C303F46"/>
    <w:rsid w:val="4C433C79"/>
    <w:rsid w:val="4C6306E7"/>
    <w:rsid w:val="4D1125A3"/>
    <w:rsid w:val="4D267823"/>
    <w:rsid w:val="4D2E492A"/>
    <w:rsid w:val="4D58305C"/>
    <w:rsid w:val="4D98489E"/>
    <w:rsid w:val="4DB07E00"/>
    <w:rsid w:val="4DB3157B"/>
    <w:rsid w:val="4DBE4FCA"/>
    <w:rsid w:val="4DBF5582"/>
    <w:rsid w:val="4E035DB6"/>
    <w:rsid w:val="4E3441C2"/>
    <w:rsid w:val="4E4837C9"/>
    <w:rsid w:val="4E597784"/>
    <w:rsid w:val="4E5C1022"/>
    <w:rsid w:val="4E660433"/>
    <w:rsid w:val="4E7F7A2B"/>
    <w:rsid w:val="4EA2737D"/>
    <w:rsid w:val="4ECF1AC8"/>
    <w:rsid w:val="4F010512"/>
    <w:rsid w:val="4F017305"/>
    <w:rsid w:val="4F22226C"/>
    <w:rsid w:val="4F5A7C58"/>
    <w:rsid w:val="4F635C7F"/>
    <w:rsid w:val="4F9842DC"/>
    <w:rsid w:val="4FA0479A"/>
    <w:rsid w:val="4FA72366"/>
    <w:rsid w:val="4FCA5E64"/>
    <w:rsid w:val="4FFB01B6"/>
    <w:rsid w:val="500A5F84"/>
    <w:rsid w:val="50760AC1"/>
    <w:rsid w:val="50926F7D"/>
    <w:rsid w:val="509B75AD"/>
    <w:rsid w:val="50CC0BB9"/>
    <w:rsid w:val="51121E6C"/>
    <w:rsid w:val="51441B43"/>
    <w:rsid w:val="514C3B1D"/>
    <w:rsid w:val="51986815"/>
    <w:rsid w:val="51FD375D"/>
    <w:rsid w:val="521720FD"/>
    <w:rsid w:val="52354FBB"/>
    <w:rsid w:val="526037D7"/>
    <w:rsid w:val="52655BBC"/>
    <w:rsid w:val="52AB4326"/>
    <w:rsid w:val="52BB7CBC"/>
    <w:rsid w:val="52BD2E0C"/>
    <w:rsid w:val="52CA0C50"/>
    <w:rsid w:val="52CA50F4"/>
    <w:rsid w:val="52DF5562"/>
    <w:rsid w:val="52E63773"/>
    <w:rsid w:val="530F6FAB"/>
    <w:rsid w:val="531D66D7"/>
    <w:rsid w:val="531E6336"/>
    <w:rsid w:val="53285C9B"/>
    <w:rsid w:val="532D0E9D"/>
    <w:rsid w:val="532D11DF"/>
    <w:rsid w:val="535B3F9E"/>
    <w:rsid w:val="5376059B"/>
    <w:rsid w:val="53774646"/>
    <w:rsid w:val="538C5F06"/>
    <w:rsid w:val="538F3C48"/>
    <w:rsid w:val="539E40EB"/>
    <w:rsid w:val="53AE0A28"/>
    <w:rsid w:val="53E2646E"/>
    <w:rsid w:val="53FFFC56"/>
    <w:rsid w:val="541505F1"/>
    <w:rsid w:val="54656F77"/>
    <w:rsid w:val="54C67B47"/>
    <w:rsid w:val="54C914A8"/>
    <w:rsid w:val="54CD069D"/>
    <w:rsid w:val="54D43A6C"/>
    <w:rsid w:val="54DC0172"/>
    <w:rsid w:val="54E66898"/>
    <w:rsid w:val="553920BD"/>
    <w:rsid w:val="553E76D4"/>
    <w:rsid w:val="557973EA"/>
    <w:rsid w:val="557C1FAA"/>
    <w:rsid w:val="55855DB1"/>
    <w:rsid w:val="5594029C"/>
    <w:rsid w:val="55952C3A"/>
    <w:rsid w:val="559B7A75"/>
    <w:rsid w:val="559F178C"/>
    <w:rsid w:val="55B1434A"/>
    <w:rsid w:val="55DF6CC3"/>
    <w:rsid w:val="56105E40"/>
    <w:rsid w:val="561A5A4B"/>
    <w:rsid w:val="561C44CF"/>
    <w:rsid w:val="561D19DF"/>
    <w:rsid w:val="56312D95"/>
    <w:rsid w:val="56472230"/>
    <w:rsid w:val="56682C5A"/>
    <w:rsid w:val="568832FC"/>
    <w:rsid w:val="56905D0D"/>
    <w:rsid w:val="5697353F"/>
    <w:rsid w:val="569E0803"/>
    <w:rsid w:val="56AF6136"/>
    <w:rsid w:val="56FB56FD"/>
    <w:rsid w:val="56FB5FC3"/>
    <w:rsid w:val="57544F8D"/>
    <w:rsid w:val="5765363E"/>
    <w:rsid w:val="576C5777"/>
    <w:rsid w:val="577B076B"/>
    <w:rsid w:val="578D7812"/>
    <w:rsid w:val="579B643A"/>
    <w:rsid w:val="57A25B5B"/>
    <w:rsid w:val="57AC3163"/>
    <w:rsid w:val="57AD6573"/>
    <w:rsid w:val="57B83170"/>
    <w:rsid w:val="57D12F69"/>
    <w:rsid w:val="57F624E8"/>
    <w:rsid w:val="57FBD1ED"/>
    <w:rsid w:val="57FF5E84"/>
    <w:rsid w:val="5812683D"/>
    <w:rsid w:val="582160BE"/>
    <w:rsid w:val="58490869"/>
    <w:rsid w:val="586D7126"/>
    <w:rsid w:val="587C29ED"/>
    <w:rsid w:val="587D20CD"/>
    <w:rsid w:val="590F3861"/>
    <w:rsid w:val="592668D6"/>
    <w:rsid w:val="59583A76"/>
    <w:rsid w:val="596F2552"/>
    <w:rsid w:val="597D505A"/>
    <w:rsid w:val="598A113A"/>
    <w:rsid w:val="599424D6"/>
    <w:rsid w:val="59B0158A"/>
    <w:rsid w:val="59BB12F3"/>
    <w:rsid w:val="59CDCDFE"/>
    <w:rsid w:val="59DDF536"/>
    <w:rsid w:val="59E36A9C"/>
    <w:rsid w:val="5A112329"/>
    <w:rsid w:val="5A144EA7"/>
    <w:rsid w:val="5A2D033D"/>
    <w:rsid w:val="5A2F1CE1"/>
    <w:rsid w:val="5A6776CD"/>
    <w:rsid w:val="5A705D84"/>
    <w:rsid w:val="5A76346C"/>
    <w:rsid w:val="5A8913F1"/>
    <w:rsid w:val="5AA1673B"/>
    <w:rsid w:val="5AFE5F45"/>
    <w:rsid w:val="5B1707B8"/>
    <w:rsid w:val="5B9B5880"/>
    <w:rsid w:val="5BAC35E9"/>
    <w:rsid w:val="5BB83510"/>
    <w:rsid w:val="5BF64864"/>
    <w:rsid w:val="5BFDDB2B"/>
    <w:rsid w:val="5C056F97"/>
    <w:rsid w:val="5C50107B"/>
    <w:rsid w:val="5C537F09"/>
    <w:rsid w:val="5C7F134D"/>
    <w:rsid w:val="5C8C341B"/>
    <w:rsid w:val="5C8C6F77"/>
    <w:rsid w:val="5C98591B"/>
    <w:rsid w:val="5CA13F40"/>
    <w:rsid w:val="5CC20F61"/>
    <w:rsid w:val="5CCA2307"/>
    <w:rsid w:val="5CFCD0C7"/>
    <w:rsid w:val="5CFFC1E0"/>
    <w:rsid w:val="5D551A5E"/>
    <w:rsid w:val="5D5543DA"/>
    <w:rsid w:val="5D70790B"/>
    <w:rsid w:val="5D933278"/>
    <w:rsid w:val="5DB6081A"/>
    <w:rsid w:val="5DBD47E6"/>
    <w:rsid w:val="5DDF37D6"/>
    <w:rsid w:val="5DFF53B5"/>
    <w:rsid w:val="5E36363E"/>
    <w:rsid w:val="5E3641C2"/>
    <w:rsid w:val="5E591D36"/>
    <w:rsid w:val="5E604B5F"/>
    <w:rsid w:val="5E75744F"/>
    <w:rsid w:val="5E8D2343"/>
    <w:rsid w:val="5E930A90"/>
    <w:rsid w:val="5EDFF7B2"/>
    <w:rsid w:val="5EF2D4F1"/>
    <w:rsid w:val="5EF55B4C"/>
    <w:rsid w:val="5F261904"/>
    <w:rsid w:val="5F55E784"/>
    <w:rsid w:val="5F6C5C8C"/>
    <w:rsid w:val="5F775AF3"/>
    <w:rsid w:val="5F906D7E"/>
    <w:rsid w:val="5F9C1BC7"/>
    <w:rsid w:val="5FDA87F2"/>
    <w:rsid w:val="5FEB280C"/>
    <w:rsid w:val="5FF8B356"/>
    <w:rsid w:val="5FFF9BE4"/>
    <w:rsid w:val="60001351"/>
    <w:rsid w:val="600A2FD4"/>
    <w:rsid w:val="60AE7E03"/>
    <w:rsid w:val="60B562DB"/>
    <w:rsid w:val="61357BDD"/>
    <w:rsid w:val="61477910"/>
    <w:rsid w:val="616A59B3"/>
    <w:rsid w:val="616B1315"/>
    <w:rsid w:val="617172A2"/>
    <w:rsid w:val="61760673"/>
    <w:rsid w:val="617D1584"/>
    <w:rsid w:val="61863EF1"/>
    <w:rsid w:val="618D5C6B"/>
    <w:rsid w:val="619A155F"/>
    <w:rsid w:val="61A04B43"/>
    <w:rsid w:val="61D373F6"/>
    <w:rsid w:val="61F92FF3"/>
    <w:rsid w:val="622950C7"/>
    <w:rsid w:val="62546789"/>
    <w:rsid w:val="6267026A"/>
    <w:rsid w:val="62B247EF"/>
    <w:rsid w:val="62BB6808"/>
    <w:rsid w:val="62BC7E8A"/>
    <w:rsid w:val="62C84A81"/>
    <w:rsid w:val="62CD2097"/>
    <w:rsid w:val="62D13935"/>
    <w:rsid w:val="631F33A1"/>
    <w:rsid w:val="633A6073"/>
    <w:rsid w:val="634656D9"/>
    <w:rsid w:val="635B6CD0"/>
    <w:rsid w:val="637C7D45"/>
    <w:rsid w:val="638135AD"/>
    <w:rsid w:val="63C35974"/>
    <w:rsid w:val="63F0063E"/>
    <w:rsid w:val="63F32EDA"/>
    <w:rsid w:val="6410048D"/>
    <w:rsid w:val="64394B9A"/>
    <w:rsid w:val="64436AB5"/>
    <w:rsid w:val="645F1D1C"/>
    <w:rsid w:val="64756E3D"/>
    <w:rsid w:val="64DA58EB"/>
    <w:rsid w:val="64DB9B4B"/>
    <w:rsid w:val="64E2625D"/>
    <w:rsid w:val="64F1206D"/>
    <w:rsid w:val="64FB74FB"/>
    <w:rsid w:val="650C2E27"/>
    <w:rsid w:val="65404DA2"/>
    <w:rsid w:val="654E5281"/>
    <w:rsid w:val="657A4758"/>
    <w:rsid w:val="65AE7F5E"/>
    <w:rsid w:val="65C634F9"/>
    <w:rsid w:val="65D50816"/>
    <w:rsid w:val="65DD1DAF"/>
    <w:rsid w:val="66442670"/>
    <w:rsid w:val="66794A10"/>
    <w:rsid w:val="667F18FA"/>
    <w:rsid w:val="66A22C31"/>
    <w:rsid w:val="66B43C15"/>
    <w:rsid w:val="66DC20EF"/>
    <w:rsid w:val="66DF5675"/>
    <w:rsid w:val="66E45035"/>
    <w:rsid w:val="66E86EAD"/>
    <w:rsid w:val="6703252B"/>
    <w:rsid w:val="67246978"/>
    <w:rsid w:val="672C32E1"/>
    <w:rsid w:val="673B36BC"/>
    <w:rsid w:val="67705E13"/>
    <w:rsid w:val="677F3C1F"/>
    <w:rsid w:val="67831843"/>
    <w:rsid w:val="67A46076"/>
    <w:rsid w:val="67AF7FBD"/>
    <w:rsid w:val="67C46A8B"/>
    <w:rsid w:val="67E934CF"/>
    <w:rsid w:val="67F7FF44"/>
    <w:rsid w:val="67FF2A16"/>
    <w:rsid w:val="68040309"/>
    <w:rsid w:val="68291780"/>
    <w:rsid w:val="683010FE"/>
    <w:rsid w:val="684549BC"/>
    <w:rsid w:val="684B47D6"/>
    <w:rsid w:val="685272C6"/>
    <w:rsid w:val="685C6397"/>
    <w:rsid w:val="6867711E"/>
    <w:rsid w:val="68727968"/>
    <w:rsid w:val="68AF3751"/>
    <w:rsid w:val="68B57855"/>
    <w:rsid w:val="68D25D5B"/>
    <w:rsid w:val="68FD36D6"/>
    <w:rsid w:val="68FE11FC"/>
    <w:rsid w:val="69474951"/>
    <w:rsid w:val="6949691B"/>
    <w:rsid w:val="6979104D"/>
    <w:rsid w:val="698869DE"/>
    <w:rsid w:val="69A753F0"/>
    <w:rsid w:val="69B31FE7"/>
    <w:rsid w:val="69BFCB3B"/>
    <w:rsid w:val="69C37EA1"/>
    <w:rsid w:val="69F7FDBC"/>
    <w:rsid w:val="6A2922A9"/>
    <w:rsid w:val="6A3C0631"/>
    <w:rsid w:val="6AE12510"/>
    <w:rsid w:val="6AF208ED"/>
    <w:rsid w:val="6AF94A59"/>
    <w:rsid w:val="6B0477BA"/>
    <w:rsid w:val="6B086362"/>
    <w:rsid w:val="6B1C1E0E"/>
    <w:rsid w:val="6B280551"/>
    <w:rsid w:val="6B3E48E8"/>
    <w:rsid w:val="6B517D09"/>
    <w:rsid w:val="6B52582F"/>
    <w:rsid w:val="6B792DBC"/>
    <w:rsid w:val="6B8E67C5"/>
    <w:rsid w:val="6BA20565"/>
    <w:rsid w:val="6BBBBB9A"/>
    <w:rsid w:val="6BC4437E"/>
    <w:rsid w:val="6BCA6218"/>
    <w:rsid w:val="6BF9CC6E"/>
    <w:rsid w:val="6C231DEF"/>
    <w:rsid w:val="6C3A04AE"/>
    <w:rsid w:val="6C627CF4"/>
    <w:rsid w:val="6C6C5C02"/>
    <w:rsid w:val="6C8859AD"/>
    <w:rsid w:val="6CA42A35"/>
    <w:rsid w:val="6CFF8C7B"/>
    <w:rsid w:val="6D2011DA"/>
    <w:rsid w:val="6D2A6A64"/>
    <w:rsid w:val="6D6F5D7B"/>
    <w:rsid w:val="6D877A12"/>
    <w:rsid w:val="6D993991"/>
    <w:rsid w:val="6DB8406F"/>
    <w:rsid w:val="6DB97DE8"/>
    <w:rsid w:val="6DC505CD"/>
    <w:rsid w:val="6DFD5F26"/>
    <w:rsid w:val="6E17C549"/>
    <w:rsid w:val="6E1F3184"/>
    <w:rsid w:val="6E3D1B65"/>
    <w:rsid w:val="6E4305E1"/>
    <w:rsid w:val="6E712470"/>
    <w:rsid w:val="6E9543B1"/>
    <w:rsid w:val="6EAEF91C"/>
    <w:rsid w:val="6EBC36EB"/>
    <w:rsid w:val="6ECB1B80"/>
    <w:rsid w:val="6ED15E86"/>
    <w:rsid w:val="6ED1D02A"/>
    <w:rsid w:val="6EF3D763"/>
    <w:rsid w:val="6EFF7477"/>
    <w:rsid w:val="6F0750D9"/>
    <w:rsid w:val="6F1C12DE"/>
    <w:rsid w:val="6F3EE712"/>
    <w:rsid w:val="6F5E91DE"/>
    <w:rsid w:val="6F6860A6"/>
    <w:rsid w:val="6F92269E"/>
    <w:rsid w:val="6FA56875"/>
    <w:rsid w:val="6FA80114"/>
    <w:rsid w:val="6FA84B31"/>
    <w:rsid w:val="6FBFAE30"/>
    <w:rsid w:val="6FD9651F"/>
    <w:rsid w:val="6FDB7FFB"/>
    <w:rsid w:val="6FE5AF27"/>
    <w:rsid w:val="6FF14BC9"/>
    <w:rsid w:val="6FF56794"/>
    <w:rsid w:val="6FF70753"/>
    <w:rsid w:val="6FFDAD19"/>
    <w:rsid w:val="6FFED98E"/>
    <w:rsid w:val="6FFFE6DD"/>
    <w:rsid w:val="7036571F"/>
    <w:rsid w:val="70577705"/>
    <w:rsid w:val="70D2369A"/>
    <w:rsid w:val="71067533"/>
    <w:rsid w:val="7118102D"/>
    <w:rsid w:val="711A6DEF"/>
    <w:rsid w:val="71324139"/>
    <w:rsid w:val="716F713B"/>
    <w:rsid w:val="719764F7"/>
    <w:rsid w:val="71BF7493"/>
    <w:rsid w:val="71C54FAD"/>
    <w:rsid w:val="71C823A7"/>
    <w:rsid w:val="72032BFB"/>
    <w:rsid w:val="723448D9"/>
    <w:rsid w:val="72440D8F"/>
    <w:rsid w:val="724845BB"/>
    <w:rsid w:val="72490332"/>
    <w:rsid w:val="72585492"/>
    <w:rsid w:val="729F0C6B"/>
    <w:rsid w:val="72AB5F51"/>
    <w:rsid w:val="72DC3BA4"/>
    <w:rsid w:val="72F83160"/>
    <w:rsid w:val="733972BD"/>
    <w:rsid w:val="7357159C"/>
    <w:rsid w:val="737699E3"/>
    <w:rsid w:val="73832A2A"/>
    <w:rsid w:val="738F5872"/>
    <w:rsid w:val="739801DE"/>
    <w:rsid w:val="73AD3F4B"/>
    <w:rsid w:val="73B62C92"/>
    <w:rsid w:val="73BE4AFE"/>
    <w:rsid w:val="73DC79C6"/>
    <w:rsid w:val="73EED6B1"/>
    <w:rsid w:val="73FF624D"/>
    <w:rsid w:val="740925B1"/>
    <w:rsid w:val="741B7106"/>
    <w:rsid w:val="74654825"/>
    <w:rsid w:val="74C652C4"/>
    <w:rsid w:val="74D55507"/>
    <w:rsid w:val="74EC0AA3"/>
    <w:rsid w:val="74F87447"/>
    <w:rsid w:val="74FDC031"/>
    <w:rsid w:val="75003223"/>
    <w:rsid w:val="7511311F"/>
    <w:rsid w:val="7511499B"/>
    <w:rsid w:val="754363A7"/>
    <w:rsid w:val="754B5889"/>
    <w:rsid w:val="755523CC"/>
    <w:rsid w:val="755D4D06"/>
    <w:rsid w:val="75622B13"/>
    <w:rsid w:val="7567148C"/>
    <w:rsid w:val="757469BB"/>
    <w:rsid w:val="757A1FBE"/>
    <w:rsid w:val="757F1AC5"/>
    <w:rsid w:val="758D193E"/>
    <w:rsid w:val="75C853D3"/>
    <w:rsid w:val="75E1515E"/>
    <w:rsid w:val="75E620DA"/>
    <w:rsid w:val="762A164A"/>
    <w:rsid w:val="762C55FB"/>
    <w:rsid w:val="763C15B6"/>
    <w:rsid w:val="76736F89"/>
    <w:rsid w:val="76961013"/>
    <w:rsid w:val="76A96C4B"/>
    <w:rsid w:val="76AE6010"/>
    <w:rsid w:val="76BF8E31"/>
    <w:rsid w:val="76F91B7D"/>
    <w:rsid w:val="77067579"/>
    <w:rsid w:val="771F161C"/>
    <w:rsid w:val="772B58B2"/>
    <w:rsid w:val="773F5BCB"/>
    <w:rsid w:val="77424F14"/>
    <w:rsid w:val="775BC97B"/>
    <w:rsid w:val="776418CE"/>
    <w:rsid w:val="77764653"/>
    <w:rsid w:val="777B9355"/>
    <w:rsid w:val="77A47413"/>
    <w:rsid w:val="77AFA234"/>
    <w:rsid w:val="77B763EC"/>
    <w:rsid w:val="77C37461"/>
    <w:rsid w:val="77E46B9D"/>
    <w:rsid w:val="77F899F5"/>
    <w:rsid w:val="77FA5285"/>
    <w:rsid w:val="77FB8BDC"/>
    <w:rsid w:val="7811739E"/>
    <w:rsid w:val="78472812"/>
    <w:rsid w:val="785B21C7"/>
    <w:rsid w:val="78941235"/>
    <w:rsid w:val="789B38C4"/>
    <w:rsid w:val="78CB66E0"/>
    <w:rsid w:val="78EE2E9F"/>
    <w:rsid w:val="79161875"/>
    <w:rsid w:val="7921037A"/>
    <w:rsid w:val="794E2CC5"/>
    <w:rsid w:val="796C158B"/>
    <w:rsid w:val="79751067"/>
    <w:rsid w:val="79817A0B"/>
    <w:rsid w:val="79875A36"/>
    <w:rsid w:val="799A6677"/>
    <w:rsid w:val="79A13C0A"/>
    <w:rsid w:val="79BD2A0E"/>
    <w:rsid w:val="79E5BE78"/>
    <w:rsid w:val="7A1F8B98"/>
    <w:rsid w:val="7A6424D0"/>
    <w:rsid w:val="7A6FE250"/>
    <w:rsid w:val="7A8D0632"/>
    <w:rsid w:val="7A9279F6"/>
    <w:rsid w:val="7A95479A"/>
    <w:rsid w:val="7AA339B1"/>
    <w:rsid w:val="7ABF1A35"/>
    <w:rsid w:val="7AEA680C"/>
    <w:rsid w:val="7AFD19EF"/>
    <w:rsid w:val="7B0E308F"/>
    <w:rsid w:val="7B112F3E"/>
    <w:rsid w:val="7B30473A"/>
    <w:rsid w:val="7B39B073"/>
    <w:rsid w:val="7B4F7EE5"/>
    <w:rsid w:val="7B5A516D"/>
    <w:rsid w:val="7B67A06A"/>
    <w:rsid w:val="7B684125"/>
    <w:rsid w:val="7B9B4640"/>
    <w:rsid w:val="7BA7127F"/>
    <w:rsid w:val="7BB10350"/>
    <w:rsid w:val="7BB7CD06"/>
    <w:rsid w:val="7BBFBB60"/>
    <w:rsid w:val="7BCB7664"/>
    <w:rsid w:val="7BCF3F85"/>
    <w:rsid w:val="7BD2B4F6"/>
    <w:rsid w:val="7BDA257B"/>
    <w:rsid w:val="7BDB7E87"/>
    <w:rsid w:val="7BEF1922"/>
    <w:rsid w:val="7BFA3AA5"/>
    <w:rsid w:val="7C012C7C"/>
    <w:rsid w:val="7C06244A"/>
    <w:rsid w:val="7C184FB7"/>
    <w:rsid w:val="7C246D74"/>
    <w:rsid w:val="7C4A731C"/>
    <w:rsid w:val="7C6B04FF"/>
    <w:rsid w:val="7C8617DD"/>
    <w:rsid w:val="7C94724B"/>
    <w:rsid w:val="7C9B87A8"/>
    <w:rsid w:val="7CBE92A9"/>
    <w:rsid w:val="7CD51E1C"/>
    <w:rsid w:val="7CD922D0"/>
    <w:rsid w:val="7CF33269"/>
    <w:rsid w:val="7CF44998"/>
    <w:rsid w:val="7CFA7A94"/>
    <w:rsid w:val="7D2012E9"/>
    <w:rsid w:val="7D20704E"/>
    <w:rsid w:val="7D4F7E21"/>
    <w:rsid w:val="7D79B6DB"/>
    <w:rsid w:val="7D7B6C1D"/>
    <w:rsid w:val="7D9262A5"/>
    <w:rsid w:val="7DB7B7FF"/>
    <w:rsid w:val="7DC47C46"/>
    <w:rsid w:val="7DDA719E"/>
    <w:rsid w:val="7DE44A0D"/>
    <w:rsid w:val="7DEA3E93"/>
    <w:rsid w:val="7DEFC8B5"/>
    <w:rsid w:val="7DF321CC"/>
    <w:rsid w:val="7DFD9102"/>
    <w:rsid w:val="7DFF0724"/>
    <w:rsid w:val="7E265025"/>
    <w:rsid w:val="7E2766A8"/>
    <w:rsid w:val="7E2E7A36"/>
    <w:rsid w:val="7E434EF6"/>
    <w:rsid w:val="7E4FCC49"/>
    <w:rsid w:val="7E7C5FE6"/>
    <w:rsid w:val="7E7F9B10"/>
    <w:rsid w:val="7E7FF05E"/>
    <w:rsid w:val="7E941FD6"/>
    <w:rsid w:val="7EA5419C"/>
    <w:rsid w:val="7EB97F21"/>
    <w:rsid w:val="7EDA4DF2"/>
    <w:rsid w:val="7EDE145C"/>
    <w:rsid w:val="7EDFB3FB"/>
    <w:rsid w:val="7EEA7E01"/>
    <w:rsid w:val="7EF37530"/>
    <w:rsid w:val="7EF63A1E"/>
    <w:rsid w:val="7EF84BAB"/>
    <w:rsid w:val="7EFF4040"/>
    <w:rsid w:val="7EFF4FF7"/>
    <w:rsid w:val="7EFFD09B"/>
    <w:rsid w:val="7F0F5AB9"/>
    <w:rsid w:val="7F1C59D8"/>
    <w:rsid w:val="7F1F4BA2"/>
    <w:rsid w:val="7F237EF4"/>
    <w:rsid w:val="7F3FEBFF"/>
    <w:rsid w:val="7F473DC4"/>
    <w:rsid w:val="7F5E434B"/>
    <w:rsid w:val="7F5E8905"/>
    <w:rsid w:val="7F736048"/>
    <w:rsid w:val="7F79ECCB"/>
    <w:rsid w:val="7F7A3456"/>
    <w:rsid w:val="7F7EE538"/>
    <w:rsid w:val="7F9A2BB4"/>
    <w:rsid w:val="7FBDF0FD"/>
    <w:rsid w:val="7FBF76D1"/>
    <w:rsid w:val="7FCD788E"/>
    <w:rsid w:val="7FD2736B"/>
    <w:rsid w:val="7FDA7E75"/>
    <w:rsid w:val="7FDB4329"/>
    <w:rsid w:val="7FDC4172"/>
    <w:rsid w:val="7FDFB6A7"/>
    <w:rsid w:val="7FDFCEF2"/>
    <w:rsid w:val="7FE91E78"/>
    <w:rsid w:val="7FEE8112"/>
    <w:rsid w:val="7FF3B5CC"/>
    <w:rsid w:val="7FF5A223"/>
    <w:rsid w:val="7FF5D100"/>
    <w:rsid w:val="7FFD78F2"/>
    <w:rsid w:val="7FFE8499"/>
    <w:rsid w:val="7FFE9EB0"/>
    <w:rsid w:val="7FFF2571"/>
    <w:rsid w:val="8FFFCAEC"/>
    <w:rsid w:val="97FFAB60"/>
    <w:rsid w:val="99EFD0D8"/>
    <w:rsid w:val="9BF3A858"/>
    <w:rsid w:val="9DE780B4"/>
    <w:rsid w:val="9FAE83A0"/>
    <w:rsid w:val="9FD65265"/>
    <w:rsid w:val="A5DF76E5"/>
    <w:rsid w:val="A62DD187"/>
    <w:rsid w:val="A7E7C620"/>
    <w:rsid w:val="A97F4602"/>
    <w:rsid w:val="AB988B7C"/>
    <w:rsid w:val="AFEFA7FA"/>
    <w:rsid w:val="AFF3D94C"/>
    <w:rsid w:val="AFFF56FA"/>
    <w:rsid w:val="AFFFC648"/>
    <w:rsid w:val="B26F3E86"/>
    <w:rsid w:val="B3AF9ABC"/>
    <w:rsid w:val="B41C0F34"/>
    <w:rsid w:val="B7BF9221"/>
    <w:rsid w:val="B7FF8C37"/>
    <w:rsid w:val="B9E68201"/>
    <w:rsid w:val="BB4F549E"/>
    <w:rsid w:val="BBFB81A0"/>
    <w:rsid w:val="BC35ED17"/>
    <w:rsid w:val="BCFA064F"/>
    <w:rsid w:val="BD6D921E"/>
    <w:rsid w:val="BD6FEF1F"/>
    <w:rsid w:val="BE7FE704"/>
    <w:rsid w:val="BEE599EB"/>
    <w:rsid w:val="BEEFE37A"/>
    <w:rsid w:val="BEF98C22"/>
    <w:rsid w:val="BFBF2707"/>
    <w:rsid w:val="BFFF2CEC"/>
    <w:rsid w:val="C3FBA7EA"/>
    <w:rsid w:val="C9DCD8FE"/>
    <w:rsid w:val="CFEF1964"/>
    <w:rsid w:val="CFF7D2BA"/>
    <w:rsid w:val="CFFDF119"/>
    <w:rsid w:val="CFFF7261"/>
    <w:rsid w:val="D6BAB023"/>
    <w:rsid w:val="D75F41CD"/>
    <w:rsid w:val="D77E7681"/>
    <w:rsid w:val="D7B67E9D"/>
    <w:rsid w:val="D7DF204C"/>
    <w:rsid w:val="D7FF0E86"/>
    <w:rsid w:val="D8FD4156"/>
    <w:rsid w:val="D9C7B39B"/>
    <w:rsid w:val="DA443219"/>
    <w:rsid w:val="DAAFC891"/>
    <w:rsid w:val="DAFE9FBB"/>
    <w:rsid w:val="DBBD53DC"/>
    <w:rsid w:val="DBFF3429"/>
    <w:rsid w:val="DD0D1BA7"/>
    <w:rsid w:val="DD3AD2D0"/>
    <w:rsid w:val="DEAB27A5"/>
    <w:rsid w:val="DEDAB503"/>
    <w:rsid w:val="DF752F11"/>
    <w:rsid w:val="DF7F27AD"/>
    <w:rsid w:val="DFBEE46A"/>
    <w:rsid w:val="DFF2CEEA"/>
    <w:rsid w:val="DFF39A6D"/>
    <w:rsid w:val="DFFB1F56"/>
    <w:rsid w:val="DFFD250B"/>
    <w:rsid w:val="E30DB08D"/>
    <w:rsid w:val="E3CB3FFF"/>
    <w:rsid w:val="E5578418"/>
    <w:rsid w:val="E5A985A0"/>
    <w:rsid w:val="E5CCCC4F"/>
    <w:rsid w:val="E6FCFEA3"/>
    <w:rsid w:val="E77DA9E2"/>
    <w:rsid w:val="EBD643CE"/>
    <w:rsid w:val="EBFDAD84"/>
    <w:rsid w:val="EC096C47"/>
    <w:rsid w:val="EC4E7C67"/>
    <w:rsid w:val="EC678E7A"/>
    <w:rsid w:val="EDBEE180"/>
    <w:rsid w:val="EDF696FF"/>
    <w:rsid w:val="EEDAE139"/>
    <w:rsid w:val="EEEFCD46"/>
    <w:rsid w:val="EEFEBEAD"/>
    <w:rsid w:val="EF3D6BC1"/>
    <w:rsid w:val="EFBFABFC"/>
    <w:rsid w:val="EFDE219F"/>
    <w:rsid w:val="EFF196F9"/>
    <w:rsid w:val="F1CB0935"/>
    <w:rsid w:val="F1D901ED"/>
    <w:rsid w:val="F39CD27D"/>
    <w:rsid w:val="F56C2DAD"/>
    <w:rsid w:val="F5FEC8F6"/>
    <w:rsid w:val="F63DEF1C"/>
    <w:rsid w:val="F6B607DD"/>
    <w:rsid w:val="F6BD3CAA"/>
    <w:rsid w:val="F71607E7"/>
    <w:rsid w:val="F75F387B"/>
    <w:rsid w:val="F7D6E8EE"/>
    <w:rsid w:val="F7F3AB1E"/>
    <w:rsid w:val="F7FD105C"/>
    <w:rsid w:val="F7FF2D30"/>
    <w:rsid w:val="F7FFC221"/>
    <w:rsid w:val="F87B8494"/>
    <w:rsid w:val="F87F74DF"/>
    <w:rsid w:val="F98B2F17"/>
    <w:rsid w:val="F99FCAFF"/>
    <w:rsid w:val="F9CFADA2"/>
    <w:rsid w:val="F9D7A8A7"/>
    <w:rsid w:val="F9FE6445"/>
    <w:rsid w:val="FAEFDCF9"/>
    <w:rsid w:val="FB3F80F0"/>
    <w:rsid w:val="FBEBCDF1"/>
    <w:rsid w:val="FBEF6038"/>
    <w:rsid w:val="FBFC567C"/>
    <w:rsid w:val="FCF77BDC"/>
    <w:rsid w:val="FD7F8981"/>
    <w:rsid w:val="FD9F7EDA"/>
    <w:rsid w:val="FDAF2CD4"/>
    <w:rsid w:val="FDEF04F2"/>
    <w:rsid w:val="FDFB7E4B"/>
    <w:rsid w:val="FDFDC2E0"/>
    <w:rsid w:val="FDFFAE05"/>
    <w:rsid w:val="FE6FD8C1"/>
    <w:rsid w:val="FE7F6ECD"/>
    <w:rsid w:val="FE9F2DB4"/>
    <w:rsid w:val="FEB710B6"/>
    <w:rsid w:val="FEBB38CB"/>
    <w:rsid w:val="FEDA1B98"/>
    <w:rsid w:val="FEE60757"/>
    <w:rsid w:val="FEFB1B6C"/>
    <w:rsid w:val="FF1F724B"/>
    <w:rsid w:val="FF4F1355"/>
    <w:rsid w:val="FF7BA4DE"/>
    <w:rsid w:val="FF7E4FF2"/>
    <w:rsid w:val="FF7F3B3A"/>
    <w:rsid w:val="FF7F7025"/>
    <w:rsid w:val="FF7F9BB6"/>
    <w:rsid w:val="FF9D92DD"/>
    <w:rsid w:val="FF9E6ADE"/>
    <w:rsid w:val="FFA7C19F"/>
    <w:rsid w:val="FFAF7C82"/>
    <w:rsid w:val="FFB93AB6"/>
    <w:rsid w:val="FFCF496D"/>
    <w:rsid w:val="FFCFD63C"/>
    <w:rsid w:val="FFEEA9A6"/>
    <w:rsid w:val="FFEF5FC4"/>
    <w:rsid w:val="FFEF865B"/>
    <w:rsid w:val="FFF753EB"/>
    <w:rsid w:val="FFF7E2E6"/>
    <w:rsid w:val="FFFD05DE"/>
    <w:rsid w:val="FFFF9A8D"/>
    <w:rsid w:val="FFFFC2BE"/>
    <w:rsid w:val="FFFFF68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qFormat/>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link w:val="32"/>
    <w:qFormat/>
    <w:uiPriority w:val="0"/>
    <w:pPr>
      <w:autoSpaceDE w:val="0"/>
      <w:autoSpaceDN w:val="0"/>
      <w:adjustRightInd w:val="0"/>
      <w:ind w:left="964" w:hanging="504"/>
      <w:jc w:val="left"/>
      <w:outlineLvl w:val="2"/>
    </w:pPr>
    <w:rPr>
      <w:b/>
      <w:bCs/>
      <w:kern w:val="0"/>
      <w:sz w:val="28"/>
      <w:szCs w:val="28"/>
      <w:lang w:val="zh-CN"/>
    </w:rPr>
  </w:style>
  <w:style w:type="paragraph" w:styleId="5">
    <w:name w:val="heading 4"/>
    <w:basedOn w:val="1"/>
    <w:next w:val="1"/>
    <w:link w:val="33"/>
    <w:qFormat/>
    <w:uiPriority w:val="0"/>
    <w:pPr>
      <w:keepNext/>
      <w:keepLines/>
      <w:spacing w:before="280" w:after="290" w:line="376" w:lineRule="auto"/>
      <w:outlineLvl w:val="3"/>
    </w:pPr>
    <w:rPr>
      <w:rFonts w:ascii="等线 Light" w:hAnsi="等线 Light" w:eastAsia="等线 Light"/>
      <w:b/>
      <w:bCs/>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caption"/>
    <w:basedOn w:val="1"/>
    <w:next w:val="1"/>
    <w:qFormat/>
    <w:uiPriority w:val="35"/>
    <w:pPr>
      <w:spacing w:line="360" w:lineRule="auto"/>
      <w:ind w:firstLine="200" w:firstLineChars="200"/>
      <w:jc w:val="center"/>
    </w:pPr>
    <w:rPr>
      <w:rFonts w:ascii="Cambria" w:hAnsi="Cambria" w:eastAsia="宋体" w:cs="宋体"/>
      <w:b/>
      <w:szCs w:val="28"/>
    </w:rPr>
  </w:style>
  <w:style w:type="paragraph" w:styleId="7">
    <w:name w:val="annotation text"/>
    <w:basedOn w:val="1"/>
    <w:link w:val="34"/>
    <w:qFormat/>
    <w:uiPriority w:val="0"/>
    <w:pPr>
      <w:jc w:val="left"/>
    </w:pPr>
  </w:style>
  <w:style w:type="paragraph" w:styleId="8">
    <w:name w:val="Body Text"/>
    <w:basedOn w:val="1"/>
    <w:link w:val="35"/>
    <w:qFormat/>
    <w:uiPriority w:val="1"/>
    <w:pPr>
      <w:autoSpaceDE w:val="0"/>
      <w:autoSpaceDN w:val="0"/>
      <w:adjustRightInd w:val="0"/>
      <w:ind w:left="840" w:hanging="361"/>
      <w:jc w:val="left"/>
    </w:pPr>
    <w:rPr>
      <w:kern w:val="0"/>
      <w:sz w:val="24"/>
      <w:lang w:val="zh-CN"/>
    </w:rPr>
  </w:style>
  <w:style w:type="paragraph" w:styleId="9">
    <w:name w:val="Date"/>
    <w:basedOn w:val="1"/>
    <w:next w:val="1"/>
    <w:link w:val="36"/>
    <w:qFormat/>
    <w:uiPriority w:val="0"/>
    <w:pPr>
      <w:ind w:left="100" w:leftChars="2500"/>
    </w:pPr>
  </w:style>
  <w:style w:type="paragraph" w:styleId="10">
    <w:name w:val="Balloon Text"/>
    <w:basedOn w:val="1"/>
    <w:link w:val="37"/>
    <w:qFormat/>
    <w:uiPriority w:val="0"/>
    <w:rPr>
      <w:sz w:val="18"/>
      <w:szCs w:val="18"/>
    </w:rPr>
  </w:style>
  <w:style w:type="paragraph" w:styleId="11">
    <w:name w:val="footer"/>
    <w:basedOn w:val="1"/>
    <w:link w:val="38"/>
    <w:qFormat/>
    <w:uiPriority w:val="99"/>
    <w:pPr>
      <w:tabs>
        <w:tab w:val="center" w:pos="4153"/>
        <w:tab w:val="right" w:pos="8306"/>
      </w:tabs>
      <w:snapToGrid w:val="0"/>
      <w:jc w:val="left"/>
    </w:pPr>
    <w:rPr>
      <w:sz w:val="18"/>
      <w:szCs w:val="18"/>
    </w:rPr>
  </w:style>
  <w:style w:type="paragraph" w:styleId="12">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13">
    <w:name w:val="footnote text"/>
    <w:basedOn w:val="1"/>
    <w:unhideWhenUsed/>
    <w:qFormat/>
    <w:uiPriority w:val="0"/>
    <w:pPr>
      <w:snapToGrid w:val="0"/>
      <w:jc w:val="left"/>
    </w:pPr>
    <w:rPr>
      <w:sz w:val="18"/>
    </w:rPr>
  </w:style>
  <w:style w:type="paragraph" w:styleId="14">
    <w:name w:val="Normal (Web)"/>
    <w:basedOn w:val="1"/>
    <w:qFormat/>
    <w:uiPriority w:val="99"/>
    <w:pPr>
      <w:spacing w:before="42" w:beforeAutospacing="0" w:after="42" w:afterAutospacing="0"/>
      <w:ind w:left="0" w:right="0"/>
      <w:jc w:val="left"/>
    </w:pPr>
    <w:rPr>
      <w:kern w:val="0"/>
      <w:sz w:val="24"/>
      <w:lang w:val="en-US" w:eastAsia="zh-CN" w:bidi="ar"/>
    </w:rPr>
  </w:style>
  <w:style w:type="paragraph" w:styleId="15">
    <w:name w:val="annotation subject"/>
    <w:basedOn w:val="7"/>
    <w:next w:val="7"/>
    <w:link w:val="40"/>
    <w:qFormat/>
    <w:uiPriority w:val="0"/>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character" w:styleId="21">
    <w:name w:val="FollowedHyperlink"/>
    <w:qFormat/>
    <w:uiPriority w:val="0"/>
    <w:rPr>
      <w:color w:val="337AB7"/>
      <w:u w:val="none"/>
    </w:rPr>
  </w:style>
  <w:style w:type="character" w:styleId="22">
    <w:name w:val="line number"/>
    <w:qFormat/>
    <w:uiPriority w:val="0"/>
  </w:style>
  <w:style w:type="character" w:styleId="23">
    <w:name w:val="HTML Definition"/>
    <w:qFormat/>
    <w:uiPriority w:val="0"/>
    <w:rPr>
      <w:i/>
    </w:rPr>
  </w:style>
  <w:style w:type="character" w:styleId="24">
    <w:name w:val="Hyperlink"/>
    <w:qFormat/>
    <w:uiPriority w:val="0"/>
    <w:rPr>
      <w:color w:val="337AB7"/>
      <w:u w:val="none"/>
    </w:rPr>
  </w:style>
  <w:style w:type="character" w:styleId="25">
    <w:name w:val="HTML Code"/>
    <w:qFormat/>
    <w:uiPriority w:val="0"/>
    <w:rPr>
      <w:rFonts w:ascii="Consolas" w:hAnsi="Consolas" w:eastAsia="Consolas" w:cs="Consolas"/>
      <w:color w:val="C7254E"/>
      <w:sz w:val="21"/>
      <w:szCs w:val="21"/>
      <w:shd w:val="clear" w:color="auto" w:fill="F9F2F4"/>
    </w:rPr>
  </w:style>
  <w:style w:type="character" w:styleId="26">
    <w:name w:val="annotation reference"/>
    <w:qFormat/>
    <w:uiPriority w:val="0"/>
    <w:rPr>
      <w:sz w:val="21"/>
      <w:szCs w:val="21"/>
    </w:rPr>
  </w:style>
  <w:style w:type="character" w:styleId="27">
    <w:name w:val="footnote reference"/>
    <w:unhideWhenUsed/>
    <w:qFormat/>
    <w:uiPriority w:val="0"/>
    <w:rPr>
      <w:vertAlign w:val="superscript"/>
    </w:rPr>
  </w:style>
  <w:style w:type="character" w:styleId="28">
    <w:name w:val="HTML Keyboard"/>
    <w:qFormat/>
    <w:uiPriority w:val="0"/>
    <w:rPr>
      <w:rFonts w:hint="default" w:ascii="Consolas" w:hAnsi="Consolas" w:eastAsia="Consolas" w:cs="Consolas"/>
      <w:color w:val="FFFFFF"/>
      <w:sz w:val="21"/>
      <w:szCs w:val="21"/>
      <w:shd w:val="clear" w:color="auto" w:fill="333333"/>
    </w:rPr>
  </w:style>
  <w:style w:type="character" w:styleId="29">
    <w:name w:val="HTML Sample"/>
    <w:qFormat/>
    <w:uiPriority w:val="0"/>
    <w:rPr>
      <w:rFonts w:hint="default" w:ascii="Consolas" w:hAnsi="Consolas" w:eastAsia="Consolas" w:cs="Consolas"/>
      <w:sz w:val="21"/>
      <w:szCs w:val="21"/>
    </w:rPr>
  </w:style>
  <w:style w:type="character" w:customStyle="1" w:styleId="30">
    <w:name w:val="标题 1 字符"/>
    <w:link w:val="2"/>
    <w:qFormat/>
    <w:uiPriority w:val="0"/>
    <w:rPr>
      <w:b/>
      <w:bCs/>
      <w:kern w:val="44"/>
      <w:sz w:val="44"/>
      <w:szCs w:val="44"/>
    </w:rPr>
  </w:style>
  <w:style w:type="character" w:customStyle="1" w:styleId="31">
    <w:name w:val="标题 2 字符"/>
    <w:link w:val="3"/>
    <w:semiHidden/>
    <w:qFormat/>
    <w:uiPriority w:val="0"/>
    <w:rPr>
      <w:rFonts w:ascii="等线 Light" w:hAnsi="等线 Light" w:eastAsia="等线 Light" w:cs="Times New Roman"/>
      <w:b/>
      <w:bCs/>
      <w:kern w:val="2"/>
      <w:sz w:val="32"/>
      <w:szCs w:val="32"/>
    </w:rPr>
  </w:style>
  <w:style w:type="character" w:customStyle="1" w:styleId="32">
    <w:name w:val="标题 3 字符"/>
    <w:link w:val="4"/>
    <w:qFormat/>
    <w:uiPriority w:val="0"/>
    <w:rPr>
      <w:b/>
      <w:bCs/>
      <w:sz w:val="28"/>
      <w:szCs w:val="28"/>
      <w:lang w:val="zh-CN"/>
    </w:rPr>
  </w:style>
  <w:style w:type="character" w:customStyle="1" w:styleId="33">
    <w:name w:val="标题 4 字符"/>
    <w:link w:val="5"/>
    <w:qFormat/>
    <w:uiPriority w:val="0"/>
    <w:rPr>
      <w:rFonts w:ascii="等线 Light" w:hAnsi="等线 Light" w:eastAsia="等线 Light" w:cs="Times New Roman"/>
      <w:b/>
      <w:bCs/>
      <w:kern w:val="2"/>
      <w:sz w:val="28"/>
      <w:szCs w:val="28"/>
    </w:rPr>
  </w:style>
  <w:style w:type="character" w:customStyle="1" w:styleId="34">
    <w:name w:val="批注文字 字符"/>
    <w:link w:val="7"/>
    <w:qFormat/>
    <w:uiPriority w:val="0"/>
    <w:rPr>
      <w:kern w:val="2"/>
      <w:sz w:val="21"/>
      <w:szCs w:val="24"/>
    </w:rPr>
  </w:style>
  <w:style w:type="character" w:customStyle="1" w:styleId="35">
    <w:name w:val="正文文本 字符"/>
    <w:link w:val="8"/>
    <w:qFormat/>
    <w:uiPriority w:val="1"/>
    <w:rPr>
      <w:sz w:val="24"/>
      <w:szCs w:val="24"/>
      <w:lang w:val="zh-CN"/>
    </w:rPr>
  </w:style>
  <w:style w:type="character" w:customStyle="1" w:styleId="36">
    <w:name w:val="日期 字符"/>
    <w:link w:val="9"/>
    <w:qFormat/>
    <w:uiPriority w:val="0"/>
    <w:rPr>
      <w:kern w:val="2"/>
      <w:sz w:val="21"/>
      <w:szCs w:val="24"/>
    </w:rPr>
  </w:style>
  <w:style w:type="character" w:customStyle="1" w:styleId="37">
    <w:name w:val="批注框文本 字符"/>
    <w:link w:val="10"/>
    <w:qFormat/>
    <w:uiPriority w:val="0"/>
    <w:rPr>
      <w:kern w:val="2"/>
      <w:sz w:val="18"/>
      <w:szCs w:val="18"/>
    </w:rPr>
  </w:style>
  <w:style w:type="character" w:customStyle="1" w:styleId="38">
    <w:name w:val="页脚 字符"/>
    <w:link w:val="11"/>
    <w:qFormat/>
    <w:uiPriority w:val="99"/>
    <w:rPr>
      <w:kern w:val="2"/>
      <w:sz w:val="18"/>
      <w:szCs w:val="18"/>
    </w:rPr>
  </w:style>
  <w:style w:type="character" w:customStyle="1" w:styleId="39">
    <w:name w:val="页眉 字符"/>
    <w:link w:val="12"/>
    <w:qFormat/>
    <w:uiPriority w:val="99"/>
    <w:rPr>
      <w:kern w:val="2"/>
      <w:sz w:val="18"/>
      <w:szCs w:val="18"/>
    </w:rPr>
  </w:style>
  <w:style w:type="character" w:customStyle="1" w:styleId="40">
    <w:name w:val="批注主题 字符"/>
    <w:link w:val="15"/>
    <w:qFormat/>
    <w:uiPriority w:val="0"/>
    <w:rPr>
      <w:b/>
      <w:bCs/>
      <w:kern w:val="2"/>
      <w:sz w:val="21"/>
      <w:szCs w:val="24"/>
    </w:rPr>
  </w:style>
  <w:style w:type="character" w:customStyle="1" w:styleId="41">
    <w:name w:val="fontstyle21"/>
    <w:qFormat/>
    <w:uiPriority w:val="0"/>
    <w:rPr>
      <w:rFonts w:hint="default" w:ascii="ArnoPro-Italic" w:hAnsi="ArnoPro-Italic"/>
      <w:i/>
      <w:iCs/>
      <w:color w:val="231916"/>
      <w:sz w:val="16"/>
      <w:szCs w:val="16"/>
    </w:rPr>
  </w:style>
  <w:style w:type="character" w:customStyle="1" w:styleId="42">
    <w:name w:val="download"/>
    <w:qFormat/>
    <w:uiPriority w:val="0"/>
    <w:rPr>
      <w:color w:val="FFFFFF"/>
      <w:sz w:val="10"/>
      <w:szCs w:val="10"/>
      <w:shd w:val="clear" w:color="auto" w:fill="9EABBE"/>
    </w:rPr>
  </w:style>
  <w:style w:type="character" w:customStyle="1" w:styleId="43">
    <w:name w:val="help"/>
    <w:qFormat/>
    <w:uiPriority w:val="0"/>
    <w:rPr>
      <w:color w:val="F44336"/>
    </w:rPr>
  </w:style>
  <w:style w:type="character" w:customStyle="1" w:styleId="44">
    <w:name w:val="段 Char"/>
    <w:link w:val="45"/>
    <w:qFormat/>
    <w:uiPriority w:val="0"/>
    <w:rPr>
      <w:rFonts w:ascii="宋体"/>
      <w:sz w:val="21"/>
      <w:lang w:val="en-US" w:eastAsia="zh-CN" w:bidi="ar-SA"/>
    </w:rPr>
  </w:style>
  <w:style w:type="paragraph" w:customStyle="1" w:styleId="45">
    <w:name w:val="段"/>
    <w:link w:val="44"/>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6">
    <w:name w:val="fontstyle01"/>
    <w:qFormat/>
    <w:uiPriority w:val="0"/>
    <w:rPr>
      <w:rFonts w:hint="default" w:ascii="ArnoPro-Regular" w:hAnsi="ArnoPro-Regular"/>
      <w:color w:val="231916"/>
      <w:sz w:val="16"/>
      <w:szCs w:val="16"/>
    </w:rPr>
  </w:style>
  <w:style w:type="character" w:customStyle="1" w:styleId="47">
    <w:name w:val="help2"/>
    <w:qFormat/>
    <w:uiPriority w:val="0"/>
    <w:rPr>
      <w:sz w:val="8"/>
      <w:szCs w:val="8"/>
    </w:rPr>
  </w:style>
  <w:style w:type="character" w:customStyle="1" w:styleId="48">
    <w:name w:val="time"/>
    <w:qFormat/>
    <w:uiPriority w:val="0"/>
    <w:rPr>
      <w:b/>
      <w:color w:val="2884CD"/>
    </w:rPr>
  </w:style>
  <w:style w:type="character" w:customStyle="1" w:styleId="49">
    <w:name w:val="avatar-circle"/>
    <w:qFormat/>
    <w:uiPriority w:val="0"/>
    <w:rPr>
      <w:color w:val="2779AA"/>
      <w:sz w:val="16"/>
      <w:szCs w:val="16"/>
      <w:bdr w:val="single" w:color="AED0EA" w:sz="2" w:space="0"/>
      <w:shd w:val="clear" w:color="auto" w:fill="D7EBF9"/>
    </w:rPr>
  </w:style>
  <w:style w:type="character" w:customStyle="1" w:styleId="50">
    <w:name w:val="列出段落 Char"/>
    <w:link w:val="51"/>
    <w:qFormat/>
    <w:uiPriority w:val="34"/>
    <w:rPr>
      <w:rFonts w:eastAsia="仿宋_GB2312"/>
      <w:kern w:val="2"/>
      <w:sz w:val="32"/>
      <w:szCs w:val="32"/>
    </w:rPr>
  </w:style>
  <w:style w:type="paragraph" w:customStyle="1" w:styleId="51">
    <w:name w:val="列出段落1"/>
    <w:basedOn w:val="1"/>
    <w:link w:val="50"/>
    <w:qFormat/>
    <w:uiPriority w:val="34"/>
    <w:pPr>
      <w:ind w:firstLine="420" w:firstLineChars="200"/>
    </w:pPr>
    <w:rPr>
      <w:rFonts w:eastAsia="仿宋_GB2312"/>
      <w:sz w:val="32"/>
      <w:szCs w:val="32"/>
    </w:rPr>
  </w:style>
  <w:style w:type="character" w:customStyle="1" w:styleId="52">
    <w:name w:val="help1"/>
    <w:qFormat/>
    <w:uiPriority w:val="0"/>
    <w:rPr>
      <w:color w:val="F44336"/>
    </w:rPr>
  </w:style>
  <w:style w:type="character" w:customStyle="1" w:styleId="53">
    <w:name w:val="shoulihao"/>
    <w:qFormat/>
    <w:uiPriority w:val="0"/>
    <w:rPr>
      <w:b/>
      <w:color w:val="2884CD"/>
    </w:rPr>
  </w:style>
  <w:style w:type="paragraph" w:customStyle="1" w:styleId="54">
    <w:name w:val="字母编号列项（一级）"/>
    <w:qFormat/>
    <w:uiPriority w:val="0"/>
    <w:pPr>
      <w:ind w:left="840" w:leftChars="200" w:hanging="420" w:hangingChars="200"/>
      <w:jc w:val="both"/>
    </w:pPr>
    <w:rPr>
      <w:rFonts w:ascii="宋体" w:hAnsi="Times New Roman" w:eastAsia="宋体" w:cs="宋体"/>
      <w:lang w:val="en-US" w:eastAsia="zh-CN" w:bidi="ar-SA"/>
    </w:rPr>
  </w:style>
  <w:style w:type="paragraph" w:customStyle="1" w:styleId="55">
    <w:name w:val="_Style 54"/>
    <w:unhideWhenUsed/>
    <w:qFormat/>
    <w:uiPriority w:val="99"/>
    <w:rPr>
      <w:rFonts w:ascii="Times New Roman" w:hAnsi="Times New Roman" w:eastAsia="宋体" w:cs="Times New Roman"/>
      <w:kern w:val="2"/>
      <w:sz w:val="21"/>
      <w:szCs w:val="24"/>
      <w:lang w:val="en-US" w:eastAsia="zh-CN" w:bidi="ar-SA"/>
    </w:rPr>
  </w:style>
  <w:style w:type="paragraph" w:customStyle="1" w:styleId="56">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styleId="57">
    <w:name w:val="List Paragraph"/>
    <w:basedOn w:val="1"/>
    <w:qFormat/>
    <w:uiPriority w:val="34"/>
    <w:pPr>
      <w:ind w:firstLine="420" w:firstLineChars="200"/>
    </w:pPr>
    <w:rPr>
      <w:rFonts w:ascii="Calibri" w:hAnsi="Calibri"/>
      <w:szCs w:val="22"/>
    </w:rPr>
  </w:style>
  <w:style w:type="paragraph" w:styleId="58">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59">
    <w:name w:val="正首悬"/>
    <w:basedOn w:val="1"/>
    <w:qFormat/>
    <w:uiPriority w:val="0"/>
    <w:pPr>
      <w:widowControl/>
      <w:spacing w:line="360" w:lineRule="auto"/>
      <w:ind w:left="300" w:leftChars="200" w:right="200" w:rightChars="200" w:hanging="100" w:hangingChars="100"/>
    </w:pPr>
    <w:rPr>
      <w:rFonts w:ascii="Arial" w:hAnsi="Arial"/>
      <w:kern w:val="0"/>
      <w:szCs w:val="72"/>
    </w:rPr>
  </w:style>
  <w:style w:type="paragraph" w:customStyle="1" w:styleId="60">
    <w:name w:val="调查项目"/>
    <w:basedOn w:val="1"/>
    <w:qFormat/>
    <w:uiPriority w:val="0"/>
    <w:pPr>
      <w:widowControl/>
      <w:jc w:val="left"/>
      <w:outlineLvl w:val="1"/>
    </w:pPr>
    <w:rPr>
      <w:rFonts w:ascii="Tahoma" w:hAnsi="Tahoma" w:eastAsia="黑体"/>
      <w:bCs/>
      <w:color w:val="333399"/>
      <w:kern w:val="0"/>
      <w:sz w:val="18"/>
      <w:szCs w:val="18"/>
    </w:rPr>
  </w:style>
  <w:style w:type="paragraph" w:customStyle="1" w:styleId="61">
    <w:name w:val="列标题"/>
    <w:basedOn w:val="3"/>
    <w:qFormat/>
    <w:uiPriority w:val="0"/>
    <w:pPr>
      <w:keepNext w:val="0"/>
      <w:widowControl/>
      <w:spacing w:line="240" w:lineRule="auto"/>
    </w:pPr>
    <w:rPr>
      <w:rFonts w:ascii="Tahoma" w:hAnsi="Tahoma"/>
      <w:b w:val="0"/>
      <w:color w:val="333399"/>
      <w:kern w:val="0"/>
      <w:sz w:val="18"/>
      <w:szCs w:val="18"/>
    </w:rPr>
  </w:style>
  <w:style w:type="paragraph" w:customStyle="1" w:styleId="62">
    <w:name w:val="表格正文文本"/>
    <w:basedOn w:val="1"/>
    <w:qFormat/>
    <w:uiPriority w:val="0"/>
    <w:pPr>
      <w:widowControl/>
      <w:jc w:val="center"/>
    </w:pPr>
    <w:rPr>
      <w:rFonts w:ascii="Tahoma" w:hAnsi="Tahoma"/>
      <w:kern w:val="0"/>
      <w:sz w:val="18"/>
      <w:szCs w:val="20"/>
    </w:rPr>
  </w:style>
  <w:style w:type="paragraph" w:customStyle="1" w:styleId="6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4">
    <w:name w:val="彩色列表 - 强调文字颜色 11"/>
    <w:basedOn w:val="1"/>
    <w:qFormat/>
    <w:uiPriority w:val="34"/>
    <w:pPr>
      <w:spacing w:line="360" w:lineRule="auto"/>
      <w:ind w:firstLine="420" w:firstLineChars="200"/>
      <w:jc w:val="left"/>
    </w:pPr>
    <w:rPr>
      <w:rFonts w:ascii="Times New Roman" w:hAnsi="Times New Roman" w:eastAsia="宋体" w:cs="Times New Roman"/>
      <w:sz w:val="24"/>
      <w:szCs w:val="24"/>
    </w:rPr>
  </w:style>
  <w:style w:type="paragraph" w:customStyle="1" w:styleId="65">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Times New Roman" w:cs="Arial Unicode MS"/>
      <w:color w:val="000000"/>
      <w:kern w:val="2"/>
      <w:sz w:val="21"/>
      <w:szCs w:val="21"/>
      <w:u w:val="none"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21</Pages>
  <Words>14758</Words>
  <Characters>15634</Characters>
  <Lines>51</Lines>
  <Paragraphs>14</Paragraphs>
  <TotalTime>5</TotalTime>
  <ScaleCrop>false</ScaleCrop>
  <LinksUpToDate>false</LinksUpToDate>
  <CharactersWithSpaces>15720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2022-04-18T17:07:00Z</dcterms:created>
  <dc:creator>dongjinchun</dc:creator>
  <cp:lastModifiedBy>于淼</cp:lastModifiedBy>
  <cp:lastPrinted>2026-07-23T22:52:00Z</cp:lastPrinted>
  <dcterms:modified xsi:type="dcterms:W3CDTF">2026-07-23T15:42:27Z</dcterms:modified>
  <dc:title>2019新型冠状病毒技术审评要点</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F6FDDB361244EECF68325F6A3BC1B7A8_43</vt:lpwstr>
  </property>
  <property fmtid="{D5CDD505-2E9C-101B-9397-08002B2CF9AE}" pid="4" name="KSOTemplateDocerSaveRecord">
    <vt:lpwstr>eyJoZGlkIjoiNjg5YTc3ZjgyNTk5YjQ0MmY2NzNhZjJkMGY5MmUxZjQiLCJ1c2VySWQiOiI0MzU2MzQyODIifQ==</vt:lpwstr>
  </property>
</Properties>
</file>