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right="-102" w:rightChars="-32"/>
        <w:jc w:val="center"/>
        <w:rPr>
          <w:rFonts w:eastAsia="方正小标宋简体"/>
          <w:bCs/>
          <w:color w:val="000000"/>
          <w:sz w:val="44"/>
          <w:szCs w:val="44"/>
        </w:rPr>
      </w:pPr>
      <w:r>
        <w:rPr>
          <w:rFonts w:hint="eastAsia" w:eastAsia="方正小标宋简体"/>
          <w:color w:val="000000"/>
          <w:sz w:val="44"/>
        </w:rPr>
        <w:t>直肠测压导管</w:t>
      </w:r>
      <w:r>
        <w:rPr>
          <w:rFonts w:eastAsia="方正小标宋简体"/>
          <w:bCs/>
          <w:color w:val="000000"/>
          <w:sz w:val="44"/>
          <w:szCs w:val="44"/>
        </w:rPr>
        <w:t>注册</w:t>
      </w:r>
      <w:r>
        <w:rPr>
          <w:rFonts w:eastAsia="方正小标宋简体"/>
          <w:bCs/>
          <w:sz w:val="44"/>
          <w:szCs w:val="44"/>
        </w:rPr>
        <w:t>审查</w:t>
      </w:r>
      <w:r>
        <w:rPr>
          <w:rFonts w:eastAsia="方正小标宋简体"/>
          <w:bCs/>
          <w:color w:val="000000"/>
          <w:sz w:val="44"/>
          <w:szCs w:val="44"/>
        </w:rPr>
        <w:t>指导原则</w:t>
      </w:r>
    </w:p>
    <w:p>
      <w:pPr>
        <w:spacing w:line="520" w:lineRule="exact"/>
        <w:ind w:right="-102" w:rightChars="-32"/>
        <w:jc w:val="center"/>
        <w:rPr>
          <w:rFonts w:eastAsia="方正小标宋简体"/>
          <w:color w:val="000000"/>
          <w:sz w:val="44"/>
        </w:rPr>
      </w:pPr>
      <w:r>
        <w:rPr>
          <w:rFonts w:hint="eastAsia" w:eastAsia="方正小标宋简体"/>
          <w:bCs/>
          <w:color w:val="000000"/>
          <w:sz w:val="44"/>
          <w:szCs w:val="44"/>
        </w:rPr>
        <w:t>（征求意见稿）</w:t>
      </w:r>
    </w:p>
    <w:p>
      <w:pPr>
        <w:spacing w:line="520" w:lineRule="exact"/>
        <w:ind w:right="-102" w:rightChars="-32"/>
        <w:jc w:val="center"/>
        <w:rPr>
          <w:rFonts w:eastAsia="方正小标宋简体"/>
          <w:color w:val="000000"/>
          <w:szCs w:val="44"/>
        </w:rPr>
      </w:pPr>
    </w:p>
    <w:p>
      <w:pPr>
        <w:spacing w:line="520" w:lineRule="exact"/>
        <w:ind w:firstLine="640" w:firstLineChars="200"/>
        <w:rPr>
          <w:rFonts w:hint="eastAsia" w:ascii="仿宋_GB2312" w:eastAsia="仿宋_GB2312"/>
          <w:color w:val="000000"/>
          <w:szCs w:val="32"/>
        </w:rPr>
      </w:pPr>
      <w:r>
        <w:rPr>
          <w:rFonts w:hint="eastAsia" w:ascii="仿宋_GB2312" w:eastAsia="仿宋_GB2312"/>
          <w:color w:val="000000"/>
          <w:szCs w:val="32"/>
        </w:rPr>
        <w:t>本指导原则旨在指导注册申请人对直肠测压导管产品注册申报资料的准备及撰写，同时也为技术审评部门对注册申报资料的审评提供技术参考。</w:t>
      </w:r>
    </w:p>
    <w:p>
      <w:pPr>
        <w:spacing w:line="520" w:lineRule="exact"/>
        <w:ind w:firstLine="640" w:firstLineChars="200"/>
        <w:rPr>
          <w:rFonts w:hint="eastAsia" w:ascii="仿宋_GB2312" w:eastAsia="仿宋_GB2312"/>
          <w:color w:val="000000"/>
          <w:szCs w:val="32"/>
        </w:rPr>
      </w:pPr>
      <w:r>
        <w:rPr>
          <w:rFonts w:hint="eastAsia" w:ascii="仿宋_GB2312" w:eastAsia="仿宋_GB2312"/>
          <w:color w:val="000000"/>
          <w:szCs w:val="32"/>
        </w:rPr>
        <w:t>本指导原则是对直肠测压导管注册申报资料的一般要求，注册申请人需依据产品的具体特性确定其中内容是否适用。若不适用，需具体阐述理由及相应的科学依据，并依据产品的具体特性对注册申报资料的内容进行充实和细化。</w:t>
      </w:r>
    </w:p>
    <w:p>
      <w:pPr>
        <w:spacing w:line="520" w:lineRule="exact"/>
        <w:ind w:firstLine="640" w:firstLineChars="200"/>
        <w:rPr>
          <w:rFonts w:hint="eastAsia" w:ascii="仿宋_GB2312" w:eastAsia="仿宋_GB2312"/>
          <w:color w:val="000000"/>
          <w:szCs w:val="32"/>
        </w:rPr>
      </w:pPr>
      <w:r>
        <w:rPr>
          <w:rFonts w:hint="eastAsia" w:ascii="仿宋_GB2312" w:eastAsia="仿宋_GB2312"/>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pPr>
        <w:spacing w:line="520" w:lineRule="exact"/>
        <w:ind w:firstLine="640" w:firstLineChars="200"/>
        <w:rPr>
          <w:rFonts w:eastAsia="黑体"/>
          <w:color w:val="000000"/>
          <w:szCs w:val="32"/>
        </w:rPr>
      </w:pPr>
      <w:r>
        <w:rPr>
          <w:rFonts w:hint="eastAsia" w:ascii="仿宋_GB2312"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pPr>
        <w:spacing w:line="520" w:lineRule="exact"/>
        <w:ind w:firstLine="640" w:firstLineChars="200"/>
        <w:outlineLvl w:val="0"/>
        <w:rPr>
          <w:rFonts w:eastAsia="黑体"/>
          <w:color w:val="000000"/>
          <w:szCs w:val="32"/>
        </w:rPr>
      </w:pPr>
      <w:r>
        <w:rPr>
          <w:rFonts w:eastAsia="黑体"/>
          <w:color w:val="000000"/>
          <w:szCs w:val="32"/>
        </w:rPr>
        <w:t>一、适用范围</w:t>
      </w:r>
    </w:p>
    <w:p>
      <w:pPr>
        <w:spacing w:line="520" w:lineRule="exact"/>
        <w:ind w:firstLine="640" w:firstLineChars="200"/>
        <w:rPr>
          <w:rFonts w:eastAsia="仿宋_GB2312"/>
          <w:color w:val="000000"/>
          <w:szCs w:val="32"/>
        </w:rPr>
      </w:pPr>
      <w:r>
        <w:rPr>
          <w:rFonts w:hint="eastAsia" w:eastAsia="仿宋_GB2312"/>
          <w:color w:val="000000"/>
          <w:szCs w:val="32"/>
        </w:rPr>
        <w:t>本指导原则适用于按第二类医疗器械管理的直肠测压导管产品。通常在导引器械的配合下使导管插入体内的直肠部位，供测量生理压力用。分类编码为1</w:t>
      </w:r>
      <w:r>
        <w:rPr>
          <w:rFonts w:eastAsia="仿宋_GB2312"/>
          <w:color w:val="000000"/>
          <w:szCs w:val="32"/>
        </w:rPr>
        <w:t>4-05-09</w:t>
      </w:r>
      <w:r>
        <w:rPr>
          <w:rFonts w:hint="eastAsia" w:eastAsia="仿宋_GB2312"/>
          <w:color w:val="000000"/>
          <w:szCs w:val="32"/>
        </w:rPr>
        <w:t>。</w:t>
      </w:r>
    </w:p>
    <w:p>
      <w:pPr>
        <w:spacing w:line="520" w:lineRule="exact"/>
        <w:ind w:firstLine="640" w:firstLineChars="200"/>
        <w:outlineLvl w:val="0"/>
        <w:rPr>
          <w:rFonts w:eastAsia="黑体"/>
          <w:color w:val="000000"/>
          <w:szCs w:val="32"/>
        </w:rPr>
      </w:pPr>
      <w:r>
        <w:rPr>
          <w:rFonts w:eastAsia="黑体"/>
          <w:color w:val="000000"/>
          <w:szCs w:val="32"/>
        </w:rPr>
        <w:t>二、注册审查要点</w:t>
      </w:r>
    </w:p>
    <w:p>
      <w:pPr>
        <w:spacing w:line="520" w:lineRule="exact"/>
        <w:ind w:firstLine="640" w:firstLineChars="200"/>
        <w:outlineLvl w:val="1"/>
        <w:rPr>
          <w:rFonts w:eastAsia="楷体_GB2312"/>
          <w:color w:val="000000"/>
          <w:szCs w:val="32"/>
        </w:rPr>
      </w:pPr>
      <w:r>
        <w:rPr>
          <w:rFonts w:eastAsia="楷体_GB2312"/>
          <w:color w:val="000000"/>
          <w:szCs w:val="32"/>
        </w:rPr>
        <w:t>（一）监管信息</w:t>
      </w:r>
    </w:p>
    <w:p>
      <w:pPr>
        <w:spacing w:line="520" w:lineRule="exact"/>
        <w:ind w:firstLine="640" w:firstLineChars="200"/>
        <w:rPr>
          <w:rFonts w:eastAsia="仿宋_GB2312"/>
          <w:color w:val="000000"/>
          <w:szCs w:val="32"/>
        </w:rPr>
      </w:pPr>
      <w:r>
        <w:rPr>
          <w:rFonts w:eastAsia="仿宋_GB2312"/>
          <w:color w:val="000000"/>
          <w:szCs w:val="32"/>
        </w:rPr>
        <w:t>1.产品名称</w:t>
      </w:r>
    </w:p>
    <w:p>
      <w:pPr>
        <w:spacing w:line="520" w:lineRule="exact"/>
        <w:ind w:firstLine="640" w:firstLineChars="200"/>
        <w:rPr>
          <w:rFonts w:eastAsia="仿宋_GB2312"/>
          <w:color w:val="000000"/>
          <w:szCs w:val="32"/>
        </w:rPr>
      </w:pPr>
      <w:r>
        <w:rPr>
          <w:rFonts w:hint="eastAsia" w:eastAsia="仿宋_GB2312"/>
          <w:color w:val="000000"/>
          <w:szCs w:val="32"/>
        </w:rPr>
        <w:t>产品名称应为通用名称，并符合《医疗器械通用名称命名规则》等相关法规、规范性文件的要求，</w:t>
      </w:r>
      <w:r>
        <w:rPr>
          <w:color w:val="000000"/>
          <w:szCs w:val="28"/>
        </w:rPr>
        <w:t>应以体现产品组成、功能和用途为基本原则，</w:t>
      </w:r>
      <w:r>
        <w:rPr>
          <w:rFonts w:hint="eastAsia" w:eastAsia="仿宋_GB2312"/>
          <w:color w:val="000000"/>
          <w:szCs w:val="32"/>
        </w:rPr>
        <w:t>如“直肠测压导管、一次性使用直肠测压导管”等。</w:t>
      </w:r>
    </w:p>
    <w:p>
      <w:pPr>
        <w:spacing w:line="520" w:lineRule="exact"/>
        <w:ind w:firstLine="640" w:firstLineChars="200"/>
        <w:rPr>
          <w:rFonts w:eastAsia="仿宋_GB2312"/>
          <w:color w:val="000000"/>
          <w:szCs w:val="32"/>
        </w:rPr>
      </w:pPr>
      <w:r>
        <w:rPr>
          <w:rFonts w:eastAsia="仿宋_GB2312"/>
          <w:color w:val="000000"/>
          <w:szCs w:val="32"/>
        </w:rPr>
        <w:t>2.分类编码</w:t>
      </w:r>
    </w:p>
    <w:p>
      <w:pPr>
        <w:spacing w:line="520" w:lineRule="exact"/>
        <w:ind w:firstLine="640" w:firstLineChars="200"/>
        <w:rPr>
          <w:rFonts w:eastAsia="仿宋_GB2312"/>
          <w:color w:val="000000"/>
          <w:szCs w:val="32"/>
        </w:rPr>
      </w:pPr>
      <w:r>
        <w:rPr>
          <w:rFonts w:eastAsia="仿宋_GB2312"/>
          <w:color w:val="000000"/>
          <w:szCs w:val="32"/>
        </w:rPr>
        <w:t>根据《医疗器械分类目录》，</w:t>
      </w:r>
      <w:r>
        <w:rPr>
          <w:rFonts w:hint="eastAsia" w:eastAsia="仿宋_GB2312"/>
          <w:color w:val="000000"/>
          <w:szCs w:val="32"/>
        </w:rPr>
        <w:t>产品的</w:t>
      </w:r>
      <w:r>
        <w:rPr>
          <w:rFonts w:eastAsia="仿宋_GB2312"/>
          <w:color w:val="000000"/>
          <w:szCs w:val="32"/>
        </w:rPr>
        <w:t>分类编码为14-05-09</w:t>
      </w:r>
      <w:r>
        <w:rPr>
          <w:rFonts w:hint="eastAsia" w:eastAsia="仿宋_GB2312"/>
          <w:color w:val="000000"/>
          <w:szCs w:val="32"/>
        </w:rPr>
        <w:t>（1</w:t>
      </w:r>
      <w:r>
        <w:rPr>
          <w:rFonts w:eastAsia="仿宋_GB2312"/>
          <w:color w:val="000000"/>
          <w:szCs w:val="32"/>
        </w:rPr>
        <w:t>4</w:t>
      </w:r>
      <w:r>
        <w:rPr>
          <w:rFonts w:hint="eastAsia" w:eastAsia="仿宋_GB2312"/>
          <w:color w:val="000000"/>
          <w:szCs w:val="32"/>
        </w:rPr>
        <w:t>注输、护理和防护器械-</w:t>
      </w:r>
      <w:r>
        <w:rPr>
          <w:rFonts w:eastAsia="仿宋_GB2312"/>
          <w:color w:val="000000"/>
          <w:szCs w:val="32"/>
        </w:rPr>
        <w:t>05</w:t>
      </w:r>
      <w:r>
        <w:rPr>
          <w:rFonts w:hint="eastAsia" w:eastAsia="仿宋_GB2312"/>
          <w:color w:val="000000"/>
          <w:szCs w:val="32"/>
        </w:rPr>
        <w:t>非血管内导（插）管-</w:t>
      </w:r>
      <w:r>
        <w:rPr>
          <w:rFonts w:eastAsia="仿宋_GB2312"/>
          <w:color w:val="000000"/>
          <w:szCs w:val="32"/>
        </w:rPr>
        <w:t>09</w:t>
      </w:r>
      <w:r>
        <w:rPr>
          <w:rFonts w:hint="eastAsia" w:eastAsia="仿宋_GB2312"/>
          <w:color w:val="000000"/>
          <w:szCs w:val="32"/>
        </w:rPr>
        <w:t>测压导管）</w:t>
      </w:r>
      <w:r>
        <w:rPr>
          <w:rFonts w:eastAsia="仿宋_GB2312"/>
          <w:color w:val="000000"/>
          <w:szCs w:val="32"/>
        </w:rPr>
        <w:t>，管理类别为</w:t>
      </w:r>
      <w:r>
        <w:rPr>
          <w:rFonts w:hint="eastAsia" w:eastAsia="仿宋_GB2312"/>
          <w:color w:val="000000"/>
          <w:szCs w:val="32"/>
        </w:rPr>
        <w:t>Ⅱ</w:t>
      </w:r>
      <w:r>
        <w:rPr>
          <w:rFonts w:eastAsia="仿宋_GB2312"/>
          <w:color w:val="000000"/>
          <w:szCs w:val="32"/>
        </w:rPr>
        <w:t>类。</w:t>
      </w:r>
    </w:p>
    <w:p>
      <w:pPr>
        <w:spacing w:line="520" w:lineRule="exact"/>
        <w:ind w:firstLine="640" w:firstLineChars="200"/>
        <w:rPr>
          <w:rFonts w:eastAsia="仿宋_GB2312"/>
          <w:color w:val="000000"/>
          <w:szCs w:val="32"/>
        </w:rPr>
      </w:pPr>
      <w:r>
        <w:rPr>
          <w:rFonts w:eastAsia="仿宋_GB2312"/>
          <w:color w:val="000000"/>
          <w:szCs w:val="32"/>
        </w:rPr>
        <w:t>3.注册单元划分的原则和实例</w:t>
      </w:r>
    </w:p>
    <w:p>
      <w:pPr>
        <w:spacing w:line="520" w:lineRule="exact"/>
        <w:ind w:firstLine="640" w:firstLineChars="200"/>
        <w:rPr>
          <w:rFonts w:eastAsia="仿宋_GB2312"/>
          <w:color w:val="000000"/>
          <w:szCs w:val="32"/>
        </w:rPr>
      </w:pPr>
      <w:r>
        <w:rPr>
          <w:rFonts w:eastAsia="仿宋_GB2312"/>
          <w:color w:val="000000"/>
          <w:szCs w:val="32"/>
        </w:rPr>
        <w:t>产品注册单元的划分需符合《医疗器械注册单元划分指导原则》的要求。</w:t>
      </w:r>
      <w:r>
        <w:rPr>
          <w:rFonts w:hint="eastAsia" w:eastAsia="仿宋_GB2312"/>
          <w:szCs w:val="32"/>
        </w:rPr>
        <w:t>以产</w:t>
      </w:r>
      <w:r>
        <w:rPr>
          <w:rFonts w:hint="eastAsia" w:eastAsia="仿宋_GB2312"/>
          <w:color w:val="000000"/>
          <w:szCs w:val="32"/>
        </w:rPr>
        <w:t>品的技术原理、结构组成、</w:t>
      </w:r>
      <w:r>
        <w:rPr>
          <w:rFonts w:hint="eastAsia" w:eastAsia="仿宋_GB2312"/>
          <w:szCs w:val="32"/>
        </w:rPr>
        <w:t>主要原材料</w:t>
      </w:r>
      <w:r>
        <w:rPr>
          <w:rFonts w:hint="eastAsia" w:eastAsia="仿宋_GB2312"/>
          <w:color w:val="000000"/>
          <w:szCs w:val="32"/>
        </w:rPr>
        <w:t>、性能指标和适用范围等因素为划分依据。</w:t>
      </w:r>
    </w:p>
    <w:p>
      <w:pPr>
        <w:spacing w:line="520" w:lineRule="exact"/>
        <w:ind w:firstLine="640" w:firstLineChars="200"/>
        <w:rPr>
          <w:rFonts w:hint="eastAsia" w:ascii="仿宋_GB2312" w:eastAsia="仿宋_GB2312"/>
          <w:szCs w:val="32"/>
        </w:rPr>
      </w:pPr>
      <w:r>
        <w:rPr>
          <w:rFonts w:hint="eastAsia" w:ascii="仿宋_GB2312" w:eastAsia="仿宋_GB2312"/>
          <w:color w:val="000000"/>
          <w:szCs w:val="32"/>
        </w:rPr>
        <w:t>例如：因产品原材料与结构不同导致性能指标不同的，</w:t>
      </w:r>
      <w:r>
        <w:rPr>
          <w:rFonts w:hint="eastAsia" w:ascii="仿宋_GB2312" w:eastAsia="仿宋_GB2312"/>
          <w:szCs w:val="32"/>
        </w:rPr>
        <w:t>建议</w:t>
      </w:r>
      <w:r>
        <w:rPr>
          <w:rFonts w:hint="eastAsia" w:ascii="仿宋_GB2312" w:eastAsia="仿宋_GB2312"/>
          <w:color w:val="000000"/>
          <w:szCs w:val="32"/>
        </w:rPr>
        <w:t>划分为不同注册单元。</w:t>
      </w:r>
      <w:r>
        <w:rPr>
          <w:rFonts w:hint="eastAsia" w:ascii="仿宋_GB2312" w:eastAsia="仿宋_GB2312"/>
        </w:rPr>
        <w:t>技术原理不同的无源医疗器械，原则上划分为不同注册单元，如液传导与气传导建议划分为不同的注册单元。</w:t>
      </w:r>
    </w:p>
    <w:p>
      <w:pPr>
        <w:spacing w:line="520" w:lineRule="exact"/>
        <w:ind w:firstLine="640" w:firstLineChars="200"/>
        <w:outlineLvl w:val="1"/>
        <w:rPr>
          <w:rFonts w:eastAsia="楷体_GB2312"/>
          <w:color w:val="000000"/>
          <w:szCs w:val="32"/>
        </w:rPr>
      </w:pPr>
      <w:r>
        <w:rPr>
          <w:rFonts w:eastAsia="楷体_GB2312"/>
          <w:color w:val="000000"/>
          <w:szCs w:val="32"/>
        </w:rPr>
        <w:t>（二）综述资料</w:t>
      </w:r>
    </w:p>
    <w:p>
      <w:pPr>
        <w:spacing w:line="520" w:lineRule="exact"/>
        <w:ind w:firstLine="640" w:firstLineChars="200"/>
        <w:rPr>
          <w:rFonts w:eastAsia="仿宋_GB2312"/>
          <w:szCs w:val="32"/>
        </w:rPr>
      </w:pPr>
      <w:r>
        <w:rPr>
          <w:rFonts w:eastAsia="仿宋_GB2312"/>
          <w:szCs w:val="32"/>
        </w:rPr>
        <w:t>1.</w:t>
      </w:r>
      <w:r>
        <w:rPr>
          <w:rFonts w:hint="eastAsia" w:eastAsia="仿宋_GB2312"/>
          <w:szCs w:val="32"/>
        </w:rPr>
        <w:t>工作原理</w:t>
      </w:r>
    </w:p>
    <w:p>
      <w:pPr>
        <w:spacing w:line="520" w:lineRule="exact"/>
        <w:ind w:firstLine="640" w:firstLineChars="200"/>
        <w:rPr>
          <w:rFonts w:eastAsia="仿宋_GB2312"/>
          <w:color w:val="000000"/>
          <w:szCs w:val="32"/>
        </w:rPr>
      </w:pPr>
      <w:r>
        <w:rPr>
          <w:rFonts w:hint="eastAsia" w:eastAsia="仿宋_GB2312"/>
          <w:color w:val="000000"/>
          <w:szCs w:val="32"/>
        </w:rPr>
        <w:t>直肠测压导管与尿动力学分析仪等测压设备配合使用。临床将导管经肛门置入直肠内，并向导管内充入测压介质（气体或液体）作为压力传导媒介。当直肠内压力发生变化时，该压力经由介质传导至体外连接的压力传感器，传感器将物理压力信号转换为电信号后输入主机，实现对直肠内压力的测量。产品按传导介质分为气传导型和液传导型两种。</w:t>
      </w:r>
    </w:p>
    <w:p>
      <w:pPr>
        <w:spacing w:line="520" w:lineRule="exact"/>
        <w:ind w:firstLine="640" w:firstLineChars="200"/>
        <w:rPr>
          <w:rFonts w:eastAsia="仿宋_GB2312"/>
          <w:color w:val="000000"/>
          <w:szCs w:val="32"/>
        </w:rPr>
      </w:pPr>
      <w:r>
        <w:rPr>
          <w:rFonts w:eastAsia="仿宋_GB2312"/>
          <w:color w:val="000000"/>
          <w:szCs w:val="32"/>
        </w:rPr>
        <w:t>2.</w:t>
      </w:r>
      <w:r>
        <w:rPr>
          <w:rFonts w:hint="eastAsia" w:eastAsia="仿宋_GB2312"/>
          <w:color w:val="000000"/>
          <w:szCs w:val="32"/>
        </w:rPr>
        <w:t>产品结构及组成</w:t>
      </w:r>
    </w:p>
    <w:p>
      <w:pPr>
        <w:spacing w:line="520" w:lineRule="exact"/>
        <w:ind w:firstLine="640" w:firstLineChars="200"/>
        <w:rPr>
          <w:rFonts w:eastAsia="仿宋_GB2312"/>
          <w:color w:val="000000"/>
          <w:szCs w:val="32"/>
        </w:rPr>
      </w:pPr>
      <w:r>
        <w:rPr>
          <w:rFonts w:hint="eastAsia" w:eastAsia="仿宋_GB2312"/>
          <w:color w:val="000000"/>
          <w:szCs w:val="32"/>
        </w:rPr>
        <w:t>直肠测压导管通常由导管、球囊、接头、</w:t>
      </w:r>
      <w:r>
        <w:rPr>
          <w:rFonts w:hint="eastAsia" w:eastAsia="仿宋_GB2312"/>
          <w:szCs w:val="32"/>
        </w:rPr>
        <w:t>导管座、</w:t>
      </w:r>
      <w:r>
        <w:rPr>
          <w:rFonts w:hint="eastAsia" w:eastAsia="仿宋_GB2312"/>
          <w:color w:val="000000"/>
          <w:szCs w:val="32"/>
        </w:rPr>
        <w:t>分支管、护帽等组成。产品常采用聚氯乙烯（P</w:t>
      </w:r>
      <w:r>
        <w:rPr>
          <w:rFonts w:eastAsia="仿宋_GB2312"/>
          <w:color w:val="000000"/>
          <w:szCs w:val="32"/>
        </w:rPr>
        <w:t>VC</w:t>
      </w:r>
      <w:r>
        <w:rPr>
          <w:rFonts w:hint="eastAsia" w:eastAsia="仿宋_GB2312"/>
          <w:color w:val="000000"/>
          <w:szCs w:val="32"/>
        </w:rPr>
        <w:t>）、聚氨酯（P</w:t>
      </w:r>
      <w:r>
        <w:rPr>
          <w:rFonts w:eastAsia="仿宋_GB2312"/>
          <w:color w:val="000000"/>
          <w:szCs w:val="32"/>
        </w:rPr>
        <w:t>U</w:t>
      </w:r>
      <w:r>
        <w:rPr>
          <w:rFonts w:hint="eastAsia" w:eastAsia="仿宋_GB2312"/>
          <w:color w:val="000000"/>
          <w:szCs w:val="32"/>
        </w:rPr>
        <w:t>）、聚丙烯（P</w:t>
      </w:r>
      <w:r>
        <w:rPr>
          <w:rFonts w:eastAsia="仿宋_GB2312"/>
          <w:color w:val="000000"/>
          <w:szCs w:val="32"/>
        </w:rPr>
        <w:t>P</w:t>
      </w:r>
      <w:r>
        <w:rPr>
          <w:rFonts w:hint="eastAsia" w:eastAsia="仿宋_GB2312"/>
          <w:color w:val="000000"/>
          <w:szCs w:val="32"/>
        </w:rPr>
        <w:t>）、聚碳酸酯（P</w:t>
      </w:r>
      <w:r>
        <w:rPr>
          <w:rFonts w:eastAsia="仿宋_GB2312"/>
          <w:color w:val="000000"/>
          <w:szCs w:val="32"/>
        </w:rPr>
        <w:t>C</w:t>
      </w:r>
      <w:r>
        <w:rPr>
          <w:rFonts w:hint="eastAsia" w:eastAsia="仿宋_GB2312"/>
          <w:color w:val="000000"/>
          <w:szCs w:val="32"/>
        </w:rPr>
        <w:t>）等医用高分子材料以及不锈钢制成。典型产品结构图示见图</w:t>
      </w:r>
      <w:r>
        <w:rPr>
          <w:rFonts w:eastAsia="仿宋_GB2312"/>
          <w:color w:val="000000"/>
          <w:szCs w:val="32"/>
        </w:rPr>
        <w:t>1</w:t>
      </w:r>
      <w:r>
        <w:rPr>
          <w:rFonts w:hint="eastAsia" w:eastAsia="仿宋_GB2312"/>
          <w:color w:val="000000"/>
          <w:szCs w:val="32"/>
        </w:rPr>
        <w:t>、图2。</w:t>
      </w:r>
    </w:p>
    <w:p>
      <w:pPr>
        <w:pStyle w:val="2"/>
        <w:rPr>
          <w:rFonts w:hint="eastAsia"/>
        </w:rPr>
      </w:pPr>
    </w:p>
    <w:p>
      <w:pPr>
        <w:pStyle w:val="2"/>
        <w:rPr>
          <w:color w:val="FF0000"/>
        </w:rPr>
      </w:pPr>
      <w:r>
        <w:drawing>
          <wp:inline distT="0" distB="0" distL="114300" distR="114300">
            <wp:extent cx="5262245" cy="684530"/>
            <wp:effectExtent l="0" t="0" r="1460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2245" cy="684530"/>
                    </a:xfrm>
                    <a:prstGeom prst="rect">
                      <a:avLst/>
                    </a:prstGeom>
                    <a:noFill/>
                    <a:ln>
                      <a:noFill/>
                    </a:ln>
                  </pic:spPr>
                </pic:pic>
              </a:graphicData>
            </a:graphic>
          </wp:inline>
        </w:drawing>
      </w:r>
    </w:p>
    <w:p>
      <w:pPr>
        <w:spacing w:line="52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图1直肠测压导管结构示意图（气传导）</w:t>
      </w:r>
    </w:p>
    <w:p>
      <w:pPr>
        <w:pStyle w:val="2"/>
      </w:pPr>
    </w:p>
    <w:p>
      <w:pPr>
        <w:pStyle w:val="2"/>
        <w:rPr>
          <w:rFonts w:ascii="黑体" w:hAnsi="黑体" w:eastAsia="黑体" w:cs="黑体"/>
          <w:color w:val="000000"/>
          <w:sz w:val="28"/>
          <w:szCs w:val="28"/>
        </w:rPr>
      </w:pPr>
      <w:r>
        <w:drawing>
          <wp:inline distT="0" distB="0" distL="114300" distR="114300">
            <wp:extent cx="5264785" cy="767715"/>
            <wp:effectExtent l="0" t="0" r="12065"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4785" cy="767715"/>
                    </a:xfrm>
                    <a:prstGeom prst="rect">
                      <a:avLst/>
                    </a:prstGeom>
                    <a:noFill/>
                    <a:ln>
                      <a:noFill/>
                    </a:ln>
                  </pic:spPr>
                </pic:pic>
              </a:graphicData>
            </a:graphic>
          </wp:inline>
        </w:drawing>
      </w:r>
    </w:p>
    <w:p>
      <w:pPr>
        <w:pStyle w:val="2"/>
        <w:rPr>
          <w:rFonts w:ascii="黑体" w:hAnsi="黑体" w:eastAsia="黑体" w:cs="黑体"/>
          <w:color w:val="000000"/>
          <w:sz w:val="28"/>
          <w:szCs w:val="28"/>
        </w:rPr>
      </w:pPr>
    </w:p>
    <w:p>
      <w:pPr>
        <w:pStyle w:val="2"/>
        <w:jc w:val="center"/>
        <w:rPr>
          <w:rFonts w:ascii="黑体" w:hAnsi="黑体" w:eastAsia="黑体" w:cs="黑体"/>
          <w:color w:val="000000"/>
          <w:sz w:val="28"/>
          <w:szCs w:val="28"/>
        </w:rPr>
      </w:pPr>
      <w:r>
        <w:rPr>
          <w:rFonts w:hint="eastAsia" w:ascii="黑体" w:hAnsi="黑体" w:eastAsia="黑体" w:cs="黑体"/>
          <w:color w:val="000000"/>
          <w:sz w:val="28"/>
          <w:szCs w:val="28"/>
        </w:rPr>
        <w:t>图2直肠测压导管结构示意图（液传导）</w:t>
      </w:r>
    </w:p>
    <w:p>
      <w:pPr>
        <w:pStyle w:val="2"/>
        <w:jc w:val="center"/>
        <w:rPr>
          <w:rFonts w:hint="eastAsia" w:ascii="黑体" w:hAnsi="黑体" w:eastAsia="黑体" w:cs="黑体"/>
          <w:color w:val="000000"/>
          <w:sz w:val="28"/>
          <w:szCs w:val="28"/>
        </w:rPr>
      </w:pPr>
    </w:p>
    <w:p>
      <w:pPr>
        <w:spacing w:line="520" w:lineRule="exact"/>
        <w:ind w:firstLine="640" w:firstLineChars="200"/>
        <w:rPr>
          <w:rFonts w:eastAsia="仿宋_GB2312"/>
          <w:color w:val="000000"/>
          <w:szCs w:val="32"/>
        </w:rPr>
      </w:pPr>
      <w:r>
        <w:rPr>
          <w:rFonts w:hint="eastAsia" w:eastAsia="仿宋_GB2312"/>
          <w:color w:val="000000"/>
          <w:szCs w:val="32"/>
        </w:rPr>
        <w:t>应根据产品实际情况提供产品的结构示意图，结合结构示意图对产品的结构组成进行详尽描述。描述的内容包括结构、尺寸、材料等。</w:t>
      </w:r>
    </w:p>
    <w:p>
      <w:pPr>
        <w:spacing w:line="520" w:lineRule="exact"/>
        <w:ind w:firstLine="640" w:firstLineChars="200"/>
        <w:rPr>
          <w:rFonts w:eastAsia="仿宋_GB2312"/>
          <w:color w:val="000000"/>
          <w:szCs w:val="32"/>
        </w:rPr>
      </w:pPr>
      <w:r>
        <w:rPr>
          <w:rFonts w:eastAsia="仿宋_GB2312"/>
          <w:color w:val="000000"/>
          <w:szCs w:val="32"/>
        </w:rPr>
        <w:t>3.型号规格</w:t>
      </w:r>
    </w:p>
    <w:p>
      <w:pPr>
        <w:spacing w:line="520" w:lineRule="exact"/>
        <w:ind w:firstLine="640" w:firstLineChars="200"/>
        <w:rPr>
          <w:rFonts w:eastAsia="仿宋_GB2312"/>
          <w:color w:val="000000"/>
          <w:szCs w:val="32"/>
        </w:rPr>
      </w:pPr>
      <w:r>
        <w:rPr>
          <w:rFonts w:eastAsia="仿宋_GB2312"/>
          <w:color w:val="000000"/>
          <w:szCs w:val="32"/>
        </w:rPr>
        <w:t>需提供产品各型号规格的划分原则。对于存在多种型号、规格的产品，需明确各型号、规格的区别。</w:t>
      </w:r>
      <w:r>
        <w:rPr>
          <w:rFonts w:hint="eastAsia" w:eastAsia="仿宋_GB2312"/>
          <w:color w:val="000000"/>
          <w:szCs w:val="32"/>
        </w:rPr>
        <w:t>建议</w:t>
      </w:r>
      <w:r>
        <w:rPr>
          <w:rFonts w:eastAsia="仿宋_GB2312"/>
          <w:color w:val="000000"/>
          <w:szCs w:val="32"/>
        </w:rPr>
        <w:t>采用对比表及带有说明性文字的图片、图表，对各种型号、规格的结构组成、功能、产品特征、性能指标等方面加以描述。</w:t>
      </w:r>
    </w:p>
    <w:p>
      <w:pPr>
        <w:spacing w:line="520" w:lineRule="exact"/>
        <w:ind w:firstLine="640" w:firstLineChars="200"/>
        <w:rPr>
          <w:rFonts w:eastAsia="仿宋_GB2312"/>
          <w:color w:val="000000"/>
          <w:szCs w:val="32"/>
        </w:rPr>
      </w:pPr>
      <w:r>
        <w:rPr>
          <w:rFonts w:eastAsia="仿宋_GB2312"/>
          <w:color w:val="000000"/>
          <w:szCs w:val="32"/>
        </w:rPr>
        <w:t>4.包装说明</w:t>
      </w:r>
    </w:p>
    <w:p>
      <w:pPr>
        <w:spacing w:line="520" w:lineRule="exact"/>
        <w:ind w:firstLine="629"/>
        <w:rPr>
          <w:rFonts w:eastAsia="仿宋_GB2312"/>
          <w:color w:val="000000"/>
          <w:szCs w:val="32"/>
        </w:rPr>
      </w:pPr>
      <w:r>
        <w:rPr>
          <w:rFonts w:eastAsia="仿宋_GB2312"/>
          <w:color w:val="000000"/>
          <w:szCs w:val="32"/>
        </w:rPr>
        <w:t>提供产品的包装信息，可包括包装形式、包装材料、包装工艺以及无菌屏障系统等信息。</w:t>
      </w:r>
    </w:p>
    <w:p>
      <w:pPr>
        <w:spacing w:line="520" w:lineRule="exact"/>
        <w:ind w:firstLine="629"/>
        <w:rPr>
          <w:rFonts w:hAnsi="仿宋_GB2312"/>
          <w:szCs w:val="32"/>
        </w:rPr>
      </w:pPr>
      <w:r>
        <w:rPr>
          <w:rFonts w:hint="eastAsia" w:eastAsia="仿宋_GB2312"/>
          <w:color w:val="000000"/>
          <w:szCs w:val="32"/>
        </w:rPr>
        <w:t>5</w:t>
      </w:r>
      <w:r>
        <w:rPr>
          <w:rFonts w:eastAsia="仿宋_GB2312"/>
          <w:color w:val="000000"/>
          <w:szCs w:val="32"/>
        </w:rPr>
        <w:t>.</w:t>
      </w:r>
      <w:r>
        <w:rPr>
          <w:rFonts w:hAnsi="仿宋_GB2312"/>
          <w:szCs w:val="32"/>
        </w:rPr>
        <w:t xml:space="preserve"> </w:t>
      </w:r>
      <w:r>
        <w:rPr>
          <w:rFonts w:hint="eastAsia" w:ascii="仿宋_GB2312" w:hAnsi="仿宋_GB2312" w:eastAsia="仿宋_GB2312"/>
          <w:szCs w:val="32"/>
        </w:rPr>
        <w:t>研发背景</w:t>
      </w:r>
    </w:p>
    <w:p>
      <w:pPr>
        <w:adjustRightInd w:val="0"/>
        <w:snapToGrid w:val="0"/>
        <w:spacing w:line="520" w:lineRule="exact"/>
        <w:ind w:firstLine="640" w:firstLineChars="200"/>
        <w:rPr>
          <w:rFonts w:hint="eastAsia" w:ascii="仿宋_GB2312" w:eastAsia="仿宋_GB2312"/>
          <w:szCs w:val="32"/>
        </w:rPr>
      </w:pPr>
      <w:r>
        <w:rPr>
          <w:rFonts w:hint="eastAsia" w:ascii="仿宋_GB2312" w:hAnsi="仿宋_GB2312" w:eastAsia="仿宋_GB2312"/>
          <w:szCs w:val="32"/>
        </w:rPr>
        <w:t>阐述申请注册产品的研发背景和目的。如有参考的同类产品或前代产品，应当提供同类产品或前代产品的信息，并说明选择其作为研发参考的原因。</w:t>
      </w:r>
    </w:p>
    <w:p>
      <w:pPr>
        <w:spacing w:line="520" w:lineRule="exact"/>
        <w:ind w:firstLine="629"/>
        <w:rPr>
          <w:rFonts w:hint="eastAsia" w:ascii="仿宋_GB2312" w:hAnsi="仿宋_GB2312" w:eastAsia="仿宋_GB2312"/>
          <w:szCs w:val="32"/>
        </w:rPr>
      </w:pPr>
      <w:r>
        <w:rPr>
          <w:rFonts w:hint="eastAsia" w:hAnsi="仿宋_GB2312"/>
          <w:szCs w:val="32"/>
        </w:rPr>
        <w:t>6.</w:t>
      </w:r>
      <w:r>
        <w:rPr>
          <w:rFonts w:hint="eastAsia"/>
        </w:rPr>
        <w:t xml:space="preserve"> </w:t>
      </w:r>
      <w:r>
        <w:rPr>
          <w:rFonts w:hint="eastAsia" w:ascii="仿宋_GB2312" w:hAnsi="仿宋_GB2312" w:eastAsia="仿宋_GB2312"/>
          <w:szCs w:val="32"/>
        </w:rPr>
        <w:t>与同类和/或前代产品的参考和比较</w:t>
      </w:r>
    </w:p>
    <w:p>
      <w:pPr>
        <w:spacing w:line="520" w:lineRule="exact"/>
        <w:ind w:firstLine="640" w:firstLineChars="200"/>
        <w:jc w:val="left"/>
        <w:rPr>
          <w:rFonts w:hint="eastAsia" w:ascii="仿宋_GB2312" w:eastAsia="仿宋_GB2312"/>
          <w:color w:val="000000"/>
          <w:szCs w:val="32"/>
        </w:rPr>
      </w:pPr>
      <w:r>
        <w:rPr>
          <w:rFonts w:hint="eastAsia" w:ascii="仿宋_GB2312" w:hAnsi="仿宋_GB2312" w:eastAsia="仿宋_GB2312"/>
          <w:szCs w:val="32"/>
        </w:rPr>
        <w:t>列表比较说明申报产品同类和</w:t>
      </w:r>
      <w:r>
        <w:rPr>
          <w:rFonts w:hint="eastAsia" w:ascii="仿宋_GB2312" w:eastAsia="仿宋_GB2312"/>
          <w:szCs w:val="32"/>
        </w:rPr>
        <w:t>/</w:t>
      </w:r>
      <w:r>
        <w:rPr>
          <w:rFonts w:hint="eastAsia" w:ascii="仿宋_GB2312" w:hAnsi="仿宋_GB2312" w:eastAsia="仿宋_GB2312"/>
          <w:szCs w:val="32"/>
        </w:rPr>
        <w:t>或前代产品工作原理、结构组成、制造材料、性能指标、作用方式，以及适用范围等异同。</w:t>
      </w:r>
    </w:p>
    <w:p>
      <w:pPr>
        <w:spacing w:line="520" w:lineRule="exact"/>
        <w:ind w:firstLine="640" w:firstLineChars="200"/>
        <w:rPr>
          <w:rFonts w:eastAsia="仿宋_GB2312"/>
          <w:color w:val="000000"/>
          <w:szCs w:val="32"/>
        </w:rPr>
      </w:pPr>
      <w:r>
        <w:rPr>
          <w:rFonts w:eastAsia="仿宋_GB2312"/>
          <w:color w:val="000000"/>
          <w:szCs w:val="32"/>
        </w:rPr>
        <w:t>7.产品的适用范围、禁忌证</w:t>
      </w:r>
    </w:p>
    <w:p>
      <w:pPr>
        <w:spacing w:line="520" w:lineRule="exact"/>
        <w:ind w:firstLine="640" w:firstLineChars="200"/>
        <w:rPr>
          <w:rFonts w:eastAsia="仿宋_GB2312"/>
          <w:color w:val="000000"/>
          <w:szCs w:val="32"/>
        </w:rPr>
      </w:pPr>
      <w:r>
        <w:rPr>
          <w:rFonts w:eastAsia="仿宋_GB2312"/>
          <w:color w:val="000000"/>
          <w:szCs w:val="32"/>
        </w:rPr>
        <w:t>产品的适用范围、适用人群、禁忌证需与申报产品的性能、功能相符，并需与临床评价资料结论一致。适用范围的描述需清晰准确。</w:t>
      </w:r>
    </w:p>
    <w:p>
      <w:pPr>
        <w:spacing w:line="520" w:lineRule="exact"/>
        <w:ind w:firstLine="640" w:firstLineChars="200"/>
        <w:rPr>
          <w:rFonts w:eastAsia="仿宋_GB2312"/>
          <w:color w:val="000000"/>
          <w:szCs w:val="32"/>
        </w:rPr>
      </w:pPr>
      <w:r>
        <w:rPr>
          <w:rFonts w:hint="eastAsia" w:eastAsia="仿宋_GB2312"/>
          <w:color w:val="000000"/>
          <w:szCs w:val="32"/>
        </w:rPr>
        <w:t>适用范围：与</w:t>
      </w:r>
      <w:r>
        <w:rPr>
          <w:rFonts w:hint="eastAsia" w:eastAsia="仿宋_GB2312"/>
          <w:szCs w:val="32"/>
        </w:rPr>
        <w:t>测压仪器</w:t>
      </w:r>
      <w:r>
        <w:rPr>
          <w:rFonts w:hint="eastAsia" w:eastAsia="仿宋_GB2312"/>
          <w:color w:val="000000"/>
          <w:szCs w:val="32"/>
        </w:rPr>
        <w:t>配套使用，用于直肠压力的测量。</w:t>
      </w:r>
    </w:p>
    <w:p>
      <w:pPr>
        <w:spacing w:line="520" w:lineRule="exact"/>
        <w:ind w:firstLine="640" w:firstLineChars="200"/>
        <w:rPr>
          <w:rFonts w:hint="eastAsia" w:ascii="仿宋_GB2312" w:eastAsia="仿宋_GB2312"/>
          <w:szCs w:val="32"/>
        </w:rPr>
      </w:pPr>
      <w:r>
        <w:rPr>
          <w:rFonts w:hint="eastAsia" w:eastAsia="仿宋_GB2312"/>
          <w:color w:val="000000"/>
          <w:szCs w:val="32"/>
        </w:rPr>
        <w:t>预期使用环境：</w:t>
      </w:r>
      <w:r>
        <w:rPr>
          <w:rFonts w:hint="eastAsia" w:ascii="仿宋_GB2312" w:hAnsi="仿宋_GB2312" w:eastAsia="仿宋_GB2312"/>
          <w:szCs w:val="32"/>
        </w:rPr>
        <w:t>明确该产品预期使用的地点，如医疗机构等。可能影响其安全性和有效性的环境条件，如温度、湿度、压力、海拔等。</w:t>
      </w:r>
    </w:p>
    <w:p>
      <w:pPr>
        <w:spacing w:line="520" w:lineRule="exact"/>
        <w:ind w:firstLine="640"/>
        <w:rPr>
          <w:rFonts w:eastAsia="仿宋_GB2312"/>
          <w:szCs w:val="32"/>
        </w:rPr>
      </w:pPr>
      <w:r>
        <w:rPr>
          <w:rFonts w:hint="eastAsia" w:eastAsia="仿宋_GB2312"/>
          <w:color w:val="000000"/>
          <w:szCs w:val="32"/>
        </w:rPr>
        <w:t>适用人群：</w:t>
      </w:r>
      <w:r>
        <w:rPr>
          <w:rFonts w:hint="eastAsia" w:ascii="仿宋_GB2312" w:hAnsi="仿宋_GB2312" w:eastAsia="仿宋_GB2312"/>
          <w:color w:val="000000"/>
          <w:szCs w:val="32"/>
        </w:rPr>
        <w:t>明确目标患者人群的信息，患者选择标准的信息，以及使用过程中需要监测的参数、考虑的因素。</w:t>
      </w:r>
    </w:p>
    <w:p>
      <w:pPr>
        <w:spacing w:line="520" w:lineRule="exact"/>
        <w:ind w:firstLine="640" w:firstLineChars="200"/>
        <w:rPr>
          <w:rFonts w:hint="eastAsia" w:ascii="仿宋_GB2312" w:eastAsia="仿宋_GB2312"/>
          <w:szCs w:val="32"/>
        </w:rPr>
      </w:pPr>
      <w:r>
        <w:rPr>
          <w:rFonts w:hint="eastAsia" w:ascii="仿宋_GB2312" w:eastAsia="仿宋_GB2312"/>
          <w:color w:val="000000"/>
          <w:szCs w:val="32"/>
        </w:rPr>
        <w:t>禁忌证：对产品材料过敏者禁用。</w:t>
      </w:r>
      <w:r>
        <w:rPr>
          <w:rFonts w:hint="eastAsia" w:ascii="仿宋_GB2312" w:hAnsi="仿宋_GB2312" w:eastAsia="仿宋_GB2312"/>
          <w:szCs w:val="32"/>
        </w:rPr>
        <w:t>肛门直肠区域急性外伤或穿孔，肛门周围有急性化脓性炎症或疼痛剧烈者；直肠癌术后吻合口漏；有严重脏器衰竭病史者；肛管直肠严重狭窄探头不能通过者。</w:t>
      </w:r>
    </w:p>
    <w:p>
      <w:pPr>
        <w:spacing w:line="520" w:lineRule="exact"/>
        <w:ind w:firstLine="640" w:firstLineChars="200"/>
        <w:rPr>
          <w:rFonts w:eastAsia="仿宋_GB2312"/>
          <w:color w:val="000000"/>
          <w:szCs w:val="32"/>
        </w:rPr>
      </w:pPr>
      <w:r>
        <w:rPr>
          <w:rFonts w:eastAsia="仿宋_GB2312"/>
          <w:color w:val="000000"/>
          <w:szCs w:val="32"/>
        </w:rPr>
        <w:t>8.</w:t>
      </w:r>
      <w:r>
        <w:rPr>
          <w:rFonts w:hint="eastAsia" w:eastAsia="仿宋_GB2312"/>
          <w:color w:val="000000"/>
          <w:szCs w:val="32"/>
        </w:rPr>
        <w:t>其他需说明的内容</w:t>
      </w:r>
    </w:p>
    <w:p>
      <w:pPr>
        <w:spacing w:line="520" w:lineRule="exact"/>
        <w:ind w:firstLine="640" w:firstLineChars="200"/>
        <w:rPr>
          <w:rFonts w:hint="eastAsia" w:ascii="仿宋_GB2312" w:eastAsia="仿宋_GB2312"/>
          <w:color w:val="000000"/>
          <w:szCs w:val="32"/>
        </w:rPr>
      </w:pPr>
      <w:r>
        <w:rPr>
          <w:rFonts w:hint="eastAsia" w:ascii="仿宋_GB2312" w:eastAsia="仿宋_GB2312"/>
          <w:color w:val="000000"/>
          <w:szCs w:val="32"/>
        </w:rPr>
        <w:t>本产品预期与其他医疗器械联合使用实现同一预期用途，应当提供证明联合使用安全有效的研究资料，包括互联基本信息（连接类型、最低性能）、联合使用风险及控制措施、联合使用上的限制，兼容性研究等。同时建议明确</w:t>
      </w:r>
      <w:r>
        <w:rPr>
          <w:rFonts w:hint="eastAsia" w:ascii="仿宋_GB2312" w:eastAsia="仿宋_GB2312"/>
        </w:rPr>
        <w:t>配合使用的应用部分的注册证号、名称、型号规格、制造商等信息。</w:t>
      </w:r>
    </w:p>
    <w:p>
      <w:pPr>
        <w:spacing w:line="520" w:lineRule="exact"/>
        <w:ind w:firstLine="640" w:firstLineChars="200"/>
        <w:outlineLvl w:val="1"/>
        <w:rPr>
          <w:rFonts w:eastAsia="楷体_GB2312"/>
          <w:b/>
          <w:color w:val="000000"/>
          <w:szCs w:val="32"/>
        </w:rPr>
      </w:pPr>
      <w:r>
        <w:rPr>
          <w:rFonts w:eastAsia="楷体_GB2312"/>
          <w:color w:val="000000"/>
          <w:szCs w:val="32"/>
        </w:rPr>
        <w:t>（三）非临床资料</w:t>
      </w:r>
    </w:p>
    <w:p>
      <w:pPr>
        <w:spacing w:line="520" w:lineRule="exact"/>
        <w:ind w:firstLine="640" w:firstLineChars="200"/>
        <w:rPr>
          <w:rFonts w:eastAsia="仿宋_GB2312"/>
          <w:color w:val="000000"/>
          <w:szCs w:val="32"/>
        </w:rPr>
      </w:pPr>
      <w:r>
        <w:rPr>
          <w:rFonts w:eastAsia="仿宋_GB2312"/>
          <w:color w:val="000000"/>
          <w:szCs w:val="32"/>
        </w:rPr>
        <w:t>1.产品风险管理资料</w:t>
      </w:r>
    </w:p>
    <w:p>
      <w:pPr>
        <w:spacing w:line="520" w:lineRule="exact"/>
        <w:ind w:firstLine="640" w:firstLineChars="200"/>
        <w:rPr>
          <w:rFonts w:eastAsia="仿宋_GB2312"/>
          <w:color w:val="000000"/>
          <w:szCs w:val="32"/>
        </w:rPr>
      </w:pPr>
      <w:r>
        <w:rPr>
          <w:rFonts w:eastAsia="仿宋_GB2312"/>
          <w:color w:val="000000"/>
          <w:szCs w:val="32"/>
        </w:rPr>
        <w:t>注册申请人需对产品全生命周期实施风险管理，提交风险管理资料</w:t>
      </w:r>
      <w:r>
        <w:rPr>
          <w:rFonts w:hint="eastAsia" w:eastAsia="仿宋_GB2312"/>
          <w:color w:val="000000"/>
          <w:szCs w:val="32"/>
        </w:rPr>
        <w:t>，</w:t>
      </w:r>
      <w:r>
        <w:rPr>
          <w:rFonts w:eastAsia="仿宋_GB2312"/>
          <w:color w:val="000000"/>
          <w:szCs w:val="32"/>
        </w:rPr>
        <w:t>参照GB/T 42062《医疗器械风险管理对医疗器械的应用》。注册申请人在产品注册上市前，需对风险管理过程进行评审。</w:t>
      </w:r>
    </w:p>
    <w:p>
      <w:pPr>
        <w:spacing w:line="520" w:lineRule="exact"/>
        <w:ind w:firstLine="640" w:firstLineChars="200"/>
        <w:rPr>
          <w:rFonts w:hint="eastAsia" w:ascii="仿宋_GB2312" w:eastAsia="仿宋_GB2312"/>
          <w:b/>
          <w:bCs/>
          <w:szCs w:val="28"/>
        </w:rPr>
      </w:pPr>
      <w:r>
        <w:rPr>
          <w:rFonts w:hint="eastAsia" w:ascii="仿宋_GB2312" w:hAnsi="仿宋_GB2312" w:eastAsia="仿宋_GB2312"/>
          <w:szCs w:val="28"/>
        </w:rPr>
        <w:t>审查要点包括：</w:t>
      </w:r>
    </w:p>
    <w:p>
      <w:pPr>
        <w:spacing w:line="520" w:lineRule="exact"/>
        <w:ind w:firstLine="640" w:firstLineChars="200"/>
        <w:rPr>
          <w:rFonts w:hint="eastAsia" w:ascii="仿宋_GB2312" w:eastAsia="仿宋_GB2312"/>
          <w:szCs w:val="32"/>
        </w:rPr>
      </w:pPr>
      <w:r>
        <w:rPr>
          <w:rFonts w:hint="eastAsia" w:ascii="仿宋_GB2312" w:eastAsia="仿宋_GB2312"/>
          <w:szCs w:val="32"/>
        </w:rPr>
        <w:t>1.1</w:t>
      </w:r>
      <w:r>
        <w:rPr>
          <w:rFonts w:hint="eastAsia" w:ascii="仿宋_GB2312" w:hAnsi="仿宋_GB2312" w:eastAsia="仿宋_GB2312"/>
          <w:szCs w:val="32"/>
        </w:rPr>
        <w:t>是否确定了风险管理的范围、规定和人员职责分工。</w:t>
      </w:r>
    </w:p>
    <w:p>
      <w:pPr>
        <w:spacing w:line="520" w:lineRule="exact"/>
        <w:ind w:firstLine="640" w:firstLineChars="200"/>
        <w:rPr>
          <w:rFonts w:hint="eastAsia" w:ascii="仿宋_GB2312" w:eastAsia="仿宋_GB2312"/>
          <w:szCs w:val="32"/>
        </w:rPr>
      </w:pPr>
      <w:r>
        <w:rPr>
          <w:rFonts w:hint="eastAsia" w:ascii="仿宋_GB2312" w:eastAsia="仿宋_GB2312"/>
          <w:szCs w:val="32"/>
        </w:rPr>
        <w:t>1.2</w:t>
      </w:r>
      <w:r>
        <w:rPr>
          <w:rFonts w:hint="eastAsia" w:ascii="仿宋_GB2312" w:hAnsi="仿宋_GB2312" w:eastAsia="仿宋_GB2312"/>
          <w:szCs w:val="32"/>
        </w:rPr>
        <w:t>产品风险定性定量分析是否准确。</w:t>
      </w:r>
    </w:p>
    <w:p>
      <w:pPr>
        <w:spacing w:line="520" w:lineRule="exact"/>
        <w:ind w:firstLine="640" w:firstLineChars="200"/>
        <w:rPr>
          <w:rFonts w:hint="eastAsia" w:ascii="仿宋_GB2312" w:eastAsia="仿宋_GB2312"/>
          <w:szCs w:val="32"/>
        </w:rPr>
      </w:pPr>
      <w:r>
        <w:rPr>
          <w:rFonts w:hint="eastAsia" w:ascii="仿宋_GB2312" w:eastAsia="仿宋_GB2312"/>
          <w:szCs w:val="32"/>
        </w:rPr>
        <w:t>1.3</w:t>
      </w:r>
      <w:r>
        <w:rPr>
          <w:rFonts w:hint="eastAsia" w:ascii="仿宋_GB2312" w:hAnsi="仿宋_GB2312" w:eastAsia="仿宋_GB2312"/>
          <w:szCs w:val="32"/>
        </w:rPr>
        <w:t>危险分析是否全面。</w:t>
      </w:r>
    </w:p>
    <w:p>
      <w:pPr>
        <w:spacing w:line="520" w:lineRule="exact"/>
        <w:ind w:firstLine="640" w:firstLineChars="200"/>
        <w:rPr>
          <w:rFonts w:hint="eastAsia" w:ascii="仿宋_GB2312" w:eastAsia="仿宋_GB2312"/>
          <w:szCs w:val="32"/>
        </w:rPr>
      </w:pPr>
      <w:r>
        <w:rPr>
          <w:rFonts w:hint="eastAsia" w:ascii="仿宋_GB2312" w:eastAsia="仿宋_GB2312"/>
          <w:szCs w:val="32"/>
        </w:rPr>
        <w:t>1.4</w:t>
      </w:r>
      <w:r>
        <w:rPr>
          <w:rFonts w:hint="eastAsia" w:ascii="仿宋_GB2312" w:hAnsi="仿宋_GB2312" w:eastAsia="仿宋_GB2312"/>
          <w:szCs w:val="32"/>
        </w:rPr>
        <w:t>风险可接受准则，降低风险的措施及采取措施后风险的可接受程度，是否有新的风险产生。</w:t>
      </w:r>
    </w:p>
    <w:p>
      <w:pPr>
        <w:spacing w:line="520" w:lineRule="exact"/>
        <w:ind w:firstLine="640" w:firstLineChars="200"/>
        <w:rPr>
          <w:rFonts w:hint="eastAsia" w:ascii="仿宋_GB2312" w:eastAsia="仿宋_GB2312"/>
          <w:szCs w:val="32"/>
        </w:rPr>
      </w:pPr>
      <w:r>
        <w:rPr>
          <w:rFonts w:hint="eastAsia" w:ascii="仿宋_GB2312" w:eastAsia="仿宋_GB2312"/>
          <w:szCs w:val="32"/>
        </w:rPr>
        <w:t>1.5</w:t>
      </w:r>
      <w:r>
        <w:rPr>
          <w:rFonts w:hint="eastAsia" w:ascii="仿宋_GB2312" w:hAnsi="仿宋_GB2312" w:eastAsia="仿宋_GB2312"/>
          <w:szCs w:val="32"/>
        </w:rPr>
        <w:t>是否确定了风险反馈的规定及信息收集情况。</w:t>
      </w:r>
    </w:p>
    <w:p>
      <w:pPr>
        <w:spacing w:line="520" w:lineRule="exact"/>
        <w:ind w:firstLine="640" w:firstLineChars="200"/>
        <w:rPr>
          <w:rFonts w:eastAsia="仿宋_GB2312"/>
          <w:color w:val="000000"/>
          <w:szCs w:val="32"/>
        </w:rPr>
      </w:pPr>
      <w:r>
        <w:rPr>
          <w:rFonts w:eastAsia="仿宋_GB2312"/>
          <w:color w:val="000000"/>
          <w:szCs w:val="32"/>
        </w:rPr>
        <w:t>评审需至少确保：风险管理计划已被适当地实施，综合剩余风险是可接受的。评审结果需形成风险管理报告。申报资料格式需符合现行有效的《医疗器械注册申报资料要求和批准证明文件格式》的要求。</w:t>
      </w:r>
      <w:r>
        <w:rPr>
          <w:rFonts w:hint="eastAsia" w:eastAsia="仿宋_GB2312"/>
          <w:color w:val="000000"/>
          <w:szCs w:val="32"/>
        </w:rPr>
        <w:t>产品的主要危险</w:t>
      </w:r>
      <w:r>
        <w:rPr>
          <w:rFonts w:hint="eastAsia" w:eastAsia="仿宋_GB2312"/>
          <w:szCs w:val="32"/>
        </w:rPr>
        <w:t>见附录</w:t>
      </w:r>
      <w:r>
        <w:rPr>
          <w:rFonts w:hint="eastAsia" w:eastAsia="仿宋_GB2312"/>
          <w:color w:val="000000"/>
          <w:szCs w:val="32"/>
        </w:rPr>
        <w:t>，注册申请人还应结合产品自身特点确定其他危险。</w:t>
      </w:r>
    </w:p>
    <w:p>
      <w:pPr>
        <w:spacing w:line="520" w:lineRule="exact"/>
        <w:ind w:firstLine="640" w:firstLineChars="200"/>
        <w:rPr>
          <w:rFonts w:eastAsia="仿宋_GB2312"/>
          <w:color w:val="000000"/>
          <w:szCs w:val="32"/>
        </w:rPr>
      </w:pPr>
      <w:r>
        <w:rPr>
          <w:rFonts w:hint="eastAsia" w:eastAsia="仿宋_GB2312"/>
          <w:color w:val="000000"/>
          <w:szCs w:val="32"/>
        </w:rPr>
        <w:t>2.医疗器械安全和性能基本原则清单</w:t>
      </w:r>
    </w:p>
    <w:p>
      <w:pPr>
        <w:spacing w:line="520" w:lineRule="exact"/>
        <w:ind w:firstLine="640" w:firstLineChars="200"/>
        <w:rPr>
          <w:rFonts w:eastAsia="仿宋_GB2312"/>
          <w:color w:val="000000"/>
          <w:szCs w:val="32"/>
        </w:rPr>
      </w:pPr>
      <w:r>
        <w:rPr>
          <w:rFonts w:hint="eastAsia" w:eastAsia="仿宋_GB2312"/>
          <w:color w:val="000000"/>
          <w:szCs w:val="32"/>
        </w:rPr>
        <w:t>说明直肠测压导管产品符合《医疗器械安全和性能基本原则清单》各项适用要求所采用的方法，以及证明其符合性的文件。对于不适用的各项要求，应当说明理由。</w:t>
      </w:r>
    </w:p>
    <w:p>
      <w:pPr>
        <w:spacing w:line="520" w:lineRule="exact"/>
        <w:ind w:firstLine="640" w:firstLineChars="200"/>
        <w:rPr>
          <w:rFonts w:eastAsia="仿宋_GB2312"/>
          <w:color w:val="000000"/>
          <w:szCs w:val="32"/>
        </w:rPr>
      </w:pPr>
      <w:r>
        <w:rPr>
          <w:rFonts w:eastAsia="仿宋_GB2312"/>
          <w:color w:val="000000"/>
          <w:szCs w:val="32"/>
        </w:rPr>
        <w:t>3.产品技术要求的主要性能指标</w:t>
      </w:r>
    </w:p>
    <w:p>
      <w:pPr>
        <w:spacing w:line="520" w:lineRule="exact"/>
        <w:ind w:firstLine="640" w:firstLineChars="200"/>
        <w:rPr>
          <w:rFonts w:eastAsia="仿宋_GB2312"/>
          <w:color w:val="000000"/>
          <w:szCs w:val="32"/>
        </w:rPr>
      </w:pPr>
      <w:r>
        <w:rPr>
          <w:rFonts w:eastAsia="仿宋_GB2312"/>
          <w:color w:val="000000"/>
          <w:szCs w:val="32"/>
        </w:rPr>
        <w:t>产品技术要求需符合</w:t>
      </w:r>
      <w:r>
        <w:rPr>
          <w:rFonts w:hint="eastAsia" w:eastAsia="仿宋_GB2312"/>
          <w:color w:val="000000"/>
          <w:szCs w:val="32"/>
        </w:rPr>
        <w:t>《医疗器械产品技术要求编写指导原则》等</w:t>
      </w:r>
      <w:r>
        <w:rPr>
          <w:rFonts w:eastAsia="仿宋_GB2312"/>
          <w:color w:val="000000"/>
          <w:szCs w:val="32"/>
        </w:rPr>
        <w:t>国家标准、行业标准和有关法律、法规的相应要求。在此基础上，注册申请人需根据产品的特点，</w:t>
      </w:r>
      <w:r>
        <w:rPr>
          <w:rFonts w:hint="eastAsia" w:eastAsia="仿宋_GB2312"/>
          <w:color w:val="000000"/>
          <w:szCs w:val="32"/>
        </w:rPr>
        <w:t>结合产品设计特征及临床应用来</w:t>
      </w:r>
      <w:r>
        <w:rPr>
          <w:rFonts w:eastAsia="仿宋_GB2312"/>
          <w:color w:val="000000"/>
          <w:szCs w:val="32"/>
        </w:rPr>
        <w:t>制定保证产品安全、有效的技术要求。产品技术要求中试验方法需依据有关国家标准、行业标准、国际标准制订，或经过验证。</w:t>
      </w:r>
    </w:p>
    <w:p>
      <w:pPr>
        <w:spacing w:line="520" w:lineRule="exact"/>
        <w:ind w:firstLine="640" w:firstLineChars="200"/>
        <w:rPr>
          <w:rFonts w:eastAsia="仿宋_GB2312"/>
          <w:color w:val="000000"/>
          <w:szCs w:val="32"/>
        </w:rPr>
      </w:pPr>
      <w:r>
        <w:rPr>
          <w:rFonts w:eastAsia="仿宋_GB2312"/>
          <w:color w:val="000000"/>
          <w:szCs w:val="32"/>
        </w:rPr>
        <w:t>3.1产品型号/规格及其划分的说明</w:t>
      </w:r>
    </w:p>
    <w:p>
      <w:pPr>
        <w:spacing w:line="520" w:lineRule="exact"/>
        <w:ind w:firstLine="640" w:firstLineChars="200"/>
        <w:rPr>
          <w:rFonts w:eastAsia="仿宋_GB2312"/>
          <w:color w:val="000000"/>
          <w:szCs w:val="32"/>
        </w:rPr>
      </w:pPr>
      <w:r>
        <w:rPr>
          <w:rFonts w:hint="eastAsia" w:eastAsia="仿宋_GB2312"/>
          <w:color w:val="000000"/>
          <w:szCs w:val="32"/>
        </w:rPr>
        <w:t>建议</w:t>
      </w:r>
      <w:r>
        <w:rPr>
          <w:rFonts w:eastAsia="仿宋_GB2312"/>
          <w:color w:val="000000"/>
          <w:szCs w:val="32"/>
        </w:rPr>
        <w:t>列表说明产品的型号、规格，明确产品型号、规格的划分说明。需包含以下产品相关信息：</w:t>
      </w:r>
    </w:p>
    <w:p>
      <w:pPr>
        <w:spacing w:line="520" w:lineRule="exact"/>
        <w:ind w:firstLine="640" w:firstLineChars="200"/>
        <w:jc w:val="left"/>
        <w:rPr>
          <w:rFonts w:eastAsia="仿宋_GB2312"/>
          <w:color w:val="000000"/>
          <w:szCs w:val="32"/>
        </w:rPr>
      </w:pPr>
      <w:r>
        <w:rPr>
          <w:rFonts w:eastAsia="仿宋_GB2312"/>
          <w:color w:val="000000"/>
          <w:szCs w:val="32"/>
        </w:rPr>
        <w:t>3.1.1明示产品的组成、各组成部分的材料牌号/商品名及符合的国家标准、行业标准、国际标准。</w:t>
      </w:r>
    </w:p>
    <w:p>
      <w:pPr>
        <w:spacing w:line="520" w:lineRule="exact"/>
        <w:ind w:firstLine="640" w:firstLineChars="200"/>
        <w:rPr>
          <w:rFonts w:eastAsia="仿宋_GB2312"/>
          <w:color w:val="000000"/>
          <w:szCs w:val="32"/>
        </w:rPr>
      </w:pPr>
      <w:r>
        <w:rPr>
          <w:rFonts w:eastAsia="仿宋_GB2312"/>
          <w:color w:val="000000"/>
          <w:szCs w:val="32"/>
        </w:rPr>
        <w:t>3.1.2提供各型号产品的结构图并标识关键尺寸。</w:t>
      </w:r>
    </w:p>
    <w:p>
      <w:pPr>
        <w:spacing w:line="520" w:lineRule="exact"/>
        <w:ind w:firstLine="640" w:firstLineChars="200"/>
        <w:rPr>
          <w:rFonts w:eastAsia="仿宋_GB2312"/>
          <w:color w:val="FF0000"/>
          <w:szCs w:val="32"/>
        </w:rPr>
      </w:pPr>
      <w:r>
        <w:rPr>
          <w:rFonts w:eastAsia="仿宋_GB2312"/>
          <w:szCs w:val="32"/>
        </w:rPr>
        <w:t>3.2性能指标</w:t>
      </w:r>
    </w:p>
    <w:p>
      <w:pPr>
        <w:spacing w:line="520" w:lineRule="exact"/>
        <w:ind w:firstLine="640" w:firstLineChars="200"/>
        <w:rPr>
          <w:rFonts w:eastAsia="仿宋_GB2312"/>
          <w:color w:val="000000"/>
          <w:szCs w:val="32"/>
        </w:rPr>
      </w:pPr>
      <w:r>
        <w:rPr>
          <w:rFonts w:eastAsia="仿宋_GB2312"/>
          <w:color w:val="000000"/>
          <w:szCs w:val="32"/>
        </w:rPr>
        <w:t>产品技术要求的主要性能指标需包括以下适用内容：</w:t>
      </w:r>
    </w:p>
    <w:p>
      <w:pPr>
        <w:spacing w:line="520" w:lineRule="exact"/>
        <w:ind w:firstLine="640" w:firstLineChars="200"/>
        <w:rPr>
          <w:rFonts w:eastAsia="仿宋_GB2312"/>
          <w:color w:val="000000"/>
          <w:szCs w:val="32"/>
        </w:rPr>
      </w:pPr>
      <w:r>
        <w:rPr>
          <w:rFonts w:eastAsia="仿宋_GB2312"/>
          <w:color w:val="000000"/>
          <w:szCs w:val="32"/>
        </w:rPr>
        <w:t>3.2.1外观。</w:t>
      </w:r>
    </w:p>
    <w:p>
      <w:pPr>
        <w:spacing w:line="520" w:lineRule="exact"/>
        <w:ind w:firstLine="640" w:firstLineChars="200"/>
        <w:rPr>
          <w:rFonts w:eastAsia="仿宋_GB2312"/>
          <w:color w:val="000000"/>
          <w:szCs w:val="32"/>
        </w:rPr>
      </w:pPr>
      <w:r>
        <w:rPr>
          <w:rFonts w:eastAsia="仿宋_GB2312"/>
          <w:color w:val="000000"/>
          <w:szCs w:val="32"/>
        </w:rPr>
        <w:t>3.2.2尺寸和</w:t>
      </w:r>
      <w:r>
        <w:rPr>
          <w:rFonts w:hint="eastAsia" w:eastAsia="仿宋_GB2312"/>
          <w:color w:val="000000"/>
          <w:szCs w:val="32"/>
        </w:rPr>
        <w:t>允</w:t>
      </w:r>
      <w:r>
        <w:rPr>
          <w:rFonts w:eastAsia="仿宋_GB2312"/>
          <w:color w:val="000000"/>
          <w:szCs w:val="32"/>
        </w:rPr>
        <w:t>差</w:t>
      </w:r>
      <w:r>
        <w:rPr>
          <w:rFonts w:hint="eastAsia" w:eastAsia="仿宋_GB2312"/>
          <w:color w:val="000000"/>
          <w:szCs w:val="32"/>
        </w:rPr>
        <w:t>，包括导管长度、直径，球囊充盈尺寸和额定容量等</w:t>
      </w:r>
      <w:r>
        <w:rPr>
          <w:rFonts w:eastAsia="仿宋_GB2312"/>
          <w:color w:val="000000"/>
          <w:szCs w:val="32"/>
        </w:rPr>
        <w:t>。</w:t>
      </w:r>
    </w:p>
    <w:p>
      <w:pPr>
        <w:snapToGrid w:val="0"/>
        <w:spacing w:line="520" w:lineRule="exact"/>
        <w:ind w:firstLine="640" w:firstLineChars="200"/>
        <w:rPr>
          <w:rFonts w:eastAsia="仿宋_GB2312"/>
          <w:szCs w:val="32"/>
        </w:rPr>
      </w:pPr>
      <w:r>
        <w:rPr>
          <w:rFonts w:eastAsia="仿宋_GB2312"/>
          <w:color w:val="000000"/>
          <w:szCs w:val="32"/>
        </w:rPr>
        <w:t>3.2.3</w:t>
      </w:r>
      <w:r>
        <w:rPr>
          <w:rFonts w:hint="eastAsia" w:ascii="仿宋_GB2312" w:eastAsia="仿宋_GB2312"/>
          <w:color w:val="000000"/>
          <w:szCs w:val="32"/>
        </w:rPr>
        <w:t>强度：直肠测压导管</w:t>
      </w:r>
      <w:r>
        <w:rPr>
          <w:rFonts w:hint="eastAsia" w:ascii="仿宋_GB2312" w:hAnsi="仿宋_GB2312" w:eastAsia="仿宋_GB2312"/>
          <w:szCs w:val="32"/>
        </w:rPr>
        <w:t>管体和接头各连接处的强度，</w:t>
      </w:r>
      <w:r>
        <w:rPr>
          <w:rFonts w:hint="eastAsia" w:ascii="仿宋_GB2312" w:eastAsia="仿宋_GB2312"/>
          <w:color w:val="000000"/>
          <w:szCs w:val="32"/>
        </w:rPr>
        <w:t>测压导管</w:t>
      </w:r>
      <w:r>
        <w:rPr>
          <w:rFonts w:hint="eastAsia" w:ascii="仿宋_GB2312" w:hAnsi="仿宋_GB2312" w:eastAsia="仿宋_GB2312"/>
          <w:szCs w:val="32"/>
        </w:rPr>
        <w:t>管身强度（生产企业自行制定）。</w:t>
      </w:r>
    </w:p>
    <w:p>
      <w:pPr>
        <w:spacing w:line="520" w:lineRule="exact"/>
        <w:ind w:firstLine="640" w:firstLineChars="200"/>
        <w:rPr>
          <w:rFonts w:eastAsia="仿宋_GB2312"/>
          <w:color w:val="000000"/>
          <w:szCs w:val="32"/>
        </w:rPr>
      </w:pPr>
      <w:r>
        <w:rPr>
          <w:rFonts w:eastAsia="仿宋_GB2312"/>
          <w:color w:val="000000"/>
          <w:szCs w:val="32"/>
        </w:rPr>
        <w:t>3.2.4</w:t>
      </w:r>
      <w:r>
        <w:rPr>
          <w:rFonts w:hint="eastAsia" w:eastAsia="仿宋_GB2312"/>
          <w:color w:val="000000"/>
          <w:szCs w:val="32"/>
        </w:rPr>
        <w:t>密封性。</w:t>
      </w:r>
    </w:p>
    <w:p>
      <w:pPr>
        <w:pStyle w:val="2"/>
        <w:spacing w:line="520" w:lineRule="exact"/>
        <w:ind w:firstLine="640" w:firstLineChars="200"/>
        <w:rPr>
          <w:rFonts w:hint="eastAsia" w:ascii="仿宋_GB2312" w:eastAsia="仿宋_GB2312"/>
          <w:sz w:val="32"/>
        </w:rPr>
      </w:pPr>
      <w:r>
        <w:rPr>
          <w:rFonts w:ascii="Times New Roman" w:hAnsi="Times New Roman" w:eastAsia="仿宋_GB2312"/>
          <w:sz w:val="32"/>
        </w:rPr>
        <w:t>3.2.5</w:t>
      </w:r>
      <w:r>
        <w:rPr>
          <w:rFonts w:hint="eastAsia" w:ascii="仿宋_GB2312" w:eastAsia="仿宋_GB2312"/>
          <w:sz w:val="32"/>
        </w:rPr>
        <w:t>畅通性。</w:t>
      </w:r>
    </w:p>
    <w:p>
      <w:pPr>
        <w:spacing w:line="520" w:lineRule="exact"/>
        <w:ind w:firstLine="640" w:firstLineChars="200"/>
        <w:rPr>
          <w:rFonts w:eastAsia="仿宋_GB2312"/>
          <w:color w:val="000000"/>
          <w:szCs w:val="32"/>
        </w:rPr>
      </w:pPr>
      <w:r>
        <w:rPr>
          <w:rFonts w:eastAsia="仿宋_GB2312"/>
          <w:color w:val="000000"/>
          <w:szCs w:val="32"/>
        </w:rPr>
        <w:t>3.2.6</w:t>
      </w:r>
      <w:r>
        <w:rPr>
          <w:rFonts w:hint="eastAsia" w:eastAsia="仿宋_GB2312"/>
          <w:color w:val="000000"/>
          <w:szCs w:val="32"/>
        </w:rPr>
        <w:t>耐弯曲性。</w:t>
      </w:r>
    </w:p>
    <w:p>
      <w:pPr>
        <w:spacing w:line="520" w:lineRule="exact"/>
        <w:ind w:firstLine="640" w:firstLineChars="200"/>
        <w:rPr>
          <w:rFonts w:eastAsia="仿宋_GB2312"/>
          <w:color w:val="000000"/>
          <w:szCs w:val="32"/>
        </w:rPr>
      </w:pPr>
      <w:r>
        <w:rPr>
          <w:rFonts w:eastAsia="仿宋_GB2312"/>
          <w:color w:val="000000"/>
          <w:szCs w:val="32"/>
        </w:rPr>
        <w:t>3.2.7</w:t>
      </w:r>
      <w:r>
        <w:rPr>
          <w:rFonts w:hint="eastAsia" w:eastAsia="仿宋_GB2312"/>
          <w:color w:val="000000"/>
          <w:szCs w:val="32"/>
        </w:rPr>
        <w:t>耐压性。</w:t>
      </w:r>
    </w:p>
    <w:p>
      <w:pPr>
        <w:spacing w:line="520" w:lineRule="exact"/>
        <w:ind w:firstLine="640" w:firstLineChars="200"/>
        <w:rPr>
          <w:rFonts w:eastAsia="仿宋_GB2312"/>
          <w:color w:val="000000"/>
          <w:szCs w:val="32"/>
        </w:rPr>
      </w:pPr>
      <w:r>
        <w:rPr>
          <w:rFonts w:eastAsia="仿宋_GB2312"/>
          <w:color w:val="000000"/>
          <w:szCs w:val="32"/>
        </w:rPr>
        <w:t>3.2.8</w:t>
      </w:r>
      <w:r>
        <w:rPr>
          <w:rFonts w:hint="eastAsia" w:eastAsia="仿宋_GB2312"/>
          <w:color w:val="000000"/>
          <w:szCs w:val="32"/>
        </w:rPr>
        <w:t>球囊可靠性、球囊疲劳/耐压性。</w:t>
      </w:r>
    </w:p>
    <w:p>
      <w:pPr>
        <w:spacing w:line="520" w:lineRule="exact"/>
        <w:ind w:firstLine="640" w:firstLineChars="200"/>
        <w:rPr>
          <w:rFonts w:eastAsia="仿宋_GB2312"/>
          <w:color w:val="000000"/>
          <w:szCs w:val="32"/>
        </w:rPr>
      </w:pPr>
      <w:r>
        <w:rPr>
          <w:rFonts w:eastAsia="仿宋_GB2312"/>
          <w:color w:val="000000"/>
          <w:szCs w:val="32"/>
        </w:rPr>
        <w:t>3.2.9</w:t>
      </w:r>
      <w:r>
        <w:rPr>
          <w:rFonts w:hint="eastAsia" w:eastAsia="仿宋_GB2312"/>
          <w:color w:val="000000"/>
          <w:szCs w:val="32"/>
        </w:rPr>
        <w:t>导管座、接头性能。</w:t>
      </w:r>
    </w:p>
    <w:p>
      <w:pPr>
        <w:spacing w:line="520" w:lineRule="exact"/>
        <w:ind w:firstLine="640" w:firstLineChars="200"/>
        <w:rPr>
          <w:rFonts w:eastAsia="仿宋_GB2312"/>
          <w:color w:val="000000"/>
          <w:szCs w:val="32"/>
        </w:rPr>
      </w:pPr>
      <w:r>
        <w:rPr>
          <w:rFonts w:eastAsia="仿宋_GB2312"/>
          <w:color w:val="000000"/>
          <w:szCs w:val="32"/>
        </w:rPr>
        <w:t>3.2.10灭菌产品的无菌性能。</w:t>
      </w:r>
    </w:p>
    <w:p>
      <w:pPr>
        <w:spacing w:line="520" w:lineRule="exact"/>
        <w:ind w:firstLine="640" w:firstLineChars="200"/>
        <w:rPr>
          <w:rFonts w:eastAsia="仿宋_GB2312"/>
          <w:color w:val="000000"/>
          <w:szCs w:val="32"/>
        </w:rPr>
      </w:pPr>
      <w:r>
        <w:rPr>
          <w:rFonts w:eastAsia="仿宋_GB2312"/>
          <w:color w:val="000000"/>
          <w:szCs w:val="32"/>
        </w:rPr>
        <w:t>3.2.11若灭菌使用的方法涉及出现残留，需对允许的残留量进行规定，如采用环氧乙烷灭菌的产品的环氧乙烷残留量的要求。</w:t>
      </w:r>
    </w:p>
    <w:p>
      <w:pPr>
        <w:spacing w:line="520" w:lineRule="exact"/>
        <w:ind w:firstLine="640" w:firstLineChars="200"/>
        <w:rPr>
          <w:rFonts w:eastAsia="仿宋_GB2312"/>
          <w:color w:val="000000"/>
          <w:szCs w:val="32"/>
        </w:rPr>
      </w:pPr>
      <w:r>
        <w:rPr>
          <w:rFonts w:eastAsia="仿宋_GB2312"/>
          <w:color w:val="000000"/>
          <w:szCs w:val="32"/>
        </w:rPr>
        <w:t>3.2.12</w:t>
      </w:r>
      <w:r>
        <w:rPr>
          <w:rFonts w:hint="eastAsia" w:eastAsia="仿宋_GB2312"/>
          <w:color w:val="000000"/>
          <w:szCs w:val="32"/>
        </w:rPr>
        <w:t>由申请人根据不同材料特性决定是否对直肠测压导管的化学性能（还原物质、重金属、酸碱度、蒸发残渣、紫外吸光度等）提出要求。</w:t>
      </w:r>
    </w:p>
    <w:p>
      <w:pPr>
        <w:spacing w:line="520" w:lineRule="exact"/>
        <w:ind w:firstLine="640" w:firstLineChars="200"/>
        <w:rPr>
          <w:rFonts w:eastAsia="仿宋_GB2312"/>
          <w:color w:val="000000"/>
          <w:szCs w:val="32"/>
        </w:rPr>
      </w:pPr>
      <w:r>
        <w:rPr>
          <w:rFonts w:eastAsia="仿宋_GB2312"/>
          <w:color w:val="000000"/>
          <w:szCs w:val="32"/>
        </w:rPr>
        <w:t>3.3检验方法</w:t>
      </w:r>
    </w:p>
    <w:p>
      <w:pPr>
        <w:spacing w:line="520" w:lineRule="exact"/>
        <w:ind w:firstLine="640" w:firstLineChars="200"/>
        <w:rPr>
          <w:rFonts w:eastAsia="仿宋_GB2312"/>
          <w:color w:val="000000"/>
          <w:szCs w:val="32"/>
        </w:rPr>
      </w:pPr>
      <w:r>
        <w:rPr>
          <w:rFonts w:eastAsia="仿宋_GB2312"/>
          <w:color w:val="000000"/>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pPr>
        <w:pStyle w:val="13"/>
        <w:spacing w:line="520" w:lineRule="exact"/>
        <w:ind w:firstLine="640"/>
        <w:rPr>
          <w:color w:val="000000"/>
        </w:rPr>
      </w:pPr>
      <w:r>
        <w:rPr>
          <w:color w:val="000000"/>
        </w:rPr>
        <w:t>4.同一注册单元内检验典型性产品确定原则</w:t>
      </w:r>
    </w:p>
    <w:p>
      <w:pPr>
        <w:spacing w:line="520" w:lineRule="exact"/>
        <w:ind w:firstLine="640" w:firstLineChars="200"/>
        <w:rPr>
          <w:rFonts w:eastAsia="仿宋_GB2312"/>
          <w:color w:val="000000"/>
          <w:szCs w:val="32"/>
        </w:rPr>
      </w:pPr>
      <w:r>
        <w:rPr>
          <w:rFonts w:eastAsia="仿宋_GB2312"/>
          <w:color w:val="000000"/>
          <w:szCs w:val="32"/>
        </w:rPr>
        <w:t>同一注册单元内所检验的产品应当能够代表本注册单元内其他产品的安全性和有效性，并提供典型性检验样品的确定依据。</w:t>
      </w:r>
      <w:r>
        <w:rPr>
          <w:rFonts w:hAnsi="仿宋_GB2312"/>
          <w:color w:val="000000"/>
          <w:szCs w:val="32"/>
        </w:rPr>
        <w:t>组成材料、结构、性能等具有差异的产品，建议分别选取典型性型号，进行差异性检验。</w:t>
      </w:r>
    </w:p>
    <w:p>
      <w:pPr>
        <w:spacing w:line="520" w:lineRule="exact"/>
        <w:ind w:firstLine="640" w:firstLineChars="200"/>
        <w:rPr>
          <w:rFonts w:eastAsia="仿宋_GB2312"/>
          <w:color w:val="000000"/>
          <w:szCs w:val="32"/>
        </w:rPr>
      </w:pPr>
      <w:r>
        <w:rPr>
          <w:rFonts w:eastAsia="仿宋_GB2312"/>
          <w:color w:val="000000"/>
          <w:szCs w:val="32"/>
        </w:rPr>
        <w:t>5.研究资料</w:t>
      </w:r>
    </w:p>
    <w:p>
      <w:pPr>
        <w:spacing w:line="520" w:lineRule="exact"/>
        <w:ind w:firstLine="640" w:firstLineChars="200"/>
        <w:jc w:val="left"/>
        <w:rPr>
          <w:rFonts w:eastAsia="仿宋_GB2312"/>
          <w:color w:val="000000"/>
          <w:szCs w:val="32"/>
        </w:rPr>
      </w:pPr>
      <w:r>
        <w:rPr>
          <w:rFonts w:eastAsia="仿宋_GB2312"/>
          <w:color w:val="000000"/>
          <w:szCs w:val="32"/>
        </w:rPr>
        <w:t>5.1物理和</w:t>
      </w:r>
      <w:r>
        <w:rPr>
          <w:rFonts w:hint="eastAsia" w:eastAsia="仿宋_GB2312"/>
          <w:color w:val="000000"/>
          <w:szCs w:val="32"/>
        </w:rPr>
        <w:t>化学</w:t>
      </w:r>
      <w:r>
        <w:rPr>
          <w:rFonts w:eastAsia="仿宋_GB2312"/>
          <w:color w:val="000000"/>
          <w:szCs w:val="32"/>
        </w:rPr>
        <w:t>性能研究</w:t>
      </w:r>
    </w:p>
    <w:p>
      <w:pPr>
        <w:adjustRightInd w:val="0"/>
        <w:snapToGrid w:val="0"/>
        <w:spacing w:line="520" w:lineRule="exact"/>
        <w:ind w:firstLine="640" w:firstLineChars="200"/>
        <w:rPr>
          <w:rFonts w:eastAsia="仿宋_GB2312"/>
          <w:color w:val="000000"/>
          <w:szCs w:val="32"/>
        </w:rPr>
      </w:pPr>
      <w:r>
        <w:rPr>
          <w:rFonts w:hint="eastAsia" w:eastAsia="仿宋_GB2312"/>
          <w:color w:val="000000"/>
          <w:szCs w:val="32"/>
        </w:rPr>
        <w:t>应当提供产品化学/材料表征、物理和/或机械性能指标的确定依据、设计输入来源以及临床意义，所采用的标准或方法、采用的原因及理论基础。</w:t>
      </w:r>
    </w:p>
    <w:p>
      <w:pPr>
        <w:adjustRightInd w:val="0"/>
        <w:snapToGrid w:val="0"/>
        <w:spacing w:line="520" w:lineRule="exact"/>
        <w:ind w:firstLine="640" w:firstLineChars="200"/>
        <w:rPr>
          <w:rFonts w:eastAsia="仿宋_GB2312"/>
          <w:color w:val="000000"/>
          <w:szCs w:val="32"/>
        </w:rPr>
      </w:pPr>
      <w:r>
        <w:rPr>
          <w:rFonts w:eastAsia="仿宋_GB2312"/>
          <w:color w:val="000000"/>
          <w:szCs w:val="32"/>
        </w:rPr>
        <w:t>5.2</w:t>
      </w:r>
      <w:r>
        <w:rPr>
          <w:rFonts w:hint="eastAsia" w:eastAsia="仿宋_GB2312"/>
          <w:color w:val="000000"/>
          <w:szCs w:val="32"/>
        </w:rPr>
        <w:t>可用性研究</w:t>
      </w:r>
    </w:p>
    <w:p>
      <w:pPr>
        <w:adjustRightInd w:val="0"/>
        <w:snapToGrid w:val="0"/>
        <w:spacing w:line="520" w:lineRule="exact"/>
        <w:ind w:firstLine="640" w:firstLineChars="200"/>
        <w:rPr>
          <w:rFonts w:eastAsia="仿宋_GB2312"/>
          <w:color w:val="000000"/>
          <w:szCs w:val="32"/>
        </w:rPr>
      </w:pPr>
      <w:r>
        <w:rPr>
          <w:rFonts w:hint="eastAsia" w:eastAsia="仿宋_GB2312"/>
          <w:color w:val="000000"/>
          <w:szCs w:val="32"/>
        </w:rPr>
        <w:t>医疗器械可用性工程是医疗器械设计开发的重要组成部分，注册申请人需在质量管理体系设计开发过程的框架下，参考指导原则相应内容或可用性相关标准，建立充分、适宜、有效的可用性工程过程。</w:t>
      </w:r>
    </w:p>
    <w:p>
      <w:pPr>
        <w:adjustRightInd w:val="0"/>
        <w:snapToGrid w:val="0"/>
        <w:spacing w:line="520" w:lineRule="exact"/>
        <w:ind w:firstLine="640" w:firstLineChars="200"/>
        <w:rPr>
          <w:rFonts w:eastAsia="仿宋_GB2312"/>
          <w:color w:val="000000"/>
          <w:szCs w:val="32"/>
        </w:rPr>
      </w:pPr>
      <w:r>
        <w:rPr>
          <w:rFonts w:hint="eastAsia" w:eastAsia="仿宋_GB2312"/>
          <w:color w:val="000000"/>
          <w:szCs w:val="32"/>
        </w:rPr>
        <w:t>基于医疗器械使用风险级别区分监管要求：中、低使用风险医疗器械可基于风险管理过程开展可用性工程生命周期质控工作，提交使用错误评估报告。</w:t>
      </w:r>
    </w:p>
    <w:p>
      <w:pPr>
        <w:adjustRightInd w:val="0"/>
        <w:snapToGrid w:val="0"/>
        <w:spacing w:line="520" w:lineRule="exact"/>
        <w:ind w:firstLine="640" w:firstLineChars="200"/>
        <w:rPr>
          <w:rFonts w:eastAsia="仿宋_GB2312"/>
          <w:color w:val="000000"/>
          <w:szCs w:val="32"/>
        </w:rPr>
      </w:pPr>
      <w:r>
        <w:rPr>
          <w:rFonts w:hint="eastAsia" w:eastAsia="仿宋_GB2312"/>
          <w:color w:val="000000"/>
          <w:szCs w:val="32"/>
        </w:rPr>
        <w:t>使用错误评估报告用于细化风险管理报告关于可用性的内容，包括基本信息、使用风险级别、核心要素、同类医疗器械上市后使用问题分析、使用风险管理、结论等内容。</w:t>
      </w:r>
    </w:p>
    <w:p>
      <w:pPr>
        <w:spacing w:line="520" w:lineRule="exact"/>
        <w:ind w:firstLine="640" w:firstLineChars="200"/>
        <w:rPr>
          <w:rFonts w:eastAsia="仿宋_GB2312"/>
          <w:color w:val="000000"/>
          <w:szCs w:val="32"/>
        </w:rPr>
      </w:pPr>
      <w:r>
        <w:rPr>
          <w:rFonts w:eastAsia="仿宋_GB2312"/>
          <w:color w:val="000000"/>
          <w:szCs w:val="32"/>
        </w:rPr>
        <w:t>5.3生物学特性研究</w:t>
      </w:r>
    </w:p>
    <w:p>
      <w:pPr>
        <w:spacing w:line="520" w:lineRule="exact"/>
        <w:ind w:firstLine="640" w:firstLineChars="200"/>
        <w:rPr>
          <w:rFonts w:eastAsia="仿宋_GB2312"/>
          <w:color w:val="000000"/>
          <w:szCs w:val="32"/>
        </w:rPr>
      </w:pPr>
      <w:r>
        <w:rPr>
          <w:rFonts w:hint="eastAsia" w:eastAsia="仿宋_GB2312"/>
          <w:color w:val="000000"/>
          <w:szCs w:val="32"/>
        </w:rPr>
        <w:t>生物相容性评价研究资料应当包括：生物相容性评价的依据和方法；产品所用材料的描述及与人体接触的性质；实施或豁免生物学试验的理由和论证；对于现有数据或试验结果的评价。</w:t>
      </w:r>
    </w:p>
    <w:p>
      <w:pPr>
        <w:spacing w:line="520" w:lineRule="exact"/>
        <w:ind w:firstLine="640" w:firstLineChars="200"/>
        <w:rPr>
          <w:rFonts w:eastAsia="仿宋_GB2312"/>
          <w:color w:val="000000"/>
          <w:szCs w:val="32"/>
        </w:rPr>
      </w:pPr>
      <w:r>
        <w:rPr>
          <w:rFonts w:hint="eastAsia" w:eastAsia="仿宋_GB2312"/>
          <w:color w:val="000000"/>
          <w:szCs w:val="32"/>
        </w:rPr>
        <w:t>产品首次注册时应对产品所用材料及与人体的接触性质、接触时间按照GB/T 16886.1《医疗器械生物学评价 第1部分：风险管理过程中的评价与试验》要求对其进行生物相容性评价。</w:t>
      </w:r>
      <w:r>
        <w:rPr>
          <w:rFonts w:hint="eastAsia" w:eastAsia="仿宋_GB2312"/>
          <w:szCs w:val="32"/>
        </w:rPr>
        <w:t>正常使用情况下直肠测压导管与黏膜短期接触，考虑的生物相容性评价终点需至少包括：细胞毒性、致敏、黏膜刺激或皮内反应。</w:t>
      </w:r>
    </w:p>
    <w:p>
      <w:pPr>
        <w:spacing w:line="520" w:lineRule="exact"/>
        <w:ind w:firstLine="640" w:firstLineChars="200"/>
        <w:rPr>
          <w:rFonts w:eastAsia="仿宋_GB2312"/>
          <w:color w:val="000000"/>
          <w:szCs w:val="32"/>
        </w:rPr>
      </w:pPr>
      <w:r>
        <w:rPr>
          <w:rFonts w:hint="eastAsia" w:eastAsia="仿宋_GB2312"/>
          <w:color w:val="000000"/>
          <w:szCs w:val="32"/>
        </w:rPr>
        <w:t>若开展申报产品与市售产品的等同性比较的方式进行生物相容性评价，应按照《关于印发医疗器械生物学评价和审查指南的通知》要求进行评价，应提供资料证明申报产品与已上市产品具有等同性。</w:t>
      </w:r>
    </w:p>
    <w:p>
      <w:pPr>
        <w:spacing w:line="520" w:lineRule="exact"/>
        <w:ind w:firstLine="640" w:firstLineChars="200"/>
        <w:rPr>
          <w:rFonts w:eastAsia="仿宋_GB2312"/>
          <w:color w:val="000000"/>
          <w:szCs w:val="32"/>
        </w:rPr>
      </w:pPr>
      <w:r>
        <w:rPr>
          <w:rFonts w:eastAsia="仿宋_GB2312"/>
          <w:color w:val="000000"/>
          <w:szCs w:val="32"/>
        </w:rPr>
        <w:t>5.4清洁、灭菌研究</w:t>
      </w:r>
    </w:p>
    <w:p>
      <w:pPr>
        <w:spacing w:line="520" w:lineRule="exact"/>
        <w:ind w:firstLine="640" w:firstLineChars="200"/>
        <w:rPr>
          <w:rFonts w:eastAsia="仿宋_GB2312"/>
          <w:color w:val="000000"/>
          <w:szCs w:val="32"/>
        </w:rPr>
      </w:pPr>
      <w:r>
        <w:rPr>
          <w:rFonts w:hint="eastAsia" w:eastAsia="仿宋_GB2312"/>
          <w:color w:val="000000"/>
          <w:szCs w:val="32"/>
        </w:rPr>
        <w:t>描述用于保证产品无菌的质量保证体系，明确灭菌工艺（方法和参数）和无菌保证水平（SAL）。产品无菌保证水平（SAL）需达到10</w:t>
      </w:r>
      <w:r>
        <w:rPr>
          <w:rFonts w:hint="eastAsia" w:eastAsia="仿宋_GB2312"/>
          <w:color w:val="000000"/>
          <w:szCs w:val="32"/>
          <w:vertAlign w:val="superscript"/>
        </w:rPr>
        <w:t>-6</w:t>
      </w:r>
      <w:r>
        <w:rPr>
          <w:rFonts w:hint="eastAsia" w:eastAsia="仿宋_GB2312"/>
          <w:color w:val="000000"/>
          <w:szCs w:val="32"/>
        </w:rPr>
        <w:t>，提供灭菌验证或确认报告，报告内容应符合GB 18279《医疗保健产品灭菌 环氧乙烷》系列标准、GB 18280《医疗保健产品灭菌 辐射》系列标准和和GB/T 16886.7《医疗器械生物学评价第7部分：环氧乙烷灭菌残留量》等相关标准的规定。灭菌确认应考虑产品与灭菌过程的适应性、包装和标签与灭菌过程的适应性等内容。</w:t>
      </w:r>
    </w:p>
    <w:p>
      <w:pPr>
        <w:spacing w:line="520" w:lineRule="exact"/>
        <w:ind w:firstLine="640" w:firstLineChars="200"/>
        <w:rPr>
          <w:rFonts w:eastAsia="仿宋_GB2312"/>
          <w:color w:val="000000"/>
          <w:szCs w:val="32"/>
        </w:rPr>
      </w:pPr>
      <w:r>
        <w:rPr>
          <w:rFonts w:hint="eastAsia" w:eastAsia="仿宋_GB2312"/>
          <w:color w:val="000000"/>
          <w:szCs w:val="32"/>
        </w:rPr>
        <w:t>残留毒性：若灭菌使用的方法容易出现残留，如环氧乙烷灭菌，应当明确残留物信息及采取的处理方法，并提供研究资料。</w:t>
      </w:r>
    </w:p>
    <w:p>
      <w:pPr>
        <w:spacing w:line="520" w:lineRule="exact"/>
        <w:ind w:firstLine="640" w:firstLineChars="200"/>
        <w:rPr>
          <w:rFonts w:eastAsia="仿宋_GB2312"/>
          <w:color w:val="000000"/>
          <w:szCs w:val="32"/>
        </w:rPr>
      </w:pPr>
      <w:r>
        <w:rPr>
          <w:rFonts w:eastAsia="仿宋_GB2312"/>
          <w:color w:val="000000"/>
          <w:szCs w:val="32"/>
        </w:rPr>
        <w:t>5.5稳定性研究</w:t>
      </w:r>
    </w:p>
    <w:p>
      <w:pPr>
        <w:spacing w:line="520" w:lineRule="exact"/>
        <w:ind w:firstLine="640" w:firstLineChars="200"/>
        <w:rPr>
          <w:rFonts w:eastAsia="仿宋_GB2312"/>
          <w:color w:val="000000"/>
          <w:szCs w:val="32"/>
        </w:rPr>
      </w:pPr>
      <w:r>
        <w:rPr>
          <w:rFonts w:eastAsia="仿宋_GB2312"/>
          <w:color w:val="000000"/>
          <w:szCs w:val="32"/>
        </w:rPr>
        <w:t>5.5.1货架有效期</w:t>
      </w:r>
    </w:p>
    <w:p>
      <w:pPr>
        <w:spacing w:line="520" w:lineRule="exact"/>
        <w:ind w:firstLine="640" w:firstLineChars="200"/>
        <w:rPr>
          <w:rFonts w:eastAsia="仿宋_GB2312"/>
          <w:color w:val="000000"/>
          <w:szCs w:val="32"/>
        </w:rPr>
      </w:pPr>
      <w:r>
        <w:rPr>
          <w:rFonts w:hint="eastAsia" w:eastAsia="仿宋_GB2312"/>
          <w:color w:val="000000"/>
          <w:szCs w:val="32"/>
        </w:rPr>
        <w:t>货架有效期包括产品有效期和包装有效期。产品有效期验证可采用实时老化或加速老化的研究。实时老化的研究是唯一能够反映产品在规定储存条件下实际稳定性要求的方法。加速老化试验选择的环境条件的老化机制应与宣称的真实运输储存条件下发生产品老化的机制相匹配。加速老化研究报告中应明确试验温度、湿度、加速老化因子、加速老化时间的确定依据。</w:t>
      </w:r>
    </w:p>
    <w:p>
      <w:pPr>
        <w:spacing w:line="520" w:lineRule="exact"/>
        <w:ind w:firstLine="640" w:firstLineChars="200"/>
        <w:rPr>
          <w:rFonts w:eastAsia="仿宋_GB2312"/>
          <w:color w:val="000000"/>
          <w:szCs w:val="32"/>
        </w:rPr>
      </w:pPr>
      <w:r>
        <w:rPr>
          <w:rFonts w:hint="eastAsia" w:eastAsia="仿宋_GB2312"/>
          <w:color w:val="000000"/>
          <w:szCs w:val="32"/>
        </w:rPr>
        <w:t>申请人可依据相关标准，如 GB/T 19633《最终灭菌医疗器械包装》系列标准、YY/T 0681《无菌医疗器械包装试验方法》、YY/T0698《最终灭菌医疗器械包装材料》系列标准等进行包装研究。</w:t>
      </w:r>
    </w:p>
    <w:p>
      <w:pPr>
        <w:spacing w:line="520" w:lineRule="exact"/>
        <w:ind w:firstLine="640" w:firstLineChars="200"/>
        <w:rPr>
          <w:rFonts w:eastAsia="仿宋_GB2312"/>
          <w:color w:val="000000"/>
          <w:szCs w:val="32"/>
        </w:rPr>
      </w:pPr>
      <w:r>
        <w:rPr>
          <w:rFonts w:eastAsia="仿宋_GB2312"/>
          <w:color w:val="000000"/>
          <w:szCs w:val="32"/>
        </w:rPr>
        <w:t>5.5.2运输稳定性</w:t>
      </w:r>
    </w:p>
    <w:p>
      <w:pPr>
        <w:spacing w:line="520" w:lineRule="exact"/>
        <w:ind w:firstLine="640" w:firstLineChars="200"/>
        <w:rPr>
          <w:rFonts w:eastAsia="仿宋_GB2312"/>
          <w:color w:val="000000"/>
          <w:szCs w:val="32"/>
        </w:rPr>
      </w:pPr>
      <w:r>
        <w:rPr>
          <w:rFonts w:eastAsia="仿宋_GB2312"/>
          <w:color w:val="000000"/>
          <w:szCs w:val="32"/>
        </w:rPr>
        <w:t>注册申请人需提交运输稳定性验证资料，证明在规定的运输条件下，运输过程中环境条件（例如：震动、振动、温度和湿度的波动）不会对医疗器械的特性和性能，包括完整性和清洁度，造成不利影响。</w:t>
      </w:r>
    </w:p>
    <w:p>
      <w:pPr>
        <w:adjustRightInd w:val="0"/>
        <w:snapToGrid w:val="0"/>
        <w:spacing w:line="520" w:lineRule="exact"/>
        <w:ind w:firstLine="640" w:firstLineChars="200"/>
        <w:rPr>
          <w:rFonts w:eastAsia="仿宋_GB2312"/>
          <w:color w:val="000000"/>
          <w:szCs w:val="32"/>
        </w:rPr>
      </w:pPr>
      <w:r>
        <w:rPr>
          <w:rFonts w:eastAsia="仿宋_GB2312"/>
          <w:color w:val="000000"/>
          <w:szCs w:val="32"/>
        </w:rPr>
        <w:t>6.</w:t>
      </w:r>
      <w:r>
        <w:rPr>
          <w:rFonts w:hint="eastAsia" w:eastAsia="仿宋_GB2312"/>
          <w:color w:val="000000"/>
          <w:szCs w:val="32"/>
        </w:rPr>
        <w:t>其他资料</w:t>
      </w:r>
    </w:p>
    <w:p>
      <w:pPr>
        <w:adjustRightInd w:val="0"/>
        <w:snapToGrid w:val="0"/>
        <w:spacing w:line="520" w:lineRule="exact"/>
        <w:ind w:firstLine="640" w:firstLineChars="200"/>
        <w:rPr>
          <w:rFonts w:hint="eastAsia" w:ascii="仿宋_GB2312" w:eastAsia="仿宋_GB2312"/>
          <w:szCs w:val="32"/>
        </w:rPr>
      </w:pPr>
      <w:r>
        <w:rPr>
          <w:rFonts w:hint="eastAsia" w:ascii="仿宋_GB2312" w:hAnsi="仿宋_GB2312" w:eastAsia="仿宋_GB2312"/>
          <w:szCs w:val="32"/>
        </w:rPr>
        <w:t>提交申报产品相关信息与《免于临床评价医疗器械目录》（以下简称《目录》）所述内容的对比资料；提交申报产品与《目录》中已获准境内注册医疗器械的对比说明，对比说明应当包括《申报产品与目录中已获准境内注册医疗器械对比表》和相应支持性资料。若经对比，申报产品与对比产品存在差异，还应提交差异部分对安全有效性影响的分析研究资料。二者的差异不应引起不同的安全有效性问题，即申报产品未出现对比产品不存在的且可能引发重大风险和</w:t>
      </w:r>
      <w:r>
        <w:rPr>
          <w:rFonts w:hint="eastAsia" w:ascii="仿宋_GB2312" w:eastAsia="仿宋_GB2312"/>
          <w:szCs w:val="32"/>
        </w:rPr>
        <w:t>/</w:t>
      </w:r>
      <w:r>
        <w:rPr>
          <w:rFonts w:hint="eastAsia" w:ascii="仿宋_GB2312" w:hAnsi="仿宋_GB2312" w:eastAsia="仿宋_GB2312"/>
          <w:szCs w:val="32"/>
        </w:rPr>
        <w:t>或引起显著影响有效性的问题。提交的上述资料应能证明申报产品与《目录》所述的产品具有基本等同性。若无法证明申报产品与《目录》所述的产品具有基本等同性，则应开展临床评价。</w:t>
      </w:r>
    </w:p>
    <w:p>
      <w:pPr>
        <w:spacing w:line="520" w:lineRule="exact"/>
        <w:ind w:firstLine="640" w:firstLineChars="200"/>
        <w:outlineLvl w:val="1"/>
        <w:rPr>
          <w:rFonts w:eastAsia="楷体_GB2312"/>
          <w:color w:val="000000"/>
          <w:szCs w:val="32"/>
        </w:rPr>
      </w:pPr>
      <w:r>
        <w:rPr>
          <w:rFonts w:eastAsia="楷体_GB2312"/>
          <w:color w:val="000000"/>
          <w:szCs w:val="32"/>
        </w:rPr>
        <w:t>（四）临床评价资料</w:t>
      </w:r>
    </w:p>
    <w:p>
      <w:pPr>
        <w:spacing w:line="520" w:lineRule="exact"/>
        <w:ind w:firstLine="640" w:firstLineChars="200"/>
        <w:rPr>
          <w:rFonts w:eastAsia="仿宋_GB2312"/>
          <w:color w:val="000000"/>
          <w:szCs w:val="32"/>
        </w:rPr>
      </w:pPr>
      <w:r>
        <w:rPr>
          <w:rFonts w:hint="eastAsia" w:eastAsia="仿宋_GB2312"/>
          <w:color w:val="000000"/>
          <w:szCs w:val="32"/>
        </w:rPr>
        <w:t>对于不符合《目录》的产品，注册申请人应按照《医疗器械临床评价技术指导原则》提交临床评价资料。</w:t>
      </w:r>
    </w:p>
    <w:p>
      <w:pPr>
        <w:spacing w:line="520" w:lineRule="exact"/>
        <w:ind w:firstLine="640" w:firstLineChars="200"/>
        <w:outlineLvl w:val="1"/>
        <w:rPr>
          <w:rFonts w:eastAsia="楷体_GB2312"/>
          <w:color w:val="000000"/>
          <w:szCs w:val="32"/>
        </w:rPr>
      </w:pPr>
      <w:r>
        <w:rPr>
          <w:rFonts w:eastAsia="楷体_GB2312"/>
          <w:color w:val="000000"/>
          <w:szCs w:val="32"/>
        </w:rPr>
        <w:t>（五）产品说明书和标签样稿</w:t>
      </w:r>
    </w:p>
    <w:p>
      <w:pPr>
        <w:spacing w:line="520" w:lineRule="exact"/>
        <w:ind w:firstLine="640" w:firstLineChars="200"/>
        <w:rPr>
          <w:rFonts w:eastAsia="仿宋_GB2312"/>
          <w:color w:val="000000"/>
          <w:szCs w:val="32"/>
        </w:rPr>
      </w:pPr>
      <w:r>
        <w:rPr>
          <w:rFonts w:eastAsia="仿宋_GB2312"/>
          <w:color w:val="000000"/>
          <w:szCs w:val="32"/>
        </w:rPr>
        <w:t>按照《医疗器械说明书和标签管理规定》要求编制产品说明书和标签样稿。</w:t>
      </w:r>
    </w:p>
    <w:p>
      <w:pPr>
        <w:spacing w:line="520" w:lineRule="exact"/>
        <w:ind w:firstLine="640" w:firstLineChars="200"/>
        <w:rPr>
          <w:rFonts w:eastAsia="仿宋_GB2312"/>
          <w:color w:val="000000"/>
          <w:szCs w:val="32"/>
        </w:rPr>
      </w:pPr>
      <w:r>
        <w:rPr>
          <w:rFonts w:hint="eastAsia" w:eastAsia="仿宋_GB2312"/>
          <w:color w:val="000000"/>
          <w:szCs w:val="32"/>
        </w:rPr>
        <w:t>说明说中应明确产品的性能结构及组成、适用范围、禁忌证、注意事项、警示性及提示性说明。应注意以下内容：</w:t>
      </w:r>
      <w:r>
        <w:rPr>
          <w:rFonts w:eastAsia="仿宋_GB2312"/>
          <w:color w:val="000000"/>
          <w:szCs w:val="32"/>
        </w:rPr>
        <w:t>1、</w:t>
      </w:r>
      <w:r>
        <w:rPr>
          <w:rFonts w:hint="eastAsia" w:ascii="仿宋_GB2312" w:eastAsia="仿宋_GB2312"/>
        </w:rPr>
        <w:t>若申请人宣称产品使用过程中不使用润滑剂，应明确予以说明。若申请人有推荐使用的润滑剂，应说明推荐使用的润滑剂种类、经验证的最大用量等信息。根据润滑剂相关研究资料，若有不适用的润滑剂，警示信息中明确避免使用的润滑剂种类。</w:t>
      </w:r>
    </w:p>
    <w:p>
      <w:pPr>
        <w:spacing w:line="520" w:lineRule="exact"/>
        <w:ind w:firstLine="640" w:firstLineChars="200"/>
        <w:outlineLvl w:val="1"/>
        <w:rPr>
          <w:rFonts w:eastAsia="楷体_GB2312"/>
          <w:color w:val="000000"/>
          <w:szCs w:val="32"/>
        </w:rPr>
      </w:pPr>
      <w:r>
        <w:rPr>
          <w:rFonts w:eastAsia="楷体_GB2312"/>
          <w:color w:val="000000"/>
          <w:szCs w:val="32"/>
        </w:rPr>
        <w:t>（六）质量管理体系文件</w:t>
      </w:r>
    </w:p>
    <w:p>
      <w:pPr>
        <w:spacing w:line="520" w:lineRule="exact"/>
        <w:ind w:firstLine="640" w:firstLineChars="200"/>
        <w:rPr>
          <w:rFonts w:eastAsia="仿宋_GB2312"/>
          <w:color w:val="000000"/>
          <w:szCs w:val="32"/>
        </w:rPr>
      </w:pPr>
      <w:r>
        <w:rPr>
          <w:rFonts w:eastAsia="仿宋_GB2312"/>
          <w:color w:val="000000"/>
          <w:szCs w:val="32"/>
        </w:rPr>
        <w:t>1.详述产品的生产工艺和步骤，提供生产工艺流程图。提交产品生产工艺概述、生产工艺过程中需要进行控制和测试的环节及相关证明性资料。确认关键工艺点，并对生产工艺的可控性、稳定性进行确认。</w:t>
      </w:r>
    </w:p>
    <w:p>
      <w:pPr>
        <w:spacing w:line="520" w:lineRule="exact"/>
        <w:ind w:firstLine="640" w:firstLineChars="200"/>
        <w:rPr>
          <w:rFonts w:eastAsia="仿宋_GB2312"/>
          <w:color w:val="000000"/>
          <w:szCs w:val="32"/>
        </w:rPr>
      </w:pPr>
      <w:r>
        <w:rPr>
          <w:rFonts w:eastAsia="仿宋_GB2312"/>
          <w:color w:val="000000"/>
          <w:szCs w:val="32"/>
        </w:rPr>
        <w:t>2.明确特殊过程和关键工序，提供特殊过程的确认资料以及关键工序的验证资料。对于可能影响终产品性能的内容，如打印工艺，后处理工艺，清洗工艺等，需提供详细的工艺验证资料。</w:t>
      </w:r>
    </w:p>
    <w:p>
      <w:pPr>
        <w:spacing w:line="520" w:lineRule="exact"/>
        <w:ind w:firstLine="640" w:firstLineChars="200"/>
        <w:rPr>
          <w:rFonts w:eastAsia="仿宋_GB2312"/>
          <w:color w:val="000000"/>
          <w:szCs w:val="32"/>
        </w:rPr>
      </w:pPr>
      <w:r>
        <w:rPr>
          <w:rFonts w:eastAsia="仿宋_GB2312"/>
          <w:color w:val="000000"/>
          <w:szCs w:val="32"/>
        </w:rPr>
        <w:t>3.明确原材料及生产工艺中涉及的各种加工助剂的质量控制标准。</w:t>
      </w:r>
    </w:p>
    <w:p>
      <w:pPr>
        <w:pStyle w:val="13"/>
        <w:spacing w:line="520" w:lineRule="exact"/>
        <w:ind w:firstLine="640"/>
        <w:jc w:val="left"/>
        <w:outlineLvl w:val="0"/>
        <w:rPr>
          <w:rFonts w:eastAsia="黑体"/>
        </w:rPr>
      </w:pPr>
      <w:bookmarkStart w:id="1" w:name="_GoBack"/>
      <w:bookmarkStart w:id="0" w:name="_Toc265839389"/>
      <w:r>
        <w:rPr>
          <w:rFonts w:hint="eastAsia" w:eastAsia="黑体"/>
        </w:rPr>
        <w:t>三、</w:t>
      </w:r>
      <w:r>
        <w:rPr>
          <w:rFonts w:eastAsia="黑体"/>
        </w:rPr>
        <w:t>参考文献</w:t>
      </w:r>
      <w:bookmarkEnd w:id="0"/>
    </w:p>
    <w:bookmarkEnd w:id="1"/>
    <w:p>
      <w:pPr>
        <w:spacing w:line="520" w:lineRule="exact"/>
        <w:ind w:right="-102" w:rightChars="-32" w:firstLine="640" w:firstLineChars="200"/>
        <w:rPr>
          <w:rFonts w:eastAsia="仿宋_GB2312"/>
          <w:color w:val="000000"/>
          <w:szCs w:val="32"/>
        </w:rPr>
      </w:pPr>
      <w:r>
        <w:rPr>
          <w:rFonts w:eastAsia="仿宋_GB2312"/>
          <w:color w:val="000000"/>
          <w:szCs w:val="32"/>
        </w:rPr>
        <w:t>[1]</w:t>
      </w:r>
      <w:r>
        <w:rPr>
          <w:rFonts w:eastAsia="仿宋_GB2312"/>
          <w:szCs w:val="32"/>
          <w:lang w:val="en"/>
        </w:rPr>
        <w:t>中华人民共和国国务院</w:t>
      </w:r>
      <w:r>
        <w:rPr>
          <w:rFonts w:hint="eastAsia" w:eastAsia="仿宋_GB2312"/>
          <w:szCs w:val="32"/>
          <w:lang w:val="en"/>
        </w:rPr>
        <w:t>.</w:t>
      </w:r>
      <w:r>
        <w:rPr>
          <w:rFonts w:eastAsia="仿宋_GB2312"/>
          <w:szCs w:val="32"/>
        </w:rPr>
        <w:t>医疗器械监督管理条例</w:t>
      </w:r>
      <w:r>
        <w:rPr>
          <w:rFonts w:hint="eastAsia" w:eastAsia="仿宋_GB2312"/>
          <w:szCs w:val="32"/>
        </w:rPr>
        <w:t>:</w:t>
      </w:r>
      <w:r>
        <w:rPr>
          <w:rFonts w:eastAsia="仿宋_GB2312"/>
          <w:szCs w:val="32"/>
          <w:lang w:val="en"/>
        </w:rPr>
        <w:t>中华人民共和国国务院令第739号</w:t>
      </w:r>
      <w:r>
        <w:rPr>
          <w:rFonts w:eastAsia="仿宋_GB2312"/>
          <w:szCs w:val="32"/>
        </w:rPr>
        <w:t>[Z].</w:t>
      </w:r>
    </w:p>
    <w:p>
      <w:pPr>
        <w:spacing w:line="520" w:lineRule="exact"/>
        <w:ind w:firstLine="640" w:firstLineChars="200"/>
        <w:rPr>
          <w:rFonts w:eastAsia="仿宋_GB2312"/>
          <w:szCs w:val="32"/>
        </w:rPr>
      </w:pPr>
      <w:r>
        <w:rPr>
          <w:rFonts w:eastAsia="仿宋_GB2312"/>
          <w:color w:val="000000"/>
          <w:szCs w:val="32"/>
        </w:rPr>
        <w:t>[2]</w:t>
      </w:r>
      <w:r>
        <w:rPr>
          <w:rFonts w:eastAsia="仿宋_GB2312"/>
          <w:szCs w:val="32"/>
        </w:rPr>
        <w:t>国家市场监督管理总局</w:t>
      </w:r>
      <w:r>
        <w:rPr>
          <w:rFonts w:hint="eastAsia" w:eastAsia="仿宋_GB2312"/>
          <w:szCs w:val="32"/>
        </w:rPr>
        <w:t>.</w:t>
      </w:r>
      <w:r>
        <w:rPr>
          <w:rFonts w:eastAsia="仿宋_GB2312"/>
          <w:szCs w:val="32"/>
        </w:rPr>
        <w:t>医疗器械注册与备案管理办法:国家市场监督管理总局令第47号[Z].</w:t>
      </w:r>
    </w:p>
    <w:p>
      <w:pPr>
        <w:spacing w:line="520" w:lineRule="exact"/>
        <w:ind w:right="-102" w:rightChars="-32" w:firstLine="640" w:firstLineChars="200"/>
        <w:rPr>
          <w:rFonts w:eastAsia="仿宋_GB2312"/>
          <w:color w:val="000000"/>
          <w:szCs w:val="32"/>
        </w:rPr>
      </w:pPr>
      <w:r>
        <w:rPr>
          <w:rFonts w:eastAsia="仿宋_GB2312"/>
          <w:color w:val="000000"/>
          <w:szCs w:val="32"/>
        </w:rPr>
        <w:t>[3]</w:t>
      </w:r>
      <w:r>
        <w:rPr>
          <w:rFonts w:hint="eastAsia" w:eastAsia="仿宋_GB2312"/>
          <w:szCs w:val="32"/>
        </w:rPr>
        <w:t>国家药品监督管理局.</w:t>
      </w:r>
      <w:r>
        <w:rPr>
          <w:rFonts w:eastAsia="仿宋_GB2312"/>
          <w:szCs w:val="32"/>
        </w:rPr>
        <w:t>医疗器械注册申报资料要求和批准证明文件格式</w:t>
      </w:r>
      <w:r>
        <w:rPr>
          <w:rFonts w:hint="eastAsia" w:eastAsia="仿宋_GB2312"/>
          <w:szCs w:val="32"/>
        </w:rPr>
        <w:t>:国家药监局公告2021年第121号</w:t>
      </w:r>
      <w:r>
        <w:rPr>
          <w:rFonts w:eastAsia="仿宋_GB2312"/>
          <w:szCs w:val="32"/>
        </w:rPr>
        <w:t>[Z].</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rPr>
        <w:t xml:space="preserve"> </w:t>
      </w:r>
      <w:r>
        <w:rPr>
          <w:rFonts w:hint="eastAsia" w:eastAsia="仿宋_GB2312"/>
          <w:szCs w:val="32"/>
        </w:rPr>
        <w:t>国家药品监督管理局. 医疗器械可用性工程注册审查指导原则: 国家药监局器审中心关于发布医疗器械可用性工程注册审查指导原则的通告（2024年第13号）[Z].</w:t>
      </w:r>
    </w:p>
    <w:p>
      <w:pPr>
        <w:spacing w:line="520" w:lineRule="exact"/>
        <w:ind w:firstLine="640" w:firstLineChars="200"/>
        <w:rPr>
          <w:rFonts w:eastAsia="仿宋_GB2312"/>
          <w:color w:val="000000"/>
          <w:szCs w:val="32"/>
        </w:rPr>
      </w:pPr>
      <w:r>
        <w:rPr>
          <w:rFonts w:eastAsia="仿宋_GB2312"/>
          <w:color w:val="000000"/>
          <w:szCs w:val="32"/>
        </w:rPr>
        <w:t>[5]</w:t>
      </w:r>
      <w:r>
        <w:rPr>
          <w:rFonts w:hint="eastAsia" w:eastAsia="仿宋_GB2312"/>
          <w:color w:val="000000"/>
          <w:szCs w:val="32"/>
        </w:rPr>
        <w:t>国家食品药品监督管理局.</w:t>
      </w:r>
      <w:r>
        <w:rPr>
          <w:rFonts w:hint="eastAsia" w:eastAsia="仿宋_GB2312"/>
          <w:szCs w:val="32"/>
        </w:rPr>
        <w:t>医疗器械说明书和标签管理规定:国家食品药品监督管理总局令第6号[Z].</w:t>
      </w:r>
    </w:p>
    <w:p>
      <w:pPr>
        <w:spacing w:line="520" w:lineRule="exact"/>
        <w:ind w:firstLine="640" w:firstLineChars="200"/>
        <w:rPr>
          <w:rFonts w:eastAsia="仿宋_GB2312"/>
          <w:szCs w:val="32"/>
        </w:rPr>
      </w:pPr>
      <w:r>
        <w:rPr>
          <w:rFonts w:eastAsia="仿宋_GB2312"/>
          <w:color w:val="000000"/>
          <w:szCs w:val="32"/>
        </w:rPr>
        <w:t>[6]</w:t>
      </w:r>
      <w:r>
        <w:rPr>
          <w:rFonts w:hint="eastAsia" w:eastAsia="仿宋_GB2312"/>
          <w:szCs w:val="32"/>
        </w:rPr>
        <w:t>国家食品药品监督管理局.</w:t>
      </w:r>
      <w:r>
        <w:rPr>
          <w:rFonts w:eastAsia="仿宋_GB2312"/>
          <w:szCs w:val="32"/>
        </w:rPr>
        <w:t>医疗器械分类规则</w:t>
      </w:r>
      <w:r>
        <w:rPr>
          <w:rFonts w:hint="eastAsia" w:eastAsia="仿宋_GB2312"/>
          <w:szCs w:val="32"/>
        </w:rPr>
        <w:t>:</w:t>
      </w:r>
      <w:r>
        <w:rPr>
          <w:rFonts w:eastAsia="仿宋_GB2312"/>
          <w:szCs w:val="32"/>
          <w:lang w:val="en"/>
        </w:rPr>
        <w:t>国家食品药品监督管理总局令第15号</w:t>
      </w:r>
      <w:r>
        <w:rPr>
          <w:rFonts w:eastAsia="仿宋_GB2312"/>
          <w:szCs w:val="32"/>
        </w:rPr>
        <w:t>[Z].</w:t>
      </w:r>
    </w:p>
    <w:p>
      <w:pPr>
        <w:spacing w:line="520" w:lineRule="exact"/>
        <w:ind w:right="-102" w:rightChars="-32" w:firstLine="640" w:firstLineChars="200"/>
        <w:rPr>
          <w:rFonts w:eastAsia="仿宋_GB2312"/>
          <w:color w:val="000000"/>
          <w:szCs w:val="32"/>
        </w:rPr>
      </w:pPr>
      <w:r>
        <w:rPr>
          <w:rFonts w:eastAsia="仿宋_GB2312"/>
          <w:color w:val="000000"/>
          <w:szCs w:val="32"/>
        </w:rPr>
        <w:t>[7]</w:t>
      </w:r>
      <w:r>
        <w:rPr>
          <w:rFonts w:eastAsia="仿宋_GB2312"/>
          <w:szCs w:val="28"/>
        </w:rPr>
        <w:t>国家食品药品监督管理局</w:t>
      </w:r>
      <w:r>
        <w:rPr>
          <w:rFonts w:hint="eastAsia" w:eastAsia="仿宋_GB2312"/>
          <w:szCs w:val="32"/>
        </w:rPr>
        <w:t>.</w:t>
      </w:r>
      <w:r>
        <w:rPr>
          <w:rFonts w:eastAsia="仿宋_GB2312"/>
          <w:szCs w:val="32"/>
        </w:rPr>
        <w:t>医疗器械通用名称命名规则</w:t>
      </w:r>
      <w:r>
        <w:rPr>
          <w:rFonts w:hint="eastAsia" w:eastAsia="仿宋_GB2312"/>
          <w:szCs w:val="32"/>
        </w:rPr>
        <w:t>：</w:t>
      </w:r>
      <w:r>
        <w:rPr>
          <w:rFonts w:eastAsia="仿宋_GB2312"/>
          <w:szCs w:val="28"/>
        </w:rPr>
        <w:t>国家食品药品监督管理总局令第19号</w:t>
      </w:r>
      <w:r>
        <w:rPr>
          <w:rFonts w:eastAsia="仿宋_GB2312"/>
          <w:szCs w:val="32"/>
        </w:rPr>
        <w:t>[Z].</w:t>
      </w:r>
    </w:p>
    <w:p>
      <w:pPr>
        <w:spacing w:line="520" w:lineRule="exact"/>
        <w:ind w:firstLine="640" w:firstLineChars="200"/>
        <w:rPr>
          <w:rFonts w:eastAsia="仿宋_GB2312"/>
          <w:color w:val="000000"/>
          <w:szCs w:val="32"/>
        </w:rPr>
      </w:pPr>
      <w:r>
        <w:rPr>
          <w:rFonts w:eastAsia="仿宋_GB2312"/>
          <w:color w:val="000000"/>
          <w:szCs w:val="32"/>
        </w:rPr>
        <w:t>[8]</w:t>
      </w:r>
      <w:r>
        <w:rPr>
          <w:rFonts w:eastAsia="仿宋_GB2312"/>
          <w:szCs w:val="32"/>
          <w:lang w:val="en"/>
        </w:rPr>
        <w:t>国家食品药品监督管理局</w:t>
      </w:r>
      <w:r>
        <w:rPr>
          <w:rFonts w:eastAsia="仿宋_GB2312"/>
          <w:szCs w:val="32"/>
        </w:rPr>
        <w:t>.医疗器械分类目录</w:t>
      </w:r>
      <w:r>
        <w:rPr>
          <w:rFonts w:hint="eastAsia" w:eastAsia="仿宋_GB2312"/>
          <w:szCs w:val="32"/>
        </w:rPr>
        <w:t>:</w:t>
      </w:r>
      <w:r>
        <w:rPr>
          <w:rFonts w:eastAsia="仿宋_GB2312"/>
          <w:szCs w:val="32"/>
          <w:lang w:val="en"/>
        </w:rPr>
        <w:t>国家食品药品监督管理总局</w:t>
      </w:r>
      <w:r>
        <w:rPr>
          <w:rFonts w:hint="eastAsia" w:eastAsia="仿宋_GB2312"/>
          <w:szCs w:val="32"/>
          <w:lang w:val="en"/>
        </w:rPr>
        <w:t>公告</w:t>
      </w:r>
      <w:r>
        <w:rPr>
          <w:rFonts w:eastAsia="仿宋_GB2312"/>
          <w:szCs w:val="32"/>
          <w:lang w:val="en"/>
        </w:rPr>
        <w:t>2017年第104号</w:t>
      </w:r>
      <w:r>
        <w:rPr>
          <w:rFonts w:eastAsia="仿宋_GB2312"/>
          <w:szCs w:val="32"/>
        </w:rPr>
        <w:t>[Z].</w:t>
      </w:r>
    </w:p>
    <w:p>
      <w:pPr>
        <w:spacing w:line="520" w:lineRule="exact"/>
        <w:ind w:right="-102" w:rightChars="-32" w:firstLine="640" w:firstLineChars="200"/>
        <w:rPr>
          <w:rFonts w:eastAsia="仿宋_GB2312"/>
          <w:color w:val="000000"/>
          <w:szCs w:val="32"/>
        </w:rPr>
      </w:pPr>
      <w:r>
        <w:rPr>
          <w:rFonts w:eastAsia="仿宋_GB2312"/>
          <w:color w:val="000000"/>
          <w:szCs w:val="32"/>
        </w:rPr>
        <w:t>[9]</w:t>
      </w:r>
      <w:r>
        <w:rPr>
          <w:rFonts w:eastAsia="仿宋_GB2312"/>
          <w:szCs w:val="32"/>
          <w:lang w:val="en"/>
        </w:rPr>
        <w:t>国家食品药品监督管理局</w:t>
      </w:r>
      <w:r>
        <w:rPr>
          <w:rFonts w:eastAsia="仿宋_GB2312"/>
          <w:szCs w:val="32"/>
        </w:rPr>
        <w:t>.医疗器械注册单元划分指导原则</w:t>
      </w:r>
      <w:r>
        <w:rPr>
          <w:rFonts w:hint="eastAsia" w:eastAsia="仿宋_GB2312"/>
          <w:szCs w:val="32"/>
        </w:rPr>
        <w:t>:总局通</w:t>
      </w:r>
      <w:r>
        <w:rPr>
          <w:rFonts w:eastAsia="仿宋_GB2312"/>
          <w:szCs w:val="32"/>
          <w:lang w:val="en"/>
        </w:rPr>
        <w:t>告2017年第187号</w:t>
      </w:r>
      <w:r>
        <w:rPr>
          <w:rFonts w:eastAsia="仿宋_GB2312"/>
          <w:szCs w:val="32"/>
        </w:rPr>
        <w:t>[Z].</w:t>
      </w:r>
    </w:p>
    <w:p>
      <w:r>
        <w:rPr>
          <w:color w:val="000000"/>
        </w:rPr>
        <w:t xml:space="preserve">    [10]</w:t>
      </w:r>
      <w:r>
        <w:rPr>
          <w:rFonts w:hint="eastAsia"/>
        </w:rPr>
        <w:t>国家药品监督管理局.</w:t>
      </w:r>
      <w:r>
        <w:t>医疗器械临床评价技术指导原则</w:t>
      </w:r>
      <w:r>
        <w:rPr>
          <w:rFonts w:hint="eastAsia"/>
        </w:rPr>
        <w:t>:国家药监局通告2021年第73号</w:t>
      </w:r>
      <w:r>
        <w:t>[Z].</w:t>
      </w:r>
    </w:p>
    <w:p>
      <w:pPr>
        <w:spacing w:line="520" w:lineRule="exact"/>
        <w:ind w:firstLine="640" w:firstLineChars="200"/>
        <w:rPr>
          <w:rFonts w:eastAsia="仿宋_GB2312"/>
          <w:color w:val="000000"/>
          <w:szCs w:val="32"/>
        </w:rPr>
      </w:pPr>
      <w:r>
        <w:rPr>
          <w:rFonts w:hint="eastAsia" w:eastAsia="仿宋_GB2312"/>
          <w:color w:val="000000"/>
          <w:szCs w:val="32"/>
        </w:rPr>
        <w:t>[11]GB/T 42062,医疗器械风险管理对医疗器械的应用[S].</w:t>
      </w:r>
    </w:p>
    <w:p>
      <w:pPr>
        <w:spacing w:line="520" w:lineRule="exact"/>
        <w:ind w:firstLine="640" w:firstLineChars="200"/>
        <w:rPr>
          <w:rFonts w:eastAsia="仿宋_GB2312"/>
          <w:color w:val="000000"/>
          <w:szCs w:val="32"/>
        </w:rPr>
      </w:pPr>
      <w:r>
        <w:rPr>
          <w:rFonts w:hint="eastAsia" w:eastAsia="仿宋_GB2312"/>
          <w:color w:val="000000"/>
          <w:szCs w:val="32"/>
        </w:rPr>
        <w:t>[12]GB 18278.1,医疗保健产品灭菌 湿热 第1部分：医疗器械灭菌过程的开发、确认和常规控制要求[S].</w:t>
      </w:r>
    </w:p>
    <w:p>
      <w:pPr>
        <w:spacing w:line="520" w:lineRule="exact"/>
        <w:ind w:firstLine="640" w:firstLineChars="200"/>
        <w:rPr>
          <w:rFonts w:eastAsia="仿宋_GB2312"/>
          <w:color w:val="000000"/>
          <w:szCs w:val="32"/>
        </w:rPr>
      </w:pPr>
      <w:r>
        <w:rPr>
          <w:rFonts w:hint="eastAsia" w:eastAsia="仿宋_GB2312"/>
          <w:color w:val="000000"/>
          <w:szCs w:val="32"/>
        </w:rPr>
        <w:t>[13] GB 18279.1, 医疗保健产品灭菌 环氧乙烷 第1部分：医疗器械灭菌过程的开发、确认和常规控制的要求[S].</w:t>
      </w:r>
    </w:p>
    <w:p>
      <w:pPr>
        <w:spacing w:line="520" w:lineRule="exact"/>
        <w:ind w:firstLine="640" w:firstLineChars="200"/>
        <w:rPr>
          <w:rFonts w:eastAsia="仿宋_GB2312"/>
          <w:color w:val="000000"/>
          <w:szCs w:val="32"/>
        </w:rPr>
      </w:pPr>
      <w:r>
        <w:rPr>
          <w:rFonts w:hint="eastAsia" w:eastAsia="仿宋_GB2312"/>
          <w:color w:val="000000"/>
          <w:szCs w:val="32"/>
        </w:rPr>
        <w:t>[14] GB/T 18279.2, 医疗保健产品的灭菌 环氧乙烷 第2部分：GB 18279.1应用指南[S].</w:t>
      </w:r>
    </w:p>
    <w:p>
      <w:pPr>
        <w:spacing w:line="520" w:lineRule="exact"/>
        <w:ind w:firstLine="640" w:firstLineChars="200"/>
        <w:rPr>
          <w:rFonts w:eastAsia="仿宋_GB2312"/>
          <w:color w:val="000000"/>
          <w:szCs w:val="32"/>
        </w:rPr>
      </w:pPr>
      <w:r>
        <w:rPr>
          <w:rFonts w:hint="eastAsia" w:eastAsia="仿宋_GB2312"/>
          <w:color w:val="000000"/>
          <w:szCs w:val="32"/>
        </w:rPr>
        <w:t>[15] GB 18280.1, 医疗保健产品灭菌 辐射 第1部分：医疗器械灭菌过程的开发、确认和常规控制要求[S].</w:t>
      </w:r>
    </w:p>
    <w:p>
      <w:pPr>
        <w:spacing w:line="520" w:lineRule="exact"/>
        <w:ind w:firstLine="640" w:firstLineChars="200"/>
        <w:rPr>
          <w:rFonts w:eastAsia="仿宋_GB2312"/>
          <w:color w:val="000000"/>
          <w:szCs w:val="32"/>
        </w:rPr>
      </w:pPr>
      <w:r>
        <w:rPr>
          <w:rFonts w:hint="eastAsia" w:eastAsia="仿宋_GB2312"/>
          <w:color w:val="000000"/>
          <w:szCs w:val="32"/>
        </w:rPr>
        <w:t>[16] GB 18280.2, 医疗保健产品灭菌 辐射 第2部分：建立灭菌剂量[S].</w:t>
      </w:r>
    </w:p>
    <w:p>
      <w:pPr>
        <w:spacing w:line="520" w:lineRule="exact"/>
        <w:ind w:firstLine="640" w:firstLineChars="200"/>
        <w:rPr>
          <w:rFonts w:eastAsia="仿宋_GB2312"/>
          <w:color w:val="000000"/>
          <w:szCs w:val="32"/>
        </w:rPr>
      </w:pPr>
      <w:r>
        <w:rPr>
          <w:rFonts w:hint="eastAsia" w:eastAsia="仿宋_GB2312"/>
          <w:color w:val="000000"/>
          <w:szCs w:val="32"/>
        </w:rPr>
        <w:t>[17] GB 18280.3, 医疗保健产品灭菌 辐射 第3部分：剂量测量指南[S].</w:t>
      </w:r>
    </w:p>
    <w:p>
      <w:pPr>
        <w:spacing w:line="520" w:lineRule="exact"/>
        <w:ind w:firstLine="640" w:firstLineChars="200"/>
        <w:rPr>
          <w:rFonts w:eastAsia="仿宋_GB2312"/>
          <w:color w:val="000000"/>
          <w:szCs w:val="32"/>
        </w:rPr>
      </w:pPr>
      <w:r>
        <w:rPr>
          <w:rFonts w:hint="eastAsia" w:eastAsia="仿宋_GB2312"/>
          <w:color w:val="000000"/>
          <w:szCs w:val="32"/>
        </w:rPr>
        <w:t>[18] GB/T 19633, 最终灭菌医疗器械的包装[S].</w:t>
      </w:r>
    </w:p>
    <w:p>
      <w:pPr>
        <w:spacing w:line="520" w:lineRule="exact"/>
        <w:ind w:firstLine="640" w:firstLineChars="200"/>
        <w:rPr>
          <w:rFonts w:eastAsia="仿宋_GB2312"/>
          <w:color w:val="000000"/>
          <w:szCs w:val="32"/>
        </w:rPr>
      </w:pPr>
      <w:r>
        <w:rPr>
          <w:rFonts w:hint="eastAsia" w:eastAsia="仿宋_GB2312"/>
          <w:color w:val="000000"/>
          <w:szCs w:val="32"/>
        </w:rPr>
        <w:t>[19]YY/T 0681, 无菌医疗器械包装试验方法[S].</w:t>
      </w:r>
    </w:p>
    <w:p>
      <w:pPr>
        <w:spacing w:line="520" w:lineRule="exact"/>
        <w:ind w:firstLine="640" w:firstLineChars="200"/>
        <w:rPr>
          <w:rFonts w:eastAsia="仿宋_GB2312"/>
          <w:color w:val="000000"/>
          <w:szCs w:val="32"/>
        </w:rPr>
      </w:pPr>
      <w:r>
        <w:rPr>
          <w:rFonts w:hint="eastAsia" w:eastAsia="仿宋_GB2312"/>
          <w:color w:val="000000"/>
          <w:szCs w:val="32"/>
        </w:rPr>
        <w:t>[20]YY/T 0466.1,医疗器械用于医疗器械标签、标记和提供信息的符号第1部分：通用要求[S].</w:t>
      </w:r>
    </w:p>
    <w:p>
      <w:pPr>
        <w:spacing w:line="520" w:lineRule="exact"/>
        <w:ind w:firstLine="640" w:firstLineChars="200"/>
        <w:rPr>
          <w:rFonts w:eastAsia="仿宋_GB2312"/>
          <w:color w:val="000000"/>
          <w:szCs w:val="32"/>
        </w:rPr>
      </w:pPr>
      <w:r>
        <w:rPr>
          <w:rFonts w:hint="eastAsia" w:eastAsia="仿宋_GB2312"/>
          <w:color w:val="000000"/>
          <w:szCs w:val="32"/>
        </w:rPr>
        <w:t>[21]YY/T 0466.2,医疗器械用于医疗器械标签、标记和提供信息的符号第2部分：符号的制订、选择和确认[S].</w:t>
      </w:r>
    </w:p>
    <w:p>
      <w:pPr>
        <w:spacing w:line="520" w:lineRule="exact"/>
        <w:ind w:firstLine="640" w:firstLineChars="200"/>
        <w:rPr>
          <w:rFonts w:eastAsia="仿宋_GB2312"/>
          <w:color w:val="000000"/>
          <w:szCs w:val="32"/>
        </w:rPr>
      </w:pPr>
      <w:r>
        <w:rPr>
          <w:rFonts w:hint="eastAsia" w:eastAsia="仿宋_GB2312"/>
          <w:color w:val="000000"/>
          <w:szCs w:val="32"/>
        </w:rPr>
        <w:t>[22]ASTM F1980,医疗器械无菌屏障系统加速老化的标准指南[S].</w:t>
      </w:r>
    </w:p>
    <w:p>
      <w:pPr>
        <w:spacing w:line="520" w:lineRule="exact"/>
        <w:ind w:firstLine="640" w:firstLineChars="200"/>
        <w:rPr>
          <w:rFonts w:eastAsia="仿宋_GB2312"/>
          <w:color w:val="000000"/>
          <w:szCs w:val="32"/>
        </w:rPr>
      </w:pPr>
      <w:r>
        <w:rPr>
          <w:rFonts w:hint="eastAsia" w:eastAsia="仿宋_GB2312"/>
          <w:color w:val="000000"/>
          <w:szCs w:val="32"/>
        </w:rPr>
        <w:t>[23]ISO 11607，最终灭菌医疗器械的包装[S].</w:t>
      </w:r>
    </w:p>
    <w:p>
      <w:pPr>
        <w:spacing w:line="520" w:lineRule="exact"/>
        <w:ind w:firstLine="640" w:firstLineChars="200"/>
        <w:rPr>
          <w:rFonts w:eastAsia="仿宋_GB2312"/>
          <w:color w:val="000000"/>
          <w:szCs w:val="32"/>
        </w:rPr>
      </w:pPr>
      <w:r>
        <w:rPr>
          <w:rFonts w:hint="eastAsia" w:eastAsia="仿宋_GB2312"/>
          <w:color w:val="000000"/>
          <w:szCs w:val="32"/>
        </w:rPr>
        <w:t>[24] ASTM D4169，包装检测[S].</w:t>
      </w:r>
    </w:p>
    <w:p>
      <w:pPr>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25</w:t>
      </w:r>
      <w:r>
        <w:rPr>
          <w:rFonts w:hint="eastAsia" w:eastAsia="仿宋_GB2312"/>
          <w:color w:val="000000"/>
          <w:szCs w:val="32"/>
        </w:rPr>
        <w:t>]GB/T 16886.1,医疗器械生物学评价第1部分：风险管理过程中的评价与试验[S].</w:t>
      </w:r>
    </w:p>
    <w:p>
      <w:pPr>
        <w:spacing w:line="520" w:lineRule="exact"/>
        <w:ind w:firstLine="640" w:firstLineChars="200"/>
        <w:rPr>
          <w:rFonts w:eastAsia="仿宋_GB2312"/>
          <w:color w:val="000000"/>
          <w:szCs w:val="32"/>
        </w:rPr>
      </w:pPr>
    </w:p>
    <w:p>
      <w:pPr>
        <w:spacing w:line="520" w:lineRule="exact"/>
        <w:ind w:firstLine="640" w:firstLineChars="200"/>
        <w:rPr>
          <w:rFonts w:eastAsia="仿宋_GB2312"/>
          <w:color w:val="000000"/>
          <w:szCs w:val="32"/>
        </w:rPr>
      </w:pPr>
    </w:p>
    <w:p>
      <w:pPr>
        <w:spacing w:line="520" w:lineRule="exact"/>
        <w:ind w:firstLine="640" w:firstLineChars="200"/>
        <w:rPr>
          <w:rFonts w:eastAsia="黑体"/>
          <w:bCs/>
          <w:szCs w:val="32"/>
        </w:rPr>
      </w:pPr>
      <w:r>
        <w:rPr>
          <w:rFonts w:hint="eastAsia" w:eastAsia="仿宋_GB2312"/>
          <w:color w:val="000000"/>
          <w:szCs w:val="32"/>
        </w:rPr>
        <w:t>附件：产品的主要危险</w:t>
      </w:r>
      <w:r>
        <w:rPr>
          <w:rFonts w:eastAsia="黑体"/>
          <w:bCs/>
          <w:szCs w:val="32"/>
        </w:rPr>
        <w:br w:type="page"/>
      </w:r>
    </w:p>
    <w:p>
      <w:pPr>
        <w:widowControl/>
        <w:spacing w:line="520" w:lineRule="exact"/>
        <w:rPr>
          <w:rFonts w:eastAsia="黑体"/>
          <w:bCs/>
          <w:szCs w:val="32"/>
        </w:rPr>
      </w:pPr>
      <w:r>
        <w:rPr>
          <w:rFonts w:eastAsia="黑体"/>
          <w:bCs/>
          <w:szCs w:val="32"/>
        </w:rPr>
        <w:t>附</w:t>
      </w:r>
      <w:r>
        <w:rPr>
          <w:rFonts w:hint="eastAsia" w:eastAsia="黑体"/>
          <w:bCs/>
          <w:szCs w:val="32"/>
        </w:rPr>
        <w:t>件</w:t>
      </w:r>
    </w:p>
    <w:p>
      <w:pPr>
        <w:widowControl/>
        <w:spacing w:line="520" w:lineRule="exact"/>
        <w:rPr>
          <w:rFonts w:eastAsia="黑体"/>
          <w:b/>
          <w:szCs w:val="32"/>
        </w:rPr>
      </w:pPr>
    </w:p>
    <w:p>
      <w:pPr>
        <w:spacing w:line="520" w:lineRule="exact"/>
        <w:ind w:right="-102" w:rightChars="-32"/>
        <w:jc w:val="center"/>
        <w:rPr>
          <w:rFonts w:eastAsia="方正小标宋简体"/>
          <w:color w:val="000000"/>
          <w:sz w:val="44"/>
        </w:rPr>
      </w:pPr>
      <w:r>
        <w:rPr>
          <w:rFonts w:hint="eastAsia" w:eastAsia="方正小标宋简体"/>
          <w:color w:val="000000"/>
          <w:sz w:val="44"/>
        </w:rPr>
        <w:t>产品的主要危险（举例）</w:t>
      </w:r>
    </w:p>
    <w:p>
      <w:pPr>
        <w:spacing w:line="520" w:lineRule="exact"/>
        <w:ind w:firstLine="640" w:firstLineChars="200"/>
        <w:rPr>
          <w:rFonts w:eastAsia="仿宋_GB2312"/>
        </w:rPr>
      </w:pPr>
    </w:p>
    <w:tbl>
      <w:tblPr>
        <w:tblStyle w:val="9"/>
        <w:tblW w:w="9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1738"/>
        <w:gridCol w:w="3330"/>
        <w:gridCol w:w="3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blHeader/>
        </w:trPr>
        <w:tc>
          <w:tcPr>
            <w:tcW w:w="2573" w:type="dxa"/>
            <w:gridSpan w:val="2"/>
            <w:vAlign w:val="center"/>
          </w:tcPr>
          <w:p>
            <w:pPr>
              <w:spacing w:line="400" w:lineRule="exact"/>
              <w:jc w:val="center"/>
              <w:rPr>
                <w:rFonts w:eastAsia="黑体"/>
                <w:sz w:val="28"/>
                <w:szCs w:val="28"/>
              </w:rPr>
            </w:pPr>
            <w:r>
              <w:rPr>
                <w:rFonts w:eastAsia="黑体"/>
                <w:sz w:val="28"/>
                <w:szCs w:val="28"/>
              </w:rPr>
              <w:t>危险的分类</w:t>
            </w:r>
          </w:p>
        </w:tc>
        <w:tc>
          <w:tcPr>
            <w:tcW w:w="3330" w:type="dxa"/>
            <w:vAlign w:val="center"/>
          </w:tcPr>
          <w:p>
            <w:pPr>
              <w:spacing w:line="400" w:lineRule="exact"/>
              <w:jc w:val="center"/>
              <w:rPr>
                <w:rFonts w:eastAsia="黑体"/>
                <w:sz w:val="28"/>
                <w:szCs w:val="28"/>
              </w:rPr>
            </w:pPr>
            <w:r>
              <w:rPr>
                <w:rFonts w:eastAsia="黑体"/>
                <w:sz w:val="28"/>
                <w:szCs w:val="28"/>
              </w:rPr>
              <w:t>危险的形成因素</w:t>
            </w:r>
          </w:p>
        </w:tc>
        <w:tc>
          <w:tcPr>
            <w:tcW w:w="3218" w:type="dxa"/>
            <w:vAlign w:val="center"/>
          </w:tcPr>
          <w:p>
            <w:pPr>
              <w:spacing w:line="400" w:lineRule="exact"/>
              <w:jc w:val="center"/>
              <w:rPr>
                <w:rFonts w:eastAsia="黑体"/>
                <w:sz w:val="28"/>
                <w:szCs w:val="28"/>
              </w:rPr>
            </w:pPr>
            <w:r>
              <w:rPr>
                <w:rFonts w:eastAsia="黑体"/>
                <w:sz w:val="28"/>
                <w:szCs w:val="28"/>
              </w:rPr>
              <w:t>可能的后果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restart"/>
            <w:vAlign w:val="center"/>
          </w:tcPr>
          <w:p>
            <w:pPr>
              <w:spacing w:line="400" w:lineRule="exact"/>
              <w:jc w:val="center"/>
              <w:rPr>
                <w:rFonts w:eastAsia="仿宋_GB2312"/>
                <w:sz w:val="28"/>
                <w:szCs w:val="28"/>
              </w:rPr>
            </w:pPr>
            <w:r>
              <w:rPr>
                <w:rFonts w:eastAsia="仿宋_GB2312"/>
                <w:sz w:val="28"/>
                <w:szCs w:val="28"/>
              </w:rPr>
              <w:t>生物和化学危险</w:t>
            </w:r>
          </w:p>
          <w:p>
            <w:pPr>
              <w:spacing w:line="400" w:lineRule="exact"/>
              <w:rPr>
                <w:rFonts w:eastAsia="仿宋_GB2312"/>
                <w:sz w:val="28"/>
                <w:szCs w:val="28"/>
              </w:rPr>
            </w:pPr>
          </w:p>
        </w:tc>
        <w:tc>
          <w:tcPr>
            <w:tcW w:w="1738" w:type="dxa"/>
            <w:vAlign w:val="center"/>
          </w:tcPr>
          <w:p>
            <w:pPr>
              <w:spacing w:line="400" w:lineRule="exact"/>
              <w:jc w:val="left"/>
              <w:rPr>
                <w:rFonts w:eastAsia="仿宋_GB2312"/>
                <w:sz w:val="28"/>
                <w:szCs w:val="28"/>
              </w:rPr>
            </w:pPr>
            <w:r>
              <w:rPr>
                <w:rFonts w:eastAsia="仿宋_GB2312"/>
                <w:sz w:val="28"/>
                <w:szCs w:val="28"/>
              </w:rPr>
              <w:t>生物污染</w:t>
            </w:r>
          </w:p>
        </w:tc>
        <w:tc>
          <w:tcPr>
            <w:tcW w:w="3330" w:type="dxa"/>
            <w:vAlign w:val="center"/>
          </w:tcPr>
          <w:p>
            <w:pPr>
              <w:spacing w:line="400" w:lineRule="exact"/>
              <w:rPr>
                <w:rFonts w:eastAsia="仿宋_GB2312"/>
                <w:sz w:val="28"/>
                <w:szCs w:val="28"/>
              </w:rPr>
            </w:pPr>
            <w:r>
              <w:rPr>
                <w:rFonts w:eastAsia="仿宋_GB2312"/>
                <w:sz w:val="28"/>
                <w:szCs w:val="28"/>
              </w:rPr>
              <w:t>生产环境控制不好</w:t>
            </w:r>
            <w:r>
              <w:rPr>
                <w:rFonts w:hint="eastAsia" w:eastAsia="仿宋_GB2312"/>
                <w:sz w:val="28"/>
                <w:szCs w:val="28"/>
              </w:rPr>
              <w:t>；</w:t>
            </w:r>
          </w:p>
          <w:p>
            <w:pPr>
              <w:spacing w:line="400" w:lineRule="exact"/>
              <w:rPr>
                <w:rFonts w:eastAsia="仿宋_GB2312"/>
                <w:sz w:val="28"/>
                <w:szCs w:val="28"/>
              </w:rPr>
            </w:pPr>
            <w:r>
              <w:rPr>
                <w:rFonts w:eastAsia="仿宋_GB2312"/>
                <w:sz w:val="28"/>
                <w:szCs w:val="28"/>
              </w:rPr>
              <w:t>灭菌</w:t>
            </w:r>
            <w:r>
              <w:rPr>
                <w:rFonts w:hint="eastAsia" w:eastAsia="仿宋_GB2312"/>
                <w:sz w:val="28"/>
                <w:szCs w:val="28"/>
              </w:rPr>
              <w:t>未确认或灭菌</w:t>
            </w:r>
            <w:r>
              <w:rPr>
                <w:rFonts w:eastAsia="仿宋_GB2312"/>
                <w:sz w:val="28"/>
                <w:szCs w:val="28"/>
              </w:rPr>
              <w:t>操作不严格</w:t>
            </w:r>
            <w:r>
              <w:rPr>
                <w:rFonts w:hint="eastAsia" w:eastAsia="仿宋_GB2312"/>
                <w:sz w:val="28"/>
                <w:szCs w:val="28"/>
              </w:rPr>
              <w:t>；</w:t>
            </w:r>
          </w:p>
          <w:p>
            <w:pPr>
              <w:spacing w:line="400" w:lineRule="exact"/>
              <w:rPr>
                <w:rFonts w:eastAsia="仿宋_GB2312"/>
                <w:sz w:val="28"/>
                <w:szCs w:val="28"/>
              </w:rPr>
            </w:pPr>
            <w:r>
              <w:rPr>
                <w:rFonts w:eastAsia="仿宋_GB2312"/>
                <w:sz w:val="28"/>
                <w:szCs w:val="28"/>
              </w:rPr>
              <w:t>超过有效期使用</w:t>
            </w:r>
            <w:r>
              <w:rPr>
                <w:rFonts w:hint="eastAsia" w:eastAsia="仿宋_GB2312"/>
                <w:sz w:val="28"/>
                <w:szCs w:val="28"/>
              </w:rPr>
              <w:t>；</w:t>
            </w:r>
          </w:p>
          <w:p>
            <w:pPr>
              <w:adjustRightInd w:val="0"/>
              <w:snapToGrid w:val="0"/>
              <w:spacing w:line="520" w:lineRule="exact"/>
              <w:rPr>
                <w:rFonts w:eastAsia="仿宋_GB2312"/>
                <w:sz w:val="28"/>
                <w:szCs w:val="28"/>
              </w:rPr>
            </w:pPr>
            <w:r>
              <w:rPr>
                <w:rFonts w:eastAsia="仿宋_GB2312"/>
                <w:sz w:val="28"/>
                <w:szCs w:val="28"/>
              </w:rPr>
              <w:t>零部件未按要求清洗；</w:t>
            </w:r>
          </w:p>
          <w:p>
            <w:pPr>
              <w:adjustRightInd w:val="0"/>
              <w:snapToGrid w:val="0"/>
              <w:spacing w:line="520" w:lineRule="exact"/>
              <w:rPr>
                <w:rFonts w:eastAsia="仿宋_GB2312"/>
                <w:sz w:val="28"/>
                <w:szCs w:val="28"/>
              </w:rPr>
            </w:pPr>
            <w:r>
              <w:rPr>
                <w:rFonts w:eastAsia="仿宋_GB2312"/>
                <w:sz w:val="28"/>
                <w:szCs w:val="28"/>
              </w:rPr>
              <w:t>清洗用水不符合要求；</w:t>
            </w:r>
          </w:p>
          <w:p>
            <w:pPr>
              <w:adjustRightInd w:val="0"/>
              <w:snapToGrid w:val="0"/>
              <w:spacing w:line="520" w:lineRule="exact"/>
              <w:rPr>
                <w:rFonts w:eastAsia="仿宋_GB2312"/>
                <w:sz w:val="28"/>
                <w:szCs w:val="28"/>
              </w:rPr>
            </w:pPr>
            <w:r>
              <w:rPr>
                <w:rFonts w:hint="eastAsia" w:eastAsia="仿宋_GB2312"/>
                <w:sz w:val="28"/>
                <w:szCs w:val="28"/>
              </w:rPr>
              <w:t>包装不符合要求或包装破损；</w:t>
            </w:r>
          </w:p>
          <w:p>
            <w:pPr>
              <w:adjustRightInd w:val="0"/>
              <w:snapToGrid w:val="0"/>
              <w:spacing w:line="520" w:lineRule="exact"/>
              <w:rPr>
                <w:rFonts w:eastAsia="仿宋_GB2312"/>
                <w:sz w:val="28"/>
                <w:szCs w:val="28"/>
              </w:rPr>
            </w:pPr>
            <w:r>
              <w:rPr>
                <w:rFonts w:hint="eastAsia" w:eastAsia="仿宋_GB2312"/>
                <w:sz w:val="28"/>
                <w:szCs w:val="28"/>
              </w:rPr>
              <w:t>产品重复使用；</w:t>
            </w:r>
          </w:p>
          <w:p>
            <w:pPr>
              <w:adjustRightInd w:val="0"/>
              <w:snapToGrid w:val="0"/>
              <w:spacing w:line="520" w:lineRule="exact"/>
              <w:rPr>
                <w:rFonts w:eastAsia="仿宋_GB2312"/>
                <w:sz w:val="28"/>
                <w:szCs w:val="28"/>
              </w:rPr>
            </w:pPr>
          </w:p>
          <w:p>
            <w:pPr>
              <w:spacing w:line="400" w:lineRule="exact"/>
              <w:rPr>
                <w:rFonts w:eastAsia="仿宋_GB2312"/>
                <w:sz w:val="28"/>
                <w:szCs w:val="28"/>
              </w:rPr>
            </w:pPr>
          </w:p>
        </w:tc>
        <w:tc>
          <w:tcPr>
            <w:tcW w:w="3218" w:type="dxa"/>
            <w:vAlign w:val="center"/>
          </w:tcPr>
          <w:p>
            <w:pPr>
              <w:spacing w:line="400" w:lineRule="exact"/>
              <w:rPr>
                <w:rFonts w:eastAsia="仿宋_GB2312"/>
                <w:sz w:val="28"/>
                <w:szCs w:val="28"/>
              </w:rPr>
            </w:pPr>
            <w:r>
              <w:rPr>
                <w:rFonts w:eastAsia="仿宋_GB2312"/>
                <w:sz w:val="28"/>
                <w:szCs w:val="28"/>
              </w:rPr>
              <w:t>产品带菌，引起患者感染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7" w:hRule="atLeas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jc w:val="left"/>
              <w:rPr>
                <w:rFonts w:eastAsia="仿宋_GB2312"/>
                <w:sz w:val="28"/>
                <w:szCs w:val="28"/>
              </w:rPr>
            </w:pPr>
            <w:r>
              <w:rPr>
                <w:rFonts w:eastAsia="仿宋_GB2312"/>
                <w:sz w:val="28"/>
                <w:szCs w:val="28"/>
              </w:rPr>
              <w:t>生物不相容性</w:t>
            </w:r>
          </w:p>
        </w:tc>
        <w:tc>
          <w:tcPr>
            <w:tcW w:w="3330" w:type="dxa"/>
            <w:vAlign w:val="center"/>
          </w:tcPr>
          <w:p>
            <w:pPr>
              <w:adjustRightInd w:val="0"/>
              <w:snapToGrid w:val="0"/>
              <w:spacing w:line="520" w:lineRule="exact"/>
              <w:rPr>
                <w:rFonts w:eastAsia="仿宋_GB2312"/>
                <w:sz w:val="28"/>
                <w:szCs w:val="28"/>
              </w:rPr>
            </w:pPr>
            <w:r>
              <w:rPr>
                <w:rFonts w:eastAsia="仿宋_GB2312"/>
                <w:sz w:val="28"/>
                <w:szCs w:val="28"/>
              </w:rPr>
              <w:t>选用不适当的材料；</w:t>
            </w:r>
          </w:p>
          <w:p>
            <w:pPr>
              <w:adjustRightInd w:val="0"/>
              <w:snapToGrid w:val="0"/>
              <w:spacing w:line="520" w:lineRule="exact"/>
              <w:rPr>
                <w:rFonts w:eastAsia="仿宋_GB2312"/>
                <w:sz w:val="28"/>
                <w:szCs w:val="28"/>
              </w:rPr>
            </w:pPr>
            <w:r>
              <w:rPr>
                <w:rFonts w:hint="eastAsia" w:eastAsia="仿宋_GB2312"/>
                <w:sz w:val="28"/>
                <w:szCs w:val="28"/>
              </w:rPr>
              <w:t>灭菌残留超标；</w:t>
            </w:r>
          </w:p>
          <w:p>
            <w:pPr>
              <w:adjustRightInd w:val="0"/>
              <w:snapToGrid w:val="0"/>
              <w:spacing w:line="520" w:lineRule="exact"/>
              <w:rPr>
                <w:rFonts w:eastAsia="仿宋_GB2312"/>
                <w:sz w:val="28"/>
                <w:szCs w:val="28"/>
              </w:rPr>
            </w:pPr>
          </w:p>
          <w:p>
            <w:pPr>
              <w:adjustRightInd w:val="0"/>
              <w:snapToGrid w:val="0"/>
              <w:spacing w:line="520" w:lineRule="exact"/>
              <w:rPr>
                <w:rFonts w:eastAsia="仿宋_GB2312"/>
                <w:sz w:val="28"/>
                <w:szCs w:val="28"/>
              </w:rPr>
            </w:pPr>
          </w:p>
          <w:p>
            <w:pPr>
              <w:spacing w:line="400" w:lineRule="exact"/>
              <w:rPr>
                <w:rFonts w:eastAsia="仿宋_GB2312"/>
                <w:sz w:val="28"/>
                <w:szCs w:val="28"/>
              </w:rPr>
            </w:pPr>
          </w:p>
        </w:tc>
        <w:tc>
          <w:tcPr>
            <w:tcW w:w="3218" w:type="dxa"/>
            <w:vAlign w:val="center"/>
          </w:tcPr>
          <w:p>
            <w:pPr>
              <w:spacing w:line="400" w:lineRule="exact"/>
              <w:rPr>
                <w:rFonts w:eastAsia="仿宋_GB2312"/>
                <w:sz w:val="28"/>
                <w:szCs w:val="28"/>
              </w:rPr>
            </w:pPr>
            <w:r>
              <w:rPr>
                <w:rFonts w:eastAsia="仿宋_GB2312"/>
                <w:sz w:val="28"/>
                <w:szCs w:val="28"/>
              </w:rPr>
              <w:t>产生细胞毒性、致敏、刺激反应，引起不良反应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jc w:val="left"/>
              <w:rPr>
                <w:rFonts w:eastAsia="仿宋_GB2312"/>
                <w:sz w:val="28"/>
                <w:szCs w:val="28"/>
              </w:rPr>
            </w:pPr>
            <w:r>
              <w:rPr>
                <w:rFonts w:eastAsia="仿宋_GB2312"/>
                <w:sz w:val="28"/>
                <w:szCs w:val="28"/>
              </w:rPr>
              <w:t>再感染和/或交叉感染</w:t>
            </w:r>
          </w:p>
        </w:tc>
        <w:tc>
          <w:tcPr>
            <w:tcW w:w="3330" w:type="dxa"/>
            <w:vAlign w:val="center"/>
          </w:tcPr>
          <w:p>
            <w:pPr>
              <w:spacing w:line="400" w:lineRule="exact"/>
              <w:rPr>
                <w:rFonts w:eastAsia="仿宋_GB2312"/>
                <w:sz w:val="28"/>
                <w:szCs w:val="28"/>
              </w:rPr>
            </w:pPr>
            <w:r>
              <w:rPr>
                <w:rFonts w:eastAsia="仿宋_GB2312"/>
                <w:sz w:val="28"/>
                <w:szCs w:val="28"/>
              </w:rPr>
              <w:t>使用不当、标识不清</w:t>
            </w:r>
          </w:p>
        </w:tc>
        <w:tc>
          <w:tcPr>
            <w:tcW w:w="3218" w:type="dxa"/>
            <w:vAlign w:val="center"/>
          </w:tcPr>
          <w:p>
            <w:pPr>
              <w:spacing w:line="400" w:lineRule="exact"/>
              <w:rPr>
                <w:rFonts w:eastAsia="仿宋_GB2312"/>
                <w:sz w:val="28"/>
                <w:szCs w:val="28"/>
              </w:rPr>
            </w:pPr>
            <w:r>
              <w:rPr>
                <w:rFonts w:eastAsia="仿宋_GB2312"/>
                <w:sz w:val="28"/>
                <w:szCs w:val="28"/>
              </w:rPr>
              <w:t>引起感染、交叉感染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restart"/>
            <w:vAlign w:val="center"/>
          </w:tcPr>
          <w:p>
            <w:pPr>
              <w:spacing w:line="400" w:lineRule="exact"/>
              <w:jc w:val="right"/>
              <w:rPr>
                <w:rFonts w:eastAsia="仿宋_GB2312"/>
                <w:sz w:val="28"/>
                <w:szCs w:val="28"/>
              </w:rPr>
            </w:pPr>
            <w:r>
              <w:rPr>
                <w:rFonts w:eastAsia="仿宋_GB2312"/>
                <w:sz w:val="28"/>
                <w:szCs w:val="28"/>
              </w:rPr>
              <w:t>环境</w:t>
            </w:r>
          </w:p>
          <w:p>
            <w:pPr>
              <w:spacing w:line="400" w:lineRule="exact"/>
              <w:jc w:val="center"/>
              <w:rPr>
                <w:rFonts w:eastAsia="仿宋_GB2312"/>
                <w:sz w:val="28"/>
                <w:szCs w:val="28"/>
              </w:rPr>
            </w:pPr>
            <w:r>
              <w:rPr>
                <w:rFonts w:eastAsia="仿宋_GB2312"/>
                <w:sz w:val="28"/>
                <w:szCs w:val="28"/>
              </w:rPr>
              <w:t>因素</w:t>
            </w:r>
          </w:p>
        </w:tc>
        <w:tc>
          <w:tcPr>
            <w:tcW w:w="1738" w:type="dxa"/>
            <w:vAlign w:val="center"/>
          </w:tcPr>
          <w:p>
            <w:pPr>
              <w:spacing w:line="400" w:lineRule="exact"/>
              <w:jc w:val="left"/>
              <w:rPr>
                <w:rFonts w:eastAsia="仿宋_GB2312"/>
                <w:sz w:val="28"/>
                <w:szCs w:val="28"/>
              </w:rPr>
            </w:pPr>
            <w:r>
              <w:rPr>
                <w:rFonts w:eastAsia="仿宋_GB2312"/>
                <w:sz w:val="28"/>
                <w:szCs w:val="28"/>
              </w:rPr>
              <w:t>储存或运行偏离预订的环境条件</w:t>
            </w:r>
          </w:p>
        </w:tc>
        <w:tc>
          <w:tcPr>
            <w:tcW w:w="3330" w:type="dxa"/>
            <w:vAlign w:val="center"/>
          </w:tcPr>
          <w:p>
            <w:pPr>
              <w:spacing w:line="400" w:lineRule="exact"/>
              <w:rPr>
                <w:rFonts w:eastAsia="仿宋_GB2312"/>
                <w:sz w:val="28"/>
                <w:szCs w:val="28"/>
              </w:rPr>
            </w:pPr>
            <w:r>
              <w:rPr>
                <w:rFonts w:eastAsia="仿宋_GB2312"/>
                <w:sz w:val="28"/>
                <w:szCs w:val="28"/>
              </w:rPr>
              <w:t>储运条件（如温度、湿度）不符合要求</w:t>
            </w:r>
          </w:p>
        </w:tc>
        <w:tc>
          <w:tcPr>
            <w:tcW w:w="3218" w:type="dxa"/>
            <w:vAlign w:val="center"/>
          </w:tcPr>
          <w:p>
            <w:pPr>
              <w:spacing w:line="400" w:lineRule="exact"/>
              <w:rPr>
                <w:rFonts w:eastAsia="仿宋_GB2312"/>
                <w:sz w:val="28"/>
                <w:szCs w:val="28"/>
              </w:rPr>
            </w:pPr>
            <w:r>
              <w:rPr>
                <w:rFonts w:eastAsia="仿宋_GB2312"/>
                <w:sz w:val="28"/>
                <w:szCs w:val="28"/>
              </w:rPr>
              <w:t>产品老化、</w:t>
            </w:r>
          </w:p>
          <w:p>
            <w:pPr>
              <w:spacing w:line="400" w:lineRule="exact"/>
              <w:rPr>
                <w:rFonts w:eastAsia="仿宋_GB2312"/>
                <w:sz w:val="28"/>
                <w:szCs w:val="28"/>
              </w:rPr>
            </w:pPr>
            <w:r>
              <w:rPr>
                <w:rFonts w:eastAsia="仿宋_GB2312"/>
                <w:sz w:val="28"/>
                <w:szCs w:val="28"/>
              </w:rPr>
              <w:t>无菌有效期缩短</w:t>
            </w:r>
            <w:r>
              <w:rPr>
                <w:rFonts w:hint="eastAsia" w:eastAsia="仿宋_GB2312"/>
                <w:sz w:val="28"/>
                <w:szCs w:val="28"/>
              </w:rPr>
              <w:t>、</w:t>
            </w:r>
          </w:p>
          <w:p>
            <w:pPr>
              <w:spacing w:line="400" w:lineRule="exact"/>
              <w:rPr>
                <w:rFonts w:eastAsia="仿宋_GB2312"/>
                <w:sz w:val="28"/>
                <w:szCs w:val="28"/>
              </w:rPr>
            </w:pPr>
            <w:r>
              <w:rPr>
                <w:rFonts w:eastAsia="仿宋_GB2312"/>
                <w:sz w:val="28"/>
                <w:szCs w:val="28"/>
              </w:rPr>
              <w:t>产品零件生锈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意外的机械破坏</w:t>
            </w:r>
          </w:p>
        </w:tc>
        <w:tc>
          <w:tcPr>
            <w:tcW w:w="3330" w:type="dxa"/>
            <w:vAlign w:val="center"/>
          </w:tcPr>
          <w:p>
            <w:pPr>
              <w:spacing w:line="400" w:lineRule="exact"/>
              <w:rPr>
                <w:rFonts w:eastAsia="仿宋_GB2312"/>
                <w:sz w:val="28"/>
                <w:szCs w:val="28"/>
              </w:rPr>
            </w:pPr>
            <w:r>
              <w:rPr>
                <w:rFonts w:eastAsia="仿宋_GB2312"/>
                <w:sz w:val="28"/>
                <w:szCs w:val="28"/>
              </w:rPr>
              <w:t>储运、使用过程中发生意外的机械性破坏</w:t>
            </w:r>
          </w:p>
        </w:tc>
        <w:tc>
          <w:tcPr>
            <w:tcW w:w="3218" w:type="dxa"/>
            <w:vAlign w:val="center"/>
          </w:tcPr>
          <w:p>
            <w:pPr>
              <w:spacing w:line="400" w:lineRule="exact"/>
              <w:rPr>
                <w:rFonts w:eastAsia="仿宋_GB2312"/>
                <w:sz w:val="28"/>
                <w:szCs w:val="28"/>
              </w:rPr>
            </w:pPr>
            <w:r>
              <w:rPr>
                <w:rFonts w:eastAsia="仿宋_GB2312"/>
                <w:sz w:val="28"/>
                <w:szCs w:val="28"/>
              </w:rPr>
              <w:t>产品使用性能无法得到保证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由于废物和（或）医疗器械处置的污染</w:t>
            </w:r>
          </w:p>
        </w:tc>
        <w:tc>
          <w:tcPr>
            <w:tcW w:w="3330" w:type="dxa"/>
            <w:vAlign w:val="center"/>
          </w:tcPr>
          <w:p>
            <w:pPr>
              <w:spacing w:line="400" w:lineRule="exact"/>
              <w:rPr>
                <w:rFonts w:eastAsia="仿宋_GB2312"/>
                <w:sz w:val="28"/>
                <w:szCs w:val="28"/>
              </w:rPr>
            </w:pPr>
            <w:r>
              <w:rPr>
                <w:rFonts w:eastAsia="仿宋_GB2312"/>
                <w:sz w:val="28"/>
                <w:szCs w:val="28"/>
              </w:rPr>
              <w:t>使用后的产品没有按照要求集中销毁</w:t>
            </w:r>
          </w:p>
        </w:tc>
        <w:tc>
          <w:tcPr>
            <w:tcW w:w="3218" w:type="dxa"/>
            <w:vAlign w:val="center"/>
          </w:tcPr>
          <w:p>
            <w:pPr>
              <w:spacing w:line="400" w:lineRule="exact"/>
              <w:rPr>
                <w:rFonts w:eastAsia="仿宋_GB2312"/>
                <w:sz w:val="28"/>
                <w:szCs w:val="28"/>
              </w:rPr>
            </w:pPr>
            <w:r>
              <w:rPr>
                <w:rFonts w:eastAsia="仿宋_GB2312"/>
                <w:sz w:val="28"/>
                <w:szCs w:val="28"/>
              </w:rPr>
              <w:t>造成环境污染或者细菌的交叉感染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8" w:hRule="atLeast"/>
        </w:trPr>
        <w:tc>
          <w:tcPr>
            <w:tcW w:w="835" w:type="dxa"/>
            <w:vMerge w:val="restart"/>
            <w:vAlign w:val="center"/>
          </w:tcPr>
          <w:p>
            <w:pPr>
              <w:spacing w:line="400" w:lineRule="exact"/>
              <w:jc w:val="center"/>
              <w:rPr>
                <w:rFonts w:eastAsia="仿宋_GB2312"/>
                <w:sz w:val="28"/>
                <w:szCs w:val="28"/>
              </w:rPr>
            </w:pPr>
            <w:r>
              <w:rPr>
                <w:rFonts w:eastAsia="仿宋_GB2312"/>
                <w:sz w:val="28"/>
                <w:szCs w:val="28"/>
              </w:rPr>
              <w:t>可用性</w:t>
            </w:r>
          </w:p>
        </w:tc>
        <w:tc>
          <w:tcPr>
            <w:tcW w:w="1738" w:type="dxa"/>
            <w:vAlign w:val="center"/>
          </w:tcPr>
          <w:p>
            <w:pPr>
              <w:spacing w:line="400" w:lineRule="exact"/>
              <w:rPr>
                <w:rFonts w:eastAsia="仿宋_GB2312"/>
                <w:sz w:val="28"/>
                <w:szCs w:val="28"/>
              </w:rPr>
            </w:pPr>
            <w:r>
              <w:rPr>
                <w:rFonts w:eastAsia="仿宋_GB2312"/>
                <w:sz w:val="28"/>
                <w:szCs w:val="28"/>
              </w:rPr>
              <w:t>不适当的标记</w:t>
            </w:r>
          </w:p>
        </w:tc>
        <w:tc>
          <w:tcPr>
            <w:tcW w:w="3330" w:type="dxa"/>
            <w:vAlign w:val="center"/>
          </w:tcPr>
          <w:p>
            <w:pPr>
              <w:spacing w:line="400" w:lineRule="exact"/>
              <w:rPr>
                <w:rFonts w:eastAsia="仿宋_GB2312"/>
                <w:sz w:val="28"/>
                <w:szCs w:val="28"/>
              </w:rPr>
            </w:pPr>
            <w:r>
              <w:rPr>
                <w:rFonts w:eastAsia="仿宋_GB2312"/>
                <w:sz w:val="28"/>
                <w:szCs w:val="28"/>
              </w:rPr>
              <w:t>标记不清晰、错误、</w:t>
            </w:r>
          </w:p>
          <w:p>
            <w:pPr>
              <w:spacing w:line="400" w:lineRule="exact"/>
              <w:rPr>
                <w:rFonts w:eastAsia="仿宋_GB2312"/>
                <w:sz w:val="28"/>
                <w:szCs w:val="28"/>
              </w:rPr>
            </w:pPr>
            <w:r>
              <w:rPr>
                <w:rFonts w:eastAsia="仿宋_GB2312"/>
                <w:sz w:val="28"/>
                <w:szCs w:val="28"/>
              </w:rPr>
              <w:t>没有按照要求进行标记</w:t>
            </w:r>
          </w:p>
        </w:tc>
        <w:tc>
          <w:tcPr>
            <w:tcW w:w="3218" w:type="dxa"/>
            <w:vAlign w:val="center"/>
          </w:tcPr>
          <w:p>
            <w:pPr>
              <w:spacing w:line="400" w:lineRule="exact"/>
              <w:rPr>
                <w:rFonts w:eastAsia="仿宋_GB2312"/>
                <w:sz w:val="28"/>
                <w:szCs w:val="28"/>
              </w:rPr>
            </w:pPr>
            <w:r>
              <w:rPr>
                <w:rFonts w:eastAsia="仿宋_GB2312"/>
                <w:sz w:val="28"/>
                <w:szCs w:val="28"/>
              </w:rPr>
              <w:t>错误使用</w:t>
            </w:r>
          </w:p>
          <w:p>
            <w:pPr>
              <w:spacing w:line="400" w:lineRule="exact"/>
              <w:rPr>
                <w:rFonts w:eastAsia="仿宋_GB2312"/>
                <w:sz w:val="28"/>
                <w:szCs w:val="28"/>
              </w:rPr>
            </w:pPr>
            <w:r>
              <w:rPr>
                <w:rFonts w:eastAsia="仿宋_GB2312"/>
                <w:sz w:val="28"/>
                <w:szCs w:val="28"/>
              </w:rPr>
              <w:t>储存错误</w:t>
            </w:r>
          </w:p>
          <w:p>
            <w:pPr>
              <w:spacing w:line="400" w:lineRule="exact"/>
              <w:rPr>
                <w:rFonts w:eastAsia="仿宋_GB2312"/>
                <w:sz w:val="28"/>
                <w:szCs w:val="28"/>
              </w:rPr>
            </w:pPr>
            <w:r>
              <w:rPr>
                <w:rFonts w:eastAsia="仿宋_GB2312"/>
                <w:sz w:val="28"/>
                <w:szCs w:val="28"/>
              </w:rPr>
              <w:t>产品辨别错误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2" w:hRule="atLeas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不适当的操作说明，如：</w:t>
            </w:r>
          </w:p>
          <w:p>
            <w:pPr>
              <w:spacing w:line="400" w:lineRule="exact"/>
              <w:rPr>
                <w:rFonts w:eastAsia="仿宋_GB2312"/>
                <w:sz w:val="28"/>
                <w:szCs w:val="28"/>
              </w:rPr>
            </w:pPr>
            <w:r>
              <w:rPr>
                <w:rFonts w:eastAsia="仿宋_GB2312"/>
                <w:sz w:val="28"/>
                <w:szCs w:val="28"/>
              </w:rPr>
              <w:t>操作说明书不准确、清晰；</w:t>
            </w:r>
          </w:p>
        </w:tc>
        <w:tc>
          <w:tcPr>
            <w:tcW w:w="3330" w:type="dxa"/>
            <w:vAlign w:val="center"/>
          </w:tcPr>
          <w:p>
            <w:pPr>
              <w:spacing w:line="400" w:lineRule="exact"/>
              <w:rPr>
                <w:rFonts w:eastAsia="仿宋_GB2312"/>
                <w:sz w:val="28"/>
                <w:szCs w:val="28"/>
              </w:rPr>
            </w:pPr>
            <w:r>
              <w:rPr>
                <w:rFonts w:eastAsia="仿宋_GB2312"/>
                <w:sz w:val="28"/>
                <w:szCs w:val="28"/>
              </w:rPr>
              <w:t>包装破损无法识别</w:t>
            </w:r>
          </w:p>
          <w:p>
            <w:pPr>
              <w:spacing w:line="400" w:lineRule="exact"/>
              <w:rPr>
                <w:rFonts w:eastAsia="仿宋_GB2312"/>
                <w:sz w:val="28"/>
                <w:szCs w:val="28"/>
              </w:rPr>
            </w:pPr>
            <w:r>
              <w:rPr>
                <w:rFonts w:eastAsia="仿宋_GB2312"/>
                <w:sz w:val="28"/>
                <w:szCs w:val="28"/>
              </w:rPr>
              <w:t>操作要点不突出</w:t>
            </w:r>
          </w:p>
          <w:p>
            <w:pPr>
              <w:spacing w:line="400" w:lineRule="exact"/>
              <w:rPr>
                <w:rFonts w:eastAsia="仿宋_GB2312"/>
                <w:sz w:val="28"/>
                <w:szCs w:val="28"/>
              </w:rPr>
            </w:pPr>
          </w:p>
        </w:tc>
        <w:tc>
          <w:tcPr>
            <w:tcW w:w="3218" w:type="dxa"/>
            <w:vAlign w:val="center"/>
          </w:tcPr>
          <w:p>
            <w:pPr>
              <w:spacing w:line="400" w:lineRule="exact"/>
              <w:rPr>
                <w:rFonts w:eastAsia="仿宋_GB2312"/>
                <w:sz w:val="28"/>
                <w:szCs w:val="28"/>
              </w:rPr>
            </w:pPr>
            <w:r>
              <w:rPr>
                <w:rFonts w:eastAsia="仿宋_GB2312"/>
                <w:sz w:val="28"/>
                <w:szCs w:val="28"/>
              </w:rPr>
              <w:t>无法保证使用安全性</w:t>
            </w:r>
          </w:p>
          <w:p>
            <w:pPr>
              <w:spacing w:line="400" w:lineRule="exact"/>
              <w:rPr>
                <w:rFonts w:eastAsia="仿宋_GB2312"/>
                <w:sz w:val="28"/>
                <w:szCs w:val="28"/>
              </w:rPr>
            </w:pPr>
            <w:r>
              <w:rPr>
                <w:rFonts w:eastAsia="仿宋_GB2312"/>
                <w:sz w:val="28"/>
                <w:szCs w:val="28"/>
              </w:rPr>
              <w:t>导致操作失误</w:t>
            </w:r>
          </w:p>
          <w:p>
            <w:pPr>
              <w:spacing w:line="400" w:lineRule="exact"/>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3" w:hRule="atLeas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由不熟练/未经培训的人员使用</w:t>
            </w:r>
          </w:p>
        </w:tc>
        <w:tc>
          <w:tcPr>
            <w:tcW w:w="3330" w:type="dxa"/>
            <w:vAlign w:val="center"/>
          </w:tcPr>
          <w:p>
            <w:pPr>
              <w:spacing w:line="400" w:lineRule="exact"/>
              <w:rPr>
                <w:rFonts w:eastAsia="仿宋_GB2312"/>
                <w:sz w:val="28"/>
                <w:szCs w:val="28"/>
              </w:rPr>
            </w:pPr>
            <w:r>
              <w:rPr>
                <w:rFonts w:eastAsia="仿宋_GB2312"/>
                <w:sz w:val="28"/>
                <w:szCs w:val="28"/>
              </w:rPr>
              <w:t>操作不熟练、操作失误</w:t>
            </w:r>
          </w:p>
          <w:p>
            <w:pPr>
              <w:spacing w:line="400" w:lineRule="exact"/>
              <w:ind w:left="280" w:hanging="280" w:hangingChars="100"/>
              <w:rPr>
                <w:rFonts w:eastAsia="仿宋_GB2312"/>
                <w:sz w:val="28"/>
                <w:szCs w:val="28"/>
              </w:rPr>
            </w:pPr>
          </w:p>
        </w:tc>
        <w:tc>
          <w:tcPr>
            <w:tcW w:w="3218" w:type="dxa"/>
            <w:vAlign w:val="center"/>
          </w:tcPr>
          <w:p>
            <w:pPr>
              <w:spacing w:line="400" w:lineRule="exact"/>
              <w:rPr>
                <w:rFonts w:eastAsia="仿宋_GB2312"/>
                <w:sz w:val="28"/>
                <w:szCs w:val="28"/>
              </w:rPr>
            </w:pPr>
            <w:r>
              <w:rPr>
                <w:rFonts w:eastAsia="仿宋_GB2312"/>
                <w:sz w:val="28"/>
                <w:szCs w:val="28"/>
              </w:rPr>
              <w:t>无法保证使用安全性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8" w:hRule="atLeast"/>
        </w:trPr>
        <w:tc>
          <w:tcPr>
            <w:tcW w:w="835" w:type="dxa"/>
            <w:vMerge w:val="continue"/>
            <w:vAlign w:val="center"/>
          </w:tcPr>
          <w:p>
            <w:pPr>
              <w:spacing w:line="400" w:lineRule="exact"/>
              <w:jc w:val="center"/>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对副作用的警告不充分</w:t>
            </w:r>
          </w:p>
        </w:tc>
        <w:tc>
          <w:tcPr>
            <w:tcW w:w="3330" w:type="dxa"/>
            <w:vAlign w:val="center"/>
          </w:tcPr>
          <w:p>
            <w:pPr>
              <w:spacing w:line="400" w:lineRule="exact"/>
              <w:rPr>
                <w:rFonts w:eastAsia="仿宋_GB2312"/>
                <w:sz w:val="28"/>
                <w:szCs w:val="28"/>
              </w:rPr>
            </w:pPr>
            <w:r>
              <w:rPr>
                <w:rFonts w:eastAsia="仿宋_GB2312"/>
                <w:sz w:val="28"/>
                <w:szCs w:val="28"/>
              </w:rPr>
              <w:t>对操作人员警示不足</w:t>
            </w:r>
          </w:p>
        </w:tc>
        <w:tc>
          <w:tcPr>
            <w:tcW w:w="3218" w:type="dxa"/>
            <w:vAlign w:val="center"/>
          </w:tcPr>
          <w:p>
            <w:pPr>
              <w:spacing w:line="400" w:lineRule="exact"/>
              <w:rPr>
                <w:rFonts w:eastAsia="仿宋_GB2312"/>
                <w:sz w:val="28"/>
                <w:szCs w:val="28"/>
              </w:rPr>
            </w:pPr>
            <w:r>
              <w:rPr>
                <w:rFonts w:eastAsia="仿宋_GB2312"/>
                <w:sz w:val="28"/>
                <w:szCs w:val="28"/>
              </w:rPr>
              <w:t>重复使用</w:t>
            </w:r>
          </w:p>
          <w:p>
            <w:pPr>
              <w:spacing w:line="400" w:lineRule="exact"/>
              <w:rPr>
                <w:rFonts w:eastAsia="仿宋_GB2312"/>
                <w:sz w:val="28"/>
                <w:szCs w:val="28"/>
              </w:rPr>
            </w:pPr>
            <w:r>
              <w:rPr>
                <w:rFonts w:eastAsia="仿宋_GB2312"/>
                <w:sz w:val="28"/>
                <w:szCs w:val="28"/>
              </w:rPr>
              <w:t>二次灭菌</w:t>
            </w:r>
          </w:p>
          <w:p>
            <w:pPr>
              <w:spacing w:line="400" w:lineRule="exact"/>
              <w:rPr>
                <w:rFonts w:eastAsia="仿宋_GB2312"/>
                <w:sz w:val="28"/>
                <w:szCs w:val="28"/>
              </w:rPr>
            </w:pPr>
            <w:r>
              <w:rPr>
                <w:rFonts w:hint="eastAsia" w:eastAsia="仿宋_GB2312"/>
                <w:sz w:val="28"/>
                <w:szCs w:val="28"/>
              </w:rPr>
              <w:t>包装破损</w:t>
            </w:r>
            <w:r>
              <w:rPr>
                <w:rFonts w:eastAsia="仿宋_GB2312"/>
                <w:sz w:val="28"/>
                <w:szCs w:val="28"/>
              </w:rPr>
              <w:t>的产品被使用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对一次性使用医疗器械很可能再次使用的危害警告不适当</w:t>
            </w:r>
          </w:p>
        </w:tc>
        <w:tc>
          <w:tcPr>
            <w:tcW w:w="3330" w:type="dxa"/>
            <w:vAlign w:val="center"/>
          </w:tcPr>
          <w:p>
            <w:pPr>
              <w:spacing w:line="400" w:lineRule="exact"/>
              <w:rPr>
                <w:rFonts w:eastAsia="仿宋_GB2312"/>
                <w:sz w:val="28"/>
                <w:szCs w:val="28"/>
              </w:rPr>
            </w:pPr>
            <w:r>
              <w:rPr>
                <w:rFonts w:eastAsia="仿宋_GB2312"/>
                <w:sz w:val="28"/>
                <w:szCs w:val="28"/>
              </w:rPr>
              <w:t>造成重复使用</w:t>
            </w:r>
          </w:p>
          <w:p>
            <w:pPr>
              <w:spacing w:line="400" w:lineRule="exact"/>
              <w:rPr>
                <w:rFonts w:eastAsia="仿宋_GB2312"/>
                <w:sz w:val="28"/>
                <w:szCs w:val="28"/>
              </w:rPr>
            </w:pPr>
          </w:p>
        </w:tc>
        <w:tc>
          <w:tcPr>
            <w:tcW w:w="3218" w:type="dxa"/>
            <w:vAlign w:val="center"/>
          </w:tcPr>
          <w:p>
            <w:pPr>
              <w:spacing w:line="400" w:lineRule="exact"/>
              <w:rPr>
                <w:rFonts w:eastAsia="仿宋_GB2312"/>
                <w:sz w:val="28"/>
                <w:szCs w:val="28"/>
              </w:rPr>
            </w:pPr>
            <w:r>
              <w:rPr>
                <w:rFonts w:eastAsia="仿宋_GB2312"/>
                <w:sz w:val="28"/>
                <w:szCs w:val="28"/>
              </w:rPr>
              <w:t>交叉感染</w:t>
            </w:r>
          </w:p>
          <w:p>
            <w:pPr>
              <w:spacing w:line="400" w:lineRule="exact"/>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5" w:hRule="atLeast"/>
        </w:trPr>
        <w:tc>
          <w:tcPr>
            <w:tcW w:w="835" w:type="dxa"/>
            <w:vMerge w:val="continue"/>
            <w:vAlign w:val="center"/>
          </w:tcPr>
          <w:p>
            <w:pPr>
              <w:spacing w:line="400" w:lineRule="exact"/>
              <w:rPr>
                <w:rFonts w:eastAsia="仿宋_GB2312"/>
                <w:spacing w:val="-6"/>
                <w:kern w:val="24"/>
                <w:sz w:val="28"/>
                <w:szCs w:val="28"/>
              </w:rPr>
            </w:pPr>
          </w:p>
        </w:tc>
        <w:tc>
          <w:tcPr>
            <w:tcW w:w="1738" w:type="dxa"/>
            <w:tcBorders>
              <w:top w:val="nil"/>
            </w:tcBorders>
            <w:vAlign w:val="center"/>
          </w:tcPr>
          <w:p>
            <w:pPr>
              <w:spacing w:line="400" w:lineRule="exact"/>
              <w:rPr>
                <w:rFonts w:eastAsia="仿宋_GB2312"/>
                <w:sz w:val="28"/>
                <w:szCs w:val="28"/>
              </w:rPr>
            </w:pPr>
            <w:r>
              <w:rPr>
                <w:rFonts w:eastAsia="仿宋_GB2312"/>
                <w:sz w:val="28"/>
                <w:szCs w:val="28"/>
              </w:rPr>
              <w:t>违反或缩减说明书、程序等</w:t>
            </w:r>
          </w:p>
        </w:tc>
        <w:tc>
          <w:tcPr>
            <w:tcW w:w="3330" w:type="dxa"/>
            <w:vAlign w:val="center"/>
          </w:tcPr>
          <w:p>
            <w:pPr>
              <w:spacing w:line="400" w:lineRule="exact"/>
              <w:rPr>
                <w:rFonts w:eastAsia="仿宋_GB2312"/>
                <w:sz w:val="28"/>
                <w:szCs w:val="28"/>
              </w:rPr>
            </w:pPr>
            <w:r>
              <w:rPr>
                <w:rFonts w:eastAsia="仿宋_GB2312"/>
                <w:sz w:val="28"/>
                <w:szCs w:val="28"/>
              </w:rPr>
              <w:t>操作方法、注意事项、储存方法、警示事项等表述不清</w:t>
            </w:r>
          </w:p>
        </w:tc>
        <w:tc>
          <w:tcPr>
            <w:tcW w:w="3218" w:type="dxa"/>
            <w:vAlign w:val="center"/>
          </w:tcPr>
          <w:p>
            <w:pPr>
              <w:spacing w:line="400" w:lineRule="exact"/>
              <w:rPr>
                <w:rFonts w:eastAsia="仿宋_GB2312"/>
                <w:sz w:val="28"/>
                <w:szCs w:val="28"/>
              </w:rPr>
            </w:pPr>
            <w:r>
              <w:rPr>
                <w:rFonts w:eastAsia="仿宋_GB2312"/>
                <w:sz w:val="28"/>
                <w:szCs w:val="28"/>
              </w:rPr>
              <w:t>重复使用引起感染、没有集中销毁造成环境危害等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continue"/>
            <w:vAlign w:val="center"/>
          </w:tcPr>
          <w:p>
            <w:pPr>
              <w:spacing w:line="400" w:lineRule="exact"/>
              <w:rPr>
                <w:rFonts w:eastAsia="仿宋_GB2312"/>
                <w:spacing w:val="-6"/>
                <w:kern w:val="24"/>
                <w:sz w:val="28"/>
                <w:szCs w:val="28"/>
              </w:rPr>
            </w:pPr>
          </w:p>
        </w:tc>
        <w:tc>
          <w:tcPr>
            <w:tcW w:w="1738" w:type="dxa"/>
            <w:vAlign w:val="center"/>
          </w:tcPr>
          <w:p>
            <w:pPr>
              <w:spacing w:line="400" w:lineRule="exact"/>
              <w:rPr>
                <w:rFonts w:eastAsia="仿宋_GB2312"/>
                <w:sz w:val="28"/>
                <w:szCs w:val="28"/>
              </w:rPr>
            </w:pPr>
            <w:r>
              <w:rPr>
                <w:rFonts w:eastAsia="仿宋_GB2312"/>
                <w:sz w:val="28"/>
                <w:szCs w:val="28"/>
              </w:rPr>
              <w:t>对医疗器械寿命终止缺少适当的决定</w:t>
            </w:r>
          </w:p>
        </w:tc>
        <w:tc>
          <w:tcPr>
            <w:tcW w:w="3330" w:type="dxa"/>
            <w:vAlign w:val="center"/>
          </w:tcPr>
          <w:p>
            <w:pPr>
              <w:spacing w:line="400" w:lineRule="exact"/>
              <w:rPr>
                <w:rFonts w:eastAsia="仿宋_GB2312"/>
                <w:sz w:val="28"/>
                <w:szCs w:val="28"/>
              </w:rPr>
            </w:pPr>
            <w:r>
              <w:rPr>
                <w:rFonts w:eastAsia="仿宋_GB2312"/>
                <w:sz w:val="28"/>
                <w:szCs w:val="28"/>
              </w:rPr>
              <w:t>没有标识产品有效期</w:t>
            </w:r>
          </w:p>
        </w:tc>
        <w:tc>
          <w:tcPr>
            <w:tcW w:w="3218" w:type="dxa"/>
            <w:vAlign w:val="center"/>
          </w:tcPr>
          <w:p>
            <w:pPr>
              <w:spacing w:line="400" w:lineRule="exact"/>
              <w:rPr>
                <w:rFonts w:eastAsia="仿宋_GB2312"/>
                <w:sz w:val="28"/>
                <w:szCs w:val="28"/>
              </w:rPr>
            </w:pPr>
            <w:r>
              <w:rPr>
                <w:rFonts w:eastAsia="仿宋_GB2312"/>
                <w:sz w:val="28"/>
                <w:szCs w:val="28"/>
              </w:rPr>
              <w:t>超出有效期的产品被使用，造成细菌感染或因材料老化产生而导致产品性能不符合要求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不适当的包装（医疗器械的污染和/或变质）</w:t>
            </w:r>
          </w:p>
        </w:tc>
        <w:tc>
          <w:tcPr>
            <w:tcW w:w="3330" w:type="dxa"/>
            <w:vAlign w:val="center"/>
          </w:tcPr>
          <w:p>
            <w:pPr>
              <w:spacing w:line="400" w:lineRule="exact"/>
              <w:rPr>
                <w:rFonts w:eastAsia="仿宋_GB2312"/>
                <w:sz w:val="28"/>
                <w:szCs w:val="28"/>
              </w:rPr>
            </w:pPr>
            <w:r>
              <w:rPr>
                <w:rFonts w:eastAsia="仿宋_GB2312"/>
                <w:sz w:val="28"/>
                <w:szCs w:val="28"/>
              </w:rPr>
              <w:t>没有进行包装确认</w:t>
            </w:r>
          </w:p>
        </w:tc>
        <w:tc>
          <w:tcPr>
            <w:tcW w:w="3218" w:type="dxa"/>
            <w:vAlign w:val="center"/>
          </w:tcPr>
          <w:p>
            <w:pPr>
              <w:spacing w:line="400" w:lineRule="exact"/>
              <w:rPr>
                <w:rFonts w:eastAsia="仿宋_GB2312"/>
                <w:sz w:val="28"/>
                <w:szCs w:val="28"/>
              </w:rPr>
            </w:pPr>
            <w:r>
              <w:rPr>
                <w:rFonts w:eastAsia="仿宋_GB2312"/>
                <w:sz w:val="28"/>
                <w:szCs w:val="28"/>
              </w:rPr>
              <w:t>不能确保产品无菌，从而导致出现细菌感染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5" w:type="dxa"/>
            <w:vMerge w:val="continue"/>
            <w:vAlign w:val="center"/>
          </w:tcPr>
          <w:p>
            <w:pPr>
              <w:spacing w:line="400" w:lineRule="exact"/>
              <w:rPr>
                <w:rFonts w:eastAsia="仿宋_GB2312"/>
                <w:sz w:val="28"/>
                <w:szCs w:val="28"/>
              </w:rPr>
            </w:pPr>
          </w:p>
        </w:tc>
        <w:tc>
          <w:tcPr>
            <w:tcW w:w="1738" w:type="dxa"/>
            <w:vAlign w:val="center"/>
          </w:tcPr>
          <w:p>
            <w:pPr>
              <w:spacing w:line="400" w:lineRule="exact"/>
              <w:rPr>
                <w:rFonts w:eastAsia="仿宋_GB2312"/>
                <w:sz w:val="28"/>
                <w:szCs w:val="28"/>
              </w:rPr>
            </w:pPr>
            <w:r>
              <w:rPr>
                <w:rFonts w:eastAsia="仿宋_GB2312"/>
                <w:sz w:val="28"/>
                <w:szCs w:val="28"/>
              </w:rPr>
              <w:t>再次使用和/或不适当的再次使用</w:t>
            </w:r>
          </w:p>
        </w:tc>
        <w:tc>
          <w:tcPr>
            <w:tcW w:w="3330" w:type="dxa"/>
            <w:vAlign w:val="center"/>
          </w:tcPr>
          <w:p>
            <w:pPr>
              <w:spacing w:line="400" w:lineRule="exact"/>
              <w:rPr>
                <w:rFonts w:eastAsia="仿宋_GB2312"/>
                <w:sz w:val="28"/>
                <w:szCs w:val="28"/>
              </w:rPr>
            </w:pPr>
            <w:r>
              <w:rPr>
                <w:rFonts w:eastAsia="仿宋_GB2312"/>
                <w:sz w:val="28"/>
                <w:szCs w:val="28"/>
              </w:rPr>
              <w:t>产品标识没有明确</w:t>
            </w:r>
          </w:p>
        </w:tc>
        <w:tc>
          <w:tcPr>
            <w:tcW w:w="3218" w:type="dxa"/>
            <w:vAlign w:val="center"/>
          </w:tcPr>
          <w:p>
            <w:pPr>
              <w:spacing w:line="400" w:lineRule="exact"/>
              <w:rPr>
                <w:rFonts w:eastAsia="仿宋_GB2312"/>
                <w:sz w:val="28"/>
                <w:szCs w:val="28"/>
              </w:rPr>
            </w:pPr>
            <w:r>
              <w:rPr>
                <w:rFonts w:eastAsia="仿宋_GB2312"/>
                <w:sz w:val="28"/>
                <w:szCs w:val="28"/>
              </w:rPr>
              <w:t>出现细菌感染、交叉感染</w:t>
            </w:r>
          </w:p>
        </w:tc>
      </w:tr>
    </w:tbl>
    <w:p>
      <w:pPr>
        <w:spacing w:line="520" w:lineRule="exact"/>
        <w:ind w:firstLine="640" w:firstLineChars="200"/>
        <w:rPr>
          <w:rFonts w:eastAsia="仿宋_GB2312"/>
        </w:rPr>
      </w:pPr>
    </w:p>
    <w:sectPr>
      <w:footerReference r:id="rId3" w:type="default"/>
      <w:pgSz w:w="11906" w:h="16838"/>
      <w:pgMar w:top="1440" w:right="1800" w:bottom="1440" w:left="1800" w:header="851" w:footer="992" w:gutter="0"/>
      <w:lnNumType w:countBy="1" w:restart="continuous"/>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0000000000000000000"/>
    <w:charset w:val="86"/>
    <w:family w:val="roman"/>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DejaVu Sans">
    <w:altName w:val="Times New Roman"/>
    <w:panose1 w:val="00000000000000000000"/>
    <w:charset w:val="00"/>
    <w:family w:val="roman"/>
    <w:pitch w:val="default"/>
    <w:sig w:usb0="00000000" w:usb1="00000000" w:usb2="00000008" w:usb3="00000000" w:csb0="0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9</w:t>
    </w:r>
    <w:r>
      <w:rPr>
        <w:sz w:val="28"/>
        <w:szCs w:val="28"/>
      </w:rPr>
      <w:fldChar w:fldCharType="end"/>
    </w:r>
    <w:r>
      <w:rPr>
        <w:sz w:val="28"/>
        <w:szCs w:val="28"/>
      </w:rPr>
      <w:t xml:space="preserve"> —</w:t>
    </w:r>
  </w:p>
  <w:p>
    <w:pPr>
      <w:pStyle w:val="6"/>
    </w:pPr>
    <w: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57785" cy="131445"/>
              <wp:effectExtent l="0" t="0" r="3810" b="0"/>
              <wp:wrapNone/>
              <wp:docPr id="3"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9</w:t>
                          </w:r>
                          <w:r>
                            <w:rPr>
                              <w:sz w:val="18"/>
                            </w:rP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left:205.95pt;margin-top:0pt;height:10.35pt;width:4.55pt;mso-position-horizontal-relative:margin;mso-wrap-style:none;z-index:251659264;mso-width-relative:page;mso-height-relative:page;" filled="f" stroked="f" coordsize="21600,21600" o:gfxdata="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8Zl8TUAAAABwEAAA8AAAAAAAAAAQAgAAAAIgAAAGRycy9kb3ducmV2Lnht&#10;bFBLAQIUABQAAAAIAIdO4kCWwCLv/QEAAAMEAAAOAAAAAAAAAAEAIAAAACMBAABkcnMvZTJvRG9j&#10;LnhtbFBLBQYAAAAABgAGAFkBAACSBQAAAAA=&#10;">
              <v:fill on="f" focussize="0,0"/>
              <v:stroke on="f"/>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9</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0000488D"/>
    <w:rsid w:val="0007686E"/>
    <w:rsid w:val="00080CE6"/>
    <w:rsid w:val="00082973"/>
    <w:rsid w:val="00087541"/>
    <w:rsid w:val="00096E27"/>
    <w:rsid w:val="000C6CA4"/>
    <w:rsid w:val="000C78E5"/>
    <w:rsid w:val="000D1D56"/>
    <w:rsid w:val="000E5335"/>
    <w:rsid w:val="000F04CC"/>
    <w:rsid w:val="0012309B"/>
    <w:rsid w:val="00133C68"/>
    <w:rsid w:val="00145167"/>
    <w:rsid w:val="0015622E"/>
    <w:rsid w:val="00180A1E"/>
    <w:rsid w:val="001B3587"/>
    <w:rsid w:val="001C3A87"/>
    <w:rsid w:val="001E0961"/>
    <w:rsid w:val="001E12B2"/>
    <w:rsid w:val="001F136B"/>
    <w:rsid w:val="001F38E6"/>
    <w:rsid w:val="00211152"/>
    <w:rsid w:val="00242375"/>
    <w:rsid w:val="00244DF7"/>
    <w:rsid w:val="0026427D"/>
    <w:rsid w:val="00277473"/>
    <w:rsid w:val="002779CA"/>
    <w:rsid w:val="00291759"/>
    <w:rsid w:val="00294D2B"/>
    <w:rsid w:val="00297B43"/>
    <w:rsid w:val="002B1E75"/>
    <w:rsid w:val="002B24A0"/>
    <w:rsid w:val="002C2D5E"/>
    <w:rsid w:val="002F2978"/>
    <w:rsid w:val="0030368E"/>
    <w:rsid w:val="003137C1"/>
    <w:rsid w:val="00332DE8"/>
    <w:rsid w:val="003342C7"/>
    <w:rsid w:val="003450A4"/>
    <w:rsid w:val="00355421"/>
    <w:rsid w:val="00364475"/>
    <w:rsid w:val="00365AB2"/>
    <w:rsid w:val="003C36ED"/>
    <w:rsid w:val="00410598"/>
    <w:rsid w:val="00435AC6"/>
    <w:rsid w:val="00440708"/>
    <w:rsid w:val="004410B9"/>
    <w:rsid w:val="00446C0F"/>
    <w:rsid w:val="004534B8"/>
    <w:rsid w:val="004C4DBC"/>
    <w:rsid w:val="004E39ED"/>
    <w:rsid w:val="005041BA"/>
    <w:rsid w:val="00507CF1"/>
    <w:rsid w:val="00534F4C"/>
    <w:rsid w:val="0055664A"/>
    <w:rsid w:val="005859F5"/>
    <w:rsid w:val="005A1410"/>
    <w:rsid w:val="005A204F"/>
    <w:rsid w:val="00631F18"/>
    <w:rsid w:val="006A1165"/>
    <w:rsid w:val="006C00CB"/>
    <w:rsid w:val="006E68A9"/>
    <w:rsid w:val="006E7148"/>
    <w:rsid w:val="00702EE6"/>
    <w:rsid w:val="00716619"/>
    <w:rsid w:val="00745098"/>
    <w:rsid w:val="007646FC"/>
    <w:rsid w:val="00787F7E"/>
    <w:rsid w:val="007904F6"/>
    <w:rsid w:val="007975E3"/>
    <w:rsid w:val="007B7599"/>
    <w:rsid w:val="007D341A"/>
    <w:rsid w:val="007F2C49"/>
    <w:rsid w:val="00800F92"/>
    <w:rsid w:val="00815364"/>
    <w:rsid w:val="00821079"/>
    <w:rsid w:val="00845C30"/>
    <w:rsid w:val="008579FA"/>
    <w:rsid w:val="00863FB4"/>
    <w:rsid w:val="0088526E"/>
    <w:rsid w:val="0089520D"/>
    <w:rsid w:val="00895B08"/>
    <w:rsid w:val="009075AC"/>
    <w:rsid w:val="00926760"/>
    <w:rsid w:val="00933041"/>
    <w:rsid w:val="00937F0E"/>
    <w:rsid w:val="0098299D"/>
    <w:rsid w:val="00987158"/>
    <w:rsid w:val="009B6DAB"/>
    <w:rsid w:val="009C0FCD"/>
    <w:rsid w:val="009D26BB"/>
    <w:rsid w:val="009E2514"/>
    <w:rsid w:val="009E4815"/>
    <w:rsid w:val="009F209D"/>
    <w:rsid w:val="00A1106D"/>
    <w:rsid w:val="00A23EC2"/>
    <w:rsid w:val="00A25C1A"/>
    <w:rsid w:val="00A357A3"/>
    <w:rsid w:val="00A467DC"/>
    <w:rsid w:val="00A46C7B"/>
    <w:rsid w:val="00A57310"/>
    <w:rsid w:val="00A73BFE"/>
    <w:rsid w:val="00A81801"/>
    <w:rsid w:val="00AA3A99"/>
    <w:rsid w:val="00AB1311"/>
    <w:rsid w:val="00AD71DF"/>
    <w:rsid w:val="00AD7B6B"/>
    <w:rsid w:val="00B32474"/>
    <w:rsid w:val="00B41578"/>
    <w:rsid w:val="00B66355"/>
    <w:rsid w:val="00B9118A"/>
    <w:rsid w:val="00BC2983"/>
    <w:rsid w:val="00BC7C84"/>
    <w:rsid w:val="00BD300F"/>
    <w:rsid w:val="00BD6681"/>
    <w:rsid w:val="00BE669C"/>
    <w:rsid w:val="00C0562D"/>
    <w:rsid w:val="00C25F69"/>
    <w:rsid w:val="00C26937"/>
    <w:rsid w:val="00C40950"/>
    <w:rsid w:val="00C74CE1"/>
    <w:rsid w:val="00CB4CCD"/>
    <w:rsid w:val="00D32614"/>
    <w:rsid w:val="00D36F91"/>
    <w:rsid w:val="00D4450D"/>
    <w:rsid w:val="00D85AA3"/>
    <w:rsid w:val="00DC1557"/>
    <w:rsid w:val="00DD1CA4"/>
    <w:rsid w:val="00DD740E"/>
    <w:rsid w:val="00E07E6A"/>
    <w:rsid w:val="00E11D78"/>
    <w:rsid w:val="00E70738"/>
    <w:rsid w:val="00E72EF4"/>
    <w:rsid w:val="00E76DC5"/>
    <w:rsid w:val="00EB1A04"/>
    <w:rsid w:val="00EC523A"/>
    <w:rsid w:val="00ED0226"/>
    <w:rsid w:val="00EE261B"/>
    <w:rsid w:val="00EE4EBB"/>
    <w:rsid w:val="00EE62DC"/>
    <w:rsid w:val="00F03E8D"/>
    <w:rsid w:val="00F31CB3"/>
    <w:rsid w:val="00F81D1A"/>
    <w:rsid w:val="00FB46B2"/>
    <w:rsid w:val="00FF0F38"/>
    <w:rsid w:val="03724869"/>
    <w:rsid w:val="05235E1B"/>
    <w:rsid w:val="061834A6"/>
    <w:rsid w:val="07E61381"/>
    <w:rsid w:val="09F064E7"/>
    <w:rsid w:val="0A742C74"/>
    <w:rsid w:val="0C3C5A14"/>
    <w:rsid w:val="0C5F2EA2"/>
    <w:rsid w:val="0FDA5C70"/>
    <w:rsid w:val="0FE73EE9"/>
    <w:rsid w:val="108D4A90"/>
    <w:rsid w:val="11A77DD3"/>
    <w:rsid w:val="12D746E8"/>
    <w:rsid w:val="12F9640D"/>
    <w:rsid w:val="134578A4"/>
    <w:rsid w:val="14411E19"/>
    <w:rsid w:val="14507CE1"/>
    <w:rsid w:val="145853B5"/>
    <w:rsid w:val="157224A6"/>
    <w:rsid w:val="1A9133CF"/>
    <w:rsid w:val="1AA43102"/>
    <w:rsid w:val="1B2304CB"/>
    <w:rsid w:val="1B7C407F"/>
    <w:rsid w:val="1C597F1C"/>
    <w:rsid w:val="1CC21F65"/>
    <w:rsid w:val="1D2B3667"/>
    <w:rsid w:val="1E8F40C9"/>
    <w:rsid w:val="21350F58"/>
    <w:rsid w:val="26FD42C6"/>
    <w:rsid w:val="28F506B3"/>
    <w:rsid w:val="29D238DE"/>
    <w:rsid w:val="2A2878AC"/>
    <w:rsid w:val="2A922F77"/>
    <w:rsid w:val="2B457FE9"/>
    <w:rsid w:val="2C097269"/>
    <w:rsid w:val="2D430559"/>
    <w:rsid w:val="2D7B4196"/>
    <w:rsid w:val="30406FD1"/>
    <w:rsid w:val="319F5F79"/>
    <w:rsid w:val="31BE0AF5"/>
    <w:rsid w:val="33185FE3"/>
    <w:rsid w:val="357E2A76"/>
    <w:rsid w:val="37873738"/>
    <w:rsid w:val="37D050DF"/>
    <w:rsid w:val="391159AF"/>
    <w:rsid w:val="39FC665F"/>
    <w:rsid w:val="3D7F42BC"/>
    <w:rsid w:val="3EE30952"/>
    <w:rsid w:val="401A783F"/>
    <w:rsid w:val="40B7508E"/>
    <w:rsid w:val="41D659E7"/>
    <w:rsid w:val="45EF0E26"/>
    <w:rsid w:val="4614088C"/>
    <w:rsid w:val="4645313C"/>
    <w:rsid w:val="479003E6"/>
    <w:rsid w:val="47F646ED"/>
    <w:rsid w:val="48360F8E"/>
    <w:rsid w:val="4893018E"/>
    <w:rsid w:val="49520049"/>
    <w:rsid w:val="498B355B"/>
    <w:rsid w:val="49BA174B"/>
    <w:rsid w:val="49F745C1"/>
    <w:rsid w:val="4B895879"/>
    <w:rsid w:val="4C6E73CA"/>
    <w:rsid w:val="4CD62D3F"/>
    <w:rsid w:val="50A373DC"/>
    <w:rsid w:val="52992845"/>
    <w:rsid w:val="52DE26FD"/>
    <w:rsid w:val="533802B0"/>
    <w:rsid w:val="545253A1"/>
    <w:rsid w:val="55C4407D"/>
    <w:rsid w:val="581035A9"/>
    <w:rsid w:val="59B44408"/>
    <w:rsid w:val="5A9009D2"/>
    <w:rsid w:val="5AD14B46"/>
    <w:rsid w:val="5B0D4121"/>
    <w:rsid w:val="5B523ED9"/>
    <w:rsid w:val="5B746366"/>
    <w:rsid w:val="5BE30FD5"/>
    <w:rsid w:val="5DB26EB1"/>
    <w:rsid w:val="5EC62C14"/>
    <w:rsid w:val="5FA82319"/>
    <w:rsid w:val="6175447D"/>
    <w:rsid w:val="626F35C2"/>
    <w:rsid w:val="62D50CF2"/>
    <w:rsid w:val="67513297"/>
    <w:rsid w:val="67ED6375"/>
    <w:rsid w:val="68555008"/>
    <w:rsid w:val="69676DA1"/>
    <w:rsid w:val="6B737129"/>
    <w:rsid w:val="6C523D39"/>
    <w:rsid w:val="6C5F0204"/>
    <w:rsid w:val="6C77554D"/>
    <w:rsid w:val="6CF30226"/>
    <w:rsid w:val="6D7952F5"/>
    <w:rsid w:val="6D91263F"/>
    <w:rsid w:val="6DDD5884"/>
    <w:rsid w:val="6EF015E7"/>
    <w:rsid w:val="6F217BAF"/>
    <w:rsid w:val="6FC0720B"/>
    <w:rsid w:val="703B4AE4"/>
    <w:rsid w:val="707C3028"/>
    <w:rsid w:val="71706A0F"/>
    <w:rsid w:val="71BB5EDC"/>
    <w:rsid w:val="71D40C5C"/>
    <w:rsid w:val="73EA2AA9"/>
    <w:rsid w:val="770B550A"/>
    <w:rsid w:val="79660E24"/>
    <w:rsid w:val="79FA6550"/>
    <w:rsid w:val="7AC57DCC"/>
    <w:rsid w:val="7AD46261"/>
    <w:rsid w:val="7B05641A"/>
    <w:rsid w:val="7B2A40D3"/>
    <w:rsid w:val="DEF70035"/>
    <w:rsid w:val="DFFFE17D"/>
    <w:rsid w:val="ED776AC6"/>
    <w:rsid w:val="EF9F915E"/>
    <w:rsid w:val="FBB7C68F"/>
    <w:rsid w:val="FDF752B8"/>
    <w:rsid w:val="FF7F9E8F"/>
    <w:rsid w:val="FFFFCD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Adobe 仿宋 Std R" w:cs="Times New Roman"/>
      <w:kern w:val="2"/>
      <w:sz w:val="32"/>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3">
    <w:name w:val="annotation text"/>
    <w:basedOn w:val="1"/>
    <w:link w:val="17"/>
    <w:semiHidden/>
    <w:unhideWhenUsed/>
    <w:qFormat/>
    <w:uiPriority w:val="99"/>
    <w:pPr>
      <w:jc w:val="left"/>
    </w:pPr>
  </w:style>
  <w:style w:type="paragraph" w:styleId="4">
    <w:name w:val="Date"/>
    <w:basedOn w:val="1"/>
    <w:next w:val="1"/>
    <w:link w:val="20"/>
    <w:semiHidden/>
    <w:unhideWhenUsed/>
    <w:qFormat/>
    <w:uiPriority w:val="99"/>
    <w:pPr>
      <w:ind w:left="100" w:leftChars="2500"/>
    </w:pPr>
  </w:style>
  <w:style w:type="paragraph" w:styleId="5">
    <w:name w:val="Balloon Text"/>
    <w:basedOn w:val="1"/>
    <w:link w:val="15"/>
    <w:semiHidden/>
    <w:unhideWhenUsed/>
    <w:qFormat/>
    <w:uiPriority w:val="99"/>
    <w:rPr>
      <w:sz w:val="18"/>
      <w:szCs w:val="18"/>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8">
    <w:name w:val="annotation subject"/>
    <w:basedOn w:val="3"/>
    <w:next w:val="3"/>
    <w:link w:val="18"/>
    <w:semiHidden/>
    <w:unhideWhenUsed/>
    <w:qFormat/>
    <w:uiPriority w:val="99"/>
    <w:rPr>
      <w:b/>
      <w:bCs/>
    </w:rPr>
  </w:style>
  <w:style w:type="character" w:styleId="11">
    <w:name w:val="line number"/>
    <w:basedOn w:val="10"/>
    <w:semiHidden/>
    <w:unhideWhenUsed/>
    <w:qFormat/>
    <w:uiPriority w:val="99"/>
  </w:style>
  <w:style w:type="character" w:styleId="12">
    <w:name w:val="annotation reference"/>
    <w:basedOn w:val="10"/>
    <w:semiHidden/>
    <w:unhideWhenUsed/>
    <w:qFormat/>
    <w:uiPriority w:val="99"/>
    <w:rPr>
      <w:sz w:val="21"/>
      <w:szCs w:val="21"/>
    </w:rPr>
  </w:style>
  <w:style w:type="paragraph" w:customStyle="1" w:styleId="13">
    <w:name w:val="列出段落1"/>
    <w:basedOn w:val="1"/>
    <w:link w:val="14"/>
    <w:qFormat/>
    <w:uiPriority w:val="34"/>
    <w:pPr>
      <w:ind w:firstLine="420" w:firstLineChars="200"/>
    </w:pPr>
    <w:rPr>
      <w:rFonts w:eastAsia="仿宋_GB2312"/>
      <w:szCs w:val="32"/>
    </w:rPr>
  </w:style>
  <w:style w:type="character" w:customStyle="1" w:styleId="14">
    <w:name w:val="列出段落 Char"/>
    <w:basedOn w:val="10"/>
    <w:link w:val="13"/>
    <w:qFormat/>
    <w:uiPriority w:val="34"/>
    <w:rPr>
      <w:rFonts w:ascii="Times New Roman" w:hAnsi="Times New Roman" w:eastAsia="仿宋_GB2312" w:cs="Times New Roman"/>
      <w:sz w:val="32"/>
      <w:szCs w:val="32"/>
    </w:rPr>
  </w:style>
  <w:style w:type="character" w:customStyle="1" w:styleId="15">
    <w:name w:val="批注框文本 字符"/>
    <w:basedOn w:val="10"/>
    <w:link w:val="5"/>
    <w:semiHidden/>
    <w:qFormat/>
    <w:uiPriority w:val="99"/>
    <w:rPr>
      <w:rFonts w:ascii="Times New Roman" w:hAnsi="Times New Roman" w:eastAsia="Adobe 仿宋 Std R" w:cs="Times New Roman"/>
      <w:kern w:val="2"/>
      <w:sz w:val="18"/>
      <w:szCs w:val="18"/>
    </w:rPr>
  </w:style>
  <w:style w:type="paragraph" w:styleId="16">
    <w:name w:val="List Paragraph"/>
    <w:basedOn w:val="1"/>
    <w:unhideWhenUsed/>
    <w:qFormat/>
    <w:uiPriority w:val="99"/>
    <w:pPr>
      <w:ind w:firstLine="420" w:firstLineChars="200"/>
    </w:pPr>
  </w:style>
  <w:style w:type="character" w:customStyle="1" w:styleId="17">
    <w:name w:val="批注文字 字符"/>
    <w:basedOn w:val="10"/>
    <w:link w:val="3"/>
    <w:semiHidden/>
    <w:qFormat/>
    <w:uiPriority w:val="99"/>
    <w:rPr>
      <w:rFonts w:ascii="Times New Roman" w:hAnsi="Times New Roman" w:eastAsia="Adobe 仿宋 Std R" w:cs="Times New Roman"/>
      <w:kern w:val="2"/>
      <w:sz w:val="32"/>
      <w:szCs w:val="24"/>
    </w:rPr>
  </w:style>
  <w:style w:type="character" w:customStyle="1" w:styleId="18">
    <w:name w:val="批注主题 字符"/>
    <w:basedOn w:val="17"/>
    <w:link w:val="8"/>
    <w:semiHidden/>
    <w:qFormat/>
    <w:uiPriority w:val="99"/>
    <w:rPr>
      <w:rFonts w:ascii="Times New Roman" w:hAnsi="Times New Roman" w:eastAsia="Adobe 仿宋 Std R" w:cs="Times New Roman"/>
      <w:b/>
      <w:bCs/>
      <w:kern w:val="2"/>
      <w:sz w:val="32"/>
      <w:szCs w:val="24"/>
    </w:rPr>
  </w:style>
  <w:style w:type="character" w:customStyle="1" w:styleId="19">
    <w:name w:val="f101"/>
    <w:qFormat/>
    <w:uiPriority w:val="0"/>
    <w:rPr>
      <w:sz w:val="24"/>
      <w:szCs w:val="24"/>
    </w:rPr>
  </w:style>
  <w:style w:type="character" w:customStyle="1" w:styleId="20">
    <w:name w:val="日期 字符"/>
    <w:basedOn w:val="10"/>
    <w:link w:val="4"/>
    <w:semiHidden/>
    <w:qFormat/>
    <w:uiPriority w:val="99"/>
    <w:rPr>
      <w:rFonts w:ascii="Times New Roman" w:hAnsi="Times New Roman" w:eastAsia="Adobe 仿宋 Std R" w:cs="Times New Roman"/>
      <w:kern w:val="2"/>
      <w:sz w:val="32"/>
      <w:szCs w:val="24"/>
    </w:rPr>
  </w:style>
  <w:style w:type="paragraph" w:customStyle="1" w:styleId="21">
    <w:name w:val="修订1"/>
    <w:hidden/>
    <w:semiHidden/>
    <w:qFormat/>
    <w:uiPriority w:val="99"/>
    <w:rPr>
      <w:rFonts w:ascii="Times New Roman" w:hAnsi="Times New Roman" w:eastAsia="Adobe 仿宋 Std R" w:cs="Times New Roman"/>
      <w:kern w:val="2"/>
      <w:sz w:val="32"/>
      <w:szCs w:val="24"/>
      <w:lang w:val="en-US" w:eastAsia="zh-CN" w:bidi="ar-SA"/>
    </w:rPr>
  </w:style>
  <w:style w:type="paragraph" w:customStyle="1" w:styleId="22">
    <w:name w:val="Revision"/>
    <w:hidden/>
    <w:semiHidden/>
    <w:uiPriority w:val="99"/>
    <w:rPr>
      <w:rFonts w:ascii="Times New Roman" w:hAnsi="Times New Roman" w:eastAsia="Adobe 仿宋 Std R"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B235F-871A-4BB3-A717-6A2CBC697AF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1117</Words>
  <Characters>6368</Characters>
  <Lines>53</Lines>
  <Paragraphs>14</Paragraphs>
  <TotalTime>143</TotalTime>
  <ScaleCrop>false</ScaleCrop>
  <LinksUpToDate>false</LinksUpToDate>
  <CharactersWithSpaces>7471</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2026-07-29T06:58:00Z</dcterms:created>
  <dc:creator>董利华</dc:creator>
  <cp:lastModifiedBy>Administrator</cp:lastModifiedBy>
  <dcterms:modified xsi:type="dcterms:W3CDTF">2026-07-30T01:23:58Z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A946306B261143EAB8F75712E7010A65</vt:lpwstr>
  </property>
  <property fmtid="{D5CDD505-2E9C-101B-9397-08002B2CF9AE}" pid="4" name="KSOTemplateDocerSaveRecord">
    <vt:lpwstr>eyJoZGlkIjoiNTY3YjMxM2E5ZWY1MTBiZTg0NDY1OWM4YzA3ODQyYTYiLCJ1c2VySWQiOiIyNjYwMTA4NjYifQ==</vt:lpwstr>
  </property>
</Properties>
</file>