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B91618D" w14:textId="77777777" w:rsidR="0016408D" w:rsidRDefault="00000000">
      <w:pPr>
        <w:adjustRightInd w:val="0"/>
        <w:snapToGrid w:val="0"/>
        <w:spacing w:line="600" w:lineRule="exact"/>
        <w:jc w:val="center"/>
        <w:rPr>
          <w:rFonts w:eastAsia="方正小标宋简体"/>
          <w:sz w:val="44"/>
          <w:szCs w:val="36"/>
        </w:rPr>
      </w:pPr>
      <w:r>
        <w:rPr>
          <w:rFonts w:eastAsia="方正小标宋简体" w:hint="eastAsia"/>
          <w:sz w:val="44"/>
          <w:szCs w:val="36"/>
        </w:rPr>
        <w:t>电动诊疗台注册审查指导原则</w:t>
      </w:r>
    </w:p>
    <w:p w14:paraId="07DC7274" w14:textId="46EB4A62" w:rsidR="00FF5CEE" w:rsidRDefault="0016408D">
      <w:pPr>
        <w:adjustRightInd w:val="0"/>
        <w:snapToGrid w:val="0"/>
        <w:spacing w:line="600" w:lineRule="exact"/>
        <w:jc w:val="center"/>
        <w:rPr>
          <w:rFonts w:eastAsia="方正小标宋简体"/>
          <w:color w:val="EE0000"/>
          <w:sz w:val="44"/>
          <w:szCs w:val="36"/>
        </w:rPr>
      </w:pPr>
      <w:r w:rsidRPr="0016408D">
        <w:rPr>
          <w:rFonts w:eastAsia="方正小标宋简体"/>
          <w:sz w:val="44"/>
          <w:szCs w:val="36"/>
        </w:rPr>
        <w:t>（征求意见稿）</w:t>
      </w:r>
    </w:p>
    <w:p w14:paraId="132274C8" w14:textId="77777777" w:rsidR="00FF5CEE" w:rsidRDefault="00FF5CEE">
      <w:pPr>
        <w:pStyle w:val="afe"/>
        <w:widowControl w:val="0"/>
        <w:spacing w:line="520" w:lineRule="exact"/>
        <w:ind w:firstLine="624"/>
        <w:rPr>
          <w:rFonts w:ascii="Times New Roman" w:eastAsia="仿宋_GB2312" w:hAnsi="Times New Roman"/>
          <w:color w:val="auto"/>
          <w:sz w:val="32"/>
          <w:szCs w:val="28"/>
        </w:rPr>
      </w:pPr>
    </w:p>
    <w:p w14:paraId="67D41208" w14:textId="77777777" w:rsidR="00FF5CEE" w:rsidRDefault="00000000">
      <w:pPr>
        <w:pStyle w:val="afe"/>
        <w:widowControl w:val="0"/>
        <w:spacing w:line="520" w:lineRule="exact"/>
        <w:ind w:firstLine="624"/>
        <w:rPr>
          <w:rFonts w:ascii="Times New Roman" w:eastAsia="仿宋_GB2312" w:hAnsi="Times New Roman"/>
          <w:color w:val="auto"/>
          <w:sz w:val="32"/>
          <w:szCs w:val="28"/>
        </w:rPr>
      </w:pPr>
      <w:r>
        <w:rPr>
          <w:rFonts w:ascii="Times New Roman" w:eastAsia="仿宋_GB2312" w:hAnsi="Times New Roman" w:hint="eastAsia"/>
          <w:color w:val="auto"/>
          <w:sz w:val="32"/>
          <w:szCs w:val="28"/>
        </w:rPr>
        <w:t>本指导原则旨在指导注册申请人对电动诊疗台的注册申报资料的准备及撰写，同时也为技术审评部门审评注册申报资料提供参考。</w:t>
      </w:r>
    </w:p>
    <w:p w14:paraId="4DC4B05F" w14:textId="77777777" w:rsidR="00FF5CEE" w:rsidRDefault="00000000">
      <w:pPr>
        <w:overflowPunct w:val="0"/>
        <w:autoSpaceDE w:val="0"/>
        <w:autoSpaceDN w:val="0"/>
        <w:spacing w:line="520" w:lineRule="exact"/>
        <w:ind w:firstLineChars="200" w:firstLine="640"/>
        <w:rPr>
          <w:rFonts w:eastAsia="仿宋_GB2312" w:cs="仿宋_GB2312"/>
          <w:snapToGrid w:val="0"/>
          <w:kern w:val="0"/>
          <w:sz w:val="32"/>
          <w:szCs w:val="32"/>
        </w:rPr>
      </w:pPr>
      <w:r>
        <w:rPr>
          <w:rFonts w:eastAsia="仿宋_GB2312" w:hint="eastAsia"/>
          <w:sz w:val="32"/>
          <w:szCs w:val="28"/>
        </w:rPr>
        <w:t>本指导原则是对电动诊疗台</w:t>
      </w:r>
      <w:r>
        <w:rPr>
          <w:rFonts w:eastAsia="仿宋_GB2312" w:cs="仿宋_GB2312" w:hint="eastAsia"/>
          <w:snapToGrid w:val="0"/>
          <w:kern w:val="0"/>
          <w:sz w:val="32"/>
          <w:szCs w:val="32"/>
        </w:rPr>
        <w:t>的一般要求，申请人应依据产品的</w:t>
      </w:r>
      <w:r>
        <w:rPr>
          <w:rFonts w:eastAsia="仿宋_GB2312"/>
          <w:color w:val="000000"/>
          <w:sz w:val="32"/>
          <w:szCs w:val="32"/>
        </w:rPr>
        <w:t>具体</w:t>
      </w:r>
      <w:r>
        <w:rPr>
          <w:rFonts w:eastAsia="仿宋_GB2312" w:cs="仿宋_GB2312" w:hint="eastAsia"/>
          <w:snapToGrid w:val="0"/>
          <w:kern w:val="0"/>
          <w:sz w:val="32"/>
          <w:szCs w:val="32"/>
        </w:rPr>
        <w:t>特性确定其中的内容是否适用。若不适用，需具体阐述其理由及相应的科学依据，并依据具体的产品特性对注册申报资料的内容进行充实和细化。</w:t>
      </w:r>
    </w:p>
    <w:p w14:paraId="0DAF02D5" w14:textId="77777777" w:rsidR="00FF5CEE" w:rsidRDefault="00000000">
      <w:pPr>
        <w:overflowPunct w:val="0"/>
        <w:autoSpaceDE w:val="0"/>
        <w:autoSpaceDN w:val="0"/>
        <w:spacing w:line="520" w:lineRule="exact"/>
        <w:ind w:firstLineChars="200" w:firstLine="640"/>
        <w:rPr>
          <w:rFonts w:eastAsia="仿宋_GB2312" w:cs="仿宋_GB2312"/>
          <w:snapToGrid w:val="0"/>
          <w:kern w:val="0"/>
          <w:sz w:val="32"/>
          <w:szCs w:val="32"/>
        </w:rPr>
      </w:pPr>
      <w:r>
        <w:rPr>
          <w:rFonts w:eastAsia="仿宋_GB2312" w:cs="仿宋_GB2312" w:hint="eastAsia"/>
          <w:snapToGrid w:val="0"/>
          <w:kern w:val="0"/>
          <w:sz w:val="32"/>
          <w:szCs w:val="32"/>
        </w:rPr>
        <w:t>本指导原则是供注册申请人和技术审评人员使用的指导性文件，但不包括注册审批所涉及的行政事项，亦不作为法规强制执行，应在遵循相关法规的前提下使用本指导原则。如果有能够满足相关法规要求的其他方法，也可以采用，但是需要提供详细的研究资料和验证资料。</w:t>
      </w:r>
    </w:p>
    <w:p w14:paraId="0E0C6273" w14:textId="77777777" w:rsidR="00FF5CEE" w:rsidRDefault="00000000">
      <w:pPr>
        <w:overflowPunct w:val="0"/>
        <w:autoSpaceDE w:val="0"/>
        <w:autoSpaceDN w:val="0"/>
        <w:spacing w:line="520" w:lineRule="exact"/>
        <w:ind w:firstLineChars="200" w:firstLine="640"/>
        <w:rPr>
          <w:rFonts w:eastAsia="仿宋_GB2312" w:cs="仿宋_GB2312"/>
          <w:snapToGrid w:val="0"/>
          <w:kern w:val="0"/>
          <w:sz w:val="32"/>
          <w:szCs w:val="32"/>
        </w:rPr>
      </w:pPr>
      <w:r>
        <w:rPr>
          <w:rFonts w:eastAsia="仿宋_GB2312" w:cs="仿宋_GB2312" w:hint="eastAsia"/>
          <w:snapToGrid w:val="0"/>
          <w:kern w:val="0"/>
          <w:sz w:val="32"/>
          <w:szCs w:val="32"/>
        </w:rPr>
        <w:t>本指导原则是在现行法规和标准体系以及当前认知水平下制定的，随着法规和标准的不断完善，以及科学技术的不断发展，相关内容也将适时进行调整。</w:t>
      </w:r>
    </w:p>
    <w:p w14:paraId="0C298AAE" w14:textId="77777777" w:rsidR="00FF5CEE" w:rsidRDefault="00000000">
      <w:pPr>
        <w:pStyle w:val="1"/>
      </w:pPr>
      <w:r>
        <w:t>一、适用范围</w:t>
      </w:r>
    </w:p>
    <w:p w14:paraId="30B9F1D4"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本指导原则适用于电动诊疗台。电动诊疗台在现行《医疗器械分类目录》中，管理类别为第Ⅱ类，产品分类编码为</w:t>
      </w:r>
      <w:r>
        <w:rPr>
          <w:rFonts w:eastAsia="仿宋_GB2312" w:hint="eastAsia"/>
          <w:sz w:val="32"/>
          <w:szCs w:val="32"/>
        </w:rPr>
        <w:t>15-02-01</w:t>
      </w:r>
      <w:r>
        <w:rPr>
          <w:rFonts w:eastAsia="仿宋_GB2312" w:hint="eastAsia"/>
          <w:sz w:val="32"/>
          <w:szCs w:val="32"/>
        </w:rPr>
        <w:t>。</w:t>
      </w:r>
    </w:p>
    <w:p w14:paraId="687F29D4" w14:textId="15FEB15E" w:rsidR="00FF5CEE" w:rsidRDefault="00000000">
      <w:pPr>
        <w:spacing w:line="520" w:lineRule="exact"/>
        <w:ind w:firstLineChars="200" w:firstLine="640"/>
        <w:rPr>
          <w:rFonts w:eastAsia="仿宋_GB2312"/>
          <w:sz w:val="32"/>
          <w:szCs w:val="32"/>
        </w:rPr>
      </w:pPr>
      <w:r>
        <w:rPr>
          <w:rFonts w:eastAsia="仿宋_GB2312" w:hint="eastAsia"/>
          <w:sz w:val="32"/>
          <w:szCs w:val="32"/>
        </w:rPr>
        <w:t>本指导原则不适用于野外诊疗台、耳鼻喉检查治疗台、电动综合手术床（台）</w:t>
      </w:r>
      <w:r w:rsidR="00EF7F9B" w:rsidRPr="00EF7F9B">
        <w:rPr>
          <w:rFonts w:eastAsia="仿宋_GB2312"/>
          <w:sz w:val="32"/>
          <w:szCs w:val="32"/>
        </w:rPr>
        <w:t>、电动诊疗椅</w:t>
      </w:r>
      <w:r>
        <w:rPr>
          <w:rFonts w:eastAsia="仿宋_GB2312" w:hint="eastAsia"/>
          <w:sz w:val="32"/>
          <w:szCs w:val="32"/>
        </w:rPr>
        <w:t>。</w:t>
      </w:r>
    </w:p>
    <w:p w14:paraId="7174A5B8" w14:textId="77777777" w:rsidR="00FF5CEE" w:rsidRDefault="00000000">
      <w:pPr>
        <w:pStyle w:val="1"/>
      </w:pPr>
      <w:r>
        <w:lastRenderedPageBreak/>
        <w:t>二、</w:t>
      </w:r>
      <w:r>
        <w:rPr>
          <w:rFonts w:hint="eastAsia"/>
        </w:rPr>
        <w:t>注册</w:t>
      </w:r>
      <w:r>
        <w:t>审查要点</w:t>
      </w:r>
    </w:p>
    <w:p w14:paraId="23067FC7" w14:textId="77777777" w:rsidR="00FF5CEE" w:rsidRDefault="00000000">
      <w:pPr>
        <w:pStyle w:val="2"/>
      </w:pPr>
      <w:r>
        <w:rPr>
          <w:rFonts w:hint="eastAsia"/>
        </w:rPr>
        <w:t>（一）监管信息</w:t>
      </w:r>
    </w:p>
    <w:p w14:paraId="4B60B98D" w14:textId="77777777" w:rsidR="00FF5CEE" w:rsidRDefault="00000000">
      <w:pPr>
        <w:pStyle w:val="3"/>
      </w:pPr>
      <w:r>
        <w:rPr>
          <w:rFonts w:hint="eastAsia"/>
        </w:rPr>
        <w:t>1.</w:t>
      </w:r>
      <w:r>
        <w:rPr>
          <w:rFonts w:hint="eastAsia"/>
        </w:rPr>
        <w:t>产品名称</w:t>
      </w:r>
    </w:p>
    <w:p w14:paraId="58BB4245"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产品的名称应为通用名称，产品命名应符合《医疗器械通用名称命名规则》、《医疗器械分类目录》、国家标准、行业标准等相关法规、规范性文件中的通用名称要求。产品名称通常由一个核心词和不超过三个的特征词组成，并以体现产品技术结构特征、功能属性为基本准则，例如：电动检查床（台）、医用电动诊疗床（台）、电动综合检查床（台）、乳腺超声检查台。</w:t>
      </w:r>
    </w:p>
    <w:p w14:paraId="22EA280F" w14:textId="77777777" w:rsidR="00FF5CEE" w:rsidRDefault="00000000">
      <w:pPr>
        <w:pStyle w:val="3"/>
      </w:pPr>
      <w:r>
        <w:rPr>
          <w:rFonts w:hint="eastAsia"/>
        </w:rPr>
        <w:t>2.</w:t>
      </w:r>
      <w:r>
        <w:rPr>
          <w:rFonts w:hint="eastAsia"/>
        </w:rPr>
        <w:t>分类编码</w:t>
      </w:r>
    </w:p>
    <w:p w14:paraId="0C0F9CDF" w14:textId="16D2724D" w:rsidR="00FF5CEE" w:rsidRDefault="00000000">
      <w:pPr>
        <w:spacing w:line="520" w:lineRule="exact"/>
        <w:ind w:firstLineChars="200" w:firstLine="640"/>
        <w:rPr>
          <w:rFonts w:eastAsia="仿宋_GB2312"/>
          <w:sz w:val="32"/>
          <w:szCs w:val="32"/>
        </w:rPr>
      </w:pPr>
      <w:r>
        <w:rPr>
          <w:rFonts w:eastAsia="仿宋_GB2312" w:hint="eastAsia"/>
          <w:sz w:val="32"/>
          <w:szCs w:val="32"/>
        </w:rPr>
        <w:t>根据《医疗器械分类目录》，诊疗（查）台按照第二类医疗器械管理，分类编码为</w:t>
      </w:r>
      <w:r>
        <w:rPr>
          <w:rFonts w:eastAsia="仿宋_GB2312" w:hint="eastAsia"/>
          <w:sz w:val="32"/>
          <w:szCs w:val="32"/>
        </w:rPr>
        <w:t>15-02-01</w:t>
      </w:r>
      <w:r>
        <w:rPr>
          <w:rFonts w:eastAsia="仿宋_GB2312" w:hint="eastAsia"/>
          <w:sz w:val="32"/>
          <w:szCs w:val="32"/>
        </w:rPr>
        <w:t>。</w:t>
      </w:r>
    </w:p>
    <w:p w14:paraId="4E01CD2F" w14:textId="77777777" w:rsidR="00FF5CEE" w:rsidRDefault="00000000">
      <w:pPr>
        <w:pStyle w:val="3"/>
        <w:ind w:firstLine="624"/>
      </w:pPr>
      <w:r>
        <w:rPr>
          <w:spacing w:val="-4"/>
        </w:rPr>
        <w:t>3</w:t>
      </w:r>
      <w:r>
        <w:rPr>
          <w:rFonts w:hint="eastAsia"/>
          <w:spacing w:val="-4"/>
        </w:rPr>
        <w:t>.</w:t>
      </w:r>
      <w:r>
        <w:rPr>
          <w:rFonts w:hint="eastAsia"/>
        </w:rPr>
        <w:t>注册单元划分</w:t>
      </w:r>
    </w:p>
    <w:p w14:paraId="36296A6D"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产品注册单元划分可参照《医疗器械注册单元划分指导原则》的要求，注册单元划分着重考虑产品的技术原理、主要结构组成、性能指标等因素。</w:t>
      </w:r>
    </w:p>
    <w:p w14:paraId="6DE4B614" w14:textId="77777777" w:rsidR="00FF5CEE" w:rsidRDefault="00000000">
      <w:pPr>
        <w:spacing w:line="520" w:lineRule="exact"/>
        <w:ind w:firstLineChars="200" w:firstLine="640"/>
        <w:rPr>
          <w:rFonts w:eastAsia="Noto Sans SC"/>
          <w:color w:val="0000FF"/>
          <w:sz w:val="32"/>
          <w:szCs w:val="32"/>
        </w:rPr>
      </w:pPr>
      <w:r>
        <w:rPr>
          <w:rFonts w:eastAsia="仿宋_GB2312" w:hint="eastAsia"/>
          <w:sz w:val="32"/>
          <w:szCs w:val="32"/>
        </w:rPr>
        <w:t>电动诊疗台的注册单元的划分原则上以产品的传动方式为划分依据。传动方式不同的产品应划分在不同的注册单元中，如：电动液压诊疗台和电动机械诊疗台、电动液压诊疗台和电动液压机械诊疗台等均不能划分在同一注册单元内。手动方式提供动力的部分不影响注册单元的划分，如：电动液压诊疗台带有手动摇起式和手控气动式的电动液压诊疗台可划分在一个注册单元内。</w:t>
      </w:r>
    </w:p>
    <w:p w14:paraId="720F9F6E" w14:textId="77777777" w:rsidR="00FF5CEE" w:rsidRDefault="00000000">
      <w:pPr>
        <w:pStyle w:val="2"/>
      </w:pPr>
      <w:r>
        <w:t>（</w:t>
      </w:r>
      <w:r>
        <w:rPr>
          <w:rFonts w:hint="eastAsia"/>
        </w:rPr>
        <w:t>二</w:t>
      </w:r>
      <w:r>
        <w:t>）</w:t>
      </w:r>
      <w:r>
        <w:rPr>
          <w:rFonts w:hint="eastAsia"/>
        </w:rPr>
        <w:t>综述资料</w:t>
      </w:r>
    </w:p>
    <w:p w14:paraId="5C6443E2" w14:textId="77777777" w:rsidR="00FF5CEE" w:rsidRDefault="00000000">
      <w:pPr>
        <w:pStyle w:val="3"/>
      </w:pPr>
      <w:r>
        <w:rPr>
          <w:rFonts w:hint="eastAsia"/>
        </w:rPr>
        <w:lastRenderedPageBreak/>
        <w:t>1.</w:t>
      </w:r>
      <w:r>
        <w:rPr>
          <w:rFonts w:hint="eastAsia"/>
        </w:rPr>
        <w:t>产品描述</w:t>
      </w:r>
    </w:p>
    <w:p w14:paraId="0D8D17EF"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1.1</w:t>
      </w:r>
      <w:r>
        <w:rPr>
          <w:rFonts w:eastAsia="仿宋_GB2312" w:hint="eastAsia"/>
          <w:sz w:val="32"/>
          <w:szCs w:val="32"/>
        </w:rPr>
        <w:t>器械及操作原理描述</w:t>
      </w:r>
    </w:p>
    <w:p w14:paraId="78DBF5B3"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1.1.1</w:t>
      </w:r>
      <w:r>
        <w:rPr>
          <w:rFonts w:eastAsia="仿宋_GB2312" w:hint="eastAsia"/>
          <w:sz w:val="32"/>
          <w:szCs w:val="32"/>
        </w:rPr>
        <w:t>工作原理</w:t>
      </w:r>
    </w:p>
    <w:p w14:paraId="296DD7FA"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申请人应当描述产品的工作原理、主要功能及其组成部件的功能以及软件的核心功能、产品图示、区别于其他同类产品的特征等内容。可提供产品的工作原理图，并结合原理图阐述电动诊疗台的各种动作是如何实现的。</w:t>
      </w:r>
    </w:p>
    <w:p w14:paraId="760366B6"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1.1.</w:t>
      </w:r>
      <w:r>
        <w:rPr>
          <w:rFonts w:eastAsia="仿宋_GB2312"/>
          <w:sz w:val="32"/>
          <w:szCs w:val="32"/>
        </w:rPr>
        <w:t>2</w:t>
      </w:r>
      <w:r>
        <w:rPr>
          <w:rFonts w:eastAsia="仿宋_GB2312" w:hint="eastAsia"/>
          <w:sz w:val="32"/>
          <w:szCs w:val="32"/>
        </w:rPr>
        <w:t>作用机理</w:t>
      </w:r>
    </w:p>
    <w:p w14:paraId="7B884C99"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因该产品为非治疗类医疗器械，故本指导原则不包含产品作用机理的内容。</w:t>
      </w:r>
    </w:p>
    <w:p w14:paraId="36EF8CC8"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1.1.</w:t>
      </w:r>
      <w:r>
        <w:rPr>
          <w:rFonts w:eastAsia="仿宋_GB2312"/>
          <w:sz w:val="32"/>
          <w:szCs w:val="32"/>
        </w:rPr>
        <w:t>3</w:t>
      </w:r>
      <w:r>
        <w:rPr>
          <w:rFonts w:eastAsia="仿宋_GB2312" w:hint="eastAsia"/>
          <w:sz w:val="32"/>
          <w:szCs w:val="32"/>
        </w:rPr>
        <w:t>结构组成</w:t>
      </w:r>
    </w:p>
    <w:p w14:paraId="1EF8B098"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申请人应当明确申报产品的结构和组成。诊疗（查）台通常由床架、床面、枕头等组成。传动部分按各部件的运动形式一般可分为电动驱动部分和手动驱动部分两种，其中电动驱动部分一般分为液压驱动和机械驱动，手动驱动部分一般分为手动机械结构和气动结构。液压驱动结构一般包括油缸、油泵、电磁阀、溢流阀、输油管路、液压筒等；机械驱动结构一般包括电机、蜗轮、蜗杆、齿轮等；气动结构一般包括自锁式气弹簧等。</w:t>
      </w:r>
    </w:p>
    <w:p w14:paraId="14FB20C0"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附件</w:t>
      </w:r>
      <w:r>
        <w:rPr>
          <w:rFonts w:eastAsia="仿宋_GB2312"/>
          <w:sz w:val="32"/>
          <w:szCs w:val="32"/>
        </w:rPr>
        <w:t>：根据不同</w:t>
      </w:r>
      <w:r>
        <w:rPr>
          <w:rFonts w:eastAsia="仿宋_GB2312" w:hint="eastAsia"/>
          <w:sz w:val="32"/>
          <w:szCs w:val="32"/>
        </w:rPr>
        <w:t>附件</w:t>
      </w:r>
      <w:r>
        <w:rPr>
          <w:rFonts w:eastAsia="仿宋_GB2312"/>
          <w:sz w:val="32"/>
          <w:szCs w:val="32"/>
        </w:rPr>
        <w:t>的具体情况做出相应要求。</w:t>
      </w:r>
    </w:p>
    <w:p w14:paraId="17B4BBE4" w14:textId="0E0C4CE4" w:rsidR="00FF5CEE" w:rsidRDefault="00000000">
      <w:pPr>
        <w:spacing w:line="520" w:lineRule="exact"/>
        <w:ind w:firstLineChars="200" w:firstLine="640"/>
        <w:rPr>
          <w:rFonts w:eastAsia="仿宋_GB2312"/>
          <w:sz w:val="32"/>
          <w:szCs w:val="32"/>
        </w:rPr>
      </w:pPr>
      <w:r>
        <w:rPr>
          <w:rFonts w:eastAsia="仿宋_GB2312" w:hint="eastAsia"/>
          <w:sz w:val="32"/>
          <w:szCs w:val="32"/>
        </w:rPr>
        <w:t>常见的电动诊疗床如图</w:t>
      </w:r>
      <w:r>
        <w:rPr>
          <w:rFonts w:eastAsia="仿宋_GB2312" w:hint="eastAsia"/>
          <w:sz w:val="32"/>
          <w:szCs w:val="32"/>
        </w:rPr>
        <w:t>1</w:t>
      </w:r>
      <w:r w:rsidR="002428DD">
        <w:rPr>
          <w:rFonts w:eastAsia="仿宋_GB2312" w:hint="eastAsia"/>
          <w:sz w:val="32"/>
          <w:szCs w:val="32"/>
        </w:rPr>
        <w:t>、</w:t>
      </w:r>
      <w:r w:rsidR="002428DD">
        <w:rPr>
          <w:rFonts w:eastAsia="仿宋_GB2312" w:hint="eastAsia"/>
          <w:sz w:val="32"/>
          <w:szCs w:val="32"/>
        </w:rPr>
        <w:t>图</w:t>
      </w:r>
      <w:r w:rsidR="002428DD">
        <w:rPr>
          <w:rFonts w:eastAsia="仿宋_GB2312" w:hint="eastAsia"/>
          <w:sz w:val="32"/>
          <w:szCs w:val="32"/>
        </w:rPr>
        <w:t>2</w:t>
      </w:r>
      <w:r>
        <w:rPr>
          <w:rFonts w:eastAsia="仿宋_GB2312" w:hint="eastAsia"/>
          <w:sz w:val="32"/>
          <w:szCs w:val="32"/>
        </w:rPr>
        <w:t>所示。</w:t>
      </w:r>
    </w:p>
    <w:p w14:paraId="20D2C323" w14:textId="51E67B43" w:rsidR="00EA56D6" w:rsidRDefault="00EA56D6">
      <w:pPr>
        <w:spacing w:line="520" w:lineRule="exact"/>
        <w:jc w:val="center"/>
        <w:rPr>
          <w:rFonts w:eastAsia="仿宋_GB2312" w:hint="eastAsia"/>
          <w:sz w:val="28"/>
          <w:szCs w:val="28"/>
        </w:rPr>
      </w:pPr>
      <w:r>
        <w:rPr>
          <w:rFonts w:eastAsia="仿宋_GB2312"/>
          <w:noProof/>
          <w:sz w:val="28"/>
          <w:szCs w:val="28"/>
        </w:rPr>
        <w:lastRenderedPageBreak/>
        <w:drawing>
          <wp:anchor distT="0" distB="0" distL="114300" distR="114300" simplePos="0" relativeHeight="251661312" behindDoc="0" locked="0" layoutInCell="1" allowOverlap="1" wp14:anchorId="0D02EB75" wp14:editId="657C37A3">
            <wp:simplePos x="0" y="0"/>
            <wp:positionH relativeFrom="column">
              <wp:posOffset>1011130</wp:posOffset>
            </wp:positionH>
            <wp:positionV relativeFrom="paragraph">
              <wp:posOffset>374650</wp:posOffset>
            </wp:positionV>
            <wp:extent cx="3612391" cy="2706910"/>
            <wp:effectExtent l="0" t="0" r="7620" b="0"/>
            <wp:wrapTopAndBottom/>
            <wp:docPr id="7797390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39005" name="图片 779739005"/>
                    <pic:cNvPicPr/>
                  </pic:nvPicPr>
                  <pic:blipFill>
                    <a:blip r:embed="rId9">
                      <a:extLst>
                        <a:ext uri="{28A0092B-C50C-407E-A947-70E740481C1C}">
                          <a14:useLocalDpi xmlns:a14="http://schemas.microsoft.com/office/drawing/2010/main" val="0"/>
                        </a:ext>
                      </a:extLst>
                    </a:blip>
                    <a:stretch>
                      <a:fillRect/>
                    </a:stretch>
                  </pic:blipFill>
                  <pic:spPr>
                    <a:xfrm>
                      <a:off x="0" y="0"/>
                      <a:ext cx="3612391" cy="2706910"/>
                    </a:xfrm>
                    <a:prstGeom prst="rect">
                      <a:avLst/>
                    </a:prstGeom>
                  </pic:spPr>
                </pic:pic>
              </a:graphicData>
            </a:graphic>
          </wp:anchor>
        </w:drawing>
      </w:r>
    </w:p>
    <w:p w14:paraId="7DCD76D2" w14:textId="51BCC536" w:rsidR="00FF5CEE" w:rsidRDefault="00000000">
      <w:pPr>
        <w:spacing w:line="520" w:lineRule="exact"/>
        <w:jc w:val="center"/>
        <w:rPr>
          <w:rFonts w:eastAsia="仿宋_GB2312"/>
          <w:sz w:val="28"/>
          <w:szCs w:val="28"/>
        </w:rPr>
      </w:pPr>
      <w:r>
        <w:rPr>
          <w:rFonts w:eastAsia="仿宋_GB2312" w:hint="eastAsia"/>
          <w:sz w:val="28"/>
          <w:szCs w:val="28"/>
        </w:rPr>
        <w:t>图</w:t>
      </w:r>
      <w:r>
        <w:rPr>
          <w:rFonts w:eastAsia="仿宋_GB2312" w:hint="eastAsia"/>
          <w:sz w:val="28"/>
          <w:szCs w:val="28"/>
        </w:rPr>
        <w:t xml:space="preserve">1 </w:t>
      </w:r>
      <w:r w:rsidR="00EA56D6">
        <w:rPr>
          <w:rFonts w:eastAsia="仿宋_GB2312" w:hint="eastAsia"/>
          <w:sz w:val="28"/>
          <w:szCs w:val="28"/>
        </w:rPr>
        <w:t>液压式电动诊疗床</w:t>
      </w:r>
    </w:p>
    <w:p w14:paraId="4658FB7D" w14:textId="2162D924" w:rsidR="007D3FEA" w:rsidRDefault="00EA56D6" w:rsidP="007D3FEA">
      <w:pPr>
        <w:spacing w:line="520" w:lineRule="exact"/>
        <w:jc w:val="center"/>
        <w:rPr>
          <w:rFonts w:eastAsia="仿宋_GB2312"/>
          <w:sz w:val="28"/>
          <w:szCs w:val="28"/>
        </w:rPr>
      </w:pPr>
      <w:r>
        <w:rPr>
          <w:rFonts w:eastAsia="仿宋_GB2312" w:hint="eastAsia"/>
          <w:noProof/>
          <w:sz w:val="32"/>
          <w:szCs w:val="32"/>
        </w:rPr>
        <w:drawing>
          <wp:anchor distT="0" distB="0" distL="114300" distR="114300" simplePos="0" relativeHeight="251660288" behindDoc="0" locked="0" layoutInCell="1" allowOverlap="1" wp14:anchorId="2DC03B34" wp14:editId="69B470F5">
            <wp:simplePos x="0" y="0"/>
            <wp:positionH relativeFrom="margin">
              <wp:posOffset>854710</wp:posOffset>
            </wp:positionH>
            <wp:positionV relativeFrom="paragraph">
              <wp:posOffset>72390</wp:posOffset>
            </wp:positionV>
            <wp:extent cx="4062095" cy="3599815"/>
            <wp:effectExtent l="0" t="0" r="0" b="635"/>
            <wp:wrapTopAndBottom/>
            <wp:docPr id="819999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9917" name="图片 4"/>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4062095" cy="3599815"/>
                    </a:xfrm>
                    <a:prstGeom prst="rect">
                      <a:avLst/>
                    </a:prstGeom>
                  </pic:spPr>
                </pic:pic>
              </a:graphicData>
            </a:graphic>
          </wp:anchor>
        </w:drawing>
      </w:r>
      <w:r w:rsidR="007D3FEA">
        <w:rPr>
          <w:rFonts w:eastAsia="仿宋_GB2312" w:hint="eastAsia"/>
          <w:sz w:val="28"/>
          <w:szCs w:val="28"/>
        </w:rPr>
        <w:t>图</w:t>
      </w:r>
      <w:r w:rsidR="007D3FEA">
        <w:rPr>
          <w:rFonts w:eastAsia="仿宋_GB2312" w:hint="eastAsia"/>
          <w:sz w:val="28"/>
          <w:szCs w:val="28"/>
        </w:rPr>
        <w:t>2</w:t>
      </w:r>
      <w:r w:rsidR="007D3FEA">
        <w:rPr>
          <w:rFonts w:eastAsia="仿宋_GB2312" w:hint="eastAsia"/>
          <w:sz w:val="28"/>
          <w:szCs w:val="28"/>
        </w:rPr>
        <w:t xml:space="preserve"> </w:t>
      </w:r>
      <w:r w:rsidRPr="007D3FEA">
        <w:rPr>
          <w:rFonts w:eastAsia="仿宋_GB2312"/>
          <w:sz w:val="28"/>
          <w:szCs w:val="28"/>
        </w:rPr>
        <w:t>机械</w:t>
      </w:r>
      <w:r>
        <w:rPr>
          <w:rFonts w:eastAsia="仿宋_GB2312" w:hint="eastAsia"/>
          <w:sz w:val="28"/>
          <w:szCs w:val="28"/>
        </w:rPr>
        <w:t>式电动诊疗床</w:t>
      </w:r>
    </w:p>
    <w:p w14:paraId="15EF6EFB" w14:textId="77777777" w:rsidR="00FF5CEE" w:rsidRDefault="00FF5CEE">
      <w:pPr>
        <w:spacing w:line="520" w:lineRule="exact"/>
        <w:rPr>
          <w:rFonts w:eastAsia="仿宋_GB2312" w:hint="eastAsia"/>
          <w:sz w:val="32"/>
          <w:szCs w:val="32"/>
        </w:rPr>
      </w:pPr>
    </w:p>
    <w:p w14:paraId="459B8C30"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lastRenderedPageBreak/>
        <w:t>1.2</w:t>
      </w:r>
      <w:r>
        <w:rPr>
          <w:rFonts w:eastAsia="仿宋_GB2312" w:hint="eastAsia"/>
          <w:sz w:val="32"/>
          <w:szCs w:val="32"/>
        </w:rPr>
        <w:t>型号规格</w:t>
      </w:r>
    </w:p>
    <w:p w14:paraId="7B5DE686"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提供产品各型号规格的划分原则。对于存在多种型号、规格的产品，需明确各型号、规格的区别。需采用对比表及带有说明性文字的图片、图表，对各种型号、规格的结构组成、功能、产品特征和运行模式、技术参数等方面加以描述。</w:t>
      </w:r>
    </w:p>
    <w:p w14:paraId="5C61A1C2"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1.3</w:t>
      </w:r>
      <w:r>
        <w:rPr>
          <w:rFonts w:eastAsia="仿宋_GB2312" w:hint="eastAsia"/>
          <w:sz w:val="32"/>
          <w:szCs w:val="32"/>
        </w:rPr>
        <w:t>包装描述</w:t>
      </w:r>
    </w:p>
    <w:p w14:paraId="28876BB7"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申请人应说明所有产品组成的包装信息。描述产品包装的组成部分，对于每个组成部分，详细描述包装清单和包装方式，并提供包装图示。</w:t>
      </w:r>
    </w:p>
    <w:p w14:paraId="6E3C15F5"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1.4</w:t>
      </w:r>
      <w:r>
        <w:rPr>
          <w:rFonts w:eastAsia="仿宋_GB2312" w:hint="eastAsia"/>
          <w:sz w:val="32"/>
          <w:szCs w:val="32"/>
        </w:rPr>
        <w:t>研发历程</w:t>
      </w:r>
    </w:p>
    <w:p w14:paraId="122346FA"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以安全有效为原则，阐述申请注册产品的研发背景和目的，论述临床使用的必需性。如有参考的同类产品或前代产品，需提供同类产品或前代产品的信息，并说明选择其作为研发参考的原因。</w:t>
      </w:r>
    </w:p>
    <w:p w14:paraId="6E6698BE"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1.5</w:t>
      </w:r>
      <w:r>
        <w:rPr>
          <w:rFonts w:eastAsia="仿宋_GB2312" w:hint="eastAsia"/>
          <w:sz w:val="32"/>
          <w:szCs w:val="32"/>
        </w:rPr>
        <w:t>与同类和</w:t>
      </w:r>
      <w:r>
        <w:rPr>
          <w:rFonts w:eastAsia="仿宋_GB2312" w:hint="eastAsia"/>
          <w:sz w:val="32"/>
          <w:szCs w:val="32"/>
        </w:rPr>
        <w:t>/</w:t>
      </w:r>
      <w:r>
        <w:rPr>
          <w:rFonts w:eastAsia="仿宋_GB2312" w:hint="eastAsia"/>
          <w:sz w:val="32"/>
          <w:szCs w:val="32"/>
        </w:rPr>
        <w:t>或前代产品的参考和比较</w:t>
      </w:r>
    </w:p>
    <w:p w14:paraId="70FEAC81"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列表比较说明申报产品与同类产品和</w:t>
      </w:r>
      <w:r>
        <w:rPr>
          <w:rFonts w:eastAsia="仿宋_GB2312" w:hint="eastAsia"/>
          <w:sz w:val="32"/>
          <w:szCs w:val="32"/>
        </w:rPr>
        <w:t>/</w:t>
      </w:r>
      <w:r>
        <w:rPr>
          <w:rFonts w:eastAsia="仿宋_GB2312" w:hint="eastAsia"/>
          <w:sz w:val="32"/>
          <w:szCs w:val="32"/>
        </w:rPr>
        <w:t>或前代产品在工作原理、结构组成、制造材料、性能指标、以及适用范围等方面的异同。</w:t>
      </w:r>
    </w:p>
    <w:p w14:paraId="752CB7E3"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如适用，明确与申报产品联合使用实现预期用途的其他产品的详细信息。对于已获得批准的部件或联合使用的医疗器械，应当提供注册证编号和国家药监局官方网站公布的注册证信息。</w:t>
      </w:r>
    </w:p>
    <w:p w14:paraId="4F977660"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适用范围和禁忌证</w:t>
      </w:r>
    </w:p>
    <w:p w14:paraId="00A524E9"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2.1</w:t>
      </w:r>
      <w:r>
        <w:rPr>
          <w:rFonts w:eastAsia="仿宋_GB2312" w:hint="eastAsia"/>
          <w:sz w:val="32"/>
          <w:szCs w:val="32"/>
        </w:rPr>
        <w:t>适用范围</w:t>
      </w:r>
    </w:p>
    <w:p w14:paraId="5A859E90"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描述申报产品的预期用途，明确目标用户及其操作或使用</w:t>
      </w:r>
      <w:r>
        <w:rPr>
          <w:rFonts w:eastAsia="仿宋_GB2312" w:hint="eastAsia"/>
          <w:sz w:val="32"/>
          <w:szCs w:val="32"/>
        </w:rPr>
        <w:lastRenderedPageBreak/>
        <w:t>该产品应当具备的技能</w:t>
      </w:r>
      <w:r>
        <w:rPr>
          <w:rFonts w:eastAsia="仿宋_GB2312" w:hint="eastAsia"/>
          <w:sz w:val="32"/>
          <w:szCs w:val="32"/>
        </w:rPr>
        <w:t>/</w:t>
      </w:r>
      <w:r>
        <w:rPr>
          <w:rFonts w:eastAsia="仿宋_GB2312" w:hint="eastAsia"/>
          <w:sz w:val="32"/>
          <w:szCs w:val="32"/>
        </w:rPr>
        <w:t>知识</w:t>
      </w:r>
      <w:r>
        <w:rPr>
          <w:rFonts w:eastAsia="仿宋_GB2312" w:hint="eastAsia"/>
          <w:sz w:val="32"/>
          <w:szCs w:val="32"/>
        </w:rPr>
        <w:t>/</w:t>
      </w:r>
      <w:r>
        <w:rPr>
          <w:rFonts w:eastAsia="仿宋_GB2312" w:hint="eastAsia"/>
          <w:sz w:val="32"/>
          <w:szCs w:val="32"/>
        </w:rPr>
        <w:t>培训。说明与其组合使用实现预期用途的其他产品。产品的适用范围应与申报产品的性能、工作原理、功能相符，并应与临床评价资料结论一致。</w:t>
      </w:r>
    </w:p>
    <w:p w14:paraId="5320E2B0"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如果有创新的临床应用，需要在产品适用范围中描述。</w:t>
      </w:r>
    </w:p>
    <w:p w14:paraId="2BB394D2"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如可描述为</w:t>
      </w:r>
      <w:r>
        <w:rPr>
          <w:rFonts w:eastAsia="仿宋_GB2312"/>
          <w:sz w:val="32"/>
          <w:szCs w:val="32"/>
        </w:rPr>
        <w:t>用于诊疗室、急救室医务人员实施检查、简单治疗等医疗过程中患者多体位支撑与操作。不包括口腔科检查和诊断。</w:t>
      </w:r>
    </w:p>
    <w:p w14:paraId="2FA56037"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2.2</w:t>
      </w:r>
      <w:r>
        <w:rPr>
          <w:rFonts w:eastAsia="仿宋_GB2312" w:hint="eastAsia"/>
          <w:sz w:val="32"/>
          <w:szCs w:val="32"/>
        </w:rPr>
        <w:t>预期使用环境</w:t>
      </w:r>
    </w:p>
    <w:p w14:paraId="7668F57E"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明确该产品预期使用的地点、可能影响其安全性和有效性的环境条件。应明确对设备使用地点和使用环境的要求。应依据环境试验或相关研究资料明确设备安装、使用环境要求，包括</w:t>
      </w:r>
      <w:r>
        <w:rPr>
          <w:rFonts w:eastAsia="仿宋_GB2312"/>
          <w:sz w:val="32"/>
          <w:szCs w:val="32"/>
        </w:rPr>
        <w:t>如温度、湿度、压力、移动、振动、海拔等</w:t>
      </w:r>
      <w:r>
        <w:rPr>
          <w:rFonts w:eastAsia="仿宋_GB2312" w:hint="eastAsia"/>
          <w:sz w:val="32"/>
          <w:szCs w:val="32"/>
        </w:rPr>
        <w:t>的要求。</w:t>
      </w:r>
    </w:p>
    <w:p w14:paraId="725C5838"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2.3</w:t>
      </w:r>
      <w:r>
        <w:rPr>
          <w:rFonts w:eastAsia="仿宋_GB2312" w:hint="eastAsia"/>
          <w:sz w:val="32"/>
          <w:szCs w:val="32"/>
        </w:rPr>
        <w:t>适用人群</w:t>
      </w:r>
    </w:p>
    <w:p w14:paraId="5BB14C49"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申请人应当明确目标患者人群的信息。如</w:t>
      </w:r>
      <w:r>
        <w:rPr>
          <w:rFonts w:eastAsia="仿宋_GB2312" w:hint="eastAsia"/>
          <w:sz w:val="32"/>
          <w:szCs w:val="28"/>
        </w:rPr>
        <w:t>适用人群：医院就诊患者。</w:t>
      </w:r>
    </w:p>
    <w:p w14:paraId="3BC874BF"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2.4</w:t>
      </w:r>
      <w:r>
        <w:rPr>
          <w:rFonts w:eastAsia="仿宋_GB2312" w:hint="eastAsia"/>
          <w:sz w:val="32"/>
          <w:szCs w:val="32"/>
        </w:rPr>
        <w:t>禁忌证</w:t>
      </w:r>
    </w:p>
    <w:p w14:paraId="14339044" w14:textId="77777777" w:rsidR="00FF5CEE" w:rsidRDefault="00000000">
      <w:pPr>
        <w:spacing w:line="520" w:lineRule="exact"/>
        <w:ind w:firstLineChars="200" w:firstLine="640"/>
        <w:rPr>
          <w:rFonts w:eastAsia="仿宋_GB2312"/>
          <w:sz w:val="32"/>
          <w:szCs w:val="32"/>
        </w:rPr>
      </w:pPr>
      <w:r>
        <w:rPr>
          <w:rFonts w:eastAsia="仿宋_GB2312" w:hint="eastAsia"/>
          <w:sz w:val="32"/>
          <w:szCs w:val="28"/>
        </w:rPr>
        <w:t>暂无</w:t>
      </w:r>
      <w:r>
        <w:rPr>
          <w:rFonts w:eastAsia="仿宋_GB2312" w:hint="eastAsia"/>
          <w:sz w:val="32"/>
          <w:szCs w:val="32"/>
        </w:rPr>
        <w:t>。</w:t>
      </w:r>
    </w:p>
    <w:p w14:paraId="1932421E"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产品的不良事件历史记录</w:t>
      </w:r>
    </w:p>
    <w:p w14:paraId="381F4254"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如适用，应当提交申报产品的上市情况、不良事件和召回、销售</w:t>
      </w:r>
      <w:r>
        <w:rPr>
          <w:rFonts w:eastAsia="仿宋_GB2312" w:hint="eastAsia"/>
          <w:sz w:val="32"/>
          <w:szCs w:val="32"/>
        </w:rPr>
        <w:t>/</w:t>
      </w:r>
      <w:r>
        <w:rPr>
          <w:rFonts w:eastAsia="仿宋_GB2312" w:hint="eastAsia"/>
          <w:sz w:val="32"/>
          <w:szCs w:val="32"/>
        </w:rPr>
        <w:t>不良事件及召回率等信息。注册申请人应关注和检索不良事件，在风险分析时关注同品种医疗器械产品的不良事件历史记录。应详细阐述不良事件发生的情况，并根据不良事件的情形分类，分析不良事件发生的原因。</w:t>
      </w:r>
    </w:p>
    <w:p w14:paraId="22406AA8" w14:textId="77777777" w:rsidR="00FF5CEE" w:rsidRDefault="00000000">
      <w:pPr>
        <w:pStyle w:val="2"/>
      </w:pPr>
      <w:r>
        <w:rPr>
          <w:rFonts w:hint="eastAsia"/>
        </w:rPr>
        <w:t>（三）非临床资料</w:t>
      </w:r>
    </w:p>
    <w:p w14:paraId="1C487637" w14:textId="77777777" w:rsidR="00FF5CEE" w:rsidRDefault="00000000">
      <w:pPr>
        <w:pStyle w:val="3"/>
      </w:pPr>
      <w:r>
        <w:rPr>
          <w:rFonts w:hint="eastAsia"/>
        </w:rPr>
        <w:lastRenderedPageBreak/>
        <w:t>1.</w:t>
      </w:r>
      <w:r>
        <w:rPr>
          <w:rFonts w:hint="eastAsia"/>
        </w:rPr>
        <w:t>产品风险管理资料</w:t>
      </w:r>
    </w:p>
    <w:p w14:paraId="293AB29E"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依据</w:t>
      </w:r>
      <w:r>
        <w:rPr>
          <w:rFonts w:eastAsia="仿宋_GB2312" w:hint="eastAsia"/>
          <w:sz w:val="32"/>
          <w:szCs w:val="32"/>
        </w:rPr>
        <w:t>GB/T 42062</w:t>
      </w:r>
      <w:r>
        <w:rPr>
          <w:rFonts w:eastAsia="仿宋_GB2312" w:hint="eastAsia"/>
          <w:sz w:val="32"/>
          <w:szCs w:val="32"/>
        </w:rPr>
        <w:t>《医疗器械风险管理对医疗器械的应用》，提供产品风险管理报告。</w:t>
      </w:r>
    </w:p>
    <w:p w14:paraId="4BE32D44"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申请人需重点说明：申报产品的研制阶段已对有关可能的危害及产生的风险进行了估计和评价，针对性地实施了降低风险的技术和管理方面的措施。产品性能测试对上述措施的有效性进行了验证，达到了通用和专用标准的要求。申请人对所有剩余风险进行了评价，全部达到可接受的水平。产品风险分析资料需为申请人关于产品安全性的承诺提供支持。</w:t>
      </w:r>
    </w:p>
    <w:p w14:paraId="654C69AF"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风险管理报告一般包括以下内容：</w:t>
      </w:r>
    </w:p>
    <w:p w14:paraId="3F7F5290"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1.1</w:t>
      </w:r>
      <w:r>
        <w:rPr>
          <w:rFonts w:eastAsia="仿宋_GB2312" w:hint="eastAsia"/>
          <w:sz w:val="32"/>
          <w:szCs w:val="32"/>
        </w:rPr>
        <w:t>申报产品的风险管理组织。</w:t>
      </w:r>
    </w:p>
    <w:p w14:paraId="128F3F0C"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1.2</w:t>
      </w:r>
      <w:r>
        <w:rPr>
          <w:rFonts w:eastAsia="仿宋_GB2312" w:hint="eastAsia"/>
          <w:sz w:val="32"/>
          <w:szCs w:val="32"/>
        </w:rPr>
        <w:t>申报产品的组成。</w:t>
      </w:r>
    </w:p>
    <w:p w14:paraId="1C7275F2"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1.3</w:t>
      </w:r>
      <w:r>
        <w:rPr>
          <w:rFonts w:eastAsia="仿宋_GB2312" w:hint="eastAsia"/>
          <w:sz w:val="32"/>
          <w:szCs w:val="32"/>
        </w:rPr>
        <w:t>申报产品符合的安全标准。</w:t>
      </w:r>
    </w:p>
    <w:p w14:paraId="6E237C6F"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1.4</w:t>
      </w:r>
      <w:r>
        <w:rPr>
          <w:rFonts w:eastAsia="仿宋_GB2312" w:hint="eastAsia"/>
          <w:sz w:val="32"/>
          <w:szCs w:val="32"/>
        </w:rPr>
        <w:t>申报产品的预期用途，与安全性有关的特征的判定。</w:t>
      </w:r>
    </w:p>
    <w:p w14:paraId="62699F04"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1.5</w:t>
      </w:r>
      <w:r>
        <w:rPr>
          <w:rFonts w:eastAsia="仿宋_GB2312" w:hint="eastAsia"/>
          <w:sz w:val="32"/>
          <w:szCs w:val="32"/>
        </w:rPr>
        <w:t>对申报产品的可能危害作出判定（见附件）。</w:t>
      </w:r>
    </w:p>
    <w:p w14:paraId="09063D7D"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1.6</w:t>
      </w:r>
      <w:r>
        <w:rPr>
          <w:rFonts w:eastAsia="仿宋_GB2312" w:hint="eastAsia"/>
          <w:sz w:val="32"/>
          <w:szCs w:val="32"/>
        </w:rPr>
        <w:t>对所判定的危害采取的降低风险的控制措施。</w:t>
      </w:r>
    </w:p>
    <w:p w14:paraId="6481B27A"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1.7</w:t>
      </w:r>
      <w:r>
        <w:rPr>
          <w:rFonts w:eastAsia="仿宋_GB2312" w:hint="eastAsia"/>
          <w:sz w:val="32"/>
          <w:szCs w:val="32"/>
        </w:rPr>
        <w:t>对采取控制措施后的剩余风险进行估计和评价。</w:t>
      </w:r>
    </w:p>
    <w:p w14:paraId="5EA8D899"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医疗器械安全和性能基本原则清单</w:t>
      </w:r>
    </w:p>
    <w:p w14:paraId="0E8A3D1A"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应按照《医疗器械注册申报资料要求及说明》以及《医疗器械安全和性能基本原则符合性技术指南》的要求提交《医疗器械安全和性能基本原则清单》，说明产品符合《医疗器械安全和性能基本原则清单》各项适用要求所采用的方法，以及证明其符合性的文件。对于《医疗器械安全和性能基本原则清单》中不适用的各项要求，需说明理由。</w:t>
      </w:r>
    </w:p>
    <w:p w14:paraId="6856C7EA"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lastRenderedPageBreak/>
        <w:t>对于包含在产品注册申报资料中的文件，应当说明其在申报资料中的具体位置；对于未包含在产品注册申报资料中的文件，应当注明该证据文件名称及其在质量管理体系文件中的编号备查。</w:t>
      </w:r>
    </w:p>
    <w:p w14:paraId="6440420F"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产品技术要求及检验报告</w:t>
      </w:r>
    </w:p>
    <w:p w14:paraId="1033226D" w14:textId="77777777" w:rsidR="00FF5CEE" w:rsidRDefault="00000000">
      <w:pPr>
        <w:spacing w:line="520" w:lineRule="exact"/>
        <w:ind w:firstLineChars="200" w:firstLine="640"/>
        <w:rPr>
          <w:rFonts w:eastAsia="仿宋_GB2312"/>
          <w:sz w:val="32"/>
          <w:szCs w:val="32"/>
        </w:rPr>
      </w:pPr>
      <w:r>
        <w:rPr>
          <w:rFonts w:eastAsia="仿宋_GB2312"/>
          <w:sz w:val="32"/>
          <w:szCs w:val="32"/>
        </w:rPr>
        <w:t>3.1</w:t>
      </w:r>
      <w:r>
        <w:rPr>
          <w:rFonts w:eastAsia="仿宋_GB2312"/>
          <w:sz w:val="32"/>
          <w:szCs w:val="32"/>
        </w:rPr>
        <w:t>申报产品适用标准情况</w:t>
      </w:r>
    </w:p>
    <w:p w14:paraId="14BC756F" w14:textId="77777777" w:rsidR="00FF5CEE" w:rsidRDefault="00000000">
      <w:pPr>
        <w:spacing w:line="520" w:lineRule="exact"/>
        <w:ind w:firstLineChars="200" w:firstLine="640"/>
        <w:rPr>
          <w:rFonts w:eastAsia="仿宋_GB2312"/>
          <w:sz w:val="32"/>
          <w:szCs w:val="32"/>
        </w:rPr>
      </w:pPr>
      <w:r>
        <w:rPr>
          <w:rFonts w:eastAsia="仿宋_GB2312"/>
          <w:sz w:val="32"/>
          <w:szCs w:val="32"/>
        </w:rPr>
        <w:t>申报产品应当符合适用的强制性标准。对于强制性行业标准，若申报产品结构特征、预期用途、使用方式等与强制性标准的适用范围不一致，申请人应当提出不适用强制性标准的说明，并提供经验证的证明性资料。</w:t>
      </w:r>
    </w:p>
    <w:p w14:paraId="1CF1E1E4" w14:textId="77777777" w:rsidR="00FF5CEE" w:rsidRDefault="00000000">
      <w:pPr>
        <w:spacing w:line="52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w:t>
      </w:r>
      <w:r>
        <w:rPr>
          <w:rFonts w:eastAsia="仿宋_GB2312"/>
          <w:sz w:val="32"/>
          <w:szCs w:val="32"/>
        </w:rPr>
        <w:t>2</w:t>
      </w:r>
      <w:r>
        <w:rPr>
          <w:rFonts w:eastAsia="仿宋_GB2312" w:hint="eastAsia"/>
          <w:sz w:val="32"/>
          <w:szCs w:val="32"/>
        </w:rPr>
        <w:t>产品技术要求</w:t>
      </w:r>
    </w:p>
    <w:p w14:paraId="0673B502" w14:textId="77777777" w:rsidR="00FF5CEE" w:rsidRDefault="00000000">
      <w:pPr>
        <w:overflowPunct w:val="0"/>
        <w:autoSpaceDE w:val="0"/>
        <w:autoSpaceDN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产品技术要求应按照《医疗器械产品技术要求编写指导原则》相关要求的规定编制。本条款给出了需要考虑的产品主要技术指标，如有其他指标，注册申请人可结合相应的标准和自身的技术能力，予以明确。如不采用以下条款（包括国家标准、行业标准要求），应当说明理由。</w:t>
      </w:r>
    </w:p>
    <w:p w14:paraId="1FF3C4A7" w14:textId="62230372" w:rsidR="00FF5CEE" w:rsidRDefault="00000000">
      <w:pPr>
        <w:spacing w:line="520" w:lineRule="exact"/>
        <w:ind w:firstLineChars="200" w:firstLine="640"/>
      </w:pPr>
      <w:r>
        <w:rPr>
          <w:rFonts w:eastAsia="仿宋_GB2312" w:hint="eastAsia"/>
          <w:sz w:val="32"/>
          <w:szCs w:val="32"/>
        </w:rPr>
        <w:t>应按照《医疗器械软件注册审查指导原则》，明确软件名称、型号规格、发布版本、版本命名规则等（如适用）。</w:t>
      </w:r>
    </w:p>
    <w:p w14:paraId="65CBF39D" w14:textId="77777777" w:rsidR="00FF5CEE" w:rsidRDefault="00000000">
      <w:pPr>
        <w:overflowPunct w:val="0"/>
        <w:autoSpaceDE w:val="0"/>
        <w:autoSpaceDN w:val="0"/>
        <w:spacing w:line="520" w:lineRule="exact"/>
        <w:ind w:firstLineChars="200" w:firstLine="640"/>
        <w:rPr>
          <w:rFonts w:eastAsia="仿宋_GB2312"/>
          <w:snapToGrid w:val="0"/>
          <w:kern w:val="0"/>
          <w:sz w:val="32"/>
          <w:szCs w:val="32"/>
        </w:rPr>
      </w:pPr>
      <w:r>
        <w:rPr>
          <w:rFonts w:eastAsia="仿宋_GB2312" w:hint="eastAsia"/>
          <w:snapToGrid w:val="0"/>
          <w:kern w:val="0"/>
          <w:sz w:val="32"/>
          <w:szCs w:val="32"/>
        </w:rPr>
        <w:t>产品技术要求应至少包括以下内容：</w:t>
      </w:r>
    </w:p>
    <w:p w14:paraId="5C4DA9AC"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3.2.1</w:t>
      </w:r>
      <w:r>
        <w:rPr>
          <w:rFonts w:eastAsia="仿宋_GB2312" w:hint="eastAsia"/>
          <w:sz w:val="32"/>
          <w:szCs w:val="32"/>
        </w:rPr>
        <w:t>外观和结构的要求。如产品外观应整洁，色泽均匀，无伤痕、划痕、裂纹等缺陷，文字和标志应清晰可见。产品紧固件应安装牢固，无松动，调节机构定位可靠。</w:t>
      </w:r>
    </w:p>
    <w:p w14:paraId="2A730AF2" w14:textId="77777777" w:rsidR="00FF5CEE" w:rsidRDefault="00000000">
      <w:pPr>
        <w:ind w:firstLineChars="200" w:firstLine="640"/>
        <w:rPr>
          <w:rFonts w:eastAsia="仿宋_GB2312"/>
          <w:sz w:val="32"/>
          <w:szCs w:val="28"/>
        </w:rPr>
      </w:pPr>
      <w:r>
        <w:rPr>
          <w:rFonts w:eastAsia="仿宋_GB2312" w:hint="eastAsia"/>
          <w:sz w:val="32"/>
          <w:szCs w:val="32"/>
        </w:rPr>
        <w:t>3.2.2</w:t>
      </w:r>
      <w:r>
        <w:rPr>
          <w:rFonts w:eastAsia="仿宋_GB2312"/>
          <w:sz w:val="32"/>
          <w:szCs w:val="28"/>
        </w:rPr>
        <w:t>基本尺寸</w:t>
      </w:r>
    </w:p>
    <w:p w14:paraId="1A77A921" w14:textId="77777777" w:rsidR="00FF5CEE" w:rsidRDefault="00000000">
      <w:pPr>
        <w:ind w:firstLineChars="200" w:firstLine="640"/>
        <w:rPr>
          <w:rFonts w:eastAsia="仿宋_GB2312"/>
          <w:sz w:val="32"/>
          <w:szCs w:val="28"/>
        </w:rPr>
      </w:pPr>
      <w:r>
        <w:rPr>
          <w:rFonts w:eastAsia="仿宋_GB2312" w:hint="eastAsia"/>
          <w:sz w:val="32"/>
          <w:szCs w:val="32"/>
        </w:rPr>
        <w:t>诊疗台的</w:t>
      </w:r>
      <w:r>
        <w:rPr>
          <w:rFonts w:eastAsia="仿宋_GB2312"/>
          <w:sz w:val="32"/>
          <w:szCs w:val="28"/>
        </w:rPr>
        <w:t>床体</w:t>
      </w:r>
      <w:r>
        <w:rPr>
          <w:rFonts w:eastAsia="仿宋_GB2312" w:hint="eastAsia"/>
          <w:sz w:val="32"/>
          <w:szCs w:val="32"/>
        </w:rPr>
        <w:t>（如适用）</w:t>
      </w:r>
      <w:r>
        <w:rPr>
          <w:rFonts w:eastAsia="仿宋_GB2312"/>
          <w:sz w:val="32"/>
          <w:szCs w:val="28"/>
        </w:rPr>
        <w:t>：台面长度、台面宽度（含钢轨</w:t>
      </w:r>
      <w:r>
        <w:rPr>
          <w:rFonts w:eastAsia="仿宋_GB2312"/>
          <w:sz w:val="32"/>
          <w:szCs w:val="28"/>
        </w:rPr>
        <w:t>/</w:t>
      </w:r>
      <w:r>
        <w:rPr>
          <w:rFonts w:eastAsia="仿宋_GB2312"/>
          <w:sz w:val="32"/>
          <w:szCs w:val="28"/>
        </w:rPr>
        <w:lastRenderedPageBreak/>
        <w:t>不含钢轨）、整体高度（最低位置，含床垫</w:t>
      </w:r>
      <w:r>
        <w:rPr>
          <w:rFonts w:eastAsia="仿宋_GB2312"/>
          <w:sz w:val="32"/>
          <w:szCs w:val="28"/>
        </w:rPr>
        <w:t>/</w:t>
      </w:r>
      <w:r>
        <w:rPr>
          <w:rFonts w:eastAsia="仿宋_GB2312"/>
          <w:sz w:val="32"/>
          <w:szCs w:val="28"/>
        </w:rPr>
        <w:t>不含床垫）。</w:t>
      </w:r>
    </w:p>
    <w:p w14:paraId="4559AD6E" w14:textId="77777777" w:rsidR="00FF5CEE" w:rsidRDefault="00000000">
      <w:pPr>
        <w:ind w:firstLineChars="200" w:firstLine="640"/>
        <w:rPr>
          <w:rFonts w:eastAsia="仿宋_GB2312"/>
          <w:sz w:val="32"/>
          <w:szCs w:val="32"/>
        </w:rPr>
      </w:pPr>
      <w:r>
        <w:rPr>
          <w:rFonts w:eastAsia="仿宋_GB2312"/>
          <w:sz w:val="32"/>
          <w:szCs w:val="28"/>
        </w:rPr>
        <w:t>附件</w:t>
      </w:r>
      <w:r>
        <w:rPr>
          <w:rFonts w:eastAsia="仿宋_GB2312" w:hint="eastAsia"/>
          <w:sz w:val="32"/>
          <w:szCs w:val="32"/>
        </w:rPr>
        <w:t>（如适用）</w:t>
      </w:r>
      <w:r>
        <w:rPr>
          <w:rFonts w:eastAsia="仿宋_GB2312"/>
          <w:sz w:val="32"/>
          <w:szCs w:val="28"/>
        </w:rPr>
        <w:t>：附件的关键几何尺寸（长、宽、高、直径、角度）。</w:t>
      </w:r>
    </w:p>
    <w:p w14:paraId="1C5F2536"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3.2.3</w:t>
      </w:r>
      <w:r>
        <w:rPr>
          <w:rFonts w:eastAsia="仿宋_GB2312"/>
          <w:sz w:val="32"/>
          <w:szCs w:val="28"/>
        </w:rPr>
        <w:t>运行参数一般包含台面升降行程、台面纵向倾斜、台面横向倾斜、头板折转角度、背板折转角度、腰板升高高度范围、腿板折转角度、台面纵向平移、台面旋转等（如适用）。</w:t>
      </w:r>
    </w:p>
    <w:p w14:paraId="092350B4" w14:textId="77777777" w:rsidR="00FF5CEE" w:rsidRDefault="00000000">
      <w:pPr>
        <w:spacing w:line="520" w:lineRule="exact"/>
        <w:ind w:firstLineChars="200" w:firstLine="640"/>
        <w:rPr>
          <w:rFonts w:eastAsia="仿宋_GB2312"/>
          <w:sz w:val="32"/>
          <w:szCs w:val="28"/>
        </w:rPr>
      </w:pPr>
      <w:r>
        <w:rPr>
          <w:rFonts w:eastAsia="仿宋_GB2312" w:hint="eastAsia"/>
          <w:sz w:val="32"/>
          <w:szCs w:val="32"/>
        </w:rPr>
        <w:t>3.2.4</w:t>
      </w:r>
      <w:r>
        <w:rPr>
          <w:rFonts w:eastAsia="仿宋_GB2312"/>
          <w:sz w:val="32"/>
          <w:szCs w:val="32"/>
        </w:rPr>
        <w:t>最大安全载荷。</w:t>
      </w:r>
    </w:p>
    <w:p w14:paraId="2ADBB2D4" w14:textId="77777777" w:rsidR="00FF5CEE" w:rsidRDefault="00000000">
      <w:pPr>
        <w:spacing w:line="520" w:lineRule="exact"/>
        <w:ind w:firstLineChars="200" w:firstLine="640"/>
        <w:rPr>
          <w:rFonts w:eastAsia="仿宋_GB2312"/>
          <w:sz w:val="32"/>
          <w:szCs w:val="28"/>
        </w:rPr>
      </w:pPr>
      <w:r>
        <w:rPr>
          <w:rFonts w:eastAsia="仿宋_GB2312" w:hint="eastAsia"/>
          <w:sz w:val="32"/>
          <w:szCs w:val="32"/>
        </w:rPr>
        <w:t>3.2.5</w:t>
      </w:r>
      <w:r>
        <w:rPr>
          <w:rFonts w:eastAsia="仿宋_GB2312"/>
          <w:sz w:val="32"/>
          <w:szCs w:val="28"/>
        </w:rPr>
        <w:t>动作平稳性。</w:t>
      </w:r>
    </w:p>
    <w:p w14:paraId="6684CF72" w14:textId="77777777" w:rsidR="00FF5CEE" w:rsidRDefault="00000000">
      <w:pPr>
        <w:ind w:firstLineChars="200" w:firstLine="640"/>
        <w:rPr>
          <w:rFonts w:eastAsia="仿宋_GB2312"/>
          <w:sz w:val="32"/>
          <w:szCs w:val="28"/>
        </w:rPr>
      </w:pPr>
      <w:r>
        <w:rPr>
          <w:rFonts w:eastAsia="仿宋_GB2312" w:hint="eastAsia"/>
          <w:sz w:val="32"/>
          <w:szCs w:val="32"/>
        </w:rPr>
        <w:t>3.2.6</w:t>
      </w:r>
      <w:r>
        <w:rPr>
          <w:rFonts w:eastAsia="仿宋_GB2312"/>
          <w:sz w:val="32"/>
          <w:szCs w:val="28"/>
        </w:rPr>
        <w:t>渗漏（如适用）。</w:t>
      </w:r>
    </w:p>
    <w:p w14:paraId="496833A6" w14:textId="77777777" w:rsidR="00FF5CEE" w:rsidRDefault="00000000">
      <w:pPr>
        <w:ind w:firstLineChars="200" w:firstLine="640"/>
        <w:rPr>
          <w:rFonts w:eastAsia="仿宋_GB2312"/>
          <w:sz w:val="32"/>
          <w:szCs w:val="28"/>
        </w:rPr>
      </w:pPr>
      <w:r>
        <w:rPr>
          <w:rFonts w:eastAsia="仿宋_GB2312" w:hint="eastAsia"/>
          <w:sz w:val="32"/>
          <w:szCs w:val="32"/>
        </w:rPr>
        <w:t>3.2.7</w:t>
      </w:r>
      <w:r>
        <w:rPr>
          <w:rFonts w:eastAsia="仿宋_GB2312"/>
          <w:sz w:val="32"/>
          <w:szCs w:val="28"/>
        </w:rPr>
        <w:t>台面摆动量（如适用）。</w:t>
      </w:r>
    </w:p>
    <w:p w14:paraId="3D924FD5" w14:textId="77777777" w:rsidR="00FF5CEE" w:rsidRDefault="00000000">
      <w:pPr>
        <w:ind w:firstLineChars="200" w:firstLine="640"/>
        <w:rPr>
          <w:rFonts w:eastAsia="仿宋_GB2312"/>
          <w:sz w:val="32"/>
          <w:szCs w:val="28"/>
        </w:rPr>
      </w:pPr>
      <w:r>
        <w:rPr>
          <w:rFonts w:eastAsia="仿宋_GB2312" w:hint="eastAsia"/>
          <w:sz w:val="32"/>
          <w:szCs w:val="32"/>
        </w:rPr>
        <w:t>3.2.8</w:t>
      </w:r>
      <w:r>
        <w:rPr>
          <w:rFonts w:eastAsia="仿宋_GB2312"/>
          <w:sz w:val="32"/>
          <w:szCs w:val="28"/>
        </w:rPr>
        <w:t>装卸方便性（如适用）。</w:t>
      </w:r>
    </w:p>
    <w:p w14:paraId="310D60C4" w14:textId="77777777" w:rsidR="00FF5CEE" w:rsidRDefault="00000000">
      <w:pPr>
        <w:ind w:firstLineChars="200" w:firstLine="640"/>
        <w:rPr>
          <w:rFonts w:eastAsia="仿宋_GB2312"/>
          <w:sz w:val="32"/>
          <w:szCs w:val="28"/>
        </w:rPr>
      </w:pPr>
      <w:r>
        <w:rPr>
          <w:rFonts w:eastAsia="仿宋_GB2312" w:hint="eastAsia"/>
          <w:sz w:val="32"/>
          <w:szCs w:val="32"/>
        </w:rPr>
        <w:t>3.2.9</w:t>
      </w:r>
      <w:r>
        <w:rPr>
          <w:rFonts w:eastAsia="仿宋_GB2312"/>
          <w:sz w:val="32"/>
          <w:szCs w:val="28"/>
        </w:rPr>
        <w:t>X</w:t>
      </w:r>
      <w:r>
        <w:rPr>
          <w:rFonts w:eastAsia="仿宋_GB2312"/>
          <w:sz w:val="32"/>
          <w:szCs w:val="28"/>
        </w:rPr>
        <w:t>射线透过性（如适用）。</w:t>
      </w:r>
    </w:p>
    <w:p w14:paraId="6946167E" w14:textId="77777777" w:rsidR="00FF5CEE" w:rsidRDefault="00000000">
      <w:pPr>
        <w:ind w:firstLineChars="200" w:firstLine="640"/>
        <w:rPr>
          <w:rFonts w:eastAsia="仿宋_GB2312"/>
          <w:sz w:val="32"/>
          <w:szCs w:val="28"/>
        </w:rPr>
      </w:pPr>
      <w:r>
        <w:rPr>
          <w:rFonts w:eastAsia="仿宋_GB2312" w:hint="eastAsia"/>
          <w:sz w:val="32"/>
          <w:szCs w:val="32"/>
        </w:rPr>
        <w:t>3.2.10</w:t>
      </w:r>
      <w:r>
        <w:rPr>
          <w:rFonts w:eastAsia="仿宋_GB2312"/>
          <w:sz w:val="32"/>
          <w:szCs w:val="28"/>
        </w:rPr>
        <w:t>控制器按键功能（如适用）。</w:t>
      </w:r>
    </w:p>
    <w:p w14:paraId="40D9D111" w14:textId="77777777" w:rsidR="00FF5CEE" w:rsidRDefault="00000000">
      <w:pPr>
        <w:ind w:firstLineChars="200" w:firstLine="640"/>
        <w:rPr>
          <w:rFonts w:eastAsia="仿宋_GB2312"/>
          <w:sz w:val="32"/>
          <w:szCs w:val="32"/>
        </w:rPr>
      </w:pPr>
      <w:r>
        <w:rPr>
          <w:rFonts w:eastAsia="仿宋_GB2312" w:hint="eastAsia"/>
          <w:sz w:val="32"/>
          <w:szCs w:val="28"/>
        </w:rPr>
        <w:t>注：若</w:t>
      </w:r>
      <w:r>
        <w:rPr>
          <w:rFonts w:eastAsia="仿宋_GB2312"/>
          <w:sz w:val="32"/>
          <w:szCs w:val="28"/>
        </w:rPr>
        <w:t>头板、</w:t>
      </w:r>
      <w:r>
        <w:rPr>
          <w:rFonts w:eastAsia="仿宋_GB2312" w:hint="eastAsia"/>
          <w:sz w:val="32"/>
          <w:szCs w:val="28"/>
        </w:rPr>
        <w:t>背板、</w:t>
      </w:r>
      <w:r>
        <w:rPr>
          <w:rFonts w:eastAsia="仿宋_GB2312"/>
          <w:sz w:val="32"/>
          <w:szCs w:val="28"/>
        </w:rPr>
        <w:t>腿板、足板</w:t>
      </w:r>
      <w:r>
        <w:rPr>
          <w:rFonts w:eastAsia="仿宋_GB2312" w:hint="eastAsia"/>
          <w:sz w:val="32"/>
          <w:szCs w:val="28"/>
        </w:rPr>
        <w:t>等存在更换延长板的情况，应重点关注更换延长板后产品的性能指标变化。</w:t>
      </w:r>
    </w:p>
    <w:p w14:paraId="7F364539" w14:textId="74134769" w:rsidR="00FF5CEE" w:rsidRDefault="00000000">
      <w:pPr>
        <w:spacing w:line="52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2</w:t>
      </w:r>
      <w:r>
        <w:rPr>
          <w:rFonts w:eastAsia="仿宋_GB2312" w:hint="eastAsia"/>
          <w:sz w:val="32"/>
          <w:szCs w:val="32"/>
        </w:rPr>
        <w:t>.</w:t>
      </w:r>
      <w:r w:rsidR="00873AF9">
        <w:rPr>
          <w:rFonts w:eastAsia="仿宋_GB2312" w:hint="eastAsia"/>
          <w:sz w:val="32"/>
          <w:szCs w:val="32"/>
        </w:rPr>
        <w:t>11</w:t>
      </w:r>
      <w:r>
        <w:rPr>
          <w:rFonts w:eastAsia="仿宋_GB2312" w:hint="eastAsia"/>
          <w:sz w:val="32"/>
          <w:szCs w:val="32"/>
        </w:rPr>
        <w:t>软件功能（如适用）</w:t>
      </w:r>
    </w:p>
    <w:p w14:paraId="600AA9EB"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应参照《医疗器械软件注册审查指导原则》、《医疗器械网络安全注册审查指导原则》（如适用）的相关要求进行规定。</w:t>
      </w:r>
    </w:p>
    <w:p w14:paraId="14259349" w14:textId="690FF553" w:rsidR="00FF5CEE" w:rsidRDefault="00000000">
      <w:pPr>
        <w:ind w:firstLineChars="200" w:firstLine="640"/>
        <w:rPr>
          <w:rFonts w:eastAsia="仿宋_GB2312"/>
          <w:sz w:val="32"/>
          <w:szCs w:val="32"/>
        </w:rPr>
      </w:pPr>
      <w:r>
        <w:rPr>
          <w:rFonts w:eastAsia="仿宋_GB2312" w:hint="eastAsia"/>
          <w:sz w:val="32"/>
          <w:szCs w:val="32"/>
        </w:rPr>
        <w:t>3.</w:t>
      </w:r>
      <w:r>
        <w:rPr>
          <w:rFonts w:eastAsia="仿宋_GB2312"/>
          <w:sz w:val="32"/>
          <w:szCs w:val="32"/>
        </w:rPr>
        <w:t>2.</w:t>
      </w:r>
      <w:r w:rsidR="00873AF9">
        <w:rPr>
          <w:rFonts w:eastAsia="仿宋_GB2312" w:hint="eastAsia"/>
          <w:sz w:val="32"/>
          <w:szCs w:val="32"/>
        </w:rPr>
        <w:t>12</w:t>
      </w:r>
      <w:r>
        <w:rPr>
          <w:rFonts w:eastAsia="仿宋_GB2312" w:hint="eastAsia"/>
          <w:sz w:val="32"/>
          <w:szCs w:val="32"/>
        </w:rPr>
        <w:t>电气安全</w:t>
      </w:r>
    </w:p>
    <w:p w14:paraId="0090151D"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应符合</w:t>
      </w:r>
      <w:r>
        <w:rPr>
          <w:rFonts w:eastAsia="仿宋_GB2312" w:hint="eastAsia"/>
          <w:sz w:val="32"/>
          <w:szCs w:val="32"/>
        </w:rPr>
        <w:t>GB 9706.1</w:t>
      </w:r>
      <w:r>
        <w:rPr>
          <w:rFonts w:eastAsia="仿宋_GB2312" w:hint="eastAsia"/>
          <w:sz w:val="32"/>
          <w:szCs w:val="32"/>
        </w:rPr>
        <w:t>《医用电气设备</w:t>
      </w:r>
      <w:r>
        <w:rPr>
          <w:rFonts w:eastAsia="仿宋_GB2312" w:hint="eastAsia"/>
          <w:sz w:val="32"/>
          <w:szCs w:val="32"/>
        </w:rPr>
        <w:t xml:space="preserve"> </w:t>
      </w:r>
      <w:r>
        <w:rPr>
          <w:rFonts w:eastAsia="仿宋_GB2312" w:hint="eastAsia"/>
          <w:sz w:val="32"/>
          <w:szCs w:val="32"/>
        </w:rPr>
        <w:t>第</w:t>
      </w:r>
      <w:r>
        <w:rPr>
          <w:rFonts w:eastAsia="仿宋_GB2312" w:hint="eastAsia"/>
          <w:sz w:val="32"/>
          <w:szCs w:val="32"/>
        </w:rPr>
        <w:t>1</w:t>
      </w:r>
      <w:r>
        <w:rPr>
          <w:rFonts w:eastAsia="仿宋_GB2312" w:hint="eastAsia"/>
          <w:sz w:val="32"/>
          <w:szCs w:val="32"/>
        </w:rPr>
        <w:t>部分：基本安全和基本性能的通用要求》标准的要求。</w:t>
      </w:r>
    </w:p>
    <w:p w14:paraId="3286B8DA" w14:textId="46914E4C" w:rsidR="00FF5CEE" w:rsidRDefault="00000000">
      <w:pPr>
        <w:spacing w:line="52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2.</w:t>
      </w:r>
      <w:r w:rsidR="00873AF9">
        <w:rPr>
          <w:rFonts w:eastAsia="仿宋_GB2312" w:hint="eastAsia"/>
          <w:sz w:val="32"/>
          <w:szCs w:val="32"/>
        </w:rPr>
        <w:t>13</w:t>
      </w:r>
      <w:r>
        <w:rPr>
          <w:rFonts w:eastAsia="仿宋_GB2312" w:hint="eastAsia"/>
          <w:sz w:val="32"/>
          <w:szCs w:val="32"/>
        </w:rPr>
        <w:t>电磁兼容</w:t>
      </w:r>
    </w:p>
    <w:p w14:paraId="756E4954"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lastRenderedPageBreak/>
        <w:t>应符合</w:t>
      </w:r>
      <w:r>
        <w:rPr>
          <w:rFonts w:eastAsia="仿宋_GB2312" w:hint="eastAsia"/>
          <w:sz w:val="32"/>
          <w:szCs w:val="32"/>
        </w:rPr>
        <w:t>YY 9706.102</w:t>
      </w:r>
      <w:r>
        <w:rPr>
          <w:rFonts w:eastAsia="仿宋_GB2312" w:hint="eastAsia"/>
          <w:sz w:val="32"/>
          <w:szCs w:val="32"/>
        </w:rPr>
        <w:t>《医用电气设备</w:t>
      </w:r>
      <w:r>
        <w:rPr>
          <w:rFonts w:eastAsia="仿宋_GB2312" w:hint="eastAsia"/>
          <w:sz w:val="32"/>
          <w:szCs w:val="32"/>
        </w:rPr>
        <w:t xml:space="preserve"> </w:t>
      </w:r>
      <w:r>
        <w:rPr>
          <w:rFonts w:eastAsia="仿宋_GB2312" w:hint="eastAsia"/>
          <w:sz w:val="32"/>
          <w:szCs w:val="32"/>
        </w:rPr>
        <w:t>第</w:t>
      </w:r>
      <w:r>
        <w:rPr>
          <w:rFonts w:eastAsia="仿宋_GB2312" w:hint="eastAsia"/>
          <w:sz w:val="32"/>
          <w:szCs w:val="32"/>
        </w:rPr>
        <w:t>1-2</w:t>
      </w:r>
      <w:r>
        <w:rPr>
          <w:rFonts w:eastAsia="仿宋_GB2312" w:hint="eastAsia"/>
          <w:sz w:val="32"/>
          <w:szCs w:val="32"/>
        </w:rPr>
        <w:t>部分：基本安全和基本性能的通用要求</w:t>
      </w:r>
      <w:r>
        <w:rPr>
          <w:rFonts w:eastAsia="仿宋_GB2312" w:hint="eastAsia"/>
          <w:sz w:val="32"/>
          <w:szCs w:val="32"/>
        </w:rPr>
        <w:t xml:space="preserve"> </w:t>
      </w:r>
      <w:r>
        <w:rPr>
          <w:rFonts w:eastAsia="仿宋_GB2312" w:hint="eastAsia"/>
          <w:sz w:val="32"/>
          <w:szCs w:val="32"/>
        </w:rPr>
        <w:t>并列标准：电磁兼容</w:t>
      </w:r>
      <w:r>
        <w:rPr>
          <w:rFonts w:eastAsia="仿宋_GB2312" w:hint="eastAsia"/>
          <w:sz w:val="32"/>
          <w:szCs w:val="32"/>
        </w:rPr>
        <w:t xml:space="preserve"> </w:t>
      </w:r>
      <w:r>
        <w:rPr>
          <w:rFonts w:eastAsia="仿宋_GB2312" w:hint="eastAsia"/>
          <w:sz w:val="32"/>
          <w:szCs w:val="32"/>
        </w:rPr>
        <w:t>要求和试验》标准的要求。</w:t>
      </w:r>
    </w:p>
    <w:p w14:paraId="23000175" w14:textId="77777777" w:rsidR="00FF5CEE" w:rsidRDefault="00000000">
      <w:pPr>
        <w:spacing w:line="520" w:lineRule="exact"/>
        <w:ind w:firstLineChars="200" w:firstLine="640"/>
        <w:rPr>
          <w:rFonts w:eastAsia="仿宋_GB2312"/>
          <w:sz w:val="32"/>
          <w:szCs w:val="32"/>
        </w:rPr>
      </w:pPr>
      <w:r>
        <w:rPr>
          <w:rFonts w:eastAsia="仿宋_GB2312"/>
          <w:sz w:val="32"/>
          <w:szCs w:val="32"/>
        </w:rPr>
        <w:t>3.3</w:t>
      </w:r>
      <w:r>
        <w:rPr>
          <w:rFonts w:eastAsia="仿宋_GB2312" w:hint="eastAsia"/>
          <w:sz w:val="32"/>
          <w:szCs w:val="32"/>
        </w:rPr>
        <w:t>产品检验报告</w:t>
      </w:r>
    </w:p>
    <w:p w14:paraId="5244B0F5"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注册申请人应提供产品检验报告，检验报告可以是申请人出具的自检报告，也可以是委托有相应检测资质医疗器械检验机构出具的检验报告。如提交自检报告，应符合《医疗器械注册自检管理规定》相关要求。</w:t>
      </w:r>
    </w:p>
    <w:p w14:paraId="30457D79"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同一注册单元内所检验的产品应当是能够代表本注册单元内其他产品安全性和有效性的典型产品。若申报的产品包括多个型号规格，在电气安全（含电磁兼容）的检验中，原则上选取结构最复杂、功能最多、风险最高的型号规格进行检验。型号覆盖应按照最不利的原则确定，不能覆盖的差异性应分别进行检测。当没有充足证据能够证明同一注册单元内不同型号规格产品之间性能、电磁兼容性、电气安全性能可以覆盖时，应选取多个型号规格进行检测。</w:t>
      </w:r>
    </w:p>
    <w:p w14:paraId="74EB55F5"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对于典型检测型号产品的选择，申请人应当提供典型型号说明予以证明。</w:t>
      </w:r>
    </w:p>
    <w:p w14:paraId="034D9164" w14:textId="77777777" w:rsidR="00FF5CEE" w:rsidRDefault="00000000">
      <w:pPr>
        <w:spacing w:line="52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w:t>
      </w:r>
      <w:r>
        <w:rPr>
          <w:rFonts w:eastAsia="仿宋_GB2312" w:hint="eastAsia"/>
          <w:sz w:val="32"/>
          <w:szCs w:val="32"/>
        </w:rPr>
        <w:t>研究资料</w:t>
      </w:r>
    </w:p>
    <w:p w14:paraId="51CF66B2" w14:textId="77777777" w:rsidR="00FF5CEE" w:rsidRDefault="00000000">
      <w:pPr>
        <w:spacing w:line="52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.1</w:t>
      </w:r>
      <w:r>
        <w:rPr>
          <w:rFonts w:eastAsia="仿宋_GB2312" w:hint="eastAsia"/>
          <w:sz w:val="32"/>
          <w:szCs w:val="32"/>
        </w:rPr>
        <w:t>产品性能研究</w:t>
      </w:r>
    </w:p>
    <w:p w14:paraId="1CA38B71"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应提供产品物理和</w:t>
      </w:r>
      <w:r>
        <w:rPr>
          <w:rFonts w:eastAsia="仿宋_GB2312" w:hint="eastAsia"/>
          <w:sz w:val="32"/>
          <w:szCs w:val="32"/>
        </w:rPr>
        <w:t>/</w:t>
      </w:r>
      <w:r>
        <w:rPr>
          <w:rFonts w:eastAsia="仿宋_GB2312" w:hint="eastAsia"/>
          <w:sz w:val="32"/>
          <w:szCs w:val="32"/>
        </w:rPr>
        <w:t>或机械性能指标的确定依据、设计输入来源以及临床意义，所采用的标准或方法、采用的原因及理论基础。</w:t>
      </w:r>
    </w:p>
    <w:p w14:paraId="6E26D8B8"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可以参考以下标准：</w:t>
      </w:r>
    </w:p>
    <w:p w14:paraId="0FA4376B" w14:textId="5083CBBE" w:rsidR="00FF5CEE" w:rsidRDefault="00000000">
      <w:pPr>
        <w:spacing w:line="520" w:lineRule="exact"/>
        <w:ind w:firstLineChars="200" w:firstLine="640"/>
        <w:rPr>
          <w:rFonts w:eastAsia="仿宋_GB2312"/>
          <w:sz w:val="32"/>
          <w:szCs w:val="32"/>
        </w:rPr>
      </w:pPr>
      <w:r>
        <w:rPr>
          <w:rFonts w:eastAsia="仿宋_GB2312"/>
          <w:sz w:val="32"/>
          <w:szCs w:val="32"/>
        </w:rPr>
        <w:lastRenderedPageBreak/>
        <w:t>YY 9706.246</w:t>
      </w:r>
      <w:r>
        <w:rPr>
          <w:rFonts w:eastAsia="仿宋_GB2312" w:hint="eastAsia"/>
          <w:sz w:val="32"/>
          <w:szCs w:val="32"/>
        </w:rPr>
        <w:t>《</w:t>
      </w:r>
      <w:r>
        <w:rPr>
          <w:rFonts w:eastAsia="仿宋_GB2312"/>
          <w:sz w:val="32"/>
          <w:szCs w:val="32"/>
        </w:rPr>
        <w:t>医用电气设备</w:t>
      </w:r>
      <w:r>
        <w:rPr>
          <w:rFonts w:eastAsia="仿宋_GB2312"/>
          <w:sz w:val="32"/>
          <w:szCs w:val="32"/>
        </w:rPr>
        <w:t xml:space="preserve"> </w:t>
      </w:r>
      <w:r>
        <w:rPr>
          <w:rFonts w:eastAsia="仿宋_GB2312"/>
          <w:sz w:val="32"/>
          <w:szCs w:val="32"/>
        </w:rPr>
        <w:t>第</w:t>
      </w:r>
      <w:r>
        <w:rPr>
          <w:rFonts w:eastAsia="仿宋_GB2312"/>
          <w:sz w:val="32"/>
          <w:szCs w:val="32"/>
        </w:rPr>
        <w:t>2-46</w:t>
      </w:r>
      <w:r>
        <w:rPr>
          <w:rFonts w:eastAsia="仿宋_GB2312"/>
          <w:sz w:val="32"/>
          <w:szCs w:val="32"/>
        </w:rPr>
        <w:t>部分</w:t>
      </w:r>
      <w:r>
        <w:rPr>
          <w:rFonts w:eastAsia="仿宋_GB2312"/>
          <w:sz w:val="32"/>
          <w:szCs w:val="32"/>
        </w:rPr>
        <w:t xml:space="preserve">: </w:t>
      </w:r>
      <w:r>
        <w:rPr>
          <w:rFonts w:eastAsia="仿宋_GB2312"/>
          <w:sz w:val="32"/>
          <w:szCs w:val="32"/>
        </w:rPr>
        <w:t>手术台的基本安全和基本性能专用要求</w:t>
      </w:r>
      <w:r>
        <w:rPr>
          <w:rFonts w:eastAsia="仿宋_GB2312" w:hint="eastAsia"/>
          <w:sz w:val="32"/>
          <w:szCs w:val="32"/>
        </w:rPr>
        <w:t>》；</w:t>
      </w:r>
    </w:p>
    <w:p w14:paraId="4E343886" w14:textId="4B02E2B4" w:rsidR="00FF5CEE" w:rsidRDefault="00000000">
      <w:pPr>
        <w:spacing w:line="520" w:lineRule="exact"/>
        <w:ind w:firstLineChars="200" w:firstLine="640"/>
        <w:rPr>
          <w:rFonts w:eastAsia="仿宋_GB2312"/>
          <w:sz w:val="32"/>
          <w:szCs w:val="32"/>
        </w:rPr>
      </w:pPr>
      <w:r>
        <w:rPr>
          <w:rFonts w:eastAsia="仿宋_GB2312"/>
          <w:sz w:val="32"/>
          <w:szCs w:val="32"/>
        </w:rPr>
        <w:t>YY/T 1106</w:t>
      </w:r>
      <w:r>
        <w:rPr>
          <w:rFonts w:eastAsia="仿宋_GB2312" w:hint="eastAsia"/>
          <w:sz w:val="32"/>
          <w:szCs w:val="32"/>
        </w:rPr>
        <w:t>《</w:t>
      </w:r>
      <w:r>
        <w:rPr>
          <w:rFonts w:eastAsia="仿宋_GB2312"/>
          <w:sz w:val="32"/>
          <w:szCs w:val="32"/>
        </w:rPr>
        <w:t>电动手术台</w:t>
      </w:r>
      <w:r>
        <w:rPr>
          <w:rFonts w:eastAsia="仿宋_GB2312" w:hint="eastAsia"/>
          <w:sz w:val="32"/>
          <w:szCs w:val="32"/>
        </w:rPr>
        <w:t>》；</w:t>
      </w:r>
    </w:p>
    <w:p w14:paraId="6877DE3E" w14:textId="24DD0BA4" w:rsidR="00FF5CEE" w:rsidRDefault="00000000">
      <w:pPr>
        <w:spacing w:line="520" w:lineRule="exact"/>
        <w:ind w:firstLineChars="200" w:firstLine="640"/>
        <w:rPr>
          <w:rFonts w:eastAsia="仿宋_GB2312"/>
          <w:sz w:val="32"/>
          <w:szCs w:val="32"/>
        </w:rPr>
      </w:pPr>
      <w:r>
        <w:rPr>
          <w:rFonts w:eastAsia="仿宋_GB2312"/>
          <w:sz w:val="32"/>
          <w:szCs w:val="32"/>
        </w:rPr>
        <w:t>YY 9706.252</w:t>
      </w:r>
      <w:r>
        <w:rPr>
          <w:rFonts w:eastAsia="仿宋_GB2312" w:hint="eastAsia"/>
          <w:sz w:val="32"/>
          <w:szCs w:val="32"/>
        </w:rPr>
        <w:t>《</w:t>
      </w:r>
      <w:r>
        <w:rPr>
          <w:rFonts w:eastAsia="仿宋_GB2312"/>
          <w:sz w:val="32"/>
          <w:szCs w:val="32"/>
        </w:rPr>
        <w:t>医用电气设备</w:t>
      </w:r>
      <w:r>
        <w:rPr>
          <w:rFonts w:eastAsia="仿宋_GB2312"/>
          <w:sz w:val="32"/>
          <w:szCs w:val="32"/>
        </w:rPr>
        <w:t xml:space="preserve"> </w:t>
      </w:r>
      <w:r>
        <w:rPr>
          <w:rFonts w:eastAsia="仿宋_GB2312"/>
          <w:sz w:val="32"/>
          <w:szCs w:val="32"/>
        </w:rPr>
        <w:t>第</w:t>
      </w:r>
      <w:r>
        <w:rPr>
          <w:rFonts w:eastAsia="仿宋_GB2312"/>
          <w:sz w:val="32"/>
          <w:szCs w:val="32"/>
        </w:rPr>
        <w:t>2-52</w:t>
      </w:r>
      <w:r>
        <w:rPr>
          <w:rFonts w:eastAsia="仿宋_GB2312"/>
          <w:sz w:val="32"/>
          <w:szCs w:val="32"/>
        </w:rPr>
        <w:t>部分</w:t>
      </w:r>
      <w:r>
        <w:rPr>
          <w:rFonts w:eastAsia="仿宋_GB2312"/>
          <w:sz w:val="32"/>
          <w:szCs w:val="32"/>
        </w:rPr>
        <w:t>:</w:t>
      </w:r>
      <w:r>
        <w:rPr>
          <w:rFonts w:eastAsia="仿宋_GB2312"/>
          <w:sz w:val="32"/>
          <w:szCs w:val="32"/>
        </w:rPr>
        <w:t>医用病床的基本安全和基本性能专用要求</w:t>
      </w:r>
      <w:r>
        <w:rPr>
          <w:rFonts w:eastAsia="仿宋_GB2312" w:hint="eastAsia"/>
          <w:sz w:val="32"/>
          <w:szCs w:val="32"/>
        </w:rPr>
        <w:t>》等。</w:t>
      </w:r>
    </w:p>
    <w:p w14:paraId="49293130"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4.2</w:t>
      </w:r>
      <w:r>
        <w:rPr>
          <w:rFonts w:eastAsia="仿宋_GB2312" w:hint="eastAsia"/>
          <w:sz w:val="32"/>
          <w:szCs w:val="32"/>
        </w:rPr>
        <w:t>电气系统安全性研究</w:t>
      </w:r>
    </w:p>
    <w:p w14:paraId="4C50CEAF"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应当提供电气安全性、机械和环境保护以及电磁兼容性的研究资料，说明适用的标准以及开展的研究。</w:t>
      </w:r>
    </w:p>
    <w:p w14:paraId="5315FE05"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4.3</w:t>
      </w:r>
      <w:r>
        <w:rPr>
          <w:rFonts w:eastAsia="仿宋_GB2312" w:hint="eastAsia"/>
          <w:sz w:val="32"/>
          <w:szCs w:val="32"/>
        </w:rPr>
        <w:t>软件及网络安全研究（如适用）</w:t>
      </w:r>
    </w:p>
    <w:p w14:paraId="0DBED59E"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注册申请人应依据《医疗器械软件注册审查指导原则》的要求，提交自研软件研究报告、外部软件环境评估报告以及</w:t>
      </w:r>
      <w:r>
        <w:rPr>
          <w:rFonts w:eastAsia="仿宋_GB2312" w:hint="eastAsia"/>
          <w:sz w:val="32"/>
          <w:szCs w:val="32"/>
        </w:rPr>
        <w:t>GB/T 25000.51</w:t>
      </w:r>
      <w:r>
        <w:rPr>
          <w:rFonts w:eastAsia="仿宋_GB2312" w:hint="eastAsia"/>
          <w:sz w:val="32"/>
          <w:szCs w:val="32"/>
        </w:rPr>
        <w:t>自测报告（亦可提交自检报告或检验报告代替自测报告）。若使用现成软件组件，根据其使用方式提交相应研究资料，</w:t>
      </w:r>
      <w:r>
        <w:rPr>
          <w:rFonts w:eastAsia="仿宋_GB2312"/>
          <w:sz w:val="32"/>
          <w:szCs w:val="32"/>
        </w:rPr>
        <w:t>内容包括</w:t>
      </w:r>
      <w:r>
        <w:rPr>
          <w:rFonts w:eastAsia="仿宋_GB2312" w:hint="eastAsia"/>
          <w:sz w:val="32"/>
          <w:szCs w:val="32"/>
        </w:rPr>
        <w:t>基本信息、实现过程、核心功能、结论等内容，详尽程度取决于软件安全性级别。</w:t>
      </w:r>
    </w:p>
    <w:p w14:paraId="076F079B" w14:textId="77777777" w:rsidR="00665138" w:rsidRDefault="00000000" w:rsidP="00665138">
      <w:pPr>
        <w:spacing w:line="520" w:lineRule="exact"/>
        <w:ind w:firstLineChars="200" w:firstLine="640"/>
        <w:rPr>
          <w:rFonts w:eastAsia="仿宋_GB2312"/>
          <w:sz w:val="32"/>
          <w:szCs w:val="32"/>
        </w:rPr>
      </w:pPr>
      <w:r>
        <w:rPr>
          <w:rFonts w:eastAsia="仿宋_GB2312" w:hint="eastAsia"/>
          <w:sz w:val="32"/>
          <w:szCs w:val="32"/>
        </w:rPr>
        <w:t>如产品具备电子数据交换、远程访问与控制、用户访问等功能，注册申请人应依据《医疗器械网络安全注册审查指导原则》的要求，在软件研究资料中单独提交自研软件网络安全研究报告。若使用现成软件组件，根据其使用方式提交相应研究资料，基本信息包括软件信息、数据架构、网络安全能力、网络安全补丁、安全软件，实现过程包括风险管理、需求规范、验证与确认、可追溯性分析、更新维护计划，漏洞评估明确已知漏洞相关信息。</w:t>
      </w:r>
      <w:r>
        <w:rPr>
          <w:rFonts w:eastAsia="仿宋_GB2312"/>
          <w:sz w:val="32"/>
          <w:szCs w:val="32"/>
        </w:rPr>
        <w:t>应提交网络安全描述文档，并在产品技术要求中规定相应的性能指标。</w:t>
      </w:r>
    </w:p>
    <w:p w14:paraId="4C144446" w14:textId="0EC27F13" w:rsidR="00913BD2" w:rsidRDefault="00CA0C1F" w:rsidP="00913BD2">
      <w:pPr>
        <w:spacing w:line="520" w:lineRule="exact"/>
        <w:ind w:firstLineChars="200" w:firstLine="640"/>
        <w:rPr>
          <w:rFonts w:eastAsia="仿宋_GB2312"/>
          <w:sz w:val="32"/>
          <w:szCs w:val="32"/>
        </w:rPr>
      </w:pPr>
      <w:r>
        <w:rPr>
          <w:rFonts w:eastAsia="仿宋_GB2312" w:hint="eastAsia"/>
          <w:sz w:val="32"/>
          <w:szCs w:val="32"/>
        </w:rPr>
        <w:lastRenderedPageBreak/>
        <w:t>4.4</w:t>
      </w:r>
      <w:r w:rsidR="00665138" w:rsidRPr="00665138">
        <w:rPr>
          <w:rFonts w:eastAsia="仿宋_GB2312" w:hint="eastAsia"/>
          <w:sz w:val="32"/>
          <w:szCs w:val="32"/>
        </w:rPr>
        <w:t>生物学特性研究</w:t>
      </w:r>
    </w:p>
    <w:p w14:paraId="663656BC" w14:textId="5CB5F8BD" w:rsidR="00665138" w:rsidRPr="00913BD2" w:rsidRDefault="0080203C" w:rsidP="00913BD2">
      <w:pPr>
        <w:spacing w:line="520" w:lineRule="exact"/>
        <w:ind w:firstLineChars="200" w:firstLine="640"/>
        <w:rPr>
          <w:rFonts w:eastAsia="仿宋_GB2312"/>
          <w:sz w:val="32"/>
          <w:szCs w:val="32"/>
        </w:rPr>
      </w:pPr>
      <w:r w:rsidRPr="0080203C">
        <w:rPr>
          <w:rFonts w:eastAsia="仿宋_GB2312"/>
          <w:sz w:val="32"/>
          <w:szCs w:val="32"/>
        </w:rPr>
        <w:t>整机</w:t>
      </w:r>
      <w:r>
        <w:rPr>
          <w:rFonts w:eastAsia="仿宋_GB2312" w:hint="eastAsia"/>
          <w:sz w:val="32"/>
          <w:szCs w:val="32"/>
        </w:rPr>
        <w:t>或</w:t>
      </w:r>
      <w:r w:rsidRPr="0080203C">
        <w:rPr>
          <w:rFonts w:eastAsia="仿宋_GB2312"/>
          <w:sz w:val="32"/>
          <w:szCs w:val="32"/>
        </w:rPr>
        <w:t>部件完全不与人体发生任何接触</w:t>
      </w:r>
      <w:r w:rsidR="00913BD2">
        <w:rPr>
          <w:rFonts w:eastAsia="仿宋_GB2312" w:hint="eastAsia"/>
          <w:sz w:val="32"/>
          <w:szCs w:val="32"/>
        </w:rPr>
        <w:t>，则</w:t>
      </w:r>
      <w:r w:rsidR="00665138" w:rsidRPr="007657D2">
        <w:rPr>
          <w:rFonts w:eastAsia="仿宋_GB2312"/>
          <w:sz w:val="32"/>
          <w:szCs w:val="32"/>
        </w:rPr>
        <w:t>无需开展生物学特性研究</w:t>
      </w:r>
      <w:r w:rsidR="00913BD2" w:rsidRPr="007657D2">
        <w:rPr>
          <w:rFonts w:eastAsia="仿宋_GB2312" w:hint="eastAsia"/>
          <w:sz w:val="32"/>
          <w:szCs w:val="32"/>
        </w:rPr>
        <w:t>。</w:t>
      </w:r>
    </w:p>
    <w:p w14:paraId="010B8317" w14:textId="2FA2D3B6" w:rsidR="005608C8" w:rsidRDefault="00665138" w:rsidP="00665138">
      <w:pPr>
        <w:spacing w:line="520" w:lineRule="exact"/>
        <w:ind w:firstLineChars="200" w:firstLine="640"/>
        <w:rPr>
          <w:rFonts w:eastAsia="仿宋_GB2312" w:hint="eastAsia"/>
          <w:sz w:val="32"/>
          <w:szCs w:val="32"/>
        </w:rPr>
      </w:pPr>
      <w:r w:rsidRPr="00665138">
        <w:rPr>
          <w:rFonts w:eastAsia="仿宋_GB2312"/>
          <w:sz w:val="32"/>
          <w:szCs w:val="32"/>
        </w:rPr>
        <w:t>如果有与人体接触部分，应当</w:t>
      </w:r>
      <w:r w:rsidR="00FA138C" w:rsidRPr="00FA138C">
        <w:rPr>
          <w:rFonts w:eastAsia="仿宋_GB2312"/>
          <w:sz w:val="32"/>
          <w:szCs w:val="32"/>
        </w:rPr>
        <w:t>根据产品与人体接触部位、接触方式及接触时间，按</w:t>
      </w:r>
      <w:r w:rsidR="00FA138C" w:rsidRPr="00FA138C">
        <w:rPr>
          <w:rFonts w:eastAsia="仿宋_GB2312"/>
          <w:sz w:val="32"/>
          <w:szCs w:val="32"/>
        </w:rPr>
        <w:t>GB/T</w:t>
      </w:r>
      <w:r w:rsidR="00FA138C">
        <w:rPr>
          <w:rFonts w:eastAsia="仿宋_GB2312" w:hint="eastAsia"/>
          <w:sz w:val="32"/>
          <w:szCs w:val="32"/>
        </w:rPr>
        <w:t xml:space="preserve"> </w:t>
      </w:r>
      <w:r w:rsidR="00FA138C" w:rsidRPr="00FA138C">
        <w:rPr>
          <w:rFonts w:eastAsia="仿宋_GB2312"/>
          <w:sz w:val="32"/>
          <w:szCs w:val="32"/>
        </w:rPr>
        <w:t>16886.1</w:t>
      </w:r>
      <w:r w:rsidR="00FA138C" w:rsidRPr="00FA138C">
        <w:rPr>
          <w:rFonts w:eastAsia="仿宋_GB2312"/>
          <w:sz w:val="32"/>
          <w:szCs w:val="32"/>
        </w:rPr>
        <w:t>《</w:t>
      </w:r>
      <w:r w:rsidR="001F02B8" w:rsidRPr="001F02B8">
        <w:rPr>
          <w:rFonts w:eastAsia="仿宋_GB2312"/>
          <w:sz w:val="32"/>
          <w:szCs w:val="32"/>
        </w:rPr>
        <w:t>医疗器械生物学评价</w:t>
      </w:r>
      <w:r w:rsidR="001F02B8" w:rsidRPr="001F02B8">
        <w:rPr>
          <w:rFonts w:eastAsia="仿宋_GB2312"/>
          <w:sz w:val="32"/>
          <w:szCs w:val="32"/>
        </w:rPr>
        <w:t xml:space="preserve"> </w:t>
      </w:r>
      <w:r w:rsidR="001F02B8" w:rsidRPr="001F02B8">
        <w:rPr>
          <w:rFonts w:eastAsia="仿宋_GB2312"/>
          <w:sz w:val="32"/>
          <w:szCs w:val="32"/>
        </w:rPr>
        <w:t>第</w:t>
      </w:r>
      <w:r w:rsidR="001F02B8" w:rsidRPr="001F02B8">
        <w:rPr>
          <w:rFonts w:eastAsia="仿宋_GB2312"/>
          <w:sz w:val="32"/>
          <w:szCs w:val="32"/>
        </w:rPr>
        <w:t>1</w:t>
      </w:r>
      <w:r w:rsidR="001F02B8" w:rsidRPr="001F02B8">
        <w:rPr>
          <w:rFonts w:eastAsia="仿宋_GB2312"/>
          <w:sz w:val="32"/>
          <w:szCs w:val="32"/>
        </w:rPr>
        <w:t>部分：风险管理过程中的评价与试验</w:t>
      </w:r>
      <w:r w:rsidR="00FA138C" w:rsidRPr="00FA138C">
        <w:rPr>
          <w:rFonts w:eastAsia="仿宋_GB2312"/>
          <w:sz w:val="32"/>
          <w:szCs w:val="32"/>
        </w:rPr>
        <w:t>》的要求</w:t>
      </w:r>
      <w:r w:rsidRPr="00665138">
        <w:rPr>
          <w:rFonts w:eastAsia="仿宋_GB2312"/>
          <w:sz w:val="32"/>
          <w:szCs w:val="32"/>
        </w:rPr>
        <w:t>开展生物学评价</w:t>
      </w:r>
      <w:r w:rsidRPr="00665138">
        <w:rPr>
          <w:rFonts w:eastAsia="仿宋_GB2312" w:hint="eastAsia"/>
          <w:sz w:val="32"/>
          <w:szCs w:val="32"/>
        </w:rPr>
        <w:t>。</w:t>
      </w:r>
    </w:p>
    <w:p w14:paraId="794DC26E" w14:textId="4B11B782" w:rsidR="00FF5CEE" w:rsidRDefault="00000000">
      <w:pPr>
        <w:spacing w:line="52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w:t>
      </w:r>
      <w:r w:rsidR="00CA0C1F">
        <w:rPr>
          <w:rFonts w:eastAsia="仿宋_GB2312" w:hint="eastAsia"/>
          <w:sz w:val="32"/>
          <w:szCs w:val="32"/>
        </w:rPr>
        <w:t>5</w:t>
      </w:r>
      <w:r>
        <w:rPr>
          <w:rFonts w:eastAsia="仿宋_GB2312" w:hint="eastAsia"/>
          <w:sz w:val="32"/>
          <w:szCs w:val="32"/>
        </w:rPr>
        <w:t>清洁、消毒研究</w:t>
      </w:r>
    </w:p>
    <w:p w14:paraId="3728DEC9"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申请人</w:t>
      </w:r>
      <w:r>
        <w:rPr>
          <w:rFonts w:eastAsia="仿宋_GB2312"/>
          <w:sz w:val="32"/>
          <w:szCs w:val="32"/>
        </w:rPr>
        <w:t>应当明确推荐的清洗和消毒工艺（方法和参数）、工艺</w:t>
      </w:r>
      <w:r>
        <w:rPr>
          <w:rFonts w:eastAsia="仿宋_GB2312" w:hint="eastAsia"/>
          <w:sz w:val="32"/>
          <w:szCs w:val="32"/>
        </w:rPr>
        <w:t>以及</w:t>
      </w:r>
      <w:r>
        <w:rPr>
          <w:rFonts w:eastAsia="仿宋_GB2312"/>
          <w:sz w:val="32"/>
          <w:szCs w:val="32"/>
        </w:rPr>
        <w:t>确定依据</w:t>
      </w:r>
      <w:r>
        <w:rPr>
          <w:rFonts w:eastAsia="仿宋_GB2312" w:hint="eastAsia"/>
          <w:sz w:val="32"/>
          <w:szCs w:val="32"/>
        </w:rPr>
        <w:t>，并提交分析</w:t>
      </w:r>
      <w:r>
        <w:rPr>
          <w:rFonts w:eastAsia="仿宋_GB2312"/>
          <w:sz w:val="32"/>
          <w:szCs w:val="32"/>
        </w:rPr>
        <w:t>验证的相关研究资料。</w:t>
      </w:r>
    </w:p>
    <w:p w14:paraId="35F7A35B" w14:textId="234666EF" w:rsidR="00FF5CEE" w:rsidRDefault="00000000">
      <w:pPr>
        <w:pStyle w:val="afd"/>
        <w:ind w:firstLineChars="200" w:firstLine="640"/>
        <w:jc w:val="both"/>
      </w:pPr>
      <w:r>
        <w:rPr>
          <w:rFonts w:hint="eastAsia"/>
        </w:rPr>
        <w:t>4.</w:t>
      </w:r>
      <w:r w:rsidR="00CA0C1F">
        <w:rPr>
          <w:rFonts w:hint="eastAsia"/>
        </w:rPr>
        <w:t>6</w:t>
      </w:r>
      <w:r>
        <w:rPr>
          <w:rFonts w:hint="eastAsia"/>
        </w:rPr>
        <w:t>可用性工程研究</w:t>
      </w:r>
    </w:p>
    <w:p w14:paraId="7842A7D5"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按照《医疗器械可用性工程注册审查指导原则》的要求，按照中、低使用风险医疗器械要求提交使用错误评估报告，包括基本信息、使用风险级别、核心要素、同类医疗器械上市后使用问题分析、使用风险管理、结论等内容。若前期已开展可用性工程工作，亦可提交可用性工程研究报告，用于替代使用错误评估报告。</w:t>
      </w:r>
    </w:p>
    <w:p w14:paraId="479CDE51" w14:textId="6B081858" w:rsidR="00FF5CEE" w:rsidRDefault="00000000" w:rsidP="008812EE">
      <w:pPr>
        <w:spacing w:line="520" w:lineRule="exact"/>
        <w:ind w:firstLineChars="200" w:firstLine="640"/>
        <w:rPr>
          <w:rFonts w:eastAsia="仿宋_GB2312"/>
          <w:sz w:val="32"/>
          <w:szCs w:val="32"/>
        </w:rPr>
      </w:pPr>
      <w:r>
        <w:rPr>
          <w:rFonts w:eastAsia="仿宋_GB2312" w:hint="eastAsia"/>
          <w:sz w:val="32"/>
          <w:szCs w:val="32"/>
        </w:rPr>
        <w:t>4.</w:t>
      </w:r>
      <w:r w:rsidR="00FA3878">
        <w:rPr>
          <w:rFonts w:eastAsia="仿宋_GB2312" w:hint="eastAsia"/>
          <w:sz w:val="32"/>
          <w:szCs w:val="32"/>
        </w:rPr>
        <w:t>7</w:t>
      </w:r>
      <w:r w:rsidR="00A10B6C">
        <w:rPr>
          <w:rFonts w:eastAsia="仿宋_GB2312" w:hint="eastAsia"/>
          <w:sz w:val="32"/>
          <w:szCs w:val="32"/>
        </w:rPr>
        <w:t>可靠</w:t>
      </w:r>
      <w:r>
        <w:rPr>
          <w:rFonts w:eastAsia="仿宋_GB2312" w:hint="eastAsia"/>
          <w:sz w:val="32"/>
          <w:szCs w:val="32"/>
        </w:rPr>
        <w:t>性研究</w:t>
      </w:r>
    </w:p>
    <w:p w14:paraId="72BF3C72" w14:textId="13ECC13D" w:rsidR="006B2B37" w:rsidRDefault="00A10B6C">
      <w:pPr>
        <w:spacing w:line="520" w:lineRule="exact"/>
        <w:ind w:firstLineChars="200" w:firstLine="640"/>
        <w:rPr>
          <w:rFonts w:eastAsia="仿宋_GB2312" w:hint="eastAsia"/>
          <w:sz w:val="32"/>
          <w:szCs w:val="32"/>
        </w:rPr>
      </w:pPr>
      <w:r w:rsidRPr="00A10B6C">
        <w:rPr>
          <w:rFonts w:eastAsia="仿宋_GB2312" w:hint="eastAsia"/>
          <w:sz w:val="32"/>
          <w:szCs w:val="32"/>
        </w:rPr>
        <w:t>详细描述电动推杆及其连接件的材质</w:t>
      </w:r>
      <w:r w:rsidRPr="0052508A">
        <w:rPr>
          <w:rFonts w:eastAsia="仿宋_GB2312"/>
          <w:sz w:val="32"/>
          <w:szCs w:val="32"/>
        </w:rPr>
        <w:t>、固定方式、受力点等</w:t>
      </w:r>
      <w:r w:rsidRPr="00A10B6C">
        <w:rPr>
          <w:rFonts w:eastAsia="仿宋_GB2312" w:hint="eastAsia"/>
          <w:sz w:val="32"/>
          <w:szCs w:val="32"/>
        </w:rPr>
        <w:t>，提供相关结构可靠性方面的研究资料。</w:t>
      </w:r>
    </w:p>
    <w:p w14:paraId="5C56DBB1" w14:textId="20FB791C" w:rsidR="006B2B37" w:rsidRDefault="00D925BF">
      <w:pPr>
        <w:spacing w:line="520" w:lineRule="exact"/>
        <w:ind w:firstLineChars="200" w:firstLine="640"/>
        <w:rPr>
          <w:rFonts w:eastAsia="仿宋_GB2312"/>
          <w:color w:val="000000"/>
          <w:sz w:val="32"/>
          <w:szCs w:val="32"/>
        </w:rPr>
      </w:pPr>
      <w:r>
        <w:rPr>
          <w:rFonts w:eastAsia="仿宋_GB2312" w:hint="eastAsia"/>
          <w:color w:val="000000"/>
          <w:sz w:val="32"/>
          <w:szCs w:val="32"/>
        </w:rPr>
        <w:t>4.8</w:t>
      </w:r>
      <w:r w:rsidR="00000000">
        <w:rPr>
          <w:rFonts w:eastAsia="仿宋_GB2312" w:hint="eastAsia"/>
          <w:color w:val="000000"/>
          <w:sz w:val="32"/>
          <w:szCs w:val="32"/>
        </w:rPr>
        <w:t>使用期限研究</w:t>
      </w:r>
    </w:p>
    <w:p w14:paraId="5EA159B4" w14:textId="16C4BDC1" w:rsidR="00FF5CEE" w:rsidRDefault="009E7304" w:rsidP="000B3F1B">
      <w:pPr>
        <w:spacing w:line="520" w:lineRule="exact"/>
        <w:ind w:firstLineChars="200" w:firstLine="640"/>
        <w:rPr>
          <w:rFonts w:eastAsia="仿宋_GB2312"/>
          <w:color w:val="000000"/>
          <w:sz w:val="32"/>
          <w:szCs w:val="32"/>
        </w:rPr>
      </w:pPr>
      <w:r>
        <w:rPr>
          <w:rFonts w:eastAsia="仿宋_GB2312" w:hint="eastAsia"/>
          <w:color w:val="000000"/>
          <w:sz w:val="32"/>
          <w:szCs w:val="32"/>
        </w:rPr>
        <w:t>按照</w:t>
      </w:r>
      <w:r w:rsidR="006B2B37">
        <w:rPr>
          <w:rFonts w:eastAsia="仿宋_GB2312" w:hint="eastAsia"/>
          <w:color w:val="000000"/>
          <w:sz w:val="32"/>
          <w:szCs w:val="32"/>
        </w:rPr>
        <w:t>《有源医疗器械使用期限技术审查指导原则》的要求开展研究。</w:t>
      </w:r>
      <w:r w:rsidR="00000000">
        <w:rPr>
          <w:rFonts w:eastAsia="仿宋_GB2312" w:hint="eastAsia"/>
          <w:color w:val="000000"/>
          <w:sz w:val="32"/>
          <w:szCs w:val="32"/>
        </w:rPr>
        <w:t>注册申请人应根据自身产品临床应用和产品设计情况，确定出产品的关键部件和可更换部件。注册申请人应明确在预期使用条件下关键部件的使用期限，及可更换部件的定期保养</w:t>
      </w:r>
      <w:r w:rsidR="00000000">
        <w:rPr>
          <w:rFonts w:eastAsia="仿宋_GB2312" w:hint="eastAsia"/>
          <w:color w:val="000000"/>
          <w:sz w:val="32"/>
          <w:szCs w:val="32"/>
        </w:rPr>
        <w:lastRenderedPageBreak/>
        <w:t>维护时间和更换频次，且应提供确定使用期限和更换频次的</w:t>
      </w:r>
      <w:r w:rsidR="00384353">
        <w:rPr>
          <w:rFonts w:eastAsia="仿宋_GB2312" w:hint="eastAsia"/>
          <w:color w:val="000000"/>
          <w:sz w:val="32"/>
          <w:szCs w:val="32"/>
        </w:rPr>
        <w:t>理论</w:t>
      </w:r>
      <w:r w:rsidR="00000000">
        <w:rPr>
          <w:rFonts w:eastAsia="仿宋_GB2312" w:hint="eastAsia"/>
          <w:color w:val="000000"/>
          <w:sz w:val="32"/>
          <w:szCs w:val="32"/>
        </w:rPr>
        <w:t>依据。电动诊疗台产品中的关键部件至少包括电机、液压泵（如适用）。</w:t>
      </w:r>
    </w:p>
    <w:p w14:paraId="0EC247B5" w14:textId="6CD2A2EF" w:rsidR="007234A2" w:rsidRDefault="00D925BF">
      <w:pPr>
        <w:spacing w:line="520" w:lineRule="exact"/>
        <w:ind w:firstLineChars="200" w:firstLine="640"/>
        <w:rPr>
          <w:rFonts w:eastAsia="仿宋_GB2312"/>
          <w:color w:val="000000"/>
          <w:sz w:val="32"/>
          <w:szCs w:val="32"/>
        </w:rPr>
      </w:pPr>
      <w:r>
        <w:rPr>
          <w:rFonts w:eastAsia="仿宋_GB2312" w:hint="eastAsia"/>
          <w:color w:val="000000"/>
          <w:sz w:val="32"/>
          <w:szCs w:val="32"/>
        </w:rPr>
        <w:t>4.9</w:t>
      </w:r>
      <w:r w:rsidR="00000000">
        <w:rPr>
          <w:rFonts w:eastAsia="仿宋_GB2312" w:hint="eastAsia"/>
          <w:color w:val="000000"/>
          <w:sz w:val="32"/>
          <w:szCs w:val="32"/>
        </w:rPr>
        <w:t>包装研究</w:t>
      </w:r>
    </w:p>
    <w:p w14:paraId="379FCD04" w14:textId="7682B0B7" w:rsidR="00FF5CEE" w:rsidRDefault="00000000">
      <w:pPr>
        <w:spacing w:line="520" w:lineRule="exact"/>
        <w:ind w:firstLineChars="200" w:firstLine="640"/>
        <w:rPr>
          <w:rFonts w:eastAsia="仿宋_GB2312"/>
          <w:color w:val="000000"/>
          <w:sz w:val="32"/>
          <w:szCs w:val="32"/>
        </w:rPr>
      </w:pPr>
      <w:r>
        <w:rPr>
          <w:rFonts w:eastAsia="仿宋_GB2312" w:hint="eastAsia"/>
          <w:color w:val="000000"/>
          <w:sz w:val="32"/>
          <w:szCs w:val="32"/>
        </w:rPr>
        <w:t>注册申请人应明确产品包装材料、包装清单；提供在宣称的运输条件下，符合</w:t>
      </w:r>
      <w:r>
        <w:rPr>
          <w:rFonts w:eastAsia="仿宋_GB2312" w:hint="eastAsia"/>
          <w:color w:val="000000"/>
          <w:sz w:val="32"/>
          <w:szCs w:val="32"/>
        </w:rPr>
        <w:t>GB/T 14710</w:t>
      </w:r>
      <w:r>
        <w:rPr>
          <w:rFonts w:eastAsia="仿宋_GB2312" w:hint="eastAsia"/>
          <w:color w:val="000000"/>
          <w:sz w:val="32"/>
          <w:szCs w:val="32"/>
        </w:rPr>
        <w:t>《医用电器环境要求及试验方法》中运输试验要求的验证资料；并提供在宣称贮存条件下，保持包装完整性的依据。</w:t>
      </w:r>
    </w:p>
    <w:p w14:paraId="3D68CB03" w14:textId="4B777D01" w:rsidR="002F3E2F" w:rsidRDefault="004820C5" w:rsidP="002F3E2F">
      <w:pPr>
        <w:spacing w:line="520" w:lineRule="exact"/>
        <w:ind w:firstLineChars="200" w:firstLine="640"/>
        <w:rPr>
          <w:rFonts w:eastAsia="仿宋_GB2312"/>
          <w:sz w:val="32"/>
          <w:szCs w:val="32"/>
        </w:rPr>
      </w:pPr>
      <w:r>
        <w:rPr>
          <w:rFonts w:eastAsia="仿宋_GB2312" w:hint="eastAsia"/>
          <w:sz w:val="32"/>
          <w:szCs w:val="32"/>
        </w:rPr>
        <w:t>4.10</w:t>
      </w:r>
      <w:r w:rsidR="002F3E2F">
        <w:rPr>
          <w:rFonts w:eastAsia="仿宋_GB2312"/>
          <w:sz w:val="32"/>
          <w:szCs w:val="32"/>
        </w:rPr>
        <w:t>证明产品安全性、有效性的其他研究资料。</w:t>
      </w:r>
    </w:p>
    <w:p w14:paraId="5C1E8738" w14:textId="58744F03" w:rsidR="002F3E2F" w:rsidRPr="00601C40" w:rsidRDefault="002F3E2F" w:rsidP="00601C40">
      <w:pPr>
        <w:spacing w:line="520" w:lineRule="exact"/>
        <w:ind w:firstLineChars="200" w:firstLine="640"/>
        <w:rPr>
          <w:rFonts w:eastAsia="仿宋_GB2312" w:hint="eastAsia"/>
          <w:sz w:val="32"/>
          <w:szCs w:val="32"/>
        </w:rPr>
      </w:pPr>
      <w:r>
        <w:rPr>
          <w:rFonts w:eastAsia="仿宋_GB2312"/>
          <w:sz w:val="32"/>
          <w:szCs w:val="32"/>
        </w:rPr>
        <w:t>根据产品的具体特性，需提供的其他研究资料。</w:t>
      </w:r>
    </w:p>
    <w:p w14:paraId="0EA9EFFA" w14:textId="77777777" w:rsidR="00FF5CEE" w:rsidRDefault="00000000">
      <w:pPr>
        <w:pStyle w:val="2"/>
      </w:pPr>
      <w:r>
        <w:rPr>
          <w:rFonts w:hint="eastAsia"/>
        </w:rPr>
        <w:t>（四）临床评价资料</w:t>
      </w:r>
      <w:bookmarkStart w:id="0" w:name="OLE_LINK14"/>
      <w:bookmarkStart w:id="1" w:name="OLE_LINK12"/>
    </w:p>
    <w:p w14:paraId="383680BD" w14:textId="77777777" w:rsidR="00FF5CEE" w:rsidRPr="00DB4742" w:rsidRDefault="00000000" w:rsidP="008C003A">
      <w:pPr>
        <w:spacing w:line="520" w:lineRule="exact"/>
        <w:ind w:firstLineChars="200" w:firstLine="640"/>
        <w:rPr>
          <w:rFonts w:eastAsia="仿宋_GB2312"/>
          <w:color w:val="000000"/>
          <w:sz w:val="32"/>
          <w:szCs w:val="32"/>
        </w:rPr>
      </w:pPr>
      <w:r w:rsidRPr="00DB4742">
        <w:rPr>
          <w:rFonts w:eastAsia="仿宋_GB2312"/>
          <w:color w:val="000000"/>
          <w:sz w:val="32"/>
          <w:szCs w:val="32"/>
        </w:rPr>
        <w:t>对于按第二类医疗器械管理的电动诊疗台，若产品符合《免于进行临床评价医疗器械目录》中的豁免情形，可免于进行临床评价。</w:t>
      </w:r>
    </w:p>
    <w:p w14:paraId="71AFD171" w14:textId="77777777" w:rsidR="00FF5CEE" w:rsidRPr="008C003A" w:rsidRDefault="00000000" w:rsidP="008C003A">
      <w:pPr>
        <w:spacing w:line="520" w:lineRule="exact"/>
        <w:ind w:firstLineChars="200" w:firstLine="640"/>
        <w:rPr>
          <w:rFonts w:eastAsia="仿宋_GB2312"/>
          <w:sz w:val="32"/>
          <w:szCs w:val="32"/>
        </w:rPr>
      </w:pPr>
      <w:r w:rsidRPr="008C003A">
        <w:rPr>
          <w:rFonts w:eastAsia="仿宋_GB2312" w:hint="eastAsia"/>
          <w:sz w:val="32"/>
          <w:szCs w:val="32"/>
        </w:rPr>
        <w:t>如</w:t>
      </w:r>
      <w:r w:rsidRPr="008C003A">
        <w:rPr>
          <w:rFonts w:eastAsia="仿宋_GB2312"/>
          <w:sz w:val="32"/>
          <w:szCs w:val="32"/>
        </w:rPr>
        <w:t>诊疗（查）台由床架、床面、枕头等组成。有源产品。用于诊疗室、急救室医务人员实施检查、简单治疗等医疗过程中患者多体位支撑与操作。不包括口腔科检查和诊断。可免于进行临床评价。</w:t>
      </w:r>
    </w:p>
    <w:p w14:paraId="4C4B8258" w14:textId="650458D1" w:rsidR="000A0F5B" w:rsidRPr="008C003A" w:rsidRDefault="000A0F5B" w:rsidP="008C003A">
      <w:pPr>
        <w:spacing w:line="520" w:lineRule="exact"/>
        <w:ind w:firstLineChars="200" w:firstLine="640"/>
        <w:rPr>
          <w:rFonts w:eastAsia="仿宋_GB2312"/>
          <w:sz w:val="32"/>
          <w:szCs w:val="32"/>
        </w:rPr>
      </w:pPr>
      <w:r w:rsidRPr="008C003A">
        <w:rPr>
          <w:rFonts w:eastAsia="仿宋_GB2312"/>
          <w:sz w:val="32"/>
          <w:szCs w:val="32"/>
        </w:rPr>
        <w:t>对于超过《免于进行临床评价医疗器械目录》描述范围的产品，或不能证明申报产品与《目录》所述的产品具有基本等同性时，申请人应按照《医疗器械临床评价技术指导原则》的要求提交临床评价资料。</w:t>
      </w:r>
    </w:p>
    <w:bookmarkEnd w:id="0"/>
    <w:bookmarkEnd w:id="1"/>
    <w:p w14:paraId="1CB6D05D" w14:textId="77777777" w:rsidR="00FF5CEE" w:rsidRDefault="00000000">
      <w:pPr>
        <w:ind w:firstLineChars="200" w:firstLine="640"/>
      </w:pPr>
      <w:r>
        <w:rPr>
          <w:rFonts w:eastAsia="楷体_GB2312" w:hint="eastAsia"/>
          <w:sz w:val="32"/>
          <w:szCs w:val="32"/>
        </w:rPr>
        <w:t>（五）产品说明书和标签样稿</w:t>
      </w:r>
    </w:p>
    <w:p w14:paraId="2C6451FC"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产品的标志、标签和使用说明书应符合《医疗器械说明书和</w:t>
      </w:r>
      <w:r>
        <w:rPr>
          <w:rFonts w:eastAsia="仿宋_GB2312" w:hint="eastAsia"/>
          <w:sz w:val="32"/>
          <w:szCs w:val="32"/>
        </w:rPr>
        <w:lastRenderedPageBreak/>
        <w:t>标签管理规定》、《医疗器械软件注册审查指导原则》、《医疗器械网络安全注册审查指导原则》的规定及</w:t>
      </w:r>
      <w:r>
        <w:rPr>
          <w:rFonts w:eastAsia="仿宋_GB2312" w:hint="eastAsia"/>
          <w:sz w:val="32"/>
          <w:szCs w:val="32"/>
        </w:rPr>
        <w:t>YY/T 0466.1</w:t>
      </w:r>
      <w:r>
        <w:rPr>
          <w:rFonts w:eastAsia="仿宋_GB2312" w:hint="eastAsia"/>
          <w:sz w:val="32"/>
          <w:szCs w:val="32"/>
        </w:rPr>
        <w:t>、</w:t>
      </w:r>
      <w:r>
        <w:rPr>
          <w:rFonts w:eastAsia="仿宋_GB2312"/>
          <w:sz w:val="32"/>
          <w:szCs w:val="32"/>
        </w:rPr>
        <w:t>GB 9706.1</w:t>
      </w:r>
      <w:r>
        <w:rPr>
          <w:rFonts w:eastAsia="仿宋_GB2312" w:hint="eastAsia"/>
          <w:sz w:val="32"/>
          <w:szCs w:val="32"/>
        </w:rPr>
        <w:t>、</w:t>
      </w:r>
      <w:r>
        <w:rPr>
          <w:rFonts w:eastAsia="仿宋_GB2312" w:hint="eastAsia"/>
          <w:sz w:val="32"/>
          <w:szCs w:val="32"/>
        </w:rPr>
        <w:t>G</w:t>
      </w:r>
      <w:r>
        <w:rPr>
          <w:rFonts w:eastAsia="仿宋_GB2312"/>
          <w:sz w:val="32"/>
          <w:szCs w:val="32"/>
        </w:rPr>
        <w:t>B/T 25000.51</w:t>
      </w:r>
      <w:r>
        <w:rPr>
          <w:rFonts w:eastAsia="仿宋_GB2312" w:hint="eastAsia"/>
          <w:sz w:val="32"/>
          <w:szCs w:val="32"/>
        </w:rPr>
        <w:t>等适用标准中有关说明书和标签的规定。</w:t>
      </w:r>
    </w:p>
    <w:p w14:paraId="1FA9EDFE"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说明书中必须告知用户的信息应当完整，如应明确本产品预期使用的环境、适用人群和限制使用的情况。医疗器械说明书和标签的内容应当真实、完整、准确、科学，并与产品特性相一致。医疗器械标签的内容应当与说明书有关内容相符合。医疗器械说明书和标签文字内容应当使用中文，可以附加其他文种。中文的使用应当符合国家通用的语言文字规范。医疗器械说明书、标签的文字、符号、图形、表格、数字、照片、图片等应当准确、清晰、规范，且应相互一致，并符合相关标准和规范要求。</w:t>
      </w:r>
    </w:p>
    <w:p w14:paraId="551BDAA6"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同时，说明书、标签应关注以下内容：</w:t>
      </w:r>
    </w:p>
    <w:p w14:paraId="28A0070B"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1</w:t>
      </w:r>
      <w:r>
        <w:rPr>
          <w:rFonts w:eastAsia="仿宋_GB2312"/>
          <w:sz w:val="32"/>
          <w:szCs w:val="32"/>
        </w:rPr>
        <w:t>.</w:t>
      </w:r>
      <w:r>
        <w:rPr>
          <w:rFonts w:eastAsia="仿宋_GB2312" w:hint="eastAsia"/>
          <w:sz w:val="32"/>
          <w:szCs w:val="32"/>
        </w:rPr>
        <w:t>基础信息一致性要求：产品名称、型号规格、主要性能、结构组成需与产品技术要求完全一致；若产品包含软件组件，需单独注明软件组件名称、型号规格及发布版本；产品适用范围需保持统一，与注册申请表、产品技术要求、临床评价资料内容完全相符。</w:t>
      </w:r>
    </w:p>
    <w:p w14:paraId="46DF5D88"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2</w:t>
      </w:r>
      <w:r>
        <w:rPr>
          <w:rFonts w:eastAsia="仿宋_GB2312"/>
          <w:sz w:val="32"/>
          <w:szCs w:val="32"/>
        </w:rPr>
        <w:t>.</w:t>
      </w:r>
      <w:r>
        <w:rPr>
          <w:rFonts w:eastAsia="仿宋_GB2312" w:hint="eastAsia"/>
          <w:sz w:val="32"/>
          <w:szCs w:val="32"/>
        </w:rPr>
        <w:t>企业及证照信息要求：生产企业名称、住所、生产地址、联系方式、售后服务单位信息必须真实有效，且与企业营业执照内容保持一致；说明书需预留固定位置，用于标注医疗器械生产许可证编号、医疗器械注册证编号、产品技术要求编号。</w:t>
      </w:r>
    </w:p>
    <w:p w14:paraId="7ED6723A"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3</w:t>
      </w:r>
      <w:r>
        <w:rPr>
          <w:rFonts w:eastAsia="仿宋_GB2312"/>
          <w:sz w:val="32"/>
          <w:szCs w:val="32"/>
        </w:rPr>
        <w:t>.</w:t>
      </w:r>
      <w:r>
        <w:rPr>
          <w:rFonts w:eastAsia="仿宋_GB2312" w:hint="eastAsia"/>
          <w:sz w:val="32"/>
          <w:szCs w:val="32"/>
        </w:rPr>
        <w:t>设备操作与运行程序说明：写明保障设备可靠工作的必备前置检查程序，提供完整、详细的标准化操作步骤，涵盖开机自</w:t>
      </w:r>
      <w:r>
        <w:rPr>
          <w:rFonts w:eastAsia="仿宋_GB2312" w:hint="eastAsia"/>
          <w:sz w:val="32"/>
          <w:szCs w:val="32"/>
        </w:rPr>
        <w:lastRenderedPageBreak/>
        <w:t>检、电动体位调节、紧急停机、关机复位全流程操作；同时明确控制器、电源线缆的使用与收纳规范，规范操作人员日常操作行为。</w:t>
      </w:r>
    </w:p>
    <w:p w14:paraId="416E4C05"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4.</w:t>
      </w:r>
      <w:r>
        <w:rPr>
          <w:rFonts w:eastAsia="仿宋_GB2312" w:hint="eastAsia"/>
          <w:sz w:val="32"/>
          <w:szCs w:val="32"/>
        </w:rPr>
        <w:t>设备联用与电磁兼容说明：明确声明本机是否可与易受环境干扰、易产生干扰的其他医用设备共同使用；若允许联用，需明确安全使用距离、使用时序、防护措施等具体使用条件；完整说明设备之间潜在电磁干扰风险，同时给出切实可行的干扰规避方案。</w:t>
      </w:r>
    </w:p>
    <w:p w14:paraId="5A15C5AC" w14:textId="77777777" w:rsidR="00FF5CEE" w:rsidRDefault="00000000">
      <w:pPr>
        <w:spacing w:line="52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标识符号释义说明：对整机所有图形符号、专业缩写、警示标识进行统一文字解释，包含设备电击防护分类、各类警告说明及安全警示符号，确保所有操作人员均可准确识别标识含义。</w:t>
      </w:r>
    </w:p>
    <w:p w14:paraId="31336F81" w14:textId="77777777" w:rsidR="00FF5CEE" w:rsidRDefault="00000000">
      <w:pPr>
        <w:spacing w:line="520" w:lineRule="exact"/>
        <w:ind w:firstLineChars="200" w:firstLine="640"/>
        <w:outlineLvl w:val="1"/>
        <w:rPr>
          <w:rFonts w:eastAsia="楷体_GB2312"/>
          <w:bCs/>
          <w:sz w:val="32"/>
          <w:szCs w:val="32"/>
        </w:rPr>
      </w:pPr>
      <w:r>
        <w:rPr>
          <w:rFonts w:eastAsia="楷体_GB2312" w:hint="eastAsia"/>
          <w:bCs/>
          <w:sz w:val="32"/>
          <w:szCs w:val="32"/>
        </w:rPr>
        <w:t>（六）质量管理体系文件</w:t>
      </w:r>
    </w:p>
    <w:p w14:paraId="1D4983CE" w14:textId="77777777" w:rsidR="00FF5CEE" w:rsidRDefault="00000000">
      <w:pPr>
        <w:spacing w:line="520" w:lineRule="exact"/>
        <w:ind w:firstLineChars="200" w:firstLine="640"/>
        <w:rPr>
          <w:rFonts w:eastAsia="仿宋_GB2312"/>
          <w:sz w:val="32"/>
          <w:szCs w:val="32"/>
        </w:rPr>
      </w:pPr>
      <w:bookmarkStart w:id="2" w:name="_Hlk136954644"/>
      <w:r>
        <w:rPr>
          <w:rFonts w:eastAsia="仿宋_GB2312"/>
          <w:sz w:val="32"/>
          <w:szCs w:val="32"/>
        </w:rPr>
        <w:t>依据</w:t>
      </w:r>
      <w:r>
        <w:rPr>
          <w:rFonts w:eastAsia="仿宋_GB2312" w:hint="eastAsia"/>
          <w:sz w:val="32"/>
          <w:szCs w:val="32"/>
        </w:rPr>
        <w:t>《</w:t>
      </w:r>
      <w:r>
        <w:rPr>
          <w:rFonts w:eastAsia="仿宋_GB2312"/>
          <w:sz w:val="32"/>
          <w:szCs w:val="32"/>
        </w:rPr>
        <w:t>医疗器械注册申报资料要求和批准证明文件格式</w:t>
      </w:r>
      <w:r>
        <w:rPr>
          <w:rFonts w:eastAsia="仿宋_GB2312" w:hint="eastAsia"/>
          <w:sz w:val="32"/>
          <w:szCs w:val="32"/>
        </w:rPr>
        <w:t>》</w:t>
      </w:r>
      <w:r>
        <w:rPr>
          <w:rFonts w:eastAsia="仿宋_GB2312"/>
          <w:sz w:val="32"/>
          <w:szCs w:val="32"/>
        </w:rPr>
        <w:t>的公告</w:t>
      </w:r>
      <w:bookmarkEnd w:id="2"/>
      <w:r>
        <w:rPr>
          <w:rFonts w:eastAsia="仿宋_GB2312"/>
          <w:sz w:val="32"/>
          <w:szCs w:val="32"/>
        </w:rPr>
        <w:t>提供申报注册</w:t>
      </w:r>
      <w:r>
        <w:rPr>
          <w:rFonts w:eastAsia="仿宋_GB2312" w:hint="eastAsia"/>
          <w:sz w:val="32"/>
          <w:szCs w:val="32"/>
        </w:rPr>
        <w:t>产品</w:t>
      </w:r>
      <w:r>
        <w:rPr>
          <w:rFonts w:eastAsia="仿宋_GB2312"/>
          <w:sz w:val="32"/>
          <w:szCs w:val="32"/>
        </w:rPr>
        <w:t>的</w:t>
      </w:r>
      <w:r>
        <w:rPr>
          <w:rFonts w:eastAsia="仿宋_GB2312" w:hint="eastAsia"/>
          <w:sz w:val="32"/>
          <w:szCs w:val="32"/>
        </w:rPr>
        <w:t>质量管理体系文件。</w:t>
      </w:r>
    </w:p>
    <w:p w14:paraId="28522471" w14:textId="77777777" w:rsidR="00FF5CEE" w:rsidRDefault="00000000">
      <w:pPr>
        <w:numPr>
          <w:ilvl w:val="0"/>
          <w:numId w:val="2"/>
        </w:numPr>
        <w:spacing w:line="520" w:lineRule="exact"/>
        <w:ind w:rightChars="-32" w:right="-67" w:firstLineChars="200" w:firstLine="640"/>
        <w:rPr>
          <w:rFonts w:eastAsia="黑体"/>
          <w:sz w:val="32"/>
          <w:szCs w:val="32"/>
        </w:rPr>
      </w:pPr>
      <w:r>
        <w:rPr>
          <w:rFonts w:eastAsia="黑体" w:hint="eastAsia"/>
          <w:sz w:val="32"/>
          <w:szCs w:val="32"/>
        </w:rPr>
        <w:t>参考文献</w:t>
      </w:r>
    </w:p>
    <w:p w14:paraId="724CDC23"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[1]GB 9706.1-2020，医用电气设备 第1部分：基本安全和基本性能的通用要求[S].</w:t>
      </w:r>
    </w:p>
    <w:p w14:paraId="09A629CC"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[2]YY 9706.102-2021，医用电气设备 第1-2部分：基本安全和基本性能的通用要求 并列标准：电磁兼容 要求和试验[S].</w:t>
      </w:r>
    </w:p>
    <w:p w14:paraId="469E2CFC"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[3]GB/T 14710-2009，医用电器设备环境要求及试验方法[S].</w:t>
      </w:r>
    </w:p>
    <w:p w14:paraId="3D308A07"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lastRenderedPageBreak/>
        <w:t>[4]GB/T 25000.51-2016，系统与软件工程 系统与软件质量要求和评价（SQuaRE） 第51部分：就绪可用软件（RUSP）的质量要求和测试细则[S].</w:t>
      </w:r>
    </w:p>
    <w:p w14:paraId="0A2BF727"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[5]GB/T 42062-2022,医疗器械风险管理对医疗器械的应用[S].</w:t>
      </w:r>
    </w:p>
    <w:p w14:paraId="53B54704"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[6]YY/T 0466.1-2023，医疗器械 用于制造商提供信息的符号 第1部分：通用要求[S].</w:t>
      </w:r>
    </w:p>
    <w:p w14:paraId="6C7258F7"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[7]国家药品监督管理局医疗器械审评中心.医疗器械网络安全注册审查指导原则（2022年修订版）:国家药监局器审中心通告2022年第7号[Z].</w:t>
      </w:r>
    </w:p>
    <w:p w14:paraId="79CBE6E0"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[8]国家食品药品监督管理局.医疗器械注册单元划分指导原则:总局通告2017年第187号[Z].</w:t>
      </w:r>
    </w:p>
    <w:p w14:paraId="1E6515FD"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[9]国家药品监督管理局医疗器械审评中心.医疗器械软件注册审查指导原则（2022年修订版）:国家药监局器审中心通告2022年第9号[Z].</w:t>
      </w:r>
    </w:p>
    <w:p w14:paraId="27095311"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[10]国家药品监督管理局.医疗器械产品技术要求编写指导原则:国家药监局公告2022年第8号[Z].</w:t>
      </w:r>
    </w:p>
    <w:p w14:paraId="2BC489F2" w14:textId="77777777" w:rsidR="00FF5CEE" w:rsidRDefault="00000000">
      <w:pPr>
        <w:ind w:firstLineChars="200" w:firstLine="640"/>
        <w:rPr>
          <w:rFonts w:ascii="仿宋_GB2312" w:eastAsia="仿宋_GB2312"/>
          <w:sz w:val="32"/>
          <w:szCs w:val="28"/>
        </w:rPr>
      </w:pPr>
      <w:r>
        <w:rPr>
          <w:rFonts w:ascii="仿宋_GB2312" w:eastAsia="仿宋_GB2312" w:hint="eastAsia"/>
          <w:sz w:val="32"/>
          <w:szCs w:val="28"/>
        </w:rPr>
        <w:t>[11]国家药品监督管理局总局关于发布超声多普勒胎儿心率仪等4项注册技术审查指导原则的通告（2017年第60号）[Z].</w:t>
      </w:r>
    </w:p>
    <w:p w14:paraId="2DECC96E" w14:textId="77777777" w:rsidR="00FF5CEE" w:rsidRDefault="00FF5CEE">
      <w:pPr>
        <w:pStyle w:val="afd"/>
        <w:rPr>
          <w:rFonts w:ascii="仿宋_GB2312"/>
          <w:sz w:val="36"/>
          <w:szCs w:val="36"/>
        </w:rPr>
      </w:pPr>
    </w:p>
    <w:p w14:paraId="6FF8437F" w14:textId="77777777" w:rsidR="00FF5CEE" w:rsidRDefault="00000000">
      <w:pPr>
        <w:spacing w:line="520" w:lineRule="exact"/>
        <w:ind w:firstLineChars="200" w:firstLine="640"/>
        <w:rPr>
          <w:rFonts w:eastAsia="仿宋_GB2312"/>
          <w:snapToGrid w:val="0"/>
          <w:kern w:val="0"/>
          <w:sz w:val="32"/>
          <w:szCs w:val="32"/>
        </w:rPr>
      </w:pPr>
      <w:r>
        <w:rPr>
          <w:rFonts w:eastAsia="仿宋_GB2312"/>
          <w:snapToGrid w:val="0"/>
          <w:kern w:val="0"/>
          <w:sz w:val="32"/>
          <w:szCs w:val="32"/>
        </w:rPr>
        <w:t>附</w:t>
      </w:r>
      <w:r>
        <w:rPr>
          <w:rFonts w:eastAsia="仿宋_GB2312" w:hint="eastAsia"/>
          <w:snapToGrid w:val="0"/>
          <w:kern w:val="0"/>
          <w:sz w:val="32"/>
          <w:szCs w:val="32"/>
        </w:rPr>
        <w:t>件：</w:t>
      </w:r>
      <w:r>
        <w:rPr>
          <w:rFonts w:eastAsia="仿宋_GB2312"/>
          <w:snapToGrid w:val="0"/>
          <w:kern w:val="0"/>
          <w:sz w:val="32"/>
          <w:szCs w:val="32"/>
        </w:rPr>
        <w:t>风险管理文档</w:t>
      </w:r>
    </w:p>
    <w:p w14:paraId="2F478E7E" w14:textId="77777777" w:rsidR="00FF5CEE" w:rsidRDefault="00000000">
      <w:pPr>
        <w:widowControl/>
        <w:jc w:val="left"/>
        <w:rPr>
          <w:rFonts w:eastAsia="仿宋_GB2312"/>
          <w:snapToGrid w:val="0"/>
          <w:kern w:val="0"/>
          <w:sz w:val="32"/>
          <w:szCs w:val="32"/>
        </w:rPr>
      </w:pPr>
      <w:r>
        <w:rPr>
          <w:rFonts w:eastAsia="仿宋_GB2312"/>
          <w:snapToGrid w:val="0"/>
          <w:kern w:val="0"/>
          <w:sz w:val="32"/>
          <w:szCs w:val="32"/>
        </w:rPr>
        <w:br w:type="page"/>
      </w:r>
    </w:p>
    <w:p w14:paraId="31E13F87" w14:textId="77777777" w:rsidR="00FF5CEE" w:rsidRDefault="00000000">
      <w:pPr>
        <w:overflowPunct w:val="0"/>
        <w:autoSpaceDE w:val="0"/>
        <w:autoSpaceDN w:val="0"/>
        <w:spacing w:line="520" w:lineRule="exact"/>
        <w:ind w:left="426" w:hangingChars="133" w:hanging="426"/>
        <w:jc w:val="left"/>
        <w:outlineLvl w:val="0"/>
        <w:rPr>
          <w:rFonts w:eastAsia="黑体" w:cs="黑体"/>
          <w:snapToGrid w:val="0"/>
          <w:kern w:val="0"/>
          <w:sz w:val="32"/>
          <w:szCs w:val="32"/>
        </w:rPr>
      </w:pPr>
      <w:r>
        <w:rPr>
          <w:rFonts w:eastAsia="黑体" w:cs="黑体" w:hint="eastAsia"/>
          <w:snapToGrid w:val="0"/>
          <w:kern w:val="0"/>
          <w:sz w:val="32"/>
          <w:szCs w:val="32"/>
        </w:rPr>
        <w:lastRenderedPageBreak/>
        <w:t>附件</w:t>
      </w:r>
    </w:p>
    <w:p w14:paraId="294EEFF1" w14:textId="77777777" w:rsidR="00FF5CEE" w:rsidRDefault="00000000">
      <w:pPr>
        <w:jc w:val="center"/>
        <w:rPr>
          <w:rFonts w:eastAsia="方正小标宋简体"/>
          <w:b/>
          <w:snapToGrid w:val="0"/>
          <w:sz w:val="44"/>
          <w:szCs w:val="44"/>
          <w:lang w:val="zh-CN"/>
        </w:rPr>
      </w:pPr>
      <w:r>
        <w:rPr>
          <w:rFonts w:eastAsia="方正小标宋简体" w:hint="eastAsia"/>
          <w:bCs/>
          <w:snapToGrid w:val="0"/>
          <w:sz w:val="44"/>
          <w:szCs w:val="44"/>
          <w:lang w:val="zh-CN"/>
        </w:rPr>
        <w:t>风险管理文档</w:t>
      </w:r>
    </w:p>
    <w:p w14:paraId="5457B87B" w14:textId="77777777" w:rsidR="00FF5CEE" w:rsidRDefault="00000000">
      <w:pPr>
        <w:ind w:firstLineChars="200" w:firstLine="640"/>
        <w:rPr>
          <w:rFonts w:eastAsia="仿宋_GB2312"/>
          <w:sz w:val="32"/>
          <w:szCs w:val="32"/>
        </w:rPr>
      </w:pPr>
      <w:r>
        <w:rPr>
          <w:rFonts w:eastAsia="仿宋_GB2312" w:hint="eastAsia"/>
          <w:sz w:val="32"/>
          <w:szCs w:val="32"/>
        </w:rPr>
        <w:t>下表所列为常见可预见事件序列／可能的伤害示例，需关注：</w:t>
      </w:r>
    </w:p>
    <w:p w14:paraId="444D2EE9" w14:textId="77777777" w:rsidR="00FF5CEE" w:rsidRDefault="00FF5CEE">
      <w:pPr>
        <w:spacing w:line="520" w:lineRule="exact"/>
        <w:ind w:firstLineChars="200" w:firstLine="560"/>
        <w:rPr>
          <w:rFonts w:eastAsia="黑体"/>
          <w:sz w:val="28"/>
          <w:szCs w:val="28"/>
        </w:rPr>
      </w:pPr>
    </w:p>
    <w:p w14:paraId="600D6D85" w14:textId="77777777" w:rsidR="00FF5CEE" w:rsidRDefault="00000000">
      <w:pPr>
        <w:ind w:firstLineChars="200" w:firstLine="560"/>
        <w:jc w:val="center"/>
        <w:rPr>
          <w:rFonts w:eastAsia="黑体"/>
          <w:sz w:val="28"/>
          <w:szCs w:val="28"/>
        </w:rPr>
      </w:pPr>
      <w:r>
        <w:rPr>
          <w:rFonts w:eastAsia="黑体" w:hint="eastAsia"/>
          <w:sz w:val="28"/>
          <w:szCs w:val="28"/>
        </w:rPr>
        <w:t>表</w:t>
      </w:r>
      <w:r>
        <w:rPr>
          <w:rFonts w:eastAsia="黑体" w:hint="eastAsia"/>
          <w:sz w:val="28"/>
          <w:szCs w:val="28"/>
        </w:rPr>
        <w:t xml:space="preserve">1 </w:t>
      </w:r>
      <w:r>
        <w:rPr>
          <w:rFonts w:eastAsia="黑体" w:hint="eastAsia"/>
          <w:sz w:val="28"/>
          <w:szCs w:val="28"/>
        </w:rPr>
        <w:t>常见可预见事件序列／可能的伤害示例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3511"/>
        <w:gridCol w:w="3476"/>
      </w:tblGrid>
      <w:tr w:rsidR="00FF5CEE" w14:paraId="331A82C6" w14:textId="77777777">
        <w:tc>
          <w:tcPr>
            <w:tcW w:w="1535" w:type="dxa"/>
          </w:tcPr>
          <w:p w14:paraId="12A9C659" w14:textId="77777777" w:rsidR="00FF5CEE" w:rsidRDefault="00000000">
            <w:pPr>
              <w:jc w:val="center"/>
              <w:rPr>
                <w:rFonts w:eastAsia="仿宋_GB2312"/>
                <w:sz w:val="28"/>
                <w:szCs w:val="28"/>
              </w:rPr>
            </w:pPr>
            <w:r>
              <w:rPr>
                <w:rFonts w:eastAsia="仿宋_GB2312" w:hint="eastAsia"/>
                <w:sz w:val="28"/>
                <w:szCs w:val="28"/>
              </w:rPr>
              <w:t>危险</w:t>
            </w:r>
          </w:p>
        </w:tc>
        <w:tc>
          <w:tcPr>
            <w:tcW w:w="3511" w:type="dxa"/>
          </w:tcPr>
          <w:p w14:paraId="162B10E9" w14:textId="77777777" w:rsidR="00FF5CEE" w:rsidRDefault="00000000">
            <w:pPr>
              <w:jc w:val="center"/>
              <w:rPr>
                <w:rFonts w:eastAsia="仿宋_GB2312"/>
                <w:sz w:val="28"/>
                <w:szCs w:val="28"/>
              </w:rPr>
            </w:pPr>
            <w:r>
              <w:rPr>
                <w:rFonts w:eastAsia="仿宋_GB2312" w:hint="eastAsia"/>
                <w:sz w:val="28"/>
                <w:szCs w:val="28"/>
              </w:rPr>
              <w:t>可预见事件序列</w:t>
            </w:r>
          </w:p>
        </w:tc>
        <w:tc>
          <w:tcPr>
            <w:tcW w:w="3476" w:type="dxa"/>
          </w:tcPr>
          <w:p w14:paraId="0D34868D" w14:textId="77777777" w:rsidR="00FF5CEE" w:rsidRDefault="00000000">
            <w:pPr>
              <w:jc w:val="center"/>
              <w:rPr>
                <w:rFonts w:eastAsia="仿宋_GB2312"/>
                <w:sz w:val="28"/>
                <w:szCs w:val="28"/>
              </w:rPr>
            </w:pPr>
            <w:r>
              <w:rPr>
                <w:rFonts w:eastAsia="仿宋_GB2312" w:hint="eastAsia"/>
                <w:sz w:val="28"/>
                <w:szCs w:val="28"/>
              </w:rPr>
              <w:t>可能的伤害</w:t>
            </w:r>
          </w:p>
        </w:tc>
      </w:tr>
      <w:tr w:rsidR="00FF5CEE" w14:paraId="020FDF48" w14:textId="77777777">
        <w:tc>
          <w:tcPr>
            <w:tcW w:w="1535" w:type="dxa"/>
            <w:vMerge w:val="restart"/>
            <w:vAlign w:val="center"/>
          </w:tcPr>
          <w:p w14:paraId="1B17BE93" w14:textId="77777777" w:rsidR="00FF5CEE" w:rsidRDefault="00000000">
            <w:pPr>
              <w:jc w:val="center"/>
              <w:rPr>
                <w:rFonts w:eastAsia="仿宋_GB2312"/>
                <w:sz w:val="28"/>
                <w:szCs w:val="28"/>
              </w:rPr>
            </w:pPr>
            <w:r>
              <w:rPr>
                <w:rFonts w:eastAsia="仿宋_GB2312" w:hint="eastAsia"/>
                <w:sz w:val="28"/>
                <w:szCs w:val="28"/>
              </w:rPr>
              <w:t>能量危险</w:t>
            </w:r>
          </w:p>
        </w:tc>
        <w:tc>
          <w:tcPr>
            <w:tcW w:w="3511" w:type="dxa"/>
          </w:tcPr>
          <w:p w14:paraId="78F6BC4E" w14:textId="77777777" w:rsidR="00FF5CEE" w:rsidRDefault="00000000">
            <w:pPr>
              <w:jc w:val="left"/>
              <w:rPr>
                <w:rFonts w:eastAsia="仿宋_GB2312"/>
                <w:sz w:val="28"/>
                <w:szCs w:val="28"/>
              </w:rPr>
            </w:pPr>
            <w:r>
              <w:rPr>
                <w:rFonts w:eastAsia="仿宋_GB2312"/>
                <w:sz w:val="28"/>
                <w:szCs w:val="28"/>
              </w:rPr>
              <w:t>可触及部分（含应用部分）与带电部分隔离</w:t>
            </w:r>
            <w:r>
              <w:rPr>
                <w:rFonts w:eastAsia="仿宋_GB2312"/>
                <w:sz w:val="28"/>
                <w:szCs w:val="28"/>
              </w:rPr>
              <w:t>/</w:t>
            </w:r>
            <w:r>
              <w:rPr>
                <w:rFonts w:eastAsia="仿宋_GB2312"/>
                <w:sz w:val="28"/>
                <w:szCs w:val="28"/>
              </w:rPr>
              <w:t>保护不够</w:t>
            </w:r>
            <w:r>
              <w:rPr>
                <w:rFonts w:eastAsia="仿宋_GB2312" w:hint="eastAsia"/>
                <w:sz w:val="28"/>
                <w:szCs w:val="28"/>
              </w:rPr>
              <w:t>。</w:t>
            </w:r>
          </w:p>
        </w:tc>
        <w:tc>
          <w:tcPr>
            <w:tcW w:w="3476" w:type="dxa"/>
          </w:tcPr>
          <w:p w14:paraId="2CA2F14D" w14:textId="77777777" w:rsidR="00FF5CEE" w:rsidRDefault="00000000">
            <w:pPr>
              <w:jc w:val="left"/>
              <w:rPr>
                <w:rFonts w:eastAsia="仿宋_GB2312"/>
                <w:sz w:val="28"/>
                <w:szCs w:val="28"/>
              </w:rPr>
            </w:pPr>
            <w:r>
              <w:rPr>
                <w:rFonts w:eastAsia="仿宋_GB2312"/>
                <w:sz w:val="28"/>
                <w:szCs w:val="28"/>
              </w:rPr>
              <w:t>可能引起过量漏电流对操作者或患者造成电击</w:t>
            </w:r>
            <w:r>
              <w:rPr>
                <w:rFonts w:eastAsia="仿宋_GB2312" w:hint="eastAsia"/>
                <w:sz w:val="28"/>
                <w:szCs w:val="28"/>
              </w:rPr>
              <w:t>伤害</w:t>
            </w:r>
            <w:r>
              <w:rPr>
                <w:rFonts w:eastAsia="仿宋_GB2312"/>
                <w:sz w:val="28"/>
                <w:szCs w:val="28"/>
              </w:rPr>
              <w:t>。</w:t>
            </w:r>
          </w:p>
        </w:tc>
      </w:tr>
      <w:tr w:rsidR="00FF5CEE" w14:paraId="2348E6D3" w14:textId="77777777">
        <w:tc>
          <w:tcPr>
            <w:tcW w:w="1535" w:type="dxa"/>
            <w:vMerge/>
            <w:vAlign w:val="center"/>
          </w:tcPr>
          <w:p w14:paraId="094E79E6" w14:textId="77777777" w:rsidR="00FF5CEE" w:rsidRDefault="00FF5CEE">
            <w:pPr>
              <w:jc w:val="center"/>
              <w:rPr>
                <w:rFonts w:eastAsia="仿宋_GB2312"/>
                <w:sz w:val="28"/>
                <w:szCs w:val="28"/>
              </w:rPr>
            </w:pPr>
          </w:p>
        </w:tc>
        <w:tc>
          <w:tcPr>
            <w:tcW w:w="3511" w:type="dxa"/>
          </w:tcPr>
          <w:p w14:paraId="22A716AB" w14:textId="77777777" w:rsidR="00FF5CEE" w:rsidRDefault="00000000">
            <w:pPr>
              <w:jc w:val="left"/>
              <w:rPr>
                <w:rFonts w:eastAsia="仿宋_GB2312"/>
                <w:sz w:val="28"/>
                <w:szCs w:val="28"/>
              </w:rPr>
            </w:pPr>
            <w:r>
              <w:rPr>
                <w:rFonts w:eastAsia="仿宋_GB2312" w:hint="eastAsia"/>
                <w:sz w:val="28"/>
                <w:szCs w:val="28"/>
              </w:rPr>
              <w:t>电介质强度不符合要求引发的危害。</w:t>
            </w:r>
          </w:p>
        </w:tc>
        <w:tc>
          <w:tcPr>
            <w:tcW w:w="3476" w:type="dxa"/>
          </w:tcPr>
          <w:p w14:paraId="7F1D54BE" w14:textId="77777777" w:rsidR="00FF5CEE" w:rsidRDefault="00000000">
            <w:pPr>
              <w:jc w:val="left"/>
              <w:rPr>
                <w:rFonts w:eastAsia="仿宋_GB2312"/>
                <w:sz w:val="28"/>
                <w:szCs w:val="28"/>
              </w:rPr>
            </w:pPr>
            <w:r>
              <w:rPr>
                <w:rFonts w:eastAsia="仿宋_GB2312" w:hint="eastAsia"/>
                <w:sz w:val="28"/>
                <w:szCs w:val="28"/>
              </w:rPr>
              <w:t>可能对操作者或患者造成电击伤害。</w:t>
            </w:r>
          </w:p>
        </w:tc>
      </w:tr>
      <w:tr w:rsidR="00FF5CEE" w14:paraId="4F44906D" w14:textId="77777777">
        <w:tc>
          <w:tcPr>
            <w:tcW w:w="1535" w:type="dxa"/>
            <w:vMerge/>
            <w:vAlign w:val="center"/>
          </w:tcPr>
          <w:p w14:paraId="69E0D6AC" w14:textId="77777777" w:rsidR="00FF5CEE" w:rsidRDefault="00FF5CEE">
            <w:pPr>
              <w:jc w:val="center"/>
              <w:rPr>
                <w:rFonts w:eastAsia="仿宋_GB2312"/>
                <w:sz w:val="28"/>
                <w:szCs w:val="28"/>
              </w:rPr>
            </w:pPr>
          </w:p>
        </w:tc>
        <w:tc>
          <w:tcPr>
            <w:tcW w:w="3511" w:type="dxa"/>
          </w:tcPr>
          <w:p w14:paraId="719874B9" w14:textId="77777777" w:rsidR="00FF5CEE" w:rsidRDefault="00000000">
            <w:pPr>
              <w:jc w:val="left"/>
              <w:rPr>
                <w:rFonts w:eastAsia="仿宋_GB2312"/>
                <w:sz w:val="28"/>
                <w:szCs w:val="28"/>
              </w:rPr>
            </w:pPr>
            <w:r>
              <w:rPr>
                <w:rFonts w:eastAsia="仿宋_GB2312"/>
                <w:sz w:val="28"/>
                <w:szCs w:val="28"/>
              </w:rPr>
              <w:t>产品电磁屏蔽、滤波和接地设计以及抗干扰设计不充分</w:t>
            </w:r>
            <w:r>
              <w:rPr>
                <w:rFonts w:eastAsia="仿宋_GB2312" w:hint="eastAsia"/>
                <w:sz w:val="28"/>
                <w:szCs w:val="28"/>
              </w:rPr>
              <w:t>。</w:t>
            </w:r>
          </w:p>
        </w:tc>
        <w:tc>
          <w:tcPr>
            <w:tcW w:w="3476" w:type="dxa"/>
          </w:tcPr>
          <w:p w14:paraId="00C2E129" w14:textId="77777777" w:rsidR="00FF5CEE" w:rsidRDefault="00000000">
            <w:pPr>
              <w:jc w:val="left"/>
              <w:rPr>
                <w:rFonts w:eastAsia="仿宋_GB2312"/>
                <w:sz w:val="28"/>
                <w:szCs w:val="28"/>
              </w:rPr>
            </w:pPr>
            <w:r>
              <w:rPr>
                <w:rFonts w:eastAsia="仿宋_GB2312"/>
                <w:sz w:val="28"/>
                <w:szCs w:val="28"/>
              </w:rPr>
              <w:t>可能导致设备对外界电磁辐射超标或设备受外部电磁干扰出现工作异常。</w:t>
            </w:r>
          </w:p>
        </w:tc>
      </w:tr>
      <w:tr w:rsidR="00FF5CEE" w14:paraId="65693D2C" w14:textId="77777777">
        <w:tc>
          <w:tcPr>
            <w:tcW w:w="1535" w:type="dxa"/>
            <w:vMerge/>
            <w:vAlign w:val="center"/>
          </w:tcPr>
          <w:p w14:paraId="146577B9" w14:textId="77777777" w:rsidR="00FF5CEE" w:rsidRDefault="00FF5CEE">
            <w:pPr>
              <w:jc w:val="center"/>
              <w:rPr>
                <w:rFonts w:eastAsia="仿宋_GB2312"/>
                <w:sz w:val="28"/>
                <w:szCs w:val="28"/>
              </w:rPr>
            </w:pPr>
          </w:p>
        </w:tc>
        <w:tc>
          <w:tcPr>
            <w:tcW w:w="3511" w:type="dxa"/>
          </w:tcPr>
          <w:p w14:paraId="13AEB626" w14:textId="77777777" w:rsidR="00FF5CEE" w:rsidRDefault="00000000">
            <w:pPr>
              <w:jc w:val="left"/>
              <w:rPr>
                <w:rFonts w:eastAsia="仿宋_GB2312"/>
                <w:sz w:val="28"/>
                <w:szCs w:val="28"/>
              </w:rPr>
            </w:pPr>
            <w:r>
              <w:rPr>
                <w:rFonts w:eastAsia="仿宋_GB2312" w:hint="eastAsia"/>
                <w:sz w:val="28"/>
                <w:szCs w:val="28"/>
              </w:rPr>
              <w:t>支撑强度不够，附件的松动或断裂，悬挂物的坠落，运动部件运行角度和精度不够等引发的危害。</w:t>
            </w:r>
          </w:p>
        </w:tc>
        <w:tc>
          <w:tcPr>
            <w:tcW w:w="3476" w:type="dxa"/>
          </w:tcPr>
          <w:p w14:paraId="308E7D4A" w14:textId="77777777" w:rsidR="00FF5CEE" w:rsidRDefault="00000000">
            <w:pPr>
              <w:jc w:val="left"/>
              <w:rPr>
                <w:rFonts w:eastAsia="仿宋_GB2312"/>
                <w:sz w:val="28"/>
                <w:szCs w:val="28"/>
              </w:rPr>
            </w:pPr>
            <w:r>
              <w:rPr>
                <w:rFonts w:eastAsia="仿宋_GB2312" w:hint="eastAsia"/>
                <w:sz w:val="28"/>
                <w:szCs w:val="28"/>
              </w:rPr>
              <w:t>可能导致诊疗台侧翻、倾倒，人员摔伤、磕碰，同时损坏周边器械。</w:t>
            </w:r>
          </w:p>
        </w:tc>
      </w:tr>
      <w:tr w:rsidR="00FF5CEE" w14:paraId="5CAF7625" w14:textId="77777777">
        <w:tc>
          <w:tcPr>
            <w:tcW w:w="1535" w:type="dxa"/>
            <w:vMerge/>
            <w:vAlign w:val="center"/>
          </w:tcPr>
          <w:p w14:paraId="115CB128" w14:textId="77777777" w:rsidR="00FF5CEE" w:rsidRDefault="00FF5CEE">
            <w:pPr>
              <w:jc w:val="center"/>
              <w:rPr>
                <w:rFonts w:eastAsia="仿宋_GB2312"/>
                <w:sz w:val="28"/>
                <w:szCs w:val="28"/>
              </w:rPr>
            </w:pPr>
          </w:p>
        </w:tc>
        <w:tc>
          <w:tcPr>
            <w:tcW w:w="3511" w:type="dxa"/>
          </w:tcPr>
          <w:p w14:paraId="2C04FBC9" w14:textId="77777777" w:rsidR="00FF5CEE" w:rsidRDefault="00000000">
            <w:pPr>
              <w:jc w:val="left"/>
              <w:rPr>
                <w:rFonts w:eastAsia="仿宋_GB2312"/>
                <w:sz w:val="28"/>
                <w:szCs w:val="28"/>
              </w:rPr>
            </w:pPr>
            <w:r>
              <w:rPr>
                <w:rFonts w:eastAsia="仿宋_GB2312"/>
                <w:sz w:val="28"/>
                <w:szCs w:val="28"/>
              </w:rPr>
              <w:t>因长时间工作、内部发生短路或故障的情况下，</w:t>
            </w:r>
            <w:r>
              <w:rPr>
                <w:rFonts w:eastAsia="仿宋_GB2312" w:hint="eastAsia"/>
                <w:sz w:val="28"/>
                <w:szCs w:val="28"/>
              </w:rPr>
              <w:t>会产生热能。</w:t>
            </w:r>
          </w:p>
        </w:tc>
        <w:tc>
          <w:tcPr>
            <w:tcW w:w="3476" w:type="dxa"/>
          </w:tcPr>
          <w:p w14:paraId="563C26F5" w14:textId="77777777" w:rsidR="00FF5CEE" w:rsidRDefault="00000000">
            <w:pPr>
              <w:jc w:val="left"/>
              <w:rPr>
                <w:rFonts w:eastAsia="仿宋_GB2312"/>
                <w:sz w:val="28"/>
                <w:szCs w:val="28"/>
              </w:rPr>
            </w:pPr>
            <w:r>
              <w:rPr>
                <w:rFonts w:eastAsia="仿宋_GB2312" w:hint="eastAsia"/>
                <w:sz w:val="28"/>
                <w:szCs w:val="28"/>
              </w:rPr>
              <w:t>可能对操作者或患者造成热能伤害。</w:t>
            </w:r>
          </w:p>
        </w:tc>
      </w:tr>
      <w:tr w:rsidR="00FF5CEE" w14:paraId="6F0F48CC" w14:textId="77777777">
        <w:tc>
          <w:tcPr>
            <w:tcW w:w="1535" w:type="dxa"/>
            <w:vMerge/>
            <w:vAlign w:val="center"/>
          </w:tcPr>
          <w:p w14:paraId="52544DEB" w14:textId="77777777" w:rsidR="00FF5CEE" w:rsidRDefault="00FF5CEE">
            <w:pPr>
              <w:jc w:val="center"/>
              <w:rPr>
                <w:rFonts w:eastAsia="仿宋_GB2312"/>
                <w:sz w:val="28"/>
                <w:szCs w:val="28"/>
              </w:rPr>
            </w:pPr>
          </w:p>
        </w:tc>
        <w:tc>
          <w:tcPr>
            <w:tcW w:w="3511" w:type="dxa"/>
          </w:tcPr>
          <w:p w14:paraId="073E2078" w14:textId="77777777" w:rsidR="00FF5CEE" w:rsidRDefault="00000000">
            <w:pPr>
              <w:jc w:val="left"/>
              <w:rPr>
                <w:rFonts w:eastAsia="仿宋_GB2312"/>
                <w:sz w:val="28"/>
                <w:szCs w:val="28"/>
              </w:rPr>
            </w:pPr>
            <w:r>
              <w:rPr>
                <w:rFonts w:eastAsia="仿宋_GB2312" w:hint="eastAsia"/>
                <w:sz w:val="28"/>
                <w:szCs w:val="28"/>
              </w:rPr>
              <w:t>噪声引起的危害。</w:t>
            </w:r>
          </w:p>
        </w:tc>
        <w:tc>
          <w:tcPr>
            <w:tcW w:w="3476" w:type="dxa"/>
          </w:tcPr>
          <w:p w14:paraId="757044E0" w14:textId="77777777" w:rsidR="00FF5CEE" w:rsidRDefault="00000000">
            <w:pPr>
              <w:jc w:val="left"/>
              <w:rPr>
                <w:rFonts w:eastAsia="仿宋_GB2312"/>
                <w:sz w:val="28"/>
                <w:szCs w:val="28"/>
              </w:rPr>
            </w:pPr>
            <w:r>
              <w:rPr>
                <w:rFonts w:eastAsia="仿宋_GB2312" w:hint="eastAsia"/>
                <w:sz w:val="28"/>
                <w:szCs w:val="28"/>
              </w:rPr>
              <w:t>可能引发听力下降、降低人员操作精准度。</w:t>
            </w:r>
          </w:p>
        </w:tc>
      </w:tr>
      <w:tr w:rsidR="00FF5CEE" w14:paraId="5F2DDFB0" w14:textId="77777777">
        <w:tc>
          <w:tcPr>
            <w:tcW w:w="1535" w:type="dxa"/>
            <w:vMerge w:val="restart"/>
            <w:vAlign w:val="center"/>
          </w:tcPr>
          <w:p w14:paraId="3868AB07" w14:textId="77777777" w:rsidR="00FF5CEE" w:rsidRDefault="00000000">
            <w:pPr>
              <w:jc w:val="center"/>
              <w:rPr>
                <w:rFonts w:eastAsia="仿宋_GB2312"/>
                <w:sz w:val="28"/>
                <w:szCs w:val="28"/>
              </w:rPr>
            </w:pPr>
            <w:r>
              <w:rPr>
                <w:rFonts w:eastAsia="仿宋_GB2312" w:hint="eastAsia"/>
                <w:sz w:val="28"/>
                <w:szCs w:val="28"/>
              </w:rPr>
              <w:t>操作危险</w:t>
            </w:r>
          </w:p>
        </w:tc>
        <w:tc>
          <w:tcPr>
            <w:tcW w:w="3511" w:type="dxa"/>
          </w:tcPr>
          <w:p w14:paraId="2275FB32" w14:textId="77777777" w:rsidR="00FF5CEE" w:rsidRDefault="00000000">
            <w:pPr>
              <w:jc w:val="left"/>
              <w:rPr>
                <w:rFonts w:eastAsia="仿宋_GB2312"/>
                <w:sz w:val="28"/>
                <w:szCs w:val="28"/>
              </w:rPr>
            </w:pPr>
            <w:r>
              <w:rPr>
                <w:rFonts w:eastAsia="仿宋_GB2312" w:hint="eastAsia"/>
                <w:sz w:val="28"/>
                <w:szCs w:val="28"/>
              </w:rPr>
              <w:t>不熟练</w:t>
            </w:r>
            <w:r>
              <w:rPr>
                <w:rFonts w:eastAsia="仿宋_GB2312" w:hint="eastAsia"/>
                <w:sz w:val="28"/>
                <w:szCs w:val="28"/>
              </w:rPr>
              <w:t>/</w:t>
            </w:r>
            <w:r>
              <w:rPr>
                <w:rFonts w:eastAsia="仿宋_GB2312" w:hint="eastAsia"/>
                <w:sz w:val="28"/>
                <w:szCs w:val="28"/>
              </w:rPr>
              <w:t>未经训练的人员使用引发的危害。</w:t>
            </w:r>
          </w:p>
        </w:tc>
        <w:tc>
          <w:tcPr>
            <w:tcW w:w="3476" w:type="dxa"/>
          </w:tcPr>
          <w:p w14:paraId="233263DD" w14:textId="77777777" w:rsidR="00FF5CEE" w:rsidRDefault="00000000">
            <w:pPr>
              <w:jc w:val="left"/>
              <w:rPr>
                <w:rFonts w:eastAsia="仿宋_GB2312"/>
                <w:sz w:val="28"/>
                <w:szCs w:val="28"/>
              </w:rPr>
            </w:pPr>
            <w:r>
              <w:rPr>
                <w:rFonts w:eastAsia="仿宋_GB2312" w:hint="eastAsia"/>
                <w:sz w:val="28"/>
                <w:szCs w:val="28"/>
              </w:rPr>
              <w:t>可能对患者造成挤压夹伤风险；造成设备过载及部件损坏。</w:t>
            </w:r>
          </w:p>
        </w:tc>
      </w:tr>
      <w:tr w:rsidR="00FF5CEE" w14:paraId="6E9FF9AE" w14:textId="77777777">
        <w:tc>
          <w:tcPr>
            <w:tcW w:w="1535" w:type="dxa"/>
            <w:vMerge/>
            <w:vAlign w:val="center"/>
          </w:tcPr>
          <w:p w14:paraId="7DEB4AEF" w14:textId="77777777" w:rsidR="00FF5CEE" w:rsidRDefault="00FF5CEE">
            <w:pPr>
              <w:jc w:val="center"/>
              <w:rPr>
                <w:rFonts w:eastAsia="仿宋_GB2312"/>
                <w:sz w:val="28"/>
                <w:szCs w:val="28"/>
              </w:rPr>
            </w:pPr>
          </w:p>
        </w:tc>
        <w:tc>
          <w:tcPr>
            <w:tcW w:w="3511" w:type="dxa"/>
          </w:tcPr>
          <w:p w14:paraId="46A6B786" w14:textId="77777777" w:rsidR="00FF5CEE" w:rsidRDefault="00000000">
            <w:pPr>
              <w:jc w:val="left"/>
              <w:rPr>
                <w:rFonts w:eastAsia="仿宋_GB2312"/>
                <w:sz w:val="28"/>
                <w:szCs w:val="28"/>
              </w:rPr>
            </w:pPr>
            <w:r>
              <w:rPr>
                <w:rFonts w:eastAsia="仿宋_GB2312" w:hint="eastAsia"/>
                <w:sz w:val="28"/>
                <w:szCs w:val="28"/>
              </w:rPr>
              <w:t>部件操作触碰导致机械部件复位故障引发的危害。</w:t>
            </w:r>
          </w:p>
        </w:tc>
        <w:tc>
          <w:tcPr>
            <w:tcW w:w="3476" w:type="dxa"/>
          </w:tcPr>
          <w:p w14:paraId="04DB5D89" w14:textId="77777777" w:rsidR="00FF5CEE" w:rsidRDefault="00000000">
            <w:pPr>
              <w:jc w:val="left"/>
              <w:rPr>
                <w:rFonts w:eastAsia="仿宋_GB2312"/>
                <w:sz w:val="28"/>
                <w:szCs w:val="28"/>
              </w:rPr>
            </w:pPr>
            <w:r>
              <w:rPr>
                <w:rFonts w:eastAsia="仿宋_GB2312" w:hint="eastAsia"/>
                <w:sz w:val="28"/>
                <w:szCs w:val="28"/>
              </w:rPr>
              <w:t>可能对患者造成物理伤害风险。</w:t>
            </w:r>
          </w:p>
        </w:tc>
      </w:tr>
      <w:tr w:rsidR="00FF5CEE" w14:paraId="29BCE9FF" w14:textId="77777777">
        <w:tc>
          <w:tcPr>
            <w:tcW w:w="1535" w:type="dxa"/>
            <w:vMerge/>
            <w:vAlign w:val="center"/>
          </w:tcPr>
          <w:p w14:paraId="0A3A68CC" w14:textId="77777777" w:rsidR="00FF5CEE" w:rsidRDefault="00FF5CEE">
            <w:pPr>
              <w:jc w:val="center"/>
              <w:rPr>
                <w:rFonts w:eastAsia="仿宋_GB2312"/>
                <w:sz w:val="28"/>
                <w:szCs w:val="28"/>
              </w:rPr>
            </w:pPr>
          </w:p>
        </w:tc>
        <w:tc>
          <w:tcPr>
            <w:tcW w:w="3511" w:type="dxa"/>
          </w:tcPr>
          <w:p w14:paraId="7DD312D4" w14:textId="77777777" w:rsidR="00FF5CEE" w:rsidRDefault="00000000">
            <w:pPr>
              <w:jc w:val="left"/>
              <w:rPr>
                <w:rFonts w:eastAsia="仿宋_GB2312"/>
                <w:sz w:val="28"/>
                <w:szCs w:val="28"/>
              </w:rPr>
            </w:pPr>
            <w:r>
              <w:rPr>
                <w:rFonts w:eastAsia="仿宋_GB2312" w:hint="eastAsia"/>
                <w:sz w:val="28"/>
                <w:szCs w:val="28"/>
              </w:rPr>
              <w:t>运动部件限位或防护功能失效引发的危害。</w:t>
            </w:r>
          </w:p>
        </w:tc>
        <w:tc>
          <w:tcPr>
            <w:tcW w:w="3476" w:type="dxa"/>
          </w:tcPr>
          <w:p w14:paraId="25863C1D" w14:textId="77777777" w:rsidR="00FF5CEE" w:rsidRDefault="00000000">
            <w:pPr>
              <w:jc w:val="left"/>
              <w:rPr>
                <w:rFonts w:eastAsia="仿宋_GB2312"/>
                <w:sz w:val="28"/>
                <w:szCs w:val="28"/>
              </w:rPr>
            </w:pPr>
            <w:r>
              <w:rPr>
                <w:rFonts w:eastAsia="仿宋_GB2312" w:hint="eastAsia"/>
                <w:sz w:val="28"/>
                <w:szCs w:val="28"/>
              </w:rPr>
              <w:t>可能出现部件断裂、台面倾翻风险；可能对患者造成物理伤害风险。</w:t>
            </w:r>
          </w:p>
        </w:tc>
      </w:tr>
      <w:tr w:rsidR="00FF5CEE" w14:paraId="2F13C6B5" w14:textId="77777777">
        <w:tc>
          <w:tcPr>
            <w:tcW w:w="1535" w:type="dxa"/>
            <w:vMerge/>
            <w:vAlign w:val="center"/>
          </w:tcPr>
          <w:p w14:paraId="4F699DB9" w14:textId="77777777" w:rsidR="00FF5CEE" w:rsidRDefault="00FF5CEE">
            <w:pPr>
              <w:jc w:val="center"/>
              <w:rPr>
                <w:rFonts w:eastAsia="仿宋_GB2312"/>
                <w:sz w:val="28"/>
                <w:szCs w:val="28"/>
              </w:rPr>
            </w:pPr>
          </w:p>
        </w:tc>
        <w:tc>
          <w:tcPr>
            <w:tcW w:w="3511" w:type="dxa"/>
          </w:tcPr>
          <w:p w14:paraId="21D4A3FE" w14:textId="77777777" w:rsidR="00FF5CEE" w:rsidRDefault="00000000">
            <w:pPr>
              <w:jc w:val="left"/>
              <w:rPr>
                <w:rFonts w:eastAsia="仿宋_GB2312"/>
                <w:sz w:val="28"/>
                <w:szCs w:val="28"/>
              </w:rPr>
            </w:pPr>
            <w:r>
              <w:rPr>
                <w:rFonts w:eastAsia="仿宋_GB2312" w:hint="eastAsia"/>
                <w:sz w:val="28"/>
                <w:szCs w:val="28"/>
              </w:rPr>
              <w:t>控制器功能异常，油路阻塞，机械部件磨损，电磁阀失灵引发的危害。</w:t>
            </w:r>
          </w:p>
        </w:tc>
        <w:tc>
          <w:tcPr>
            <w:tcW w:w="3476" w:type="dxa"/>
          </w:tcPr>
          <w:p w14:paraId="75A3FC52" w14:textId="77777777" w:rsidR="00FF5CEE" w:rsidRDefault="00000000">
            <w:pPr>
              <w:jc w:val="left"/>
              <w:rPr>
                <w:rFonts w:eastAsia="仿宋_GB2312"/>
                <w:sz w:val="28"/>
                <w:szCs w:val="28"/>
              </w:rPr>
            </w:pPr>
            <w:r>
              <w:rPr>
                <w:rFonts w:eastAsia="仿宋_GB2312" w:hint="eastAsia"/>
                <w:sz w:val="28"/>
                <w:szCs w:val="28"/>
              </w:rPr>
              <w:t>可能对患者造成摔伤、脱位风险。</w:t>
            </w:r>
          </w:p>
        </w:tc>
      </w:tr>
      <w:tr w:rsidR="00FF5CEE" w14:paraId="4E693755" w14:textId="77777777">
        <w:tc>
          <w:tcPr>
            <w:tcW w:w="1535" w:type="dxa"/>
            <w:vMerge/>
            <w:vAlign w:val="center"/>
          </w:tcPr>
          <w:p w14:paraId="49A71F9C" w14:textId="77777777" w:rsidR="00FF5CEE" w:rsidRDefault="00FF5CEE">
            <w:pPr>
              <w:jc w:val="center"/>
              <w:rPr>
                <w:rFonts w:eastAsia="仿宋_GB2312"/>
                <w:sz w:val="28"/>
                <w:szCs w:val="28"/>
              </w:rPr>
            </w:pPr>
          </w:p>
        </w:tc>
        <w:tc>
          <w:tcPr>
            <w:tcW w:w="3511" w:type="dxa"/>
          </w:tcPr>
          <w:p w14:paraId="2B747173" w14:textId="77777777" w:rsidR="00FF5CEE" w:rsidRDefault="00000000">
            <w:pPr>
              <w:jc w:val="left"/>
              <w:rPr>
                <w:rFonts w:eastAsia="仿宋_GB2312"/>
                <w:sz w:val="28"/>
                <w:szCs w:val="28"/>
              </w:rPr>
            </w:pPr>
            <w:r>
              <w:rPr>
                <w:rFonts w:eastAsia="仿宋_GB2312" w:hint="eastAsia"/>
                <w:sz w:val="28"/>
                <w:szCs w:val="28"/>
              </w:rPr>
              <w:t>控制器使用后的随意置放引发的危害。</w:t>
            </w:r>
          </w:p>
        </w:tc>
        <w:tc>
          <w:tcPr>
            <w:tcW w:w="3476" w:type="dxa"/>
          </w:tcPr>
          <w:p w14:paraId="2D311116" w14:textId="77777777" w:rsidR="00FF5CEE" w:rsidRDefault="00000000">
            <w:pPr>
              <w:jc w:val="left"/>
              <w:rPr>
                <w:rFonts w:eastAsia="仿宋_GB2312"/>
                <w:sz w:val="28"/>
                <w:szCs w:val="28"/>
              </w:rPr>
            </w:pPr>
            <w:r>
              <w:rPr>
                <w:rFonts w:eastAsia="仿宋_GB2312" w:hint="eastAsia"/>
                <w:sz w:val="28"/>
                <w:szCs w:val="28"/>
              </w:rPr>
              <w:t>可能造成控制器失灵、设备失控风险；</w:t>
            </w:r>
            <w:r>
              <w:rPr>
                <w:rFonts w:eastAsia="仿宋_GB2312"/>
                <w:sz w:val="28"/>
                <w:szCs w:val="28"/>
              </w:rPr>
              <w:t>对操作者或患者造成</w:t>
            </w:r>
            <w:r>
              <w:rPr>
                <w:rFonts w:eastAsia="仿宋_GB2312" w:hint="eastAsia"/>
                <w:sz w:val="28"/>
                <w:szCs w:val="28"/>
              </w:rPr>
              <w:t>物理伤害。</w:t>
            </w:r>
          </w:p>
        </w:tc>
      </w:tr>
      <w:tr w:rsidR="00FF5CEE" w14:paraId="412FE12C" w14:textId="77777777">
        <w:tc>
          <w:tcPr>
            <w:tcW w:w="1535" w:type="dxa"/>
            <w:vMerge/>
            <w:vAlign w:val="center"/>
          </w:tcPr>
          <w:p w14:paraId="357C9684" w14:textId="77777777" w:rsidR="00FF5CEE" w:rsidRDefault="00FF5CEE">
            <w:pPr>
              <w:jc w:val="center"/>
              <w:rPr>
                <w:rFonts w:eastAsia="仿宋_GB2312"/>
                <w:sz w:val="28"/>
                <w:szCs w:val="28"/>
              </w:rPr>
            </w:pPr>
          </w:p>
        </w:tc>
        <w:tc>
          <w:tcPr>
            <w:tcW w:w="3511" w:type="dxa"/>
          </w:tcPr>
          <w:p w14:paraId="07A7093E" w14:textId="77777777" w:rsidR="00FF5CEE" w:rsidRDefault="00000000">
            <w:pPr>
              <w:jc w:val="left"/>
              <w:rPr>
                <w:rFonts w:eastAsia="仿宋_GB2312"/>
                <w:sz w:val="28"/>
                <w:szCs w:val="28"/>
              </w:rPr>
            </w:pPr>
            <w:r>
              <w:rPr>
                <w:rFonts w:eastAsia="仿宋_GB2312" w:hint="eastAsia"/>
                <w:sz w:val="28"/>
                <w:szCs w:val="28"/>
              </w:rPr>
              <w:t>产品超过使用寿命仍继续</w:t>
            </w:r>
            <w:r>
              <w:rPr>
                <w:rFonts w:eastAsia="仿宋_GB2312" w:hint="eastAsia"/>
                <w:sz w:val="28"/>
                <w:szCs w:val="28"/>
              </w:rPr>
              <w:lastRenderedPageBreak/>
              <w:t>使用或长时间未经确认。</w:t>
            </w:r>
          </w:p>
        </w:tc>
        <w:tc>
          <w:tcPr>
            <w:tcW w:w="3476" w:type="dxa"/>
          </w:tcPr>
          <w:p w14:paraId="2E1A4759" w14:textId="77777777" w:rsidR="00FF5CEE" w:rsidRDefault="00000000">
            <w:pPr>
              <w:jc w:val="left"/>
              <w:rPr>
                <w:rFonts w:eastAsia="仿宋_GB2312"/>
                <w:sz w:val="28"/>
                <w:szCs w:val="28"/>
              </w:rPr>
            </w:pPr>
            <w:r>
              <w:rPr>
                <w:rFonts w:eastAsia="仿宋_GB2312" w:hint="eastAsia"/>
                <w:sz w:val="28"/>
                <w:szCs w:val="28"/>
              </w:rPr>
              <w:lastRenderedPageBreak/>
              <w:t>可能导致机械结构失效，</w:t>
            </w:r>
            <w:r>
              <w:rPr>
                <w:rFonts w:eastAsia="仿宋_GB2312" w:hint="eastAsia"/>
                <w:sz w:val="28"/>
                <w:szCs w:val="28"/>
              </w:rPr>
              <w:lastRenderedPageBreak/>
              <w:t>设备无故启停、体位突变，防护装置老化失效，部件超行程，进而无法达到诊疗效果。</w:t>
            </w:r>
          </w:p>
        </w:tc>
      </w:tr>
      <w:tr w:rsidR="00FF5CEE" w14:paraId="460B2494" w14:textId="77777777">
        <w:tc>
          <w:tcPr>
            <w:tcW w:w="1535" w:type="dxa"/>
            <w:vMerge/>
            <w:vAlign w:val="center"/>
          </w:tcPr>
          <w:p w14:paraId="64DE2588" w14:textId="77777777" w:rsidR="00FF5CEE" w:rsidRDefault="00FF5CEE">
            <w:pPr>
              <w:jc w:val="center"/>
              <w:rPr>
                <w:rFonts w:eastAsia="仿宋_GB2312"/>
                <w:sz w:val="28"/>
                <w:szCs w:val="28"/>
              </w:rPr>
            </w:pPr>
          </w:p>
        </w:tc>
        <w:tc>
          <w:tcPr>
            <w:tcW w:w="3511" w:type="dxa"/>
          </w:tcPr>
          <w:p w14:paraId="3952B65C" w14:textId="77777777" w:rsidR="00FF5CEE" w:rsidRDefault="00000000">
            <w:pPr>
              <w:jc w:val="left"/>
              <w:rPr>
                <w:rFonts w:eastAsia="仿宋_GB2312"/>
                <w:sz w:val="28"/>
                <w:szCs w:val="28"/>
              </w:rPr>
            </w:pPr>
            <w:r>
              <w:rPr>
                <w:rFonts w:eastAsia="仿宋_GB2312" w:hint="eastAsia"/>
                <w:sz w:val="28"/>
                <w:szCs w:val="28"/>
              </w:rPr>
              <w:t>未在制造商规定的使用环境条件下使用产品。</w:t>
            </w:r>
          </w:p>
        </w:tc>
        <w:tc>
          <w:tcPr>
            <w:tcW w:w="3476" w:type="dxa"/>
          </w:tcPr>
          <w:p w14:paraId="352ACD1A" w14:textId="77777777" w:rsidR="00FF5CEE" w:rsidRDefault="00000000">
            <w:pPr>
              <w:jc w:val="left"/>
              <w:rPr>
                <w:rFonts w:eastAsia="仿宋_GB2312"/>
                <w:sz w:val="28"/>
                <w:szCs w:val="28"/>
              </w:rPr>
            </w:pPr>
            <w:r>
              <w:rPr>
                <w:rFonts w:eastAsia="仿宋_GB2312" w:hint="eastAsia"/>
                <w:sz w:val="28"/>
                <w:szCs w:val="28"/>
              </w:rPr>
              <w:t>可能造成的设备无法使用或产品寿命降低。</w:t>
            </w:r>
          </w:p>
        </w:tc>
      </w:tr>
      <w:tr w:rsidR="00FF5CEE" w14:paraId="5387AD81" w14:textId="77777777">
        <w:tc>
          <w:tcPr>
            <w:tcW w:w="1535" w:type="dxa"/>
            <w:vMerge w:val="restart"/>
            <w:vAlign w:val="center"/>
          </w:tcPr>
          <w:p w14:paraId="5CA3F031" w14:textId="77777777" w:rsidR="00FF5CEE" w:rsidRDefault="00000000">
            <w:pPr>
              <w:jc w:val="center"/>
              <w:rPr>
                <w:rFonts w:eastAsia="仿宋_GB2312"/>
                <w:sz w:val="28"/>
                <w:szCs w:val="28"/>
              </w:rPr>
            </w:pPr>
            <w:r>
              <w:rPr>
                <w:rFonts w:eastAsia="仿宋_GB2312" w:hint="eastAsia"/>
                <w:sz w:val="28"/>
                <w:szCs w:val="28"/>
              </w:rPr>
              <w:t>信息危险</w:t>
            </w:r>
          </w:p>
        </w:tc>
        <w:tc>
          <w:tcPr>
            <w:tcW w:w="3511" w:type="dxa"/>
          </w:tcPr>
          <w:p w14:paraId="18426EC1" w14:textId="77777777" w:rsidR="00FF5CEE" w:rsidRDefault="00000000">
            <w:pPr>
              <w:jc w:val="left"/>
              <w:rPr>
                <w:rFonts w:eastAsia="仿宋_GB2312"/>
                <w:sz w:val="28"/>
                <w:szCs w:val="28"/>
              </w:rPr>
            </w:pPr>
            <w:r>
              <w:rPr>
                <w:rFonts w:eastAsia="仿宋_GB2312" w:hint="eastAsia"/>
                <w:sz w:val="28"/>
                <w:szCs w:val="28"/>
              </w:rPr>
              <w:t>标记缺少或不正确，标记的位置不正确，不能被正确的识别，不能永久贴牢和清晰可辨。</w:t>
            </w:r>
          </w:p>
        </w:tc>
        <w:tc>
          <w:tcPr>
            <w:tcW w:w="3476" w:type="dxa"/>
          </w:tcPr>
          <w:p w14:paraId="479FAB9E" w14:textId="77777777" w:rsidR="00FF5CEE" w:rsidRDefault="00000000">
            <w:pPr>
              <w:jc w:val="left"/>
              <w:rPr>
                <w:rFonts w:eastAsia="仿宋_GB2312"/>
                <w:sz w:val="28"/>
                <w:szCs w:val="28"/>
              </w:rPr>
            </w:pPr>
            <w:r>
              <w:rPr>
                <w:rFonts w:eastAsia="仿宋_GB2312" w:hint="eastAsia"/>
                <w:sz w:val="28"/>
                <w:szCs w:val="28"/>
              </w:rPr>
              <w:t>可能造成不能正确使用设备；可能对操作者或患者造成物理伤害。</w:t>
            </w:r>
          </w:p>
        </w:tc>
      </w:tr>
      <w:tr w:rsidR="00FF5CEE" w14:paraId="5405DB2D" w14:textId="77777777">
        <w:tc>
          <w:tcPr>
            <w:tcW w:w="1535" w:type="dxa"/>
            <w:vMerge/>
          </w:tcPr>
          <w:p w14:paraId="393B0167" w14:textId="77777777" w:rsidR="00FF5CEE" w:rsidRDefault="00FF5CEE">
            <w:pPr>
              <w:rPr>
                <w:rFonts w:eastAsia="仿宋_GB2312"/>
                <w:sz w:val="28"/>
                <w:szCs w:val="28"/>
              </w:rPr>
            </w:pPr>
          </w:p>
        </w:tc>
        <w:tc>
          <w:tcPr>
            <w:tcW w:w="3511" w:type="dxa"/>
          </w:tcPr>
          <w:p w14:paraId="27B1A330" w14:textId="77777777" w:rsidR="00FF5CEE" w:rsidRDefault="00000000">
            <w:pPr>
              <w:jc w:val="left"/>
              <w:rPr>
                <w:rFonts w:eastAsia="仿宋_GB2312"/>
                <w:sz w:val="28"/>
                <w:szCs w:val="28"/>
              </w:rPr>
            </w:pPr>
            <w:r>
              <w:rPr>
                <w:rFonts w:eastAsia="仿宋_GB2312" w:hint="eastAsia"/>
                <w:sz w:val="28"/>
                <w:szCs w:val="28"/>
              </w:rPr>
              <w:t>产品说明书中未对限制充分告知。</w:t>
            </w:r>
          </w:p>
        </w:tc>
        <w:tc>
          <w:tcPr>
            <w:tcW w:w="3476" w:type="dxa"/>
          </w:tcPr>
          <w:p w14:paraId="64CE28F3" w14:textId="77777777" w:rsidR="00FF5CEE" w:rsidRDefault="00000000">
            <w:pPr>
              <w:jc w:val="left"/>
              <w:rPr>
                <w:rFonts w:eastAsia="仿宋_GB2312"/>
                <w:sz w:val="28"/>
                <w:szCs w:val="28"/>
              </w:rPr>
            </w:pPr>
            <w:r>
              <w:rPr>
                <w:rFonts w:eastAsia="仿宋_GB2312" w:hint="eastAsia"/>
                <w:sz w:val="28"/>
                <w:szCs w:val="28"/>
              </w:rPr>
              <w:t>可能导致设备损坏；对操作者或患者造成物理伤害。</w:t>
            </w:r>
          </w:p>
        </w:tc>
      </w:tr>
      <w:tr w:rsidR="00FF5CEE" w14:paraId="253EDE1A" w14:textId="77777777">
        <w:tc>
          <w:tcPr>
            <w:tcW w:w="1535" w:type="dxa"/>
            <w:vMerge/>
          </w:tcPr>
          <w:p w14:paraId="7FB63292" w14:textId="77777777" w:rsidR="00FF5CEE" w:rsidRDefault="00FF5CEE">
            <w:pPr>
              <w:rPr>
                <w:rFonts w:eastAsia="仿宋_GB2312"/>
                <w:sz w:val="28"/>
                <w:szCs w:val="28"/>
              </w:rPr>
            </w:pPr>
          </w:p>
        </w:tc>
        <w:tc>
          <w:tcPr>
            <w:tcW w:w="3511" w:type="dxa"/>
          </w:tcPr>
          <w:p w14:paraId="0BBF1A75" w14:textId="77777777" w:rsidR="00FF5CEE" w:rsidRDefault="00000000">
            <w:pPr>
              <w:jc w:val="left"/>
              <w:rPr>
                <w:rFonts w:eastAsia="仿宋_GB2312"/>
                <w:sz w:val="28"/>
                <w:szCs w:val="28"/>
              </w:rPr>
            </w:pPr>
            <w:r>
              <w:rPr>
                <w:rFonts w:eastAsia="仿宋_GB2312" w:hint="eastAsia"/>
                <w:sz w:val="28"/>
                <w:szCs w:val="28"/>
              </w:rPr>
              <w:t>未对不正确的操作、与其他设备共同使用时易产生的危险进行警告。</w:t>
            </w:r>
          </w:p>
        </w:tc>
        <w:tc>
          <w:tcPr>
            <w:tcW w:w="3476" w:type="dxa"/>
          </w:tcPr>
          <w:p w14:paraId="3D66A118" w14:textId="77777777" w:rsidR="00FF5CEE" w:rsidRDefault="00000000">
            <w:pPr>
              <w:jc w:val="left"/>
              <w:rPr>
                <w:rFonts w:eastAsia="仿宋_GB2312"/>
                <w:sz w:val="28"/>
                <w:szCs w:val="28"/>
              </w:rPr>
            </w:pPr>
            <w:r>
              <w:rPr>
                <w:rFonts w:eastAsia="仿宋_GB2312" w:hint="eastAsia"/>
                <w:sz w:val="28"/>
                <w:szCs w:val="28"/>
              </w:rPr>
              <w:t>可能导致设备损坏；对操作者或患者造成物理伤害。</w:t>
            </w:r>
          </w:p>
        </w:tc>
      </w:tr>
      <w:tr w:rsidR="00FF5CEE" w14:paraId="74146677" w14:textId="77777777">
        <w:tc>
          <w:tcPr>
            <w:tcW w:w="1535" w:type="dxa"/>
            <w:vMerge/>
          </w:tcPr>
          <w:p w14:paraId="77DB50C0" w14:textId="77777777" w:rsidR="00FF5CEE" w:rsidRDefault="00FF5CEE">
            <w:pPr>
              <w:rPr>
                <w:rFonts w:eastAsia="仿宋_GB2312"/>
                <w:sz w:val="28"/>
                <w:szCs w:val="28"/>
              </w:rPr>
            </w:pPr>
          </w:p>
        </w:tc>
        <w:tc>
          <w:tcPr>
            <w:tcW w:w="3511" w:type="dxa"/>
          </w:tcPr>
          <w:p w14:paraId="33B5D6A1" w14:textId="77777777" w:rsidR="00FF5CEE" w:rsidRDefault="00000000">
            <w:pPr>
              <w:jc w:val="left"/>
              <w:rPr>
                <w:rFonts w:eastAsia="仿宋_GB2312"/>
                <w:sz w:val="28"/>
                <w:szCs w:val="28"/>
              </w:rPr>
            </w:pPr>
            <w:r>
              <w:rPr>
                <w:rFonts w:eastAsia="仿宋_GB2312" w:hint="eastAsia"/>
                <w:sz w:val="28"/>
                <w:szCs w:val="28"/>
              </w:rPr>
              <w:t>未正确标示包装储运条件、消毒方法、维护信息、对所有标识警告符号的阐述。</w:t>
            </w:r>
          </w:p>
        </w:tc>
        <w:tc>
          <w:tcPr>
            <w:tcW w:w="3476" w:type="dxa"/>
          </w:tcPr>
          <w:p w14:paraId="61F7A226" w14:textId="77777777" w:rsidR="00FF5CEE" w:rsidRDefault="00000000">
            <w:pPr>
              <w:jc w:val="left"/>
              <w:rPr>
                <w:rFonts w:eastAsia="仿宋_GB2312"/>
                <w:sz w:val="28"/>
                <w:szCs w:val="28"/>
              </w:rPr>
            </w:pPr>
            <w:r>
              <w:rPr>
                <w:rFonts w:eastAsia="仿宋_GB2312" w:hint="eastAsia"/>
                <w:sz w:val="28"/>
                <w:szCs w:val="28"/>
              </w:rPr>
              <w:t>可能导致设备损坏。</w:t>
            </w:r>
          </w:p>
        </w:tc>
      </w:tr>
      <w:tr w:rsidR="00FF5CEE" w14:paraId="4BBCA198" w14:textId="77777777">
        <w:tc>
          <w:tcPr>
            <w:tcW w:w="1535" w:type="dxa"/>
            <w:vMerge w:val="restart"/>
            <w:vAlign w:val="center"/>
          </w:tcPr>
          <w:p w14:paraId="24C66479" w14:textId="77777777" w:rsidR="00FF5CEE" w:rsidRDefault="00000000">
            <w:pPr>
              <w:jc w:val="center"/>
              <w:rPr>
                <w:rFonts w:eastAsia="仿宋_GB2312"/>
                <w:sz w:val="28"/>
                <w:szCs w:val="28"/>
              </w:rPr>
            </w:pPr>
            <w:r>
              <w:rPr>
                <w:rFonts w:eastAsia="仿宋_GB2312" w:hint="eastAsia"/>
                <w:sz w:val="28"/>
                <w:szCs w:val="28"/>
              </w:rPr>
              <w:lastRenderedPageBreak/>
              <w:t>软件危险</w:t>
            </w:r>
          </w:p>
        </w:tc>
        <w:tc>
          <w:tcPr>
            <w:tcW w:w="3511" w:type="dxa"/>
          </w:tcPr>
          <w:p w14:paraId="6A093352" w14:textId="77777777" w:rsidR="00FF5CEE" w:rsidRDefault="00000000">
            <w:pPr>
              <w:jc w:val="left"/>
              <w:rPr>
                <w:rFonts w:eastAsia="仿宋_GB2312"/>
                <w:sz w:val="28"/>
                <w:szCs w:val="28"/>
              </w:rPr>
            </w:pPr>
            <w:r>
              <w:rPr>
                <w:rFonts w:eastAsia="仿宋_GB2312" w:hint="eastAsia"/>
                <w:sz w:val="28"/>
                <w:szCs w:val="28"/>
              </w:rPr>
              <w:t>软件出现运行故障。</w:t>
            </w:r>
          </w:p>
        </w:tc>
        <w:tc>
          <w:tcPr>
            <w:tcW w:w="3476" w:type="dxa"/>
          </w:tcPr>
          <w:p w14:paraId="7E02C7EC" w14:textId="77777777" w:rsidR="00FF5CEE" w:rsidRDefault="00000000">
            <w:pPr>
              <w:jc w:val="left"/>
              <w:rPr>
                <w:rFonts w:eastAsia="仿宋_GB2312"/>
                <w:sz w:val="28"/>
                <w:szCs w:val="28"/>
              </w:rPr>
            </w:pPr>
            <w:r>
              <w:rPr>
                <w:rFonts w:eastAsia="仿宋_GB2312" w:hint="eastAsia"/>
                <w:sz w:val="28"/>
                <w:szCs w:val="28"/>
              </w:rPr>
              <w:t>可能导致设备损坏；对操作者或患者造成物理伤害。</w:t>
            </w:r>
          </w:p>
        </w:tc>
      </w:tr>
      <w:tr w:rsidR="00FF5CEE" w14:paraId="6D0CA8AD" w14:textId="77777777">
        <w:tc>
          <w:tcPr>
            <w:tcW w:w="1535" w:type="dxa"/>
            <w:vMerge/>
          </w:tcPr>
          <w:p w14:paraId="1E901D9C" w14:textId="77777777" w:rsidR="00FF5CEE" w:rsidRDefault="00FF5CEE">
            <w:pPr>
              <w:rPr>
                <w:rFonts w:eastAsia="仿宋_GB2312"/>
                <w:sz w:val="28"/>
                <w:szCs w:val="28"/>
              </w:rPr>
            </w:pPr>
          </w:p>
        </w:tc>
        <w:tc>
          <w:tcPr>
            <w:tcW w:w="3511" w:type="dxa"/>
          </w:tcPr>
          <w:p w14:paraId="19CCB7E6" w14:textId="77777777" w:rsidR="00FF5CEE" w:rsidRDefault="00000000">
            <w:pPr>
              <w:jc w:val="left"/>
              <w:rPr>
                <w:rFonts w:eastAsia="仿宋_GB2312"/>
                <w:sz w:val="28"/>
                <w:szCs w:val="28"/>
              </w:rPr>
            </w:pPr>
            <w:r>
              <w:rPr>
                <w:rFonts w:eastAsia="仿宋_GB2312" w:hint="eastAsia"/>
                <w:sz w:val="28"/>
                <w:szCs w:val="28"/>
              </w:rPr>
              <w:t>运行环境的不匹配。</w:t>
            </w:r>
          </w:p>
        </w:tc>
        <w:tc>
          <w:tcPr>
            <w:tcW w:w="3476" w:type="dxa"/>
          </w:tcPr>
          <w:p w14:paraId="5DB7BE4E" w14:textId="77777777" w:rsidR="00FF5CEE" w:rsidRDefault="00000000">
            <w:pPr>
              <w:jc w:val="left"/>
              <w:rPr>
                <w:rFonts w:eastAsia="仿宋_GB2312"/>
                <w:sz w:val="28"/>
                <w:szCs w:val="28"/>
              </w:rPr>
            </w:pPr>
            <w:r>
              <w:rPr>
                <w:rFonts w:eastAsia="仿宋_GB2312" w:hint="eastAsia"/>
                <w:sz w:val="28"/>
                <w:szCs w:val="28"/>
              </w:rPr>
              <w:t>可能导致设备损坏。</w:t>
            </w:r>
          </w:p>
        </w:tc>
      </w:tr>
    </w:tbl>
    <w:p w14:paraId="0E3E7610" w14:textId="77777777" w:rsidR="00FF5CEE" w:rsidRDefault="00FF5CEE">
      <w:pPr>
        <w:spacing w:line="520" w:lineRule="exact"/>
        <w:rPr>
          <w:rFonts w:eastAsia="仿宋_GB2312"/>
          <w:sz w:val="32"/>
          <w:szCs w:val="32"/>
        </w:rPr>
      </w:pPr>
    </w:p>
    <w:sectPr w:rsidR="00FF5CEE" w:rsidSect="00680B92">
      <w:footerReference w:type="even" r:id="rId11"/>
      <w:footerReference w:type="default" r:id="rId12"/>
      <w:pgSz w:w="11906" w:h="16838"/>
      <w:pgMar w:top="2098" w:right="1588" w:bottom="2098" w:left="1588" w:header="851" w:footer="1286" w:gutter="0"/>
      <w:lnNumType w:countBy="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38B69" w14:textId="77777777" w:rsidR="000073E0" w:rsidRDefault="000073E0">
      <w:r>
        <w:separator/>
      </w:r>
    </w:p>
  </w:endnote>
  <w:endnote w:type="continuationSeparator" w:id="0">
    <w:p w14:paraId="4A958436" w14:textId="77777777" w:rsidR="000073E0" w:rsidRDefault="00007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MHeiGB">
    <w:altName w:val="微软雅黑"/>
    <w:charset w:val="86"/>
    <w:family w:val="swiss"/>
    <w:pitch w:val="default"/>
    <w:sig w:usb0="00000000" w:usb1="00000000" w:usb2="00000010" w:usb3="00000000" w:csb0="00040000" w:csb1="00000000"/>
  </w:font>
  <w:font w:name="方正小标宋简体">
    <w:altName w:val="微软雅黑"/>
    <w:charset w:val="86"/>
    <w:family w:val="script"/>
    <w:pitch w:val="default"/>
    <w:sig w:usb0="00000000" w:usb1="00000000" w:usb2="00000010" w:usb3="00000000" w:csb0="00040000" w:csb1="00000000"/>
  </w:font>
  <w:font w:name="Noto Sans SC">
    <w:altName w:val="宋体"/>
    <w:panose1 w:val="020B0200000000000000"/>
    <w:charset w:val="86"/>
    <w:family w:val="swiss"/>
    <w:pitch w:val="variable"/>
    <w:sig w:usb0="20000287" w:usb1="2ADF3C10" w:usb2="00000016" w:usb3="00000000" w:csb0="000601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87E5" w14:textId="77777777" w:rsidR="00FF5CEE" w:rsidRDefault="00000000">
    <w:pPr>
      <w:pStyle w:val="af0"/>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20</w:t>
    </w:r>
    <w:r>
      <w:rPr>
        <w:sz w:val="28"/>
        <w:szCs w:val="28"/>
      </w:rPr>
      <w:fldChar w:fldCharType="end"/>
    </w:r>
    <w:r>
      <w:rPr>
        <w:rFonts w:hint="eastAsia"/>
        <w:sz w:val="28"/>
        <w:szCs w:val="28"/>
      </w:rPr>
      <w:t xml:space="preserve"> </w:t>
    </w:r>
    <w:r>
      <w:rPr>
        <w:rFonts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21709" w14:textId="77777777" w:rsidR="00FF5CEE" w:rsidRDefault="00000000">
    <w:pPr>
      <w:pStyle w:val="af0"/>
      <w:wordWrap w:val="0"/>
      <w:jc w:val="right"/>
    </w:pPr>
    <w:r>
      <w:rPr>
        <w:rFonts w:hint="eastAsia"/>
        <w:noProof/>
      </w:rPr>
      <mc:AlternateContent>
        <mc:Choice Requires="wps">
          <w:drawing>
            <wp:anchor distT="0" distB="0" distL="114300" distR="114300" simplePos="0" relativeHeight="251659264" behindDoc="0" locked="0" layoutInCell="1" allowOverlap="1" wp14:anchorId="5AFCE6F4" wp14:editId="33350BD0">
              <wp:simplePos x="0" y="0"/>
              <wp:positionH relativeFrom="margin">
                <wp:align>outside</wp:align>
              </wp:positionH>
              <wp:positionV relativeFrom="paragraph">
                <wp:posOffset>0</wp:posOffset>
              </wp:positionV>
              <wp:extent cx="978535" cy="230505"/>
              <wp:effectExtent l="0" t="0" r="12700" b="6350"/>
              <wp:wrapNone/>
              <wp:docPr id="53506139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wps:spPr>
                    <wps:txbx>
                      <w:txbxContent>
                        <w:p w14:paraId="0551922B" w14:textId="77777777" w:rsidR="00FF5CEE" w:rsidRDefault="00000000">
                          <w:pPr>
                            <w:pStyle w:val="af0"/>
                            <w:rPr>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19</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anchor>
          </w:drawing>
        </mc:Choice>
        <mc:Fallback>
          <w:pict>
            <v:shapetype w14:anchorId="5AFCE6F4" id="_x0000_t202" coordsize="21600,21600" o:spt="202" path="m,l,21600r21600,l21600,xe">
              <v:stroke joinstyle="miter"/>
              <v:path gradientshapeok="t" o:connecttype="rect"/>
            </v:shapetype>
            <v:shape id="文本框 2" o:spid="_x0000_s1026" type="#_x0000_t202" style="position:absolute;left:0;text-align:left;margin-left:25.85pt;margin-top:0;width:77.05pt;height:18.15pt;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" filled="f" stroked="f">
              <v:textbox style="mso-fit-shape-to-text:t" inset="0,0,0,0">
                <w:txbxContent>
                  <w:p w14:paraId="0551922B" w14:textId="77777777" w:rsidR="00FF5CEE" w:rsidRDefault="00000000">
                    <w:pPr>
                      <w:pStyle w:val="af0"/>
                      <w:rPr>
                        <w:sz w:val="28"/>
                        <w:szCs w:val="28"/>
                      </w:rPr>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19</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6B9D0" w14:textId="77777777" w:rsidR="000073E0" w:rsidRDefault="000073E0">
      <w:r>
        <w:separator/>
      </w:r>
    </w:p>
  </w:footnote>
  <w:footnote w:type="continuationSeparator" w:id="0">
    <w:p w14:paraId="7C455825" w14:textId="77777777" w:rsidR="000073E0" w:rsidRDefault="000073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B7C9B"/>
    <w:multiLevelType w:val="singleLevel"/>
    <w:tmpl w:val="1ECB7C9B"/>
    <w:lvl w:ilvl="0">
      <w:start w:val="3"/>
      <w:numFmt w:val="chineseCounting"/>
      <w:suff w:val="nothing"/>
      <w:lvlText w:val="%1、"/>
      <w:lvlJc w:val="left"/>
      <w:rPr>
        <w:rFonts w:hint="eastAsia"/>
        <w:lang w:val="en-US"/>
      </w:rPr>
    </w:lvl>
  </w:abstractNum>
  <w:abstractNum w:abstractNumId="1" w15:restartNumberingAfterBreak="0">
    <w:nsid w:val="41800986"/>
    <w:multiLevelType w:val="multilevel"/>
    <w:tmpl w:val="41800986"/>
    <w:lvl w:ilvl="0">
      <w:start w:val="1"/>
      <w:numFmt w:val="lowerLetter"/>
      <w:pStyle w:val="a"/>
      <w:lvlText w:val="(%1)"/>
      <w:lvlJc w:val="left"/>
      <w:pPr>
        <w:ind w:left="1080" w:hanging="440"/>
      </w:pPr>
      <w:rPr>
        <w:rFonts w:hint="eastAsia"/>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num w:numId="1" w16cid:durableId="1684555927">
    <w:abstractNumId w:val="1"/>
  </w:num>
  <w:num w:numId="2" w16cid:durableId="196551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420"/>
  <w:evenAndOddHeaders/>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I1YjUxYTcxNzkzZTM1YTYzZGUzM2UzNGRlZjBlZjEifQ=="/>
  </w:docVars>
  <w:rsids>
    <w:rsidRoot w:val="00C70759"/>
    <w:rsid w:val="000006E0"/>
    <w:rsid w:val="000009B7"/>
    <w:rsid w:val="00004D90"/>
    <w:rsid w:val="0000662E"/>
    <w:rsid w:val="00006F0C"/>
    <w:rsid w:val="000073E0"/>
    <w:rsid w:val="000076CF"/>
    <w:rsid w:val="00012B00"/>
    <w:rsid w:val="00024B6C"/>
    <w:rsid w:val="0002618E"/>
    <w:rsid w:val="000306F9"/>
    <w:rsid w:val="0003098C"/>
    <w:rsid w:val="00030BAC"/>
    <w:rsid w:val="0003227F"/>
    <w:rsid w:val="000327D0"/>
    <w:rsid w:val="00032F30"/>
    <w:rsid w:val="00034CA1"/>
    <w:rsid w:val="00034F40"/>
    <w:rsid w:val="00035E41"/>
    <w:rsid w:val="0003761B"/>
    <w:rsid w:val="00041AC3"/>
    <w:rsid w:val="00046C13"/>
    <w:rsid w:val="000552F5"/>
    <w:rsid w:val="0005797E"/>
    <w:rsid w:val="00061B27"/>
    <w:rsid w:val="00061B2B"/>
    <w:rsid w:val="00061BE9"/>
    <w:rsid w:val="000624F2"/>
    <w:rsid w:val="00063A68"/>
    <w:rsid w:val="00065C3D"/>
    <w:rsid w:val="00066E9F"/>
    <w:rsid w:val="00070658"/>
    <w:rsid w:val="000726DA"/>
    <w:rsid w:val="00074ACC"/>
    <w:rsid w:val="0007588A"/>
    <w:rsid w:val="000777B4"/>
    <w:rsid w:val="000779C1"/>
    <w:rsid w:val="0008035A"/>
    <w:rsid w:val="000902D3"/>
    <w:rsid w:val="0009426B"/>
    <w:rsid w:val="000A0185"/>
    <w:rsid w:val="000A0F5B"/>
    <w:rsid w:val="000A2641"/>
    <w:rsid w:val="000A3AD4"/>
    <w:rsid w:val="000A49F1"/>
    <w:rsid w:val="000A4A5A"/>
    <w:rsid w:val="000A6B52"/>
    <w:rsid w:val="000B1DD5"/>
    <w:rsid w:val="000B3F1B"/>
    <w:rsid w:val="000B4186"/>
    <w:rsid w:val="000B457B"/>
    <w:rsid w:val="000B4E32"/>
    <w:rsid w:val="000B71A9"/>
    <w:rsid w:val="000B727A"/>
    <w:rsid w:val="000B7EB3"/>
    <w:rsid w:val="000C017F"/>
    <w:rsid w:val="000C0627"/>
    <w:rsid w:val="000C1E33"/>
    <w:rsid w:val="000C4529"/>
    <w:rsid w:val="000C4CBE"/>
    <w:rsid w:val="000D32E1"/>
    <w:rsid w:val="000D47C8"/>
    <w:rsid w:val="000D4CCA"/>
    <w:rsid w:val="000D580E"/>
    <w:rsid w:val="000D6597"/>
    <w:rsid w:val="000D7A93"/>
    <w:rsid w:val="000E0BB4"/>
    <w:rsid w:val="000E0C63"/>
    <w:rsid w:val="000E55BC"/>
    <w:rsid w:val="000E76BF"/>
    <w:rsid w:val="000E7EB8"/>
    <w:rsid w:val="000F3107"/>
    <w:rsid w:val="000F32A8"/>
    <w:rsid w:val="000F42CF"/>
    <w:rsid w:val="000F6507"/>
    <w:rsid w:val="000F6551"/>
    <w:rsid w:val="001013E3"/>
    <w:rsid w:val="001029E1"/>
    <w:rsid w:val="00104378"/>
    <w:rsid w:val="0010712C"/>
    <w:rsid w:val="00107398"/>
    <w:rsid w:val="00107C97"/>
    <w:rsid w:val="00110D16"/>
    <w:rsid w:val="00110DD8"/>
    <w:rsid w:val="00113EE4"/>
    <w:rsid w:val="0011456F"/>
    <w:rsid w:val="00115684"/>
    <w:rsid w:val="00120207"/>
    <w:rsid w:val="001211CB"/>
    <w:rsid w:val="001219AC"/>
    <w:rsid w:val="00122A7C"/>
    <w:rsid w:val="00122D1B"/>
    <w:rsid w:val="0012611A"/>
    <w:rsid w:val="00130B30"/>
    <w:rsid w:val="001324BC"/>
    <w:rsid w:val="0013484F"/>
    <w:rsid w:val="00134EE2"/>
    <w:rsid w:val="00137D60"/>
    <w:rsid w:val="00141D5A"/>
    <w:rsid w:val="00142E00"/>
    <w:rsid w:val="001460C6"/>
    <w:rsid w:val="0014618C"/>
    <w:rsid w:val="00146BBE"/>
    <w:rsid w:val="00147492"/>
    <w:rsid w:val="001529E8"/>
    <w:rsid w:val="00152C02"/>
    <w:rsid w:val="00152E96"/>
    <w:rsid w:val="00153000"/>
    <w:rsid w:val="00156F3C"/>
    <w:rsid w:val="00160679"/>
    <w:rsid w:val="00161013"/>
    <w:rsid w:val="00161F6C"/>
    <w:rsid w:val="0016408D"/>
    <w:rsid w:val="00170D7C"/>
    <w:rsid w:val="0017226F"/>
    <w:rsid w:val="00173323"/>
    <w:rsid w:val="0017751C"/>
    <w:rsid w:val="00177D6A"/>
    <w:rsid w:val="00180897"/>
    <w:rsid w:val="001820C0"/>
    <w:rsid w:val="00182913"/>
    <w:rsid w:val="001834DE"/>
    <w:rsid w:val="00190A1A"/>
    <w:rsid w:val="00191588"/>
    <w:rsid w:val="00193867"/>
    <w:rsid w:val="0019510D"/>
    <w:rsid w:val="001A0D50"/>
    <w:rsid w:val="001A1663"/>
    <w:rsid w:val="001A20A4"/>
    <w:rsid w:val="001A3242"/>
    <w:rsid w:val="001A324E"/>
    <w:rsid w:val="001A4CBA"/>
    <w:rsid w:val="001A6081"/>
    <w:rsid w:val="001A7321"/>
    <w:rsid w:val="001B1086"/>
    <w:rsid w:val="001B187F"/>
    <w:rsid w:val="001B594B"/>
    <w:rsid w:val="001C3E1C"/>
    <w:rsid w:val="001C6B0C"/>
    <w:rsid w:val="001C6F20"/>
    <w:rsid w:val="001D12BF"/>
    <w:rsid w:val="001D3EE6"/>
    <w:rsid w:val="001D4C63"/>
    <w:rsid w:val="001D5870"/>
    <w:rsid w:val="001E0702"/>
    <w:rsid w:val="001E1DCD"/>
    <w:rsid w:val="001E33DE"/>
    <w:rsid w:val="001E3C17"/>
    <w:rsid w:val="001E3DD9"/>
    <w:rsid w:val="001E5643"/>
    <w:rsid w:val="001E5756"/>
    <w:rsid w:val="001F02B8"/>
    <w:rsid w:val="001F1526"/>
    <w:rsid w:val="001F163F"/>
    <w:rsid w:val="001F2887"/>
    <w:rsid w:val="001F28B7"/>
    <w:rsid w:val="001F74F2"/>
    <w:rsid w:val="0020039C"/>
    <w:rsid w:val="0020087B"/>
    <w:rsid w:val="002008D8"/>
    <w:rsid w:val="00203ECE"/>
    <w:rsid w:val="00206FB1"/>
    <w:rsid w:val="002116E4"/>
    <w:rsid w:val="002124C8"/>
    <w:rsid w:val="00212C86"/>
    <w:rsid w:val="00213BCD"/>
    <w:rsid w:val="00213BFD"/>
    <w:rsid w:val="00214C56"/>
    <w:rsid w:val="002153EC"/>
    <w:rsid w:val="00215B4C"/>
    <w:rsid w:val="00216577"/>
    <w:rsid w:val="002166A4"/>
    <w:rsid w:val="002167B9"/>
    <w:rsid w:val="002207B3"/>
    <w:rsid w:val="00221EAA"/>
    <w:rsid w:val="0022301C"/>
    <w:rsid w:val="002243D0"/>
    <w:rsid w:val="0022458B"/>
    <w:rsid w:val="00224B0A"/>
    <w:rsid w:val="002317CC"/>
    <w:rsid w:val="0023221F"/>
    <w:rsid w:val="002345CC"/>
    <w:rsid w:val="002359D4"/>
    <w:rsid w:val="00240F05"/>
    <w:rsid w:val="002428DD"/>
    <w:rsid w:val="0024292E"/>
    <w:rsid w:val="00244167"/>
    <w:rsid w:val="002441AC"/>
    <w:rsid w:val="002453FE"/>
    <w:rsid w:val="00245669"/>
    <w:rsid w:val="00246BA1"/>
    <w:rsid w:val="00247244"/>
    <w:rsid w:val="00247819"/>
    <w:rsid w:val="002502E1"/>
    <w:rsid w:val="0025068D"/>
    <w:rsid w:val="002507DB"/>
    <w:rsid w:val="00252F8F"/>
    <w:rsid w:val="00254596"/>
    <w:rsid w:val="00255308"/>
    <w:rsid w:val="002571D9"/>
    <w:rsid w:val="00257617"/>
    <w:rsid w:val="0025778C"/>
    <w:rsid w:val="002579D2"/>
    <w:rsid w:val="002601BD"/>
    <w:rsid w:val="002621F5"/>
    <w:rsid w:val="002626F3"/>
    <w:rsid w:val="00262F77"/>
    <w:rsid w:val="002632E7"/>
    <w:rsid w:val="002649DC"/>
    <w:rsid w:val="00264C81"/>
    <w:rsid w:val="00265DBE"/>
    <w:rsid w:val="00265F35"/>
    <w:rsid w:val="00266B99"/>
    <w:rsid w:val="00271428"/>
    <w:rsid w:val="00273310"/>
    <w:rsid w:val="002803BE"/>
    <w:rsid w:val="00283D83"/>
    <w:rsid w:val="002861BA"/>
    <w:rsid w:val="00292EDE"/>
    <w:rsid w:val="002968CB"/>
    <w:rsid w:val="002A05C1"/>
    <w:rsid w:val="002A3E55"/>
    <w:rsid w:val="002A44C6"/>
    <w:rsid w:val="002A4BEA"/>
    <w:rsid w:val="002A549E"/>
    <w:rsid w:val="002A6644"/>
    <w:rsid w:val="002B0F8F"/>
    <w:rsid w:val="002B1CD4"/>
    <w:rsid w:val="002B4CEA"/>
    <w:rsid w:val="002B6A15"/>
    <w:rsid w:val="002C5FF8"/>
    <w:rsid w:val="002D09F3"/>
    <w:rsid w:val="002D2602"/>
    <w:rsid w:val="002D3A4B"/>
    <w:rsid w:val="002D6875"/>
    <w:rsid w:val="002D7A4C"/>
    <w:rsid w:val="002E6B09"/>
    <w:rsid w:val="002E78BC"/>
    <w:rsid w:val="002F1A5F"/>
    <w:rsid w:val="002F28BB"/>
    <w:rsid w:val="002F317C"/>
    <w:rsid w:val="002F3E2F"/>
    <w:rsid w:val="002F4DC2"/>
    <w:rsid w:val="002F504F"/>
    <w:rsid w:val="002F5B5D"/>
    <w:rsid w:val="002F76CE"/>
    <w:rsid w:val="00304E53"/>
    <w:rsid w:val="00306E8C"/>
    <w:rsid w:val="00311E7A"/>
    <w:rsid w:val="00312F74"/>
    <w:rsid w:val="0031752A"/>
    <w:rsid w:val="003178EE"/>
    <w:rsid w:val="0032150E"/>
    <w:rsid w:val="00322FE2"/>
    <w:rsid w:val="00324705"/>
    <w:rsid w:val="00324CB6"/>
    <w:rsid w:val="00330234"/>
    <w:rsid w:val="003347DA"/>
    <w:rsid w:val="00340812"/>
    <w:rsid w:val="0034098B"/>
    <w:rsid w:val="0034307C"/>
    <w:rsid w:val="00343A61"/>
    <w:rsid w:val="00350B8E"/>
    <w:rsid w:val="0035258B"/>
    <w:rsid w:val="00354539"/>
    <w:rsid w:val="003566C6"/>
    <w:rsid w:val="0036087F"/>
    <w:rsid w:val="003623D9"/>
    <w:rsid w:val="00362DD5"/>
    <w:rsid w:val="003643F5"/>
    <w:rsid w:val="00364930"/>
    <w:rsid w:val="00364EC6"/>
    <w:rsid w:val="00365716"/>
    <w:rsid w:val="00366626"/>
    <w:rsid w:val="00366B84"/>
    <w:rsid w:val="003673BF"/>
    <w:rsid w:val="003726C0"/>
    <w:rsid w:val="0037424D"/>
    <w:rsid w:val="003750AD"/>
    <w:rsid w:val="0037551D"/>
    <w:rsid w:val="003807AB"/>
    <w:rsid w:val="00380A38"/>
    <w:rsid w:val="0038304A"/>
    <w:rsid w:val="00384353"/>
    <w:rsid w:val="0038740E"/>
    <w:rsid w:val="00390281"/>
    <w:rsid w:val="003928CF"/>
    <w:rsid w:val="00395777"/>
    <w:rsid w:val="003A03E2"/>
    <w:rsid w:val="003A2E0B"/>
    <w:rsid w:val="003A3BED"/>
    <w:rsid w:val="003A3CBD"/>
    <w:rsid w:val="003A466B"/>
    <w:rsid w:val="003A54AF"/>
    <w:rsid w:val="003A5B21"/>
    <w:rsid w:val="003A6906"/>
    <w:rsid w:val="003B357B"/>
    <w:rsid w:val="003B5F12"/>
    <w:rsid w:val="003C0D70"/>
    <w:rsid w:val="003C1853"/>
    <w:rsid w:val="003C2954"/>
    <w:rsid w:val="003C2B7B"/>
    <w:rsid w:val="003C50B4"/>
    <w:rsid w:val="003C55BE"/>
    <w:rsid w:val="003C59C2"/>
    <w:rsid w:val="003D142D"/>
    <w:rsid w:val="003E11F0"/>
    <w:rsid w:val="003E13FC"/>
    <w:rsid w:val="003E19ED"/>
    <w:rsid w:val="003E1BBE"/>
    <w:rsid w:val="003E3A1E"/>
    <w:rsid w:val="003E3FAC"/>
    <w:rsid w:val="003E5066"/>
    <w:rsid w:val="003F131F"/>
    <w:rsid w:val="003F2F23"/>
    <w:rsid w:val="003F4830"/>
    <w:rsid w:val="003F5765"/>
    <w:rsid w:val="003F5C06"/>
    <w:rsid w:val="00404088"/>
    <w:rsid w:val="00404C90"/>
    <w:rsid w:val="004050BB"/>
    <w:rsid w:val="004108DA"/>
    <w:rsid w:val="00414207"/>
    <w:rsid w:val="004144C7"/>
    <w:rsid w:val="00415E8A"/>
    <w:rsid w:val="00416FC1"/>
    <w:rsid w:val="00420309"/>
    <w:rsid w:val="00420959"/>
    <w:rsid w:val="00420A99"/>
    <w:rsid w:val="00420FFD"/>
    <w:rsid w:val="004218EF"/>
    <w:rsid w:val="004244E5"/>
    <w:rsid w:val="00426921"/>
    <w:rsid w:val="00427825"/>
    <w:rsid w:val="00430ABA"/>
    <w:rsid w:val="00432DF3"/>
    <w:rsid w:val="00432E14"/>
    <w:rsid w:val="00432E9C"/>
    <w:rsid w:val="00435EEE"/>
    <w:rsid w:val="00440FF9"/>
    <w:rsid w:val="004410ED"/>
    <w:rsid w:val="00442E2A"/>
    <w:rsid w:val="004444DA"/>
    <w:rsid w:val="00446DC1"/>
    <w:rsid w:val="00450A64"/>
    <w:rsid w:val="00451813"/>
    <w:rsid w:val="00451F77"/>
    <w:rsid w:val="00452357"/>
    <w:rsid w:val="00452A9F"/>
    <w:rsid w:val="00454051"/>
    <w:rsid w:val="00457130"/>
    <w:rsid w:val="0045797C"/>
    <w:rsid w:val="00461DDF"/>
    <w:rsid w:val="004672F2"/>
    <w:rsid w:val="004708A3"/>
    <w:rsid w:val="00473433"/>
    <w:rsid w:val="00473985"/>
    <w:rsid w:val="004742EE"/>
    <w:rsid w:val="004750D5"/>
    <w:rsid w:val="00477DE9"/>
    <w:rsid w:val="0048147B"/>
    <w:rsid w:val="004820C5"/>
    <w:rsid w:val="00483B3E"/>
    <w:rsid w:val="00484D3D"/>
    <w:rsid w:val="00484E90"/>
    <w:rsid w:val="004863A9"/>
    <w:rsid w:val="00490532"/>
    <w:rsid w:val="00490E54"/>
    <w:rsid w:val="00493048"/>
    <w:rsid w:val="004947AF"/>
    <w:rsid w:val="0049778F"/>
    <w:rsid w:val="004A35F9"/>
    <w:rsid w:val="004A5202"/>
    <w:rsid w:val="004B15B1"/>
    <w:rsid w:val="004C1283"/>
    <w:rsid w:val="004C162B"/>
    <w:rsid w:val="004C1BFE"/>
    <w:rsid w:val="004C7FA3"/>
    <w:rsid w:val="004D189D"/>
    <w:rsid w:val="004D21B1"/>
    <w:rsid w:val="004D4658"/>
    <w:rsid w:val="004D5518"/>
    <w:rsid w:val="004D575B"/>
    <w:rsid w:val="004D6C06"/>
    <w:rsid w:val="004D7052"/>
    <w:rsid w:val="004E1B50"/>
    <w:rsid w:val="004E1DA3"/>
    <w:rsid w:val="004E2611"/>
    <w:rsid w:val="004E602E"/>
    <w:rsid w:val="004F6902"/>
    <w:rsid w:val="0050289F"/>
    <w:rsid w:val="005030F4"/>
    <w:rsid w:val="005068C0"/>
    <w:rsid w:val="005118DB"/>
    <w:rsid w:val="005121C4"/>
    <w:rsid w:val="005141DF"/>
    <w:rsid w:val="00521AFD"/>
    <w:rsid w:val="00522B2C"/>
    <w:rsid w:val="00523CB6"/>
    <w:rsid w:val="0052463D"/>
    <w:rsid w:val="0052508A"/>
    <w:rsid w:val="0052585D"/>
    <w:rsid w:val="00527395"/>
    <w:rsid w:val="00531C80"/>
    <w:rsid w:val="005326A7"/>
    <w:rsid w:val="00533905"/>
    <w:rsid w:val="005358ED"/>
    <w:rsid w:val="00536E89"/>
    <w:rsid w:val="00541C54"/>
    <w:rsid w:val="00543287"/>
    <w:rsid w:val="00545B09"/>
    <w:rsid w:val="00550A0B"/>
    <w:rsid w:val="00555975"/>
    <w:rsid w:val="005569CF"/>
    <w:rsid w:val="0055753C"/>
    <w:rsid w:val="005608C8"/>
    <w:rsid w:val="0056442F"/>
    <w:rsid w:val="00564D8D"/>
    <w:rsid w:val="005678DC"/>
    <w:rsid w:val="0057002E"/>
    <w:rsid w:val="00570A4D"/>
    <w:rsid w:val="00577CCB"/>
    <w:rsid w:val="00580246"/>
    <w:rsid w:val="005818C1"/>
    <w:rsid w:val="005830D4"/>
    <w:rsid w:val="005856ED"/>
    <w:rsid w:val="005919D0"/>
    <w:rsid w:val="00596CD5"/>
    <w:rsid w:val="005A166F"/>
    <w:rsid w:val="005A3823"/>
    <w:rsid w:val="005A3B2C"/>
    <w:rsid w:val="005A55B0"/>
    <w:rsid w:val="005A6DFC"/>
    <w:rsid w:val="005A7DE4"/>
    <w:rsid w:val="005B03E6"/>
    <w:rsid w:val="005B0FAE"/>
    <w:rsid w:val="005B16F5"/>
    <w:rsid w:val="005B4132"/>
    <w:rsid w:val="005B5D12"/>
    <w:rsid w:val="005B71DB"/>
    <w:rsid w:val="005C4FCC"/>
    <w:rsid w:val="005C5735"/>
    <w:rsid w:val="005D2AEB"/>
    <w:rsid w:val="005D4E0E"/>
    <w:rsid w:val="005D784F"/>
    <w:rsid w:val="005E23D2"/>
    <w:rsid w:val="005E5CCA"/>
    <w:rsid w:val="005E689B"/>
    <w:rsid w:val="005F0207"/>
    <w:rsid w:val="005F1F50"/>
    <w:rsid w:val="005F3A71"/>
    <w:rsid w:val="005F3E42"/>
    <w:rsid w:val="005F5A6E"/>
    <w:rsid w:val="005F5D20"/>
    <w:rsid w:val="005F6424"/>
    <w:rsid w:val="005F6810"/>
    <w:rsid w:val="005F7424"/>
    <w:rsid w:val="0060178B"/>
    <w:rsid w:val="00601C40"/>
    <w:rsid w:val="0060296D"/>
    <w:rsid w:val="006033CB"/>
    <w:rsid w:val="00603F67"/>
    <w:rsid w:val="006053ED"/>
    <w:rsid w:val="00613597"/>
    <w:rsid w:val="00613835"/>
    <w:rsid w:val="00613F75"/>
    <w:rsid w:val="006158FC"/>
    <w:rsid w:val="0062062F"/>
    <w:rsid w:val="0062281F"/>
    <w:rsid w:val="00623AE7"/>
    <w:rsid w:val="00626135"/>
    <w:rsid w:val="006269AC"/>
    <w:rsid w:val="006316EF"/>
    <w:rsid w:val="00632E9D"/>
    <w:rsid w:val="00633CE6"/>
    <w:rsid w:val="00637452"/>
    <w:rsid w:val="00637C15"/>
    <w:rsid w:val="00642D71"/>
    <w:rsid w:val="006455D8"/>
    <w:rsid w:val="006457D8"/>
    <w:rsid w:val="006522EF"/>
    <w:rsid w:val="00653A32"/>
    <w:rsid w:val="00660447"/>
    <w:rsid w:val="00660D77"/>
    <w:rsid w:val="00664686"/>
    <w:rsid w:val="00665138"/>
    <w:rsid w:val="00665F03"/>
    <w:rsid w:val="00670CFA"/>
    <w:rsid w:val="00671BCC"/>
    <w:rsid w:val="006730A8"/>
    <w:rsid w:val="00677A6F"/>
    <w:rsid w:val="00677FDF"/>
    <w:rsid w:val="006803D7"/>
    <w:rsid w:val="006804D3"/>
    <w:rsid w:val="006809B6"/>
    <w:rsid w:val="00680B92"/>
    <w:rsid w:val="00682C16"/>
    <w:rsid w:val="0068672B"/>
    <w:rsid w:val="006924AB"/>
    <w:rsid w:val="006929C3"/>
    <w:rsid w:val="00692D34"/>
    <w:rsid w:val="0069499A"/>
    <w:rsid w:val="00694D3D"/>
    <w:rsid w:val="0069638D"/>
    <w:rsid w:val="006974FE"/>
    <w:rsid w:val="006A1222"/>
    <w:rsid w:val="006A143D"/>
    <w:rsid w:val="006A3362"/>
    <w:rsid w:val="006A3C4B"/>
    <w:rsid w:val="006A6E6C"/>
    <w:rsid w:val="006B2B37"/>
    <w:rsid w:val="006B32EB"/>
    <w:rsid w:val="006B598C"/>
    <w:rsid w:val="006B72BA"/>
    <w:rsid w:val="006C14A4"/>
    <w:rsid w:val="006C18E8"/>
    <w:rsid w:val="006C2CE9"/>
    <w:rsid w:val="006C4B4D"/>
    <w:rsid w:val="006C5410"/>
    <w:rsid w:val="006C6F75"/>
    <w:rsid w:val="006C74D2"/>
    <w:rsid w:val="006D00EC"/>
    <w:rsid w:val="006D564D"/>
    <w:rsid w:val="006D58AF"/>
    <w:rsid w:val="006D68B8"/>
    <w:rsid w:val="006D71EF"/>
    <w:rsid w:val="006D78BD"/>
    <w:rsid w:val="006E1BAE"/>
    <w:rsid w:val="006E3714"/>
    <w:rsid w:val="006E4148"/>
    <w:rsid w:val="006E4661"/>
    <w:rsid w:val="006E591E"/>
    <w:rsid w:val="006E7DE0"/>
    <w:rsid w:val="006F1D87"/>
    <w:rsid w:val="006F1F2D"/>
    <w:rsid w:val="006F68D5"/>
    <w:rsid w:val="006F7BA8"/>
    <w:rsid w:val="00702954"/>
    <w:rsid w:val="00704F66"/>
    <w:rsid w:val="00706460"/>
    <w:rsid w:val="007066A7"/>
    <w:rsid w:val="00707B55"/>
    <w:rsid w:val="007106F4"/>
    <w:rsid w:val="00712673"/>
    <w:rsid w:val="007149B2"/>
    <w:rsid w:val="0071635A"/>
    <w:rsid w:val="00717256"/>
    <w:rsid w:val="00717521"/>
    <w:rsid w:val="00717567"/>
    <w:rsid w:val="0072144E"/>
    <w:rsid w:val="00722106"/>
    <w:rsid w:val="00723304"/>
    <w:rsid w:val="007234A2"/>
    <w:rsid w:val="0072445C"/>
    <w:rsid w:val="00725062"/>
    <w:rsid w:val="007260B2"/>
    <w:rsid w:val="0073660C"/>
    <w:rsid w:val="00736C31"/>
    <w:rsid w:val="00740BD9"/>
    <w:rsid w:val="007419DE"/>
    <w:rsid w:val="00747FFC"/>
    <w:rsid w:val="0075062C"/>
    <w:rsid w:val="0075182E"/>
    <w:rsid w:val="007538A9"/>
    <w:rsid w:val="007550E2"/>
    <w:rsid w:val="00756788"/>
    <w:rsid w:val="0075696B"/>
    <w:rsid w:val="00757075"/>
    <w:rsid w:val="00760E6E"/>
    <w:rsid w:val="0076238A"/>
    <w:rsid w:val="007629A9"/>
    <w:rsid w:val="0076386F"/>
    <w:rsid w:val="0076447C"/>
    <w:rsid w:val="00764D78"/>
    <w:rsid w:val="007657D2"/>
    <w:rsid w:val="007671BC"/>
    <w:rsid w:val="00770FCB"/>
    <w:rsid w:val="00773DB3"/>
    <w:rsid w:val="00775FE0"/>
    <w:rsid w:val="00777F42"/>
    <w:rsid w:val="00782D61"/>
    <w:rsid w:val="0078320F"/>
    <w:rsid w:val="0078731C"/>
    <w:rsid w:val="007901FE"/>
    <w:rsid w:val="00790F2A"/>
    <w:rsid w:val="00792682"/>
    <w:rsid w:val="00792E8B"/>
    <w:rsid w:val="007959FC"/>
    <w:rsid w:val="007A057E"/>
    <w:rsid w:val="007A05A1"/>
    <w:rsid w:val="007A2E44"/>
    <w:rsid w:val="007A67FA"/>
    <w:rsid w:val="007B00AD"/>
    <w:rsid w:val="007B0A9B"/>
    <w:rsid w:val="007B1167"/>
    <w:rsid w:val="007B195B"/>
    <w:rsid w:val="007B21AA"/>
    <w:rsid w:val="007B2290"/>
    <w:rsid w:val="007B2AA6"/>
    <w:rsid w:val="007B34E5"/>
    <w:rsid w:val="007B5578"/>
    <w:rsid w:val="007B6F11"/>
    <w:rsid w:val="007C0069"/>
    <w:rsid w:val="007C06AE"/>
    <w:rsid w:val="007C19E8"/>
    <w:rsid w:val="007C3555"/>
    <w:rsid w:val="007C7A60"/>
    <w:rsid w:val="007D0D7B"/>
    <w:rsid w:val="007D208E"/>
    <w:rsid w:val="007D3FEA"/>
    <w:rsid w:val="007D4151"/>
    <w:rsid w:val="007D4E13"/>
    <w:rsid w:val="007D5DB0"/>
    <w:rsid w:val="007D6E79"/>
    <w:rsid w:val="007D71A1"/>
    <w:rsid w:val="007E2D55"/>
    <w:rsid w:val="007E50E6"/>
    <w:rsid w:val="007F3A66"/>
    <w:rsid w:val="007F58EA"/>
    <w:rsid w:val="007F62B9"/>
    <w:rsid w:val="007F6F04"/>
    <w:rsid w:val="007F78FD"/>
    <w:rsid w:val="007F7A9C"/>
    <w:rsid w:val="0080203C"/>
    <w:rsid w:val="00806F1B"/>
    <w:rsid w:val="00807550"/>
    <w:rsid w:val="00810B1B"/>
    <w:rsid w:val="008140F0"/>
    <w:rsid w:val="00814A31"/>
    <w:rsid w:val="0081624E"/>
    <w:rsid w:val="00817C87"/>
    <w:rsid w:val="00820538"/>
    <w:rsid w:val="00830BC6"/>
    <w:rsid w:val="008328D4"/>
    <w:rsid w:val="00850658"/>
    <w:rsid w:val="00853B9B"/>
    <w:rsid w:val="0085535F"/>
    <w:rsid w:val="00855637"/>
    <w:rsid w:val="00860935"/>
    <w:rsid w:val="00861517"/>
    <w:rsid w:val="008678F9"/>
    <w:rsid w:val="00867C98"/>
    <w:rsid w:val="00871522"/>
    <w:rsid w:val="00873927"/>
    <w:rsid w:val="00873AF9"/>
    <w:rsid w:val="008748EF"/>
    <w:rsid w:val="008753ED"/>
    <w:rsid w:val="00876108"/>
    <w:rsid w:val="008778B1"/>
    <w:rsid w:val="008812EE"/>
    <w:rsid w:val="008825F9"/>
    <w:rsid w:val="00884932"/>
    <w:rsid w:val="00887790"/>
    <w:rsid w:val="00890FAC"/>
    <w:rsid w:val="00892B4A"/>
    <w:rsid w:val="0089407E"/>
    <w:rsid w:val="00895530"/>
    <w:rsid w:val="008963C1"/>
    <w:rsid w:val="00896467"/>
    <w:rsid w:val="00897272"/>
    <w:rsid w:val="00897F50"/>
    <w:rsid w:val="008A0C58"/>
    <w:rsid w:val="008A1AAC"/>
    <w:rsid w:val="008A3315"/>
    <w:rsid w:val="008A6A10"/>
    <w:rsid w:val="008B7FCD"/>
    <w:rsid w:val="008C003A"/>
    <w:rsid w:val="008C10E2"/>
    <w:rsid w:val="008C7D78"/>
    <w:rsid w:val="008D0D45"/>
    <w:rsid w:val="008D0DEB"/>
    <w:rsid w:val="008D0DFB"/>
    <w:rsid w:val="008D1FDF"/>
    <w:rsid w:val="008D25CD"/>
    <w:rsid w:val="008D318A"/>
    <w:rsid w:val="008D6608"/>
    <w:rsid w:val="008D668D"/>
    <w:rsid w:val="008E1C9F"/>
    <w:rsid w:val="008E2A92"/>
    <w:rsid w:val="008E3407"/>
    <w:rsid w:val="008E3C3C"/>
    <w:rsid w:val="008E7ACB"/>
    <w:rsid w:val="008F3CBC"/>
    <w:rsid w:val="008F6491"/>
    <w:rsid w:val="009032EF"/>
    <w:rsid w:val="009050FD"/>
    <w:rsid w:val="00906BE1"/>
    <w:rsid w:val="00907B8A"/>
    <w:rsid w:val="00907EDA"/>
    <w:rsid w:val="00910205"/>
    <w:rsid w:val="00911828"/>
    <w:rsid w:val="009129C3"/>
    <w:rsid w:val="00912E9A"/>
    <w:rsid w:val="00913BD2"/>
    <w:rsid w:val="009159AB"/>
    <w:rsid w:val="00916126"/>
    <w:rsid w:val="0091677C"/>
    <w:rsid w:val="0091743D"/>
    <w:rsid w:val="009224FE"/>
    <w:rsid w:val="00923AEE"/>
    <w:rsid w:val="00926F09"/>
    <w:rsid w:val="009270DD"/>
    <w:rsid w:val="009310BB"/>
    <w:rsid w:val="00931D79"/>
    <w:rsid w:val="00935EE8"/>
    <w:rsid w:val="009373C9"/>
    <w:rsid w:val="00942FA4"/>
    <w:rsid w:val="00943D83"/>
    <w:rsid w:val="00950B2C"/>
    <w:rsid w:val="00950F1E"/>
    <w:rsid w:val="00951193"/>
    <w:rsid w:val="00953112"/>
    <w:rsid w:val="009533B5"/>
    <w:rsid w:val="00953CA8"/>
    <w:rsid w:val="0095604F"/>
    <w:rsid w:val="0096233A"/>
    <w:rsid w:val="00962A3F"/>
    <w:rsid w:val="00964FEF"/>
    <w:rsid w:val="00965429"/>
    <w:rsid w:val="009654EA"/>
    <w:rsid w:val="00970AA2"/>
    <w:rsid w:val="0097522F"/>
    <w:rsid w:val="0097569A"/>
    <w:rsid w:val="00975766"/>
    <w:rsid w:val="00976263"/>
    <w:rsid w:val="00976694"/>
    <w:rsid w:val="0097693F"/>
    <w:rsid w:val="009805B4"/>
    <w:rsid w:val="00980CAB"/>
    <w:rsid w:val="00981E0A"/>
    <w:rsid w:val="0098248F"/>
    <w:rsid w:val="009908A1"/>
    <w:rsid w:val="00991F26"/>
    <w:rsid w:val="0099302C"/>
    <w:rsid w:val="009A0C82"/>
    <w:rsid w:val="009A25E4"/>
    <w:rsid w:val="009A2F61"/>
    <w:rsid w:val="009A324D"/>
    <w:rsid w:val="009A3781"/>
    <w:rsid w:val="009A4B88"/>
    <w:rsid w:val="009A503E"/>
    <w:rsid w:val="009A657E"/>
    <w:rsid w:val="009A6CB1"/>
    <w:rsid w:val="009B0F91"/>
    <w:rsid w:val="009B45D1"/>
    <w:rsid w:val="009B5113"/>
    <w:rsid w:val="009B56A0"/>
    <w:rsid w:val="009B6115"/>
    <w:rsid w:val="009C060B"/>
    <w:rsid w:val="009C6638"/>
    <w:rsid w:val="009D2395"/>
    <w:rsid w:val="009E052E"/>
    <w:rsid w:val="009E123E"/>
    <w:rsid w:val="009E2699"/>
    <w:rsid w:val="009E37D0"/>
    <w:rsid w:val="009E6706"/>
    <w:rsid w:val="009E6C64"/>
    <w:rsid w:val="009E7078"/>
    <w:rsid w:val="009E7304"/>
    <w:rsid w:val="009F25A4"/>
    <w:rsid w:val="009F3BC0"/>
    <w:rsid w:val="009F6190"/>
    <w:rsid w:val="009F765D"/>
    <w:rsid w:val="00A0255F"/>
    <w:rsid w:val="00A0307D"/>
    <w:rsid w:val="00A03AE4"/>
    <w:rsid w:val="00A052EF"/>
    <w:rsid w:val="00A05BFB"/>
    <w:rsid w:val="00A05C5C"/>
    <w:rsid w:val="00A10B6C"/>
    <w:rsid w:val="00A11F3A"/>
    <w:rsid w:val="00A141D6"/>
    <w:rsid w:val="00A22D98"/>
    <w:rsid w:val="00A23613"/>
    <w:rsid w:val="00A25FDA"/>
    <w:rsid w:val="00A3171A"/>
    <w:rsid w:val="00A337B5"/>
    <w:rsid w:val="00A34B5B"/>
    <w:rsid w:val="00A3517B"/>
    <w:rsid w:val="00A35405"/>
    <w:rsid w:val="00A37E24"/>
    <w:rsid w:val="00A40679"/>
    <w:rsid w:val="00A439B8"/>
    <w:rsid w:val="00A43D48"/>
    <w:rsid w:val="00A4649F"/>
    <w:rsid w:val="00A4744F"/>
    <w:rsid w:val="00A50751"/>
    <w:rsid w:val="00A50A58"/>
    <w:rsid w:val="00A50BCF"/>
    <w:rsid w:val="00A5121F"/>
    <w:rsid w:val="00A514C7"/>
    <w:rsid w:val="00A557E8"/>
    <w:rsid w:val="00A562B9"/>
    <w:rsid w:val="00A5725D"/>
    <w:rsid w:val="00A5774D"/>
    <w:rsid w:val="00A57AA4"/>
    <w:rsid w:val="00A62F80"/>
    <w:rsid w:val="00A640A8"/>
    <w:rsid w:val="00A6695F"/>
    <w:rsid w:val="00A67055"/>
    <w:rsid w:val="00A7232A"/>
    <w:rsid w:val="00A74244"/>
    <w:rsid w:val="00A771F5"/>
    <w:rsid w:val="00A80991"/>
    <w:rsid w:val="00A82A94"/>
    <w:rsid w:val="00A84E98"/>
    <w:rsid w:val="00A906FD"/>
    <w:rsid w:val="00A90AED"/>
    <w:rsid w:val="00A91606"/>
    <w:rsid w:val="00A91886"/>
    <w:rsid w:val="00A929C6"/>
    <w:rsid w:val="00A933C2"/>
    <w:rsid w:val="00A94952"/>
    <w:rsid w:val="00AA2158"/>
    <w:rsid w:val="00AA4137"/>
    <w:rsid w:val="00AB3545"/>
    <w:rsid w:val="00AB36AE"/>
    <w:rsid w:val="00AB4C74"/>
    <w:rsid w:val="00AB5AD5"/>
    <w:rsid w:val="00AC0B56"/>
    <w:rsid w:val="00AC1261"/>
    <w:rsid w:val="00AC1EE0"/>
    <w:rsid w:val="00AC38B3"/>
    <w:rsid w:val="00AC5F05"/>
    <w:rsid w:val="00AD22E1"/>
    <w:rsid w:val="00AD52A9"/>
    <w:rsid w:val="00AD72BC"/>
    <w:rsid w:val="00AD74F2"/>
    <w:rsid w:val="00AE01ED"/>
    <w:rsid w:val="00AE0F15"/>
    <w:rsid w:val="00AE2B32"/>
    <w:rsid w:val="00AE2F78"/>
    <w:rsid w:val="00AE3824"/>
    <w:rsid w:val="00AE6891"/>
    <w:rsid w:val="00AE792C"/>
    <w:rsid w:val="00AF148E"/>
    <w:rsid w:val="00AF1CBD"/>
    <w:rsid w:val="00AF2040"/>
    <w:rsid w:val="00AF2939"/>
    <w:rsid w:val="00AF319A"/>
    <w:rsid w:val="00AF46CB"/>
    <w:rsid w:val="00B02935"/>
    <w:rsid w:val="00B065F4"/>
    <w:rsid w:val="00B1555A"/>
    <w:rsid w:val="00B21342"/>
    <w:rsid w:val="00B25C8E"/>
    <w:rsid w:val="00B26DC9"/>
    <w:rsid w:val="00B31089"/>
    <w:rsid w:val="00B31A88"/>
    <w:rsid w:val="00B32200"/>
    <w:rsid w:val="00B33F81"/>
    <w:rsid w:val="00B34698"/>
    <w:rsid w:val="00B419E8"/>
    <w:rsid w:val="00B42C9F"/>
    <w:rsid w:val="00B42EAB"/>
    <w:rsid w:val="00B4376C"/>
    <w:rsid w:val="00B47319"/>
    <w:rsid w:val="00B47ECF"/>
    <w:rsid w:val="00B52FB9"/>
    <w:rsid w:val="00B54930"/>
    <w:rsid w:val="00B54B9B"/>
    <w:rsid w:val="00B571D9"/>
    <w:rsid w:val="00B63C77"/>
    <w:rsid w:val="00B641D8"/>
    <w:rsid w:val="00B64ACF"/>
    <w:rsid w:val="00B654AB"/>
    <w:rsid w:val="00B66295"/>
    <w:rsid w:val="00B663AA"/>
    <w:rsid w:val="00B66863"/>
    <w:rsid w:val="00B673BE"/>
    <w:rsid w:val="00B71854"/>
    <w:rsid w:val="00B725F6"/>
    <w:rsid w:val="00B7337F"/>
    <w:rsid w:val="00B748B0"/>
    <w:rsid w:val="00B75373"/>
    <w:rsid w:val="00B75BB6"/>
    <w:rsid w:val="00B76AB8"/>
    <w:rsid w:val="00B76CAC"/>
    <w:rsid w:val="00B80F4D"/>
    <w:rsid w:val="00B82158"/>
    <w:rsid w:val="00B82B70"/>
    <w:rsid w:val="00B83332"/>
    <w:rsid w:val="00B839FB"/>
    <w:rsid w:val="00B83C39"/>
    <w:rsid w:val="00B84700"/>
    <w:rsid w:val="00B84D91"/>
    <w:rsid w:val="00B87FD2"/>
    <w:rsid w:val="00B9029C"/>
    <w:rsid w:val="00B91EBF"/>
    <w:rsid w:val="00B93F72"/>
    <w:rsid w:val="00B94DA6"/>
    <w:rsid w:val="00B94F6E"/>
    <w:rsid w:val="00B9522D"/>
    <w:rsid w:val="00B95F26"/>
    <w:rsid w:val="00BA46CC"/>
    <w:rsid w:val="00BA52D0"/>
    <w:rsid w:val="00BA759B"/>
    <w:rsid w:val="00BB0709"/>
    <w:rsid w:val="00BB14FC"/>
    <w:rsid w:val="00BB1941"/>
    <w:rsid w:val="00BB2F07"/>
    <w:rsid w:val="00BB3C14"/>
    <w:rsid w:val="00BB4081"/>
    <w:rsid w:val="00BB40FE"/>
    <w:rsid w:val="00BB4EFA"/>
    <w:rsid w:val="00BB4F12"/>
    <w:rsid w:val="00BB5F0C"/>
    <w:rsid w:val="00BC062B"/>
    <w:rsid w:val="00BC3A09"/>
    <w:rsid w:val="00BC3A86"/>
    <w:rsid w:val="00BC4EE1"/>
    <w:rsid w:val="00BC5078"/>
    <w:rsid w:val="00BD3A7C"/>
    <w:rsid w:val="00BD3DD3"/>
    <w:rsid w:val="00BD62E9"/>
    <w:rsid w:val="00BD7F95"/>
    <w:rsid w:val="00BE3E8E"/>
    <w:rsid w:val="00BE3F5A"/>
    <w:rsid w:val="00BE463D"/>
    <w:rsid w:val="00BF1E41"/>
    <w:rsid w:val="00BF31F9"/>
    <w:rsid w:val="00C005A0"/>
    <w:rsid w:val="00C016B0"/>
    <w:rsid w:val="00C043B0"/>
    <w:rsid w:val="00C05ACB"/>
    <w:rsid w:val="00C109CC"/>
    <w:rsid w:val="00C10C04"/>
    <w:rsid w:val="00C128D9"/>
    <w:rsid w:val="00C147BD"/>
    <w:rsid w:val="00C15503"/>
    <w:rsid w:val="00C1577F"/>
    <w:rsid w:val="00C16017"/>
    <w:rsid w:val="00C1601D"/>
    <w:rsid w:val="00C20D59"/>
    <w:rsid w:val="00C2568E"/>
    <w:rsid w:val="00C31F2B"/>
    <w:rsid w:val="00C4221A"/>
    <w:rsid w:val="00C459F4"/>
    <w:rsid w:val="00C465F0"/>
    <w:rsid w:val="00C478BA"/>
    <w:rsid w:val="00C50101"/>
    <w:rsid w:val="00C52684"/>
    <w:rsid w:val="00C53197"/>
    <w:rsid w:val="00C53BB5"/>
    <w:rsid w:val="00C54AC6"/>
    <w:rsid w:val="00C613EE"/>
    <w:rsid w:val="00C616E7"/>
    <w:rsid w:val="00C6461C"/>
    <w:rsid w:val="00C661F8"/>
    <w:rsid w:val="00C663CE"/>
    <w:rsid w:val="00C70759"/>
    <w:rsid w:val="00C70AB6"/>
    <w:rsid w:val="00C72179"/>
    <w:rsid w:val="00C74C3B"/>
    <w:rsid w:val="00C7605F"/>
    <w:rsid w:val="00C77286"/>
    <w:rsid w:val="00C80FD7"/>
    <w:rsid w:val="00C81479"/>
    <w:rsid w:val="00C82C60"/>
    <w:rsid w:val="00C830EB"/>
    <w:rsid w:val="00C86602"/>
    <w:rsid w:val="00C86FAC"/>
    <w:rsid w:val="00C87119"/>
    <w:rsid w:val="00C874FB"/>
    <w:rsid w:val="00C90695"/>
    <w:rsid w:val="00C91EB9"/>
    <w:rsid w:val="00C925D6"/>
    <w:rsid w:val="00C94C13"/>
    <w:rsid w:val="00C94EDE"/>
    <w:rsid w:val="00CA0C1F"/>
    <w:rsid w:val="00CA1412"/>
    <w:rsid w:val="00CA4373"/>
    <w:rsid w:val="00CA5414"/>
    <w:rsid w:val="00CA7DE3"/>
    <w:rsid w:val="00CB107B"/>
    <w:rsid w:val="00CB1E27"/>
    <w:rsid w:val="00CB32C4"/>
    <w:rsid w:val="00CB3928"/>
    <w:rsid w:val="00CB66B3"/>
    <w:rsid w:val="00CB698A"/>
    <w:rsid w:val="00CB7735"/>
    <w:rsid w:val="00CC0056"/>
    <w:rsid w:val="00CC02BF"/>
    <w:rsid w:val="00CC0FE2"/>
    <w:rsid w:val="00CC32BA"/>
    <w:rsid w:val="00CD1639"/>
    <w:rsid w:val="00CD3D16"/>
    <w:rsid w:val="00CD4054"/>
    <w:rsid w:val="00CD4505"/>
    <w:rsid w:val="00CD5F76"/>
    <w:rsid w:val="00CD6227"/>
    <w:rsid w:val="00CD75D3"/>
    <w:rsid w:val="00CE3989"/>
    <w:rsid w:val="00CE5A83"/>
    <w:rsid w:val="00CE7771"/>
    <w:rsid w:val="00CF02CB"/>
    <w:rsid w:val="00CF1C51"/>
    <w:rsid w:val="00CF4A70"/>
    <w:rsid w:val="00CF54B1"/>
    <w:rsid w:val="00CF6568"/>
    <w:rsid w:val="00CF66AD"/>
    <w:rsid w:val="00CF6CA9"/>
    <w:rsid w:val="00D0008A"/>
    <w:rsid w:val="00D01305"/>
    <w:rsid w:val="00D059B6"/>
    <w:rsid w:val="00D111FE"/>
    <w:rsid w:val="00D16BA6"/>
    <w:rsid w:val="00D17016"/>
    <w:rsid w:val="00D17A3C"/>
    <w:rsid w:val="00D17DFF"/>
    <w:rsid w:val="00D17F1A"/>
    <w:rsid w:val="00D22CFF"/>
    <w:rsid w:val="00D23199"/>
    <w:rsid w:val="00D23D4F"/>
    <w:rsid w:val="00D30ED1"/>
    <w:rsid w:val="00D31E20"/>
    <w:rsid w:val="00D333F6"/>
    <w:rsid w:val="00D36179"/>
    <w:rsid w:val="00D402E9"/>
    <w:rsid w:val="00D4365A"/>
    <w:rsid w:val="00D50F28"/>
    <w:rsid w:val="00D50F5E"/>
    <w:rsid w:val="00D523A8"/>
    <w:rsid w:val="00D55C57"/>
    <w:rsid w:val="00D6000E"/>
    <w:rsid w:val="00D64F40"/>
    <w:rsid w:val="00D6773E"/>
    <w:rsid w:val="00D70582"/>
    <w:rsid w:val="00D7114B"/>
    <w:rsid w:val="00D715EF"/>
    <w:rsid w:val="00D725A9"/>
    <w:rsid w:val="00D728F4"/>
    <w:rsid w:val="00D805B7"/>
    <w:rsid w:val="00D81E62"/>
    <w:rsid w:val="00D83103"/>
    <w:rsid w:val="00D832B7"/>
    <w:rsid w:val="00D83B7A"/>
    <w:rsid w:val="00D84754"/>
    <w:rsid w:val="00D904BF"/>
    <w:rsid w:val="00D913D5"/>
    <w:rsid w:val="00D925BF"/>
    <w:rsid w:val="00D9455B"/>
    <w:rsid w:val="00D96978"/>
    <w:rsid w:val="00DA0557"/>
    <w:rsid w:val="00DA1C3D"/>
    <w:rsid w:val="00DA5450"/>
    <w:rsid w:val="00DB126C"/>
    <w:rsid w:val="00DB4742"/>
    <w:rsid w:val="00DC07DA"/>
    <w:rsid w:val="00DC2BD2"/>
    <w:rsid w:val="00DC2EDE"/>
    <w:rsid w:val="00DC5D31"/>
    <w:rsid w:val="00DC6304"/>
    <w:rsid w:val="00DC684B"/>
    <w:rsid w:val="00DD7F33"/>
    <w:rsid w:val="00DE0867"/>
    <w:rsid w:val="00DE120A"/>
    <w:rsid w:val="00DE38BB"/>
    <w:rsid w:val="00DE5648"/>
    <w:rsid w:val="00DE5996"/>
    <w:rsid w:val="00DE7172"/>
    <w:rsid w:val="00DF1680"/>
    <w:rsid w:val="00DF3AE2"/>
    <w:rsid w:val="00DF4841"/>
    <w:rsid w:val="00DF552F"/>
    <w:rsid w:val="00E02FF0"/>
    <w:rsid w:val="00E0311D"/>
    <w:rsid w:val="00E03FA3"/>
    <w:rsid w:val="00E04504"/>
    <w:rsid w:val="00E046ED"/>
    <w:rsid w:val="00E110FE"/>
    <w:rsid w:val="00E132C8"/>
    <w:rsid w:val="00E14191"/>
    <w:rsid w:val="00E14461"/>
    <w:rsid w:val="00E15FF4"/>
    <w:rsid w:val="00E22E1A"/>
    <w:rsid w:val="00E26A5D"/>
    <w:rsid w:val="00E30855"/>
    <w:rsid w:val="00E322AA"/>
    <w:rsid w:val="00E323A0"/>
    <w:rsid w:val="00E36596"/>
    <w:rsid w:val="00E36D31"/>
    <w:rsid w:val="00E37E4F"/>
    <w:rsid w:val="00E40D6D"/>
    <w:rsid w:val="00E47F52"/>
    <w:rsid w:val="00E54C59"/>
    <w:rsid w:val="00E55F0F"/>
    <w:rsid w:val="00E563E0"/>
    <w:rsid w:val="00E568D5"/>
    <w:rsid w:val="00E60216"/>
    <w:rsid w:val="00E60B2C"/>
    <w:rsid w:val="00E610B7"/>
    <w:rsid w:val="00E64A4D"/>
    <w:rsid w:val="00E64CF3"/>
    <w:rsid w:val="00E64FF2"/>
    <w:rsid w:val="00E662C5"/>
    <w:rsid w:val="00E66B8F"/>
    <w:rsid w:val="00E67468"/>
    <w:rsid w:val="00E67F18"/>
    <w:rsid w:val="00E72B70"/>
    <w:rsid w:val="00E72E22"/>
    <w:rsid w:val="00E74A76"/>
    <w:rsid w:val="00E761C0"/>
    <w:rsid w:val="00E7668A"/>
    <w:rsid w:val="00E76EAD"/>
    <w:rsid w:val="00E84492"/>
    <w:rsid w:val="00E85BFF"/>
    <w:rsid w:val="00E87985"/>
    <w:rsid w:val="00E91E27"/>
    <w:rsid w:val="00E92B19"/>
    <w:rsid w:val="00EA0C10"/>
    <w:rsid w:val="00EA264C"/>
    <w:rsid w:val="00EA46FD"/>
    <w:rsid w:val="00EA56D6"/>
    <w:rsid w:val="00EA7389"/>
    <w:rsid w:val="00EB1261"/>
    <w:rsid w:val="00EB234E"/>
    <w:rsid w:val="00EB3F69"/>
    <w:rsid w:val="00EB407B"/>
    <w:rsid w:val="00EB569D"/>
    <w:rsid w:val="00EB6F8E"/>
    <w:rsid w:val="00EC0FE6"/>
    <w:rsid w:val="00EC24E5"/>
    <w:rsid w:val="00EC3FED"/>
    <w:rsid w:val="00ED01CF"/>
    <w:rsid w:val="00ED15D6"/>
    <w:rsid w:val="00ED20F8"/>
    <w:rsid w:val="00ED5556"/>
    <w:rsid w:val="00ED663F"/>
    <w:rsid w:val="00ED7175"/>
    <w:rsid w:val="00EE7C9D"/>
    <w:rsid w:val="00EF1848"/>
    <w:rsid w:val="00EF278C"/>
    <w:rsid w:val="00EF381D"/>
    <w:rsid w:val="00EF3E65"/>
    <w:rsid w:val="00EF7F9B"/>
    <w:rsid w:val="00F01681"/>
    <w:rsid w:val="00F02692"/>
    <w:rsid w:val="00F03D62"/>
    <w:rsid w:val="00F0434E"/>
    <w:rsid w:val="00F045EF"/>
    <w:rsid w:val="00F04B2F"/>
    <w:rsid w:val="00F05724"/>
    <w:rsid w:val="00F05A21"/>
    <w:rsid w:val="00F0675D"/>
    <w:rsid w:val="00F10A23"/>
    <w:rsid w:val="00F10AE4"/>
    <w:rsid w:val="00F12B63"/>
    <w:rsid w:val="00F16425"/>
    <w:rsid w:val="00F1689E"/>
    <w:rsid w:val="00F21471"/>
    <w:rsid w:val="00F23871"/>
    <w:rsid w:val="00F24B53"/>
    <w:rsid w:val="00F26A0A"/>
    <w:rsid w:val="00F31ACC"/>
    <w:rsid w:val="00F33522"/>
    <w:rsid w:val="00F3428A"/>
    <w:rsid w:val="00F360DD"/>
    <w:rsid w:val="00F404C4"/>
    <w:rsid w:val="00F40C61"/>
    <w:rsid w:val="00F40CDA"/>
    <w:rsid w:val="00F4115D"/>
    <w:rsid w:val="00F43A46"/>
    <w:rsid w:val="00F511AC"/>
    <w:rsid w:val="00F52D08"/>
    <w:rsid w:val="00F54091"/>
    <w:rsid w:val="00F55C94"/>
    <w:rsid w:val="00F56678"/>
    <w:rsid w:val="00F60DC9"/>
    <w:rsid w:val="00F61906"/>
    <w:rsid w:val="00F61963"/>
    <w:rsid w:val="00F61D09"/>
    <w:rsid w:val="00F62D43"/>
    <w:rsid w:val="00F655D3"/>
    <w:rsid w:val="00F667C6"/>
    <w:rsid w:val="00F67152"/>
    <w:rsid w:val="00F6719F"/>
    <w:rsid w:val="00F733B2"/>
    <w:rsid w:val="00F75905"/>
    <w:rsid w:val="00F75CFE"/>
    <w:rsid w:val="00F77648"/>
    <w:rsid w:val="00F77BD9"/>
    <w:rsid w:val="00F77D1B"/>
    <w:rsid w:val="00F821AD"/>
    <w:rsid w:val="00F82611"/>
    <w:rsid w:val="00F829D1"/>
    <w:rsid w:val="00F83186"/>
    <w:rsid w:val="00F83C27"/>
    <w:rsid w:val="00F841C0"/>
    <w:rsid w:val="00F85C95"/>
    <w:rsid w:val="00F862DF"/>
    <w:rsid w:val="00F86481"/>
    <w:rsid w:val="00F86C90"/>
    <w:rsid w:val="00F9086A"/>
    <w:rsid w:val="00F91AF6"/>
    <w:rsid w:val="00F93577"/>
    <w:rsid w:val="00F95AC1"/>
    <w:rsid w:val="00FA138C"/>
    <w:rsid w:val="00FA32FC"/>
    <w:rsid w:val="00FA3878"/>
    <w:rsid w:val="00FA3A05"/>
    <w:rsid w:val="00FA7E09"/>
    <w:rsid w:val="00FB0533"/>
    <w:rsid w:val="00FB2118"/>
    <w:rsid w:val="00FB2175"/>
    <w:rsid w:val="00FB26AD"/>
    <w:rsid w:val="00FB28DB"/>
    <w:rsid w:val="00FB5E47"/>
    <w:rsid w:val="00FC12D5"/>
    <w:rsid w:val="00FC5F60"/>
    <w:rsid w:val="00FC7D4F"/>
    <w:rsid w:val="00FC7F33"/>
    <w:rsid w:val="00FD4134"/>
    <w:rsid w:val="00FD598A"/>
    <w:rsid w:val="00FD60F3"/>
    <w:rsid w:val="00FD65AB"/>
    <w:rsid w:val="00FD7757"/>
    <w:rsid w:val="00FD7D77"/>
    <w:rsid w:val="00FE12C7"/>
    <w:rsid w:val="00FE14F4"/>
    <w:rsid w:val="00FE3CE3"/>
    <w:rsid w:val="00FE5893"/>
    <w:rsid w:val="00FE6601"/>
    <w:rsid w:val="00FF1D5D"/>
    <w:rsid w:val="00FF1FB3"/>
    <w:rsid w:val="00FF2D6F"/>
    <w:rsid w:val="00FF33CD"/>
    <w:rsid w:val="00FF5A8E"/>
    <w:rsid w:val="00FF5CEE"/>
    <w:rsid w:val="011B0745"/>
    <w:rsid w:val="01785B98"/>
    <w:rsid w:val="03265180"/>
    <w:rsid w:val="046356D4"/>
    <w:rsid w:val="046501D7"/>
    <w:rsid w:val="04B862AB"/>
    <w:rsid w:val="058A40EC"/>
    <w:rsid w:val="05923408"/>
    <w:rsid w:val="05F83171"/>
    <w:rsid w:val="06622FDE"/>
    <w:rsid w:val="07B04F69"/>
    <w:rsid w:val="08DC386F"/>
    <w:rsid w:val="08FC0E5C"/>
    <w:rsid w:val="0A107D50"/>
    <w:rsid w:val="0A252635"/>
    <w:rsid w:val="0ADF5EB6"/>
    <w:rsid w:val="0BCB720C"/>
    <w:rsid w:val="0CE9794A"/>
    <w:rsid w:val="0EA37FCC"/>
    <w:rsid w:val="0F44355D"/>
    <w:rsid w:val="0F6167BF"/>
    <w:rsid w:val="0FD909AF"/>
    <w:rsid w:val="11017245"/>
    <w:rsid w:val="11847C41"/>
    <w:rsid w:val="11BF451F"/>
    <w:rsid w:val="125A3098"/>
    <w:rsid w:val="134C478E"/>
    <w:rsid w:val="13955E87"/>
    <w:rsid w:val="13E1581F"/>
    <w:rsid w:val="13F3136C"/>
    <w:rsid w:val="141F2B9B"/>
    <w:rsid w:val="14771CDF"/>
    <w:rsid w:val="15891CCA"/>
    <w:rsid w:val="166E657F"/>
    <w:rsid w:val="16C429D7"/>
    <w:rsid w:val="17932D69"/>
    <w:rsid w:val="18552337"/>
    <w:rsid w:val="1875487F"/>
    <w:rsid w:val="18FA6A3B"/>
    <w:rsid w:val="19033B41"/>
    <w:rsid w:val="19143FA0"/>
    <w:rsid w:val="1A27385F"/>
    <w:rsid w:val="1A4F6F20"/>
    <w:rsid w:val="1AF35E37"/>
    <w:rsid w:val="1B79633D"/>
    <w:rsid w:val="1C874A89"/>
    <w:rsid w:val="1E067C30"/>
    <w:rsid w:val="1EB560FD"/>
    <w:rsid w:val="1F702630"/>
    <w:rsid w:val="1F925C1F"/>
    <w:rsid w:val="1FCD4EA9"/>
    <w:rsid w:val="1FF40688"/>
    <w:rsid w:val="204D1C98"/>
    <w:rsid w:val="20A140B1"/>
    <w:rsid w:val="2191111F"/>
    <w:rsid w:val="21E31515"/>
    <w:rsid w:val="22006ED8"/>
    <w:rsid w:val="225862E9"/>
    <w:rsid w:val="23984FDE"/>
    <w:rsid w:val="23E24451"/>
    <w:rsid w:val="247C0C4C"/>
    <w:rsid w:val="256B319A"/>
    <w:rsid w:val="25916979"/>
    <w:rsid w:val="263F0183"/>
    <w:rsid w:val="267E6EFD"/>
    <w:rsid w:val="26C07516"/>
    <w:rsid w:val="27F22EE4"/>
    <w:rsid w:val="29CA4207"/>
    <w:rsid w:val="29FA689B"/>
    <w:rsid w:val="2BC52ED8"/>
    <w:rsid w:val="2C3A1B18"/>
    <w:rsid w:val="2C67317C"/>
    <w:rsid w:val="2C792640"/>
    <w:rsid w:val="2CCA2E9C"/>
    <w:rsid w:val="2D0363AE"/>
    <w:rsid w:val="2DBB3EEC"/>
    <w:rsid w:val="2E4C53AD"/>
    <w:rsid w:val="2EC45E65"/>
    <w:rsid w:val="2FAF22FE"/>
    <w:rsid w:val="2FB14AB3"/>
    <w:rsid w:val="2FD2687A"/>
    <w:rsid w:val="300A7A53"/>
    <w:rsid w:val="31C03BD4"/>
    <w:rsid w:val="3207424B"/>
    <w:rsid w:val="3260395B"/>
    <w:rsid w:val="33B51A84"/>
    <w:rsid w:val="33F61C82"/>
    <w:rsid w:val="37503F9E"/>
    <w:rsid w:val="395D6E46"/>
    <w:rsid w:val="3969383E"/>
    <w:rsid w:val="3A6F5083"/>
    <w:rsid w:val="3B8E32E7"/>
    <w:rsid w:val="3C221C81"/>
    <w:rsid w:val="3CE27D8E"/>
    <w:rsid w:val="3D4C5207"/>
    <w:rsid w:val="3E23065E"/>
    <w:rsid w:val="41436921"/>
    <w:rsid w:val="4190164C"/>
    <w:rsid w:val="43452E25"/>
    <w:rsid w:val="4350530C"/>
    <w:rsid w:val="441D5B50"/>
    <w:rsid w:val="4447006A"/>
    <w:rsid w:val="44BC0EC5"/>
    <w:rsid w:val="44E0528D"/>
    <w:rsid w:val="451F76A5"/>
    <w:rsid w:val="45401AF6"/>
    <w:rsid w:val="456F23DB"/>
    <w:rsid w:val="45C64D7A"/>
    <w:rsid w:val="46A47F54"/>
    <w:rsid w:val="46C156D7"/>
    <w:rsid w:val="46DA7D28"/>
    <w:rsid w:val="471963AA"/>
    <w:rsid w:val="474653BD"/>
    <w:rsid w:val="47C22A8D"/>
    <w:rsid w:val="486C7DEB"/>
    <w:rsid w:val="496B110B"/>
    <w:rsid w:val="49DE7B2F"/>
    <w:rsid w:val="4A031344"/>
    <w:rsid w:val="4ACE1952"/>
    <w:rsid w:val="4B5005B9"/>
    <w:rsid w:val="4C143C11"/>
    <w:rsid w:val="4C4874E2"/>
    <w:rsid w:val="4C90449D"/>
    <w:rsid w:val="4CD8280E"/>
    <w:rsid w:val="4EAA6232"/>
    <w:rsid w:val="4EAC01FC"/>
    <w:rsid w:val="4EC94B40"/>
    <w:rsid w:val="503C735D"/>
    <w:rsid w:val="51A46F68"/>
    <w:rsid w:val="51BD4A0F"/>
    <w:rsid w:val="524F4958"/>
    <w:rsid w:val="52612D59"/>
    <w:rsid w:val="52992DB0"/>
    <w:rsid w:val="52DC4210"/>
    <w:rsid w:val="540957A8"/>
    <w:rsid w:val="548060EE"/>
    <w:rsid w:val="56905D0D"/>
    <w:rsid w:val="56F67A99"/>
    <w:rsid w:val="57500DC5"/>
    <w:rsid w:val="57566F57"/>
    <w:rsid w:val="57BF2D4E"/>
    <w:rsid w:val="57E06B2A"/>
    <w:rsid w:val="58694A68"/>
    <w:rsid w:val="5ADA7E9F"/>
    <w:rsid w:val="5B5C49B4"/>
    <w:rsid w:val="5BE447A9"/>
    <w:rsid w:val="5C225659"/>
    <w:rsid w:val="5E114D05"/>
    <w:rsid w:val="5EA22A81"/>
    <w:rsid w:val="5EBC0655"/>
    <w:rsid w:val="5FC8476A"/>
    <w:rsid w:val="60421C7F"/>
    <w:rsid w:val="60803296"/>
    <w:rsid w:val="61742A83"/>
    <w:rsid w:val="618172C6"/>
    <w:rsid w:val="62053A53"/>
    <w:rsid w:val="646627A3"/>
    <w:rsid w:val="64C0772E"/>
    <w:rsid w:val="65555568"/>
    <w:rsid w:val="67A930D3"/>
    <w:rsid w:val="69F544E6"/>
    <w:rsid w:val="6A1D3904"/>
    <w:rsid w:val="6A3A44B6"/>
    <w:rsid w:val="6B5E4636"/>
    <w:rsid w:val="6D1C0597"/>
    <w:rsid w:val="6E354859"/>
    <w:rsid w:val="72323CC5"/>
    <w:rsid w:val="72DA4A88"/>
    <w:rsid w:val="73520AC2"/>
    <w:rsid w:val="73EF00BF"/>
    <w:rsid w:val="7423420D"/>
    <w:rsid w:val="75A81DDF"/>
    <w:rsid w:val="76C26D16"/>
    <w:rsid w:val="773710A5"/>
    <w:rsid w:val="77B37656"/>
    <w:rsid w:val="77DC095A"/>
    <w:rsid w:val="78430A3F"/>
    <w:rsid w:val="796243D8"/>
    <w:rsid w:val="79C63670"/>
    <w:rsid w:val="7AA813AE"/>
    <w:rsid w:val="7AAD4830"/>
    <w:rsid w:val="7B3E69C5"/>
    <w:rsid w:val="7D00763B"/>
    <w:rsid w:val="7D1943FF"/>
    <w:rsid w:val="7EA877E8"/>
  </w:rsids>
  <m:mathPr>
    <m:mathFont m:val="Cambria Math"/>
    <m:brkBin m:val="before"/>
    <m:brkBinSub m:val="--"/>
    <m:smallFrac/>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11FAA3B"/>
  <w15:docId w15:val="{794A622E-F8CB-4D30-8320-B63C03F24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jc w:val="both"/>
    </w:pPr>
    <w:rPr>
      <w:kern w:val="2"/>
      <w:sz w:val="21"/>
    </w:rPr>
  </w:style>
  <w:style w:type="paragraph" w:styleId="1">
    <w:name w:val="heading 1"/>
    <w:basedOn w:val="a0"/>
    <w:next w:val="a0"/>
    <w:link w:val="10"/>
    <w:uiPriority w:val="9"/>
    <w:qFormat/>
    <w:pPr>
      <w:spacing w:line="520" w:lineRule="exact"/>
      <w:ind w:firstLineChars="200" w:firstLine="640"/>
      <w:outlineLvl w:val="0"/>
    </w:pPr>
    <w:rPr>
      <w:rFonts w:eastAsia="黑体"/>
      <w:sz w:val="32"/>
      <w:szCs w:val="32"/>
    </w:rPr>
  </w:style>
  <w:style w:type="paragraph" w:styleId="2">
    <w:name w:val="heading 2"/>
    <w:basedOn w:val="a0"/>
    <w:link w:val="20"/>
    <w:autoRedefine/>
    <w:uiPriority w:val="9"/>
    <w:qFormat/>
    <w:pPr>
      <w:spacing w:line="520" w:lineRule="exact"/>
      <w:ind w:firstLineChars="200" w:firstLine="640"/>
      <w:outlineLvl w:val="1"/>
    </w:pPr>
    <w:rPr>
      <w:rFonts w:eastAsia="楷体_GB2312"/>
      <w:sz w:val="32"/>
      <w:szCs w:val="32"/>
    </w:rPr>
  </w:style>
  <w:style w:type="paragraph" w:styleId="3">
    <w:name w:val="heading 3"/>
    <w:basedOn w:val="a0"/>
    <w:next w:val="a0"/>
    <w:link w:val="30"/>
    <w:autoRedefine/>
    <w:uiPriority w:val="9"/>
    <w:unhideWhenUsed/>
    <w:qFormat/>
    <w:pPr>
      <w:spacing w:line="520" w:lineRule="exact"/>
      <w:ind w:firstLineChars="200" w:firstLine="640"/>
      <w:outlineLvl w:val="2"/>
    </w:pPr>
    <w:rPr>
      <w:rFonts w:eastAsia="仿宋_GB2312"/>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a5"/>
    <w:autoRedefine/>
    <w:uiPriority w:val="99"/>
    <w:unhideWhenUsed/>
    <w:qFormat/>
    <w:pPr>
      <w:tabs>
        <w:tab w:val="left" w:pos="7797"/>
      </w:tabs>
    </w:pPr>
  </w:style>
  <w:style w:type="paragraph" w:styleId="a6">
    <w:name w:val="Body Text"/>
    <w:basedOn w:val="a0"/>
    <w:link w:val="a7"/>
    <w:autoRedefine/>
    <w:uiPriority w:val="99"/>
    <w:semiHidden/>
    <w:unhideWhenUsed/>
    <w:qFormat/>
    <w:pPr>
      <w:spacing w:after="120"/>
    </w:pPr>
  </w:style>
  <w:style w:type="paragraph" w:styleId="a8">
    <w:name w:val="Body Text Indent"/>
    <w:basedOn w:val="a0"/>
    <w:link w:val="a9"/>
    <w:autoRedefine/>
    <w:uiPriority w:val="99"/>
    <w:unhideWhenUsed/>
    <w:qFormat/>
    <w:pPr>
      <w:spacing w:after="120"/>
      <w:ind w:leftChars="200" w:left="420"/>
    </w:pPr>
  </w:style>
  <w:style w:type="paragraph" w:styleId="aa">
    <w:name w:val="Plain Text"/>
    <w:basedOn w:val="a0"/>
    <w:link w:val="ab"/>
    <w:autoRedefine/>
    <w:uiPriority w:val="99"/>
    <w:unhideWhenUsed/>
    <w:qFormat/>
    <w:rPr>
      <w:rFonts w:ascii="宋体" w:hAnsi="Courier New"/>
      <w:kern w:val="0"/>
      <w:sz w:val="20"/>
      <w:szCs w:val="21"/>
    </w:rPr>
  </w:style>
  <w:style w:type="paragraph" w:styleId="ac">
    <w:name w:val="Date"/>
    <w:basedOn w:val="a0"/>
    <w:next w:val="a0"/>
    <w:link w:val="ad"/>
    <w:uiPriority w:val="99"/>
    <w:semiHidden/>
    <w:unhideWhenUsed/>
    <w:qFormat/>
    <w:pPr>
      <w:ind w:leftChars="2500" w:left="100"/>
    </w:pPr>
  </w:style>
  <w:style w:type="paragraph" w:styleId="ae">
    <w:name w:val="Balloon Text"/>
    <w:basedOn w:val="a0"/>
    <w:link w:val="af"/>
    <w:autoRedefine/>
    <w:uiPriority w:val="99"/>
    <w:semiHidden/>
    <w:unhideWhenUsed/>
    <w:qFormat/>
    <w:rPr>
      <w:sz w:val="18"/>
      <w:szCs w:val="18"/>
    </w:rPr>
  </w:style>
  <w:style w:type="paragraph" w:styleId="af0">
    <w:name w:val="footer"/>
    <w:basedOn w:val="a0"/>
    <w:link w:val="af1"/>
    <w:autoRedefine/>
    <w:uiPriority w:val="99"/>
    <w:qFormat/>
    <w:pPr>
      <w:tabs>
        <w:tab w:val="center" w:pos="4153"/>
        <w:tab w:val="right" w:pos="8306"/>
      </w:tabs>
      <w:snapToGrid w:val="0"/>
      <w:jc w:val="left"/>
    </w:pPr>
    <w:rPr>
      <w:sz w:val="18"/>
    </w:rPr>
  </w:style>
  <w:style w:type="paragraph" w:styleId="af2">
    <w:name w:val="header"/>
    <w:basedOn w:val="a0"/>
    <w:link w:val="af3"/>
    <w:autoRedefine/>
    <w:qFormat/>
    <w:pPr>
      <w:pBdr>
        <w:bottom w:val="single" w:sz="6" w:space="1" w:color="auto"/>
      </w:pBdr>
      <w:tabs>
        <w:tab w:val="center" w:pos="4153"/>
        <w:tab w:val="right" w:pos="8306"/>
      </w:tabs>
      <w:snapToGrid w:val="0"/>
      <w:jc w:val="center"/>
    </w:pPr>
    <w:rPr>
      <w:sz w:val="18"/>
    </w:rPr>
  </w:style>
  <w:style w:type="paragraph" w:styleId="af4">
    <w:name w:val="Normal (Web)"/>
    <w:basedOn w:val="a0"/>
    <w:uiPriority w:val="99"/>
    <w:semiHidden/>
    <w:unhideWhenUsed/>
    <w:qFormat/>
    <w:pPr>
      <w:spacing w:beforeAutospacing="1" w:afterAutospacing="1"/>
      <w:jc w:val="left"/>
    </w:pPr>
    <w:rPr>
      <w:kern w:val="0"/>
      <w:sz w:val="24"/>
    </w:rPr>
  </w:style>
  <w:style w:type="paragraph" w:styleId="af5">
    <w:name w:val="annotation subject"/>
    <w:basedOn w:val="a4"/>
    <w:next w:val="a4"/>
    <w:link w:val="af6"/>
    <w:uiPriority w:val="99"/>
    <w:semiHidden/>
    <w:unhideWhenUsed/>
    <w:qFormat/>
    <w:rPr>
      <w:b/>
      <w:bCs/>
    </w:rPr>
  </w:style>
  <w:style w:type="paragraph" w:styleId="af7">
    <w:name w:val="Body Text First Indent"/>
    <w:basedOn w:val="a6"/>
    <w:link w:val="af8"/>
    <w:autoRedefine/>
    <w:qFormat/>
    <w:pPr>
      <w:ind w:firstLineChars="100" w:firstLine="420"/>
    </w:pPr>
    <w:rPr>
      <w:rFonts w:asciiTheme="minorHAnsi" w:eastAsiaTheme="minorEastAsia" w:hAnsiTheme="minorHAnsi" w:cstheme="minorBidi"/>
      <w:szCs w:val="22"/>
    </w:rPr>
  </w:style>
  <w:style w:type="table" w:styleId="af9">
    <w:name w:val="Table Grid"/>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line number"/>
    <w:basedOn w:val="a1"/>
    <w:uiPriority w:val="99"/>
    <w:semiHidden/>
    <w:unhideWhenUsed/>
    <w:qFormat/>
  </w:style>
  <w:style w:type="character" w:styleId="afb">
    <w:name w:val="Hyperlink"/>
    <w:basedOn w:val="a1"/>
    <w:autoRedefine/>
    <w:uiPriority w:val="99"/>
    <w:semiHidden/>
    <w:unhideWhenUsed/>
    <w:qFormat/>
    <w:rPr>
      <w:color w:val="0000FF"/>
      <w:u w:val="single"/>
    </w:rPr>
  </w:style>
  <w:style w:type="character" w:styleId="afc">
    <w:name w:val="annotation reference"/>
    <w:basedOn w:val="a1"/>
    <w:autoRedefine/>
    <w:uiPriority w:val="99"/>
    <w:semiHidden/>
    <w:unhideWhenUsed/>
    <w:qFormat/>
    <w:rPr>
      <w:sz w:val="21"/>
      <w:szCs w:val="21"/>
    </w:rPr>
  </w:style>
  <w:style w:type="paragraph" w:styleId="afd">
    <w:name w:val="No Spacing"/>
    <w:autoRedefine/>
    <w:uiPriority w:val="1"/>
    <w:qFormat/>
    <w:pPr>
      <w:adjustRightInd w:val="0"/>
      <w:snapToGrid w:val="0"/>
      <w:jc w:val="center"/>
    </w:pPr>
    <w:rPr>
      <w:rFonts w:eastAsia="仿宋_GB2312"/>
      <w:sz w:val="32"/>
      <w:szCs w:val="32"/>
    </w:rPr>
  </w:style>
  <w:style w:type="character" w:customStyle="1" w:styleId="af8">
    <w:name w:val="正文文本首行缩进 字符"/>
    <w:link w:val="af7"/>
    <w:autoRedefine/>
    <w:qFormat/>
  </w:style>
  <w:style w:type="character" w:customStyle="1" w:styleId="af1">
    <w:name w:val="页脚 字符"/>
    <w:basedOn w:val="a1"/>
    <w:link w:val="af0"/>
    <w:autoRedefine/>
    <w:uiPriority w:val="99"/>
    <w:qFormat/>
    <w:rPr>
      <w:kern w:val="2"/>
      <w:sz w:val="18"/>
      <w:lang w:bidi="ar-SA"/>
    </w:rPr>
  </w:style>
  <w:style w:type="paragraph" w:customStyle="1" w:styleId="afe">
    <w:name w:val="王奕改内文"/>
    <w:basedOn w:val="a0"/>
    <w:link w:val="Char"/>
    <w:autoRedefine/>
    <w:qFormat/>
    <w:pPr>
      <w:widowControl/>
      <w:spacing w:line="360" w:lineRule="auto"/>
      <w:ind w:firstLineChars="200" w:firstLine="200"/>
    </w:pPr>
    <w:rPr>
      <w:rFonts w:ascii="宋体" w:hAnsi="宋体"/>
      <w:color w:val="000000"/>
      <w:spacing w:val="-4"/>
      <w:sz w:val="24"/>
    </w:rPr>
  </w:style>
  <w:style w:type="character" w:customStyle="1" w:styleId="a7">
    <w:name w:val="正文文本 字符"/>
    <w:basedOn w:val="a1"/>
    <w:link w:val="a6"/>
    <w:autoRedefine/>
    <w:uiPriority w:val="99"/>
    <w:semiHidden/>
    <w:qFormat/>
    <w:rPr>
      <w:rFonts w:ascii="Times New Roman" w:eastAsia="宋体" w:hAnsi="Times New Roman" w:cs="Times New Roman"/>
      <w:szCs w:val="20"/>
    </w:rPr>
  </w:style>
  <w:style w:type="character" w:customStyle="1" w:styleId="Char1">
    <w:name w:val="正文首行缩进 Char1"/>
    <w:basedOn w:val="a7"/>
    <w:autoRedefine/>
    <w:uiPriority w:val="99"/>
    <w:semiHidden/>
    <w:qFormat/>
    <w:rPr>
      <w:rFonts w:ascii="Times New Roman" w:eastAsia="宋体" w:hAnsi="Times New Roman" w:cs="Times New Roman"/>
      <w:szCs w:val="20"/>
    </w:rPr>
  </w:style>
  <w:style w:type="character" w:customStyle="1" w:styleId="af3">
    <w:name w:val="页眉 字符"/>
    <w:basedOn w:val="a1"/>
    <w:link w:val="af2"/>
    <w:autoRedefine/>
    <w:qFormat/>
    <w:rPr>
      <w:rFonts w:ascii="Times New Roman" w:eastAsia="宋体" w:hAnsi="Times New Roman" w:cs="Times New Roman"/>
      <w:sz w:val="18"/>
      <w:szCs w:val="20"/>
    </w:rPr>
  </w:style>
  <w:style w:type="paragraph" w:styleId="a">
    <w:name w:val="List Paragraph"/>
    <w:basedOn w:val="a0"/>
    <w:autoRedefine/>
    <w:uiPriority w:val="34"/>
    <w:qFormat/>
    <w:pPr>
      <w:numPr>
        <w:numId w:val="1"/>
      </w:numPr>
      <w:spacing w:line="520" w:lineRule="exact"/>
    </w:pPr>
  </w:style>
  <w:style w:type="character" w:customStyle="1" w:styleId="Char">
    <w:name w:val="王奕改内文 Char"/>
    <w:link w:val="afe"/>
    <w:autoRedefine/>
    <w:qFormat/>
    <w:rPr>
      <w:rFonts w:ascii="宋体" w:eastAsia="宋体" w:hAnsi="宋体" w:cs="Times New Roman"/>
      <w:color w:val="000000"/>
      <w:spacing w:val="-4"/>
      <w:sz w:val="24"/>
      <w:szCs w:val="20"/>
    </w:rPr>
  </w:style>
  <w:style w:type="character" w:customStyle="1" w:styleId="ab">
    <w:name w:val="纯文本 字符"/>
    <w:basedOn w:val="a1"/>
    <w:link w:val="aa"/>
    <w:autoRedefine/>
    <w:uiPriority w:val="99"/>
    <w:qFormat/>
    <w:rPr>
      <w:rFonts w:ascii="宋体" w:eastAsia="宋体" w:hAnsi="Courier New" w:cs="Times New Roman"/>
      <w:kern w:val="0"/>
      <w:sz w:val="20"/>
      <w:szCs w:val="21"/>
    </w:rPr>
  </w:style>
  <w:style w:type="character" w:customStyle="1" w:styleId="a5">
    <w:name w:val="批注文字 字符"/>
    <w:basedOn w:val="a1"/>
    <w:link w:val="a4"/>
    <w:autoRedefine/>
    <w:uiPriority w:val="99"/>
    <w:qFormat/>
    <w:rPr>
      <w:rFonts w:ascii="Times New Roman" w:eastAsia="宋体" w:hAnsi="Times New Roman" w:cs="Times New Roman"/>
      <w:kern w:val="2"/>
      <w:sz w:val="21"/>
    </w:rPr>
  </w:style>
  <w:style w:type="character" w:customStyle="1" w:styleId="af">
    <w:name w:val="批注框文本 字符"/>
    <w:basedOn w:val="a1"/>
    <w:link w:val="ae"/>
    <w:autoRedefine/>
    <w:uiPriority w:val="99"/>
    <w:semiHidden/>
    <w:qFormat/>
    <w:rPr>
      <w:rFonts w:ascii="Times New Roman" w:eastAsia="宋体" w:hAnsi="Times New Roman" w:cs="Times New Roman"/>
      <w:sz w:val="18"/>
      <w:szCs w:val="18"/>
    </w:rPr>
  </w:style>
  <w:style w:type="character" w:customStyle="1" w:styleId="A40">
    <w:name w:val="A4"/>
    <w:uiPriority w:val="99"/>
    <w:unhideWhenUsed/>
    <w:qFormat/>
    <w:rPr>
      <w:rFonts w:hint="eastAsia"/>
      <w:color w:val="211D1E"/>
      <w:sz w:val="16"/>
    </w:rPr>
  </w:style>
  <w:style w:type="paragraph" w:customStyle="1" w:styleId="Default">
    <w:name w:val="Default"/>
    <w:autoRedefine/>
    <w:qFormat/>
    <w:pPr>
      <w:widowControl w:val="0"/>
      <w:autoSpaceDE w:val="0"/>
      <w:autoSpaceDN w:val="0"/>
      <w:adjustRightInd w:val="0"/>
    </w:pPr>
    <w:rPr>
      <w:rFonts w:ascii="MHeiGB" w:eastAsia="MHeiGB" w:hAnsiTheme="minorHAnsi" w:cs="MHeiGB"/>
      <w:color w:val="000000"/>
      <w:sz w:val="24"/>
      <w:szCs w:val="24"/>
    </w:rPr>
  </w:style>
  <w:style w:type="paragraph" w:customStyle="1" w:styleId="11">
    <w:name w:val="修订1"/>
    <w:autoRedefine/>
    <w:hidden/>
    <w:uiPriority w:val="99"/>
    <w:semiHidden/>
    <w:qFormat/>
    <w:rPr>
      <w:kern w:val="2"/>
      <w:sz w:val="21"/>
    </w:rPr>
  </w:style>
  <w:style w:type="character" w:customStyle="1" w:styleId="Char10">
    <w:name w:val="纯文本 Char1"/>
    <w:qFormat/>
    <w:rPr>
      <w:rFonts w:ascii="宋体" w:hAnsi="Courier New" w:cs="Courier New"/>
      <w:kern w:val="2"/>
      <w:sz w:val="21"/>
      <w:szCs w:val="21"/>
    </w:rPr>
  </w:style>
  <w:style w:type="character" w:customStyle="1" w:styleId="af6">
    <w:name w:val="批注主题 字符"/>
    <w:basedOn w:val="a5"/>
    <w:link w:val="af5"/>
    <w:autoRedefine/>
    <w:uiPriority w:val="99"/>
    <w:semiHidden/>
    <w:qFormat/>
    <w:rPr>
      <w:rFonts w:ascii="Times New Roman" w:eastAsia="宋体" w:hAnsi="Times New Roman" w:cs="Times New Roman"/>
      <w:b/>
      <w:bCs/>
      <w:kern w:val="2"/>
      <w:sz w:val="21"/>
      <w:szCs w:val="20"/>
    </w:rPr>
  </w:style>
  <w:style w:type="character" w:customStyle="1" w:styleId="doctitle">
    <w:name w:val="doc_title"/>
    <w:basedOn w:val="a1"/>
    <w:autoRedefine/>
    <w:qFormat/>
  </w:style>
  <w:style w:type="paragraph" w:customStyle="1" w:styleId="Style32">
    <w:name w:val="_Style 32"/>
    <w:basedOn w:val="a0"/>
    <w:next w:val="a"/>
    <w:uiPriority w:val="34"/>
    <w:qFormat/>
    <w:pPr>
      <w:ind w:firstLineChars="200" w:firstLine="420"/>
    </w:pPr>
    <w:rPr>
      <w:rFonts w:ascii="Calibri" w:hAnsi="Calibri"/>
      <w:szCs w:val="22"/>
    </w:rPr>
  </w:style>
  <w:style w:type="character" w:customStyle="1" w:styleId="20">
    <w:name w:val="标题 2 字符"/>
    <w:basedOn w:val="a1"/>
    <w:link w:val="2"/>
    <w:autoRedefine/>
    <w:uiPriority w:val="9"/>
    <w:qFormat/>
    <w:rPr>
      <w:rFonts w:eastAsia="楷体_GB2312"/>
      <w:kern w:val="2"/>
      <w:sz w:val="32"/>
      <w:szCs w:val="32"/>
    </w:rPr>
  </w:style>
  <w:style w:type="character" w:customStyle="1" w:styleId="30">
    <w:name w:val="标题 3 字符"/>
    <w:basedOn w:val="a1"/>
    <w:link w:val="3"/>
    <w:uiPriority w:val="9"/>
    <w:qFormat/>
    <w:rPr>
      <w:rFonts w:eastAsia="仿宋_GB2312"/>
      <w:kern w:val="2"/>
      <w:sz w:val="32"/>
      <w:szCs w:val="32"/>
    </w:rPr>
  </w:style>
  <w:style w:type="character" w:customStyle="1" w:styleId="a9">
    <w:name w:val="正文文本缩进 字符"/>
    <w:basedOn w:val="a1"/>
    <w:link w:val="a8"/>
    <w:autoRedefine/>
    <w:uiPriority w:val="99"/>
    <w:qFormat/>
    <w:rPr>
      <w:kern w:val="2"/>
      <w:sz w:val="21"/>
    </w:rPr>
  </w:style>
  <w:style w:type="character" w:customStyle="1" w:styleId="Char0">
    <w:name w:val="段 Char"/>
    <w:basedOn w:val="a1"/>
    <w:link w:val="aff"/>
    <w:uiPriority w:val="99"/>
    <w:qFormat/>
    <w:locked/>
    <w:rPr>
      <w:rFonts w:ascii="宋体"/>
      <w:sz w:val="21"/>
    </w:rPr>
  </w:style>
  <w:style w:type="paragraph" w:customStyle="1" w:styleId="aff">
    <w:name w:val="段"/>
    <w:link w:val="Char0"/>
    <w:uiPriority w:val="99"/>
    <w:qFormat/>
    <w:pPr>
      <w:autoSpaceDE w:val="0"/>
      <w:autoSpaceDN w:val="0"/>
      <w:ind w:firstLineChars="200" w:firstLine="200"/>
      <w:jc w:val="both"/>
    </w:pPr>
    <w:rPr>
      <w:rFonts w:ascii="宋体"/>
      <w:sz w:val="21"/>
    </w:rPr>
  </w:style>
  <w:style w:type="character" w:customStyle="1" w:styleId="10">
    <w:name w:val="标题 1 字符"/>
    <w:basedOn w:val="a1"/>
    <w:link w:val="1"/>
    <w:uiPriority w:val="9"/>
    <w:qFormat/>
    <w:rPr>
      <w:rFonts w:eastAsia="黑体"/>
      <w:kern w:val="2"/>
      <w:sz w:val="32"/>
      <w:szCs w:val="32"/>
    </w:rPr>
  </w:style>
  <w:style w:type="paragraph" w:customStyle="1" w:styleId="21">
    <w:name w:val="修订2"/>
    <w:hidden/>
    <w:uiPriority w:val="99"/>
    <w:semiHidden/>
    <w:qFormat/>
    <w:rPr>
      <w:kern w:val="2"/>
      <w:sz w:val="21"/>
    </w:rPr>
  </w:style>
  <w:style w:type="character" w:customStyle="1" w:styleId="ad">
    <w:name w:val="日期 字符"/>
    <w:basedOn w:val="a1"/>
    <w:link w:val="ac"/>
    <w:uiPriority w:val="99"/>
    <w:semiHidden/>
    <w:qFormat/>
    <w:rPr>
      <w:rFonts w:ascii="Times New Roman" w:eastAsia="宋体"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7561962A-8C08-4E16-A383-2C8C868648D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21</Pages>
  <Words>4177</Words>
  <Characters>4386</Characters>
  <Application>Microsoft Office Word</Application>
  <DocSecurity>0</DocSecurity>
  <Lines>258</Lines>
  <Paragraphs>203</Paragraphs>
  <ScaleCrop>false</ScaleCrop>
  <Company>www.window7.com</Company>
  <LinksUpToDate>false</LinksUpToDate>
  <CharactersWithSpaces>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储云高</dc:creator>
  <cp:lastModifiedBy>L</cp:lastModifiedBy>
  <cp:revision>124</cp:revision>
  <cp:lastPrinted>2024-05-20T01:36:00Z</cp:lastPrinted>
  <dcterms:created xsi:type="dcterms:W3CDTF">2026-07-09T05:21:00Z</dcterms:created>
  <dcterms:modified xsi:type="dcterms:W3CDTF">2026-07-23T07:16:00Z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C0017B7DC0334AE79AB7019F8F5C9914_12</vt:lpwstr>
  </property>
  <property fmtid="{D5CDD505-2E9C-101B-9397-08002B2CF9AE}" pid="4" name="KSOTemplateDocerSaveRecord">
    <vt:lpwstr>eyJoZGlkIjoiMWEzNzI4NzY2MzhmZGUwYWVmODY1N2RmOTVkOTljMWMiLCJ1c2VySWQiOiI1Mjk5ODA3MTAifQ==</vt:lpwstr>
  </property>
</Properties>
</file>