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F0943" w14:textId="77777777" w:rsidR="00CF703A" w:rsidRDefault="00000000">
      <w:pPr>
        <w:spacing w:line="520" w:lineRule="exact"/>
        <w:ind w:rightChars="-32" w:right="-68"/>
        <w:jc w:val="center"/>
        <w:rPr>
          <w:rFonts w:eastAsia="方正小标宋简体"/>
          <w:color w:val="000000"/>
          <w:sz w:val="44"/>
          <w:szCs w:val="44"/>
        </w:rPr>
      </w:pPr>
      <w:r>
        <w:rPr>
          <w:rFonts w:eastAsia="方正小标宋简体" w:hint="eastAsia"/>
          <w:color w:val="000000"/>
          <w:sz w:val="44"/>
          <w:szCs w:val="44"/>
        </w:rPr>
        <w:t>口腔照明设备注册审查指导原则</w:t>
      </w:r>
    </w:p>
    <w:p w14:paraId="4449FF51" w14:textId="77777777" w:rsidR="00CF703A" w:rsidRDefault="00000000">
      <w:pPr>
        <w:spacing w:line="520" w:lineRule="exact"/>
        <w:ind w:rightChars="-32" w:right="-68"/>
        <w:jc w:val="center"/>
        <w:rPr>
          <w:rFonts w:eastAsia="方正小标宋简体"/>
          <w:color w:val="000000"/>
          <w:sz w:val="44"/>
          <w:szCs w:val="44"/>
        </w:rPr>
      </w:pPr>
      <w:r>
        <w:rPr>
          <w:rFonts w:eastAsia="方正小标宋简体" w:hint="eastAsia"/>
          <w:color w:val="000000"/>
          <w:sz w:val="44"/>
          <w:szCs w:val="44"/>
        </w:rPr>
        <w:t>（征求意见稿）</w:t>
      </w:r>
    </w:p>
    <w:p w14:paraId="4FB5AA61" w14:textId="77777777" w:rsidR="00CF703A" w:rsidRDefault="00CF703A">
      <w:pPr>
        <w:spacing w:line="520" w:lineRule="exact"/>
        <w:ind w:firstLineChars="200" w:firstLine="632"/>
        <w:rPr>
          <w:rFonts w:eastAsia="方正仿宋_GB2312"/>
          <w:spacing w:val="-2"/>
          <w:kern w:val="0"/>
          <w:szCs w:val="32"/>
        </w:rPr>
      </w:pPr>
    </w:p>
    <w:p w14:paraId="19D001FA" w14:textId="77777777" w:rsidR="00CF703A" w:rsidRDefault="00000000">
      <w:pPr>
        <w:spacing w:line="520" w:lineRule="exact"/>
        <w:ind w:firstLineChars="200" w:firstLine="640"/>
        <w:rPr>
          <w:rFonts w:eastAsia="仿宋_GB2312" w:cs="仿宋_GB2312"/>
          <w:color w:val="000000"/>
          <w:szCs w:val="32"/>
        </w:rPr>
      </w:pPr>
      <w:r>
        <w:rPr>
          <w:rFonts w:eastAsia="仿宋_GB2312" w:cs="仿宋_GB2312" w:hint="eastAsia"/>
          <w:color w:val="000000"/>
          <w:szCs w:val="32"/>
        </w:rPr>
        <w:t>本指导原则旨在指导注册申请人对口腔照明设备注册申报资料的准备及撰写，同时也为技术审评部门对注册申报资料的审评提供参考。</w:t>
      </w:r>
    </w:p>
    <w:p w14:paraId="35CB1ACB" w14:textId="77777777" w:rsidR="00CF703A" w:rsidRDefault="00000000">
      <w:pPr>
        <w:spacing w:line="520" w:lineRule="exact"/>
        <w:ind w:firstLineChars="200" w:firstLine="640"/>
        <w:rPr>
          <w:rFonts w:eastAsia="仿宋_GB2312" w:cs="仿宋_GB2312"/>
          <w:color w:val="000000"/>
          <w:szCs w:val="32"/>
        </w:rPr>
      </w:pPr>
      <w:r>
        <w:rPr>
          <w:rFonts w:eastAsia="仿宋_GB2312" w:cs="仿宋_GB2312" w:hint="eastAsia"/>
          <w:color w:val="000000"/>
          <w:szCs w:val="32"/>
        </w:rPr>
        <w:t>本指导原则是对口腔照明设备的注册申报资料的一般要求，注册申请人需依据产品的具体特性确定其中内容是否适用。若不适用，需具体阐述理由及相应的科学依据，并依据产品的具体特性对注册申报资料的内容进行充实和细化。</w:t>
      </w:r>
    </w:p>
    <w:p w14:paraId="3AFCC171" w14:textId="77777777" w:rsidR="00CF703A" w:rsidRDefault="00000000">
      <w:pPr>
        <w:spacing w:line="520" w:lineRule="exact"/>
        <w:ind w:firstLineChars="200" w:firstLine="640"/>
        <w:rPr>
          <w:rFonts w:eastAsia="仿宋_GB2312" w:cs="仿宋_GB2312"/>
          <w:color w:val="000000"/>
          <w:szCs w:val="32"/>
        </w:rPr>
      </w:pPr>
      <w:r>
        <w:rPr>
          <w:rFonts w:eastAsia="仿宋_GB2312" w:cs="仿宋_GB2312" w:hint="eastAsia"/>
          <w:color w:val="000000"/>
          <w:szCs w:val="32"/>
        </w:rPr>
        <w:t>本指导原则是对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6D451A99" w14:textId="77777777" w:rsidR="00CF703A" w:rsidRDefault="00000000">
      <w:pPr>
        <w:spacing w:line="520" w:lineRule="exact"/>
        <w:ind w:firstLineChars="200" w:firstLine="640"/>
        <w:rPr>
          <w:rFonts w:eastAsia="仿宋_GB2312" w:cs="仿宋_GB2312"/>
          <w:color w:val="000000"/>
          <w:szCs w:val="32"/>
        </w:rPr>
      </w:pPr>
      <w:r>
        <w:rPr>
          <w:rFonts w:eastAsia="仿宋_GB2312" w:cs="仿宋_GB2312" w:hint="eastAsia"/>
          <w:color w:val="000000"/>
          <w:szCs w:val="32"/>
        </w:rPr>
        <w:t>本指导原则是在现行法规和标准体系以及当前认知水平下制定的，随着法规和标准的不断完善，以及科学技术的不断发展，本指导原则相关内容也将进行适时的调整。</w:t>
      </w:r>
    </w:p>
    <w:p w14:paraId="4980FF45" w14:textId="77777777" w:rsidR="00CF703A" w:rsidRDefault="00000000">
      <w:pPr>
        <w:spacing w:line="520" w:lineRule="exact"/>
        <w:ind w:rightChars="-32" w:right="-68" w:firstLineChars="200" w:firstLine="640"/>
        <w:rPr>
          <w:rFonts w:eastAsia="黑体"/>
          <w:color w:val="000000"/>
          <w:szCs w:val="32"/>
        </w:rPr>
      </w:pPr>
      <w:r>
        <w:rPr>
          <w:rFonts w:eastAsia="黑体"/>
          <w:color w:val="000000"/>
          <w:szCs w:val="32"/>
        </w:rPr>
        <w:t>一、适用范围</w:t>
      </w:r>
    </w:p>
    <w:p w14:paraId="1A3FD61F" w14:textId="77777777" w:rsidR="00CF703A" w:rsidRDefault="00000000">
      <w:pPr>
        <w:spacing w:line="520" w:lineRule="exact"/>
        <w:ind w:rightChars="-32" w:right="-68" w:firstLineChars="200" w:firstLine="640"/>
        <w:rPr>
          <w:rFonts w:eastAsia="方正仿宋_GB2312" w:cs="方正仿宋_GB2312"/>
          <w:snapToGrid w:val="0"/>
          <w:kern w:val="0"/>
          <w:szCs w:val="32"/>
        </w:rPr>
      </w:pPr>
      <w:r>
        <w:rPr>
          <w:rFonts w:eastAsia="仿宋_GB2312" w:cs="仿宋_GB2312" w:hint="eastAsia"/>
          <w:color w:val="000000"/>
          <w:szCs w:val="32"/>
        </w:rPr>
        <w:t>本指导原则适用于口腔照明设备的产品注册。</w:t>
      </w:r>
      <w:r>
        <w:rPr>
          <w:rFonts w:eastAsia="仿宋_GB2312" w:cs="仿宋_GB2312" w:hint="eastAsia"/>
          <w:snapToGrid w:val="0"/>
          <w:kern w:val="0"/>
          <w:szCs w:val="32"/>
        </w:rPr>
        <w:t>按现行《医疗器械分类目录》，该类产品分类编码为</w:t>
      </w:r>
      <w:r>
        <w:rPr>
          <w:rFonts w:eastAsia="仿宋_GB2312" w:cs="仿宋_GB2312" w:hint="eastAsia"/>
          <w:snapToGrid w:val="0"/>
          <w:kern w:val="0"/>
          <w:szCs w:val="32"/>
        </w:rPr>
        <w:t>17-01-06</w:t>
      </w:r>
      <w:r>
        <w:rPr>
          <w:rFonts w:eastAsia="仿宋_GB2312" w:cs="仿宋_GB2312" w:hint="eastAsia"/>
          <w:snapToGrid w:val="0"/>
          <w:kern w:val="0"/>
          <w:szCs w:val="32"/>
        </w:rPr>
        <w:t>，管理类别为Ⅱ类。无检查功能的口腔灯不适用于本指导原则。</w:t>
      </w:r>
    </w:p>
    <w:p w14:paraId="7B128604" w14:textId="77777777" w:rsidR="00CF703A" w:rsidRDefault="00000000">
      <w:pPr>
        <w:numPr>
          <w:ilvl w:val="0"/>
          <w:numId w:val="1"/>
        </w:numPr>
        <w:spacing w:line="520" w:lineRule="exact"/>
        <w:ind w:rightChars="-32" w:right="-68" w:firstLineChars="200" w:firstLine="640"/>
        <w:rPr>
          <w:rFonts w:eastAsia="黑体"/>
          <w:snapToGrid w:val="0"/>
          <w:kern w:val="0"/>
          <w:szCs w:val="32"/>
        </w:rPr>
      </w:pPr>
      <w:r>
        <w:rPr>
          <w:rFonts w:eastAsia="黑体" w:hint="eastAsia"/>
          <w:snapToGrid w:val="0"/>
          <w:kern w:val="0"/>
          <w:szCs w:val="32"/>
        </w:rPr>
        <w:t>注册</w:t>
      </w:r>
      <w:r>
        <w:rPr>
          <w:rFonts w:eastAsia="黑体"/>
          <w:snapToGrid w:val="0"/>
          <w:kern w:val="0"/>
          <w:szCs w:val="32"/>
        </w:rPr>
        <w:t>审查要点</w:t>
      </w:r>
    </w:p>
    <w:p w14:paraId="20E1ED16" w14:textId="77777777" w:rsidR="00CF703A" w:rsidRDefault="00000000">
      <w:pPr>
        <w:pStyle w:val="ae"/>
        <w:overflowPunct w:val="0"/>
        <w:autoSpaceDE w:val="0"/>
        <w:autoSpaceDN w:val="0"/>
        <w:spacing w:line="520" w:lineRule="exact"/>
        <w:ind w:firstLine="640"/>
        <w:outlineLvl w:val="1"/>
        <w:rPr>
          <w:rFonts w:eastAsia="楷体_GB2312"/>
          <w:color w:val="000000"/>
          <w:szCs w:val="32"/>
        </w:rPr>
      </w:pPr>
      <w:r>
        <w:rPr>
          <w:rFonts w:eastAsia="楷体_GB2312" w:hint="eastAsia"/>
          <w:color w:val="000000"/>
          <w:szCs w:val="32"/>
        </w:rPr>
        <w:t>（一）监管信息</w:t>
      </w:r>
    </w:p>
    <w:p w14:paraId="68DE4CEC" w14:textId="77777777" w:rsidR="00CF703A" w:rsidRDefault="00000000">
      <w:pPr>
        <w:overflowPunct w:val="0"/>
        <w:autoSpaceDE w:val="0"/>
        <w:autoSpaceDN w:val="0"/>
        <w:spacing w:line="520" w:lineRule="exact"/>
        <w:ind w:firstLineChars="200" w:firstLine="640"/>
        <w:rPr>
          <w:rFonts w:eastAsia="仿宋_GB2312" w:cs="仿宋_GB2312"/>
          <w:snapToGrid w:val="0"/>
          <w:color w:val="000000"/>
          <w:kern w:val="0"/>
          <w:szCs w:val="32"/>
        </w:rPr>
      </w:pPr>
      <w:r>
        <w:rPr>
          <w:rFonts w:eastAsia="仿宋_GB2312" w:cs="仿宋_GB2312" w:hint="eastAsia"/>
          <w:color w:val="000000"/>
          <w:szCs w:val="32"/>
        </w:rPr>
        <w:lastRenderedPageBreak/>
        <w:t>明确申请表中</w:t>
      </w:r>
      <w:r>
        <w:rPr>
          <w:rFonts w:eastAsia="仿宋_GB2312" w:cs="仿宋_GB2312" w:hint="eastAsia"/>
          <w:snapToGrid w:val="0"/>
          <w:color w:val="000000"/>
          <w:kern w:val="0"/>
          <w:szCs w:val="32"/>
        </w:rPr>
        <w:t>产品名称、管理类别、分类编码、型号规格、产品组成等信息。</w:t>
      </w:r>
    </w:p>
    <w:p w14:paraId="6E761548" w14:textId="77777777" w:rsidR="00CF703A" w:rsidRDefault="00000000">
      <w:pPr>
        <w:overflowPunct w:val="0"/>
        <w:autoSpaceDE w:val="0"/>
        <w:autoSpaceDN w:val="0"/>
        <w:spacing w:line="520" w:lineRule="exact"/>
        <w:ind w:firstLineChars="200" w:firstLine="640"/>
        <w:outlineLvl w:val="2"/>
        <w:rPr>
          <w:rFonts w:eastAsia="仿宋_GB2312" w:cs="仿宋_GB2312"/>
          <w:snapToGrid w:val="0"/>
          <w:kern w:val="0"/>
          <w:szCs w:val="32"/>
        </w:rPr>
      </w:pPr>
      <w:r>
        <w:rPr>
          <w:rFonts w:eastAsia="仿宋_GB2312" w:cs="仿宋_GB2312" w:hint="eastAsia"/>
          <w:snapToGrid w:val="0"/>
          <w:kern w:val="0"/>
          <w:szCs w:val="32"/>
        </w:rPr>
        <w:t>1.</w:t>
      </w:r>
      <w:r>
        <w:rPr>
          <w:rFonts w:eastAsia="仿宋_GB2312" w:cs="仿宋_GB2312" w:hint="eastAsia"/>
          <w:snapToGrid w:val="0"/>
          <w:kern w:val="0"/>
          <w:szCs w:val="32"/>
        </w:rPr>
        <w:t>产品名称</w:t>
      </w:r>
    </w:p>
    <w:p w14:paraId="4646D7EB"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产品命名需符合《医疗器械通用名称命名规则》、《医疗器械分类目录》的要求。根据产品预期用途可采用口腔检查灯进行命名。</w:t>
      </w:r>
    </w:p>
    <w:p w14:paraId="578DBC3F" w14:textId="77777777" w:rsidR="00CF703A" w:rsidRDefault="00000000">
      <w:pPr>
        <w:overflowPunct w:val="0"/>
        <w:autoSpaceDE w:val="0"/>
        <w:autoSpaceDN w:val="0"/>
        <w:spacing w:line="520" w:lineRule="exact"/>
        <w:ind w:firstLineChars="200" w:firstLine="640"/>
        <w:outlineLvl w:val="2"/>
        <w:rPr>
          <w:rFonts w:eastAsia="仿宋_GB2312" w:cs="仿宋_GB2312"/>
          <w:snapToGrid w:val="0"/>
          <w:kern w:val="0"/>
          <w:szCs w:val="32"/>
        </w:rPr>
      </w:pPr>
      <w:r>
        <w:rPr>
          <w:rFonts w:eastAsia="仿宋_GB2312" w:cs="仿宋_GB2312" w:hint="eastAsia"/>
          <w:snapToGrid w:val="0"/>
          <w:kern w:val="0"/>
          <w:szCs w:val="32"/>
        </w:rPr>
        <w:t>2.</w:t>
      </w:r>
      <w:r>
        <w:rPr>
          <w:rFonts w:eastAsia="仿宋_GB2312" w:cs="仿宋_GB2312" w:hint="eastAsia"/>
          <w:snapToGrid w:val="0"/>
          <w:kern w:val="0"/>
          <w:szCs w:val="32"/>
        </w:rPr>
        <w:t>分类编码</w:t>
      </w:r>
    </w:p>
    <w:p w14:paraId="5184B65B" w14:textId="77777777" w:rsidR="00CF703A" w:rsidRDefault="00000000">
      <w:pPr>
        <w:spacing w:line="520" w:lineRule="exact"/>
        <w:ind w:rightChars="-32" w:right="-68" w:firstLineChars="200" w:firstLine="640"/>
        <w:rPr>
          <w:rFonts w:eastAsia="仿宋_GB2312" w:cs="仿宋_GB2312"/>
          <w:snapToGrid w:val="0"/>
          <w:kern w:val="0"/>
          <w:szCs w:val="32"/>
        </w:rPr>
      </w:pPr>
      <w:r>
        <w:rPr>
          <w:rFonts w:eastAsia="仿宋_GB2312" w:cs="仿宋_GB2312" w:hint="eastAsia"/>
          <w:snapToGrid w:val="0"/>
          <w:kern w:val="0"/>
          <w:szCs w:val="32"/>
        </w:rPr>
        <w:t>依据</w:t>
      </w:r>
      <w:bookmarkStart w:id="0" w:name="OLE_LINK1"/>
      <w:r>
        <w:rPr>
          <w:rFonts w:eastAsia="仿宋_GB2312" w:cs="仿宋_GB2312" w:hint="eastAsia"/>
          <w:snapToGrid w:val="0"/>
          <w:kern w:val="0"/>
          <w:szCs w:val="32"/>
        </w:rPr>
        <w:t>《医疗器械分类目录》</w:t>
      </w:r>
      <w:bookmarkEnd w:id="0"/>
      <w:r>
        <w:rPr>
          <w:rFonts w:eastAsia="仿宋_GB2312" w:cs="仿宋_GB2312" w:hint="eastAsia"/>
          <w:snapToGrid w:val="0"/>
          <w:kern w:val="0"/>
          <w:szCs w:val="32"/>
        </w:rPr>
        <w:t>，申报产品分类编码为</w:t>
      </w:r>
      <w:r>
        <w:rPr>
          <w:rFonts w:eastAsia="仿宋_GB2312" w:cs="仿宋_GB2312" w:hint="eastAsia"/>
          <w:snapToGrid w:val="0"/>
          <w:kern w:val="0"/>
          <w:szCs w:val="32"/>
        </w:rPr>
        <w:t>17-01-06,</w:t>
      </w:r>
      <w:r>
        <w:rPr>
          <w:rFonts w:eastAsia="仿宋_GB2312" w:cs="仿宋_GB2312" w:hint="eastAsia"/>
          <w:snapToGrid w:val="0"/>
          <w:kern w:val="0"/>
          <w:szCs w:val="32"/>
        </w:rPr>
        <w:t>管理类别为</w:t>
      </w:r>
      <w:r>
        <w:rPr>
          <w:rFonts w:eastAsia="仿宋_GB2312" w:cs="仿宋_GB2312" w:hint="eastAsia"/>
          <w:snapToGrid w:val="0"/>
          <w:kern w:val="0"/>
          <w:szCs w:val="32"/>
        </w:rPr>
        <w:t>II</w:t>
      </w:r>
      <w:r>
        <w:rPr>
          <w:rFonts w:eastAsia="仿宋_GB2312" w:cs="仿宋_GB2312" w:hint="eastAsia"/>
          <w:snapToGrid w:val="0"/>
          <w:kern w:val="0"/>
          <w:szCs w:val="32"/>
        </w:rPr>
        <w:t>类。</w:t>
      </w:r>
    </w:p>
    <w:p w14:paraId="5BF66E4C" w14:textId="77777777" w:rsidR="00CF703A" w:rsidRDefault="00000000">
      <w:pPr>
        <w:spacing w:line="520" w:lineRule="exact"/>
        <w:ind w:rightChars="-32" w:right="-68" w:firstLineChars="200" w:firstLine="640"/>
        <w:rPr>
          <w:rFonts w:eastAsia="仿宋_GB2312" w:cs="仿宋_GB2312"/>
          <w:snapToGrid w:val="0"/>
          <w:kern w:val="0"/>
          <w:szCs w:val="32"/>
        </w:rPr>
      </w:pPr>
      <w:r>
        <w:rPr>
          <w:rFonts w:eastAsia="仿宋_GB2312" w:cs="仿宋_GB2312" w:hint="eastAsia"/>
          <w:snapToGrid w:val="0"/>
          <w:kern w:val="0"/>
          <w:szCs w:val="32"/>
        </w:rPr>
        <w:t>3.</w:t>
      </w:r>
      <w:r>
        <w:rPr>
          <w:rFonts w:eastAsia="仿宋_GB2312" w:cs="仿宋_GB2312" w:hint="eastAsia"/>
          <w:snapToGrid w:val="0"/>
          <w:kern w:val="0"/>
          <w:szCs w:val="32"/>
        </w:rPr>
        <w:t>注册单元划分</w:t>
      </w:r>
    </w:p>
    <w:p w14:paraId="0F66F5E6" w14:textId="77777777" w:rsidR="00CF703A" w:rsidRDefault="00000000">
      <w:pPr>
        <w:spacing w:line="520" w:lineRule="exact"/>
        <w:ind w:rightChars="-32" w:right="-68" w:firstLineChars="200" w:firstLine="640"/>
        <w:rPr>
          <w:rFonts w:eastAsia="仿宋_GB2312" w:cs="仿宋_GB2312"/>
          <w:snapToGrid w:val="0"/>
          <w:kern w:val="0"/>
          <w:szCs w:val="32"/>
        </w:rPr>
      </w:pPr>
      <w:r>
        <w:rPr>
          <w:rFonts w:eastAsia="仿宋_GB2312" w:cs="仿宋_GB2312" w:hint="eastAsia"/>
          <w:snapToGrid w:val="0"/>
          <w:kern w:val="0"/>
          <w:szCs w:val="32"/>
        </w:rPr>
        <w:t>注册单元划分应符合《医疗器械注册单元划分指导原则》的要求。原则上，具有常规照明模式和荧光成像模式的口腔照明设备，应作为一个注册单元申报。若荧光成像功能作为独立模块（如单独的手柄、滤镜或成像系统）与不同型号的常规口腔灯配合使用，该独立模块可考虑作为单独的注册单元，但需充分论证其安全有效性及与主机兼容的通用性。</w:t>
      </w:r>
    </w:p>
    <w:p w14:paraId="402BF4E7" w14:textId="77777777" w:rsidR="00CF703A" w:rsidRDefault="00000000">
      <w:pPr>
        <w:overflowPunct w:val="0"/>
        <w:autoSpaceDE w:val="0"/>
        <w:autoSpaceDN w:val="0"/>
        <w:spacing w:line="520" w:lineRule="exact"/>
        <w:ind w:left="221" w:firstLine="200"/>
        <w:outlineLvl w:val="1"/>
        <w:rPr>
          <w:rFonts w:eastAsia="楷体_GB2312"/>
          <w:color w:val="000000"/>
          <w:szCs w:val="32"/>
        </w:rPr>
      </w:pPr>
      <w:r>
        <w:rPr>
          <w:rFonts w:eastAsia="楷体_GB2312" w:hint="eastAsia"/>
          <w:color w:val="000000"/>
          <w:szCs w:val="32"/>
        </w:rPr>
        <w:t>（二）综述</w:t>
      </w:r>
      <w:r>
        <w:rPr>
          <w:rFonts w:eastAsia="楷体_GB2312"/>
          <w:color w:val="000000"/>
          <w:szCs w:val="32"/>
        </w:rPr>
        <w:t>资料</w:t>
      </w:r>
    </w:p>
    <w:p w14:paraId="4C42726B" w14:textId="77777777" w:rsidR="00CF703A" w:rsidRDefault="00000000">
      <w:pPr>
        <w:pStyle w:val="ae"/>
        <w:overflowPunct w:val="0"/>
        <w:autoSpaceDE w:val="0"/>
        <w:autoSpaceDN w:val="0"/>
        <w:spacing w:line="520" w:lineRule="exact"/>
        <w:ind w:right="210" w:firstLine="643"/>
        <w:outlineLvl w:val="2"/>
        <w:rPr>
          <w:rFonts w:eastAsia="仿宋_GB2312" w:cs="仿宋_GB2312"/>
          <w:b/>
          <w:bCs/>
          <w:snapToGrid w:val="0"/>
          <w:kern w:val="0"/>
          <w:szCs w:val="32"/>
        </w:rPr>
      </w:pPr>
      <w:r>
        <w:rPr>
          <w:rFonts w:eastAsia="仿宋_GB2312" w:cs="仿宋_GB2312" w:hint="eastAsia"/>
          <w:b/>
          <w:bCs/>
          <w:snapToGrid w:val="0"/>
          <w:kern w:val="0"/>
          <w:szCs w:val="32"/>
        </w:rPr>
        <w:t>1.</w:t>
      </w:r>
      <w:r>
        <w:rPr>
          <w:rFonts w:eastAsia="仿宋_GB2312" w:cs="仿宋_GB2312" w:hint="eastAsia"/>
          <w:b/>
          <w:bCs/>
          <w:snapToGrid w:val="0"/>
          <w:kern w:val="0"/>
          <w:szCs w:val="32"/>
        </w:rPr>
        <w:t>概述</w:t>
      </w:r>
    </w:p>
    <w:p w14:paraId="4ED3AE14" w14:textId="77777777" w:rsidR="00CF703A" w:rsidRDefault="00000000">
      <w:pPr>
        <w:pStyle w:val="ae"/>
        <w:overflowPunct w:val="0"/>
        <w:autoSpaceDE w:val="0"/>
        <w:autoSpaceDN w:val="0"/>
        <w:spacing w:line="520" w:lineRule="exact"/>
        <w:ind w:right="210" w:firstLine="640"/>
        <w:outlineLvl w:val="2"/>
        <w:rPr>
          <w:rFonts w:eastAsia="楷体_GB2312"/>
          <w:color w:val="000000"/>
          <w:szCs w:val="32"/>
        </w:rPr>
      </w:pPr>
      <w:r>
        <w:rPr>
          <w:rFonts w:eastAsia="仿宋_GB2312" w:cs="仿宋_GB2312" w:hint="eastAsia"/>
          <w:snapToGrid w:val="0"/>
          <w:kern w:val="0"/>
          <w:szCs w:val="32"/>
        </w:rPr>
        <w:t>申请人需描述产品的通用名称及确定依据、适用范围。如适用，申请人应提供产品的背景信息概述，如：申报产品的历史概述、历次提交的信息，与其他经批准上市产品的关系等。</w:t>
      </w:r>
    </w:p>
    <w:p w14:paraId="76930AFF" w14:textId="77777777" w:rsidR="00CF703A" w:rsidRDefault="00000000">
      <w:pPr>
        <w:pStyle w:val="ae"/>
        <w:overflowPunct w:val="0"/>
        <w:autoSpaceDE w:val="0"/>
        <w:autoSpaceDN w:val="0"/>
        <w:spacing w:line="520" w:lineRule="exact"/>
        <w:ind w:right="210" w:firstLine="643"/>
        <w:outlineLvl w:val="2"/>
        <w:rPr>
          <w:rFonts w:eastAsia="仿宋_GB2312" w:cs="仿宋_GB2312"/>
          <w:b/>
          <w:bCs/>
          <w:color w:val="000000"/>
          <w:szCs w:val="32"/>
        </w:rPr>
      </w:pPr>
      <w:r>
        <w:rPr>
          <w:rFonts w:eastAsia="仿宋_GB2312" w:cs="仿宋_GB2312" w:hint="eastAsia"/>
          <w:b/>
          <w:bCs/>
          <w:color w:val="000000"/>
          <w:szCs w:val="32"/>
        </w:rPr>
        <w:t>2.</w:t>
      </w:r>
      <w:r>
        <w:rPr>
          <w:rFonts w:eastAsia="仿宋_GB2312" w:cs="仿宋_GB2312" w:hint="eastAsia"/>
          <w:b/>
          <w:bCs/>
          <w:color w:val="000000"/>
          <w:szCs w:val="32"/>
        </w:rPr>
        <w:t>产品描述</w:t>
      </w:r>
    </w:p>
    <w:p w14:paraId="7BD64741" w14:textId="77777777" w:rsidR="00CF703A" w:rsidRDefault="00000000">
      <w:pPr>
        <w:pStyle w:val="ae"/>
        <w:overflowPunct w:val="0"/>
        <w:autoSpaceDE w:val="0"/>
        <w:autoSpaceDN w:val="0"/>
        <w:spacing w:line="520" w:lineRule="exact"/>
        <w:ind w:right="210" w:firstLine="640"/>
        <w:outlineLvl w:val="3"/>
        <w:rPr>
          <w:rFonts w:eastAsia="仿宋_GB2312" w:cs="仿宋_GB2312"/>
          <w:snapToGrid w:val="0"/>
          <w:kern w:val="0"/>
          <w:szCs w:val="32"/>
        </w:rPr>
      </w:pPr>
      <w:r>
        <w:rPr>
          <w:rFonts w:eastAsia="仿宋_GB2312" w:cs="仿宋_GB2312" w:hint="eastAsia"/>
          <w:snapToGrid w:val="0"/>
          <w:kern w:val="0"/>
          <w:szCs w:val="32"/>
        </w:rPr>
        <w:t>2.1</w:t>
      </w:r>
      <w:r>
        <w:rPr>
          <w:rFonts w:eastAsia="仿宋_GB2312" w:cs="仿宋_GB2312" w:hint="eastAsia"/>
          <w:snapToGrid w:val="0"/>
          <w:kern w:val="0"/>
          <w:szCs w:val="32"/>
        </w:rPr>
        <w:t>器械及操作原理描述</w:t>
      </w:r>
    </w:p>
    <w:p w14:paraId="081CB642" w14:textId="77777777" w:rsidR="00CF703A" w:rsidRDefault="00000000">
      <w:pPr>
        <w:pStyle w:val="ae"/>
        <w:overflowPunct w:val="0"/>
        <w:autoSpaceDE w:val="0"/>
        <w:autoSpaceDN w:val="0"/>
        <w:spacing w:line="520" w:lineRule="exact"/>
        <w:ind w:right="210" w:firstLine="640"/>
        <w:rPr>
          <w:rFonts w:eastAsia="仿宋_GB2312" w:cs="仿宋_GB2312"/>
          <w:snapToGrid w:val="0"/>
          <w:kern w:val="0"/>
          <w:szCs w:val="32"/>
        </w:rPr>
      </w:pPr>
      <w:r>
        <w:rPr>
          <w:rFonts w:eastAsia="仿宋_GB2312" w:cs="仿宋_GB2312" w:hint="eastAsia"/>
          <w:snapToGrid w:val="0"/>
          <w:kern w:val="0"/>
          <w:szCs w:val="32"/>
        </w:rPr>
        <w:t>2.1.1</w:t>
      </w:r>
      <w:r>
        <w:rPr>
          <w:rFonts w:eastAsia="仿宋_GB2312" w:cs="仿宋_GB2312" w:hint="eastAsia"/>
          <w:snapToGrid w:val="0"/>
          <w:kern w:val="0"/>
          <w:szCs w:val="32"/>
        </w:rPr>
        <w:t>工作原理</w:t>
      </w:r>
    </w:p>
    <w:p w14:paraId="4543D915"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lastRenderedPageBreak/>
        <w:t>口腔照明设备通过发光装置将电能转化为用于照明及诊断辅助目的的特定波长的受控光能。在常规照明模式下，设备输出高显色性的可见光，用于口腔组织的反射成像；在荧光成像模式下，设备输出特定波长的窄谱激发光（通常为</w:t>
      </w:r>
      <w:r>
        <w:rPr>
          <w:rFonts w:eastAsia="仿宋_GB2312" w:cs="仿宋_GB2312" w:hint="eastAsia"/>
          <w:snapToGrid w:val="0"/>
          <w:kern w:val="0"/>
          <w:szCs w:val="32"/>
        </w:rPr>
        <w:t>400-460nm</w:t>
      </w:r>
      <w:r>
        <w:rPr>
          <w:rFonts w:eastAsia="仿宋_GB2312" w:cs="仿宋_GB2312" w:hint="eastAsia"/>
          <w:snapToGrid w:val="0"/>
          <w:kern w:val="0"/>
          <w:szCs w:val="32"/>
        </w:rPr>
        <w:t>蓝光），激发口腔黏膜内源性荧光物质产生自体荧光，并通过光学系统分离与接收该荧光信号，形成功能图像。</w:t>
      </w:r>
    </w:p>
    <w:p w14:paraId="4CC22F28"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2.1.2</w:t>
      </w:r>
      <w:r>
        <w:rPr>
          <w:rFonts w:eastAsia="仿宋_GB2312" w:cs="仿宋_GB2312" w:hint="eastAsia"/>
          <w:snapToGrid w:val="0"/>
          <w:kern w:val="0"/>
          <w:szCs w:val="32"/>
        </w:rPr>
        <w:t>作用机理</w:t>
      </w:r>
    </w:p>
    <w:p w14:paraId="0281EC8C"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snapToGrid w:val="0"/>
          <w:kern w:val="0"/>
          <w:szCs w:val="32"/>
        </w:rPr>
        <w:t>口腔照明设备主要利用其激发光与人体口腔组织发生的光化学作用及由此产生的荧光信号差异，达到辅助观察与定位的目的。其作用机理基于正常组织与病变组织在内源性荧光团浓度、代谢状态及微观结构上的差异，导致自体荧光强度不同，从而在图像上形成可识别的对比。</w:t>
      </w:r>
    </w:p>
    <w:p w14:paraId="4666A759"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snapToGrid w:val="0"/>
          <w:kern w:val="0"/>
          <w:szCs w:val="32"/>
        </w:rPr>
        <w:t>申请人应根据产品具体的激发光谱范围、荧光接收特性及成像模式，并结合申报产品用于辅助观察的适应证（如口腔潜在恶性病变的检查），具体阐述其辅助定位的作用机理，包括但不限于对病变区域荧光减弱（荧光缺失）现象与组织病理学改变（如上皮异常增生、微血管增生、胶原降解）之间关联的说明。</w:t>
      </w:r>
    </w:p>
    <w:p w14:paraId="32F6E043"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2.1.3</w:t>
      </w:r>
      <w:r>
        <w:rPr>
          <w:rFonts w:eastAsia="仿宋_GB2312" w:cs="仿宋_GB2312" w:hint="eastAsia"/>
          <w:snapToGrid w:val="0"/>
          <w:kern w:val="0"/>
          <w:szCs w:val="32"/>
        </w:rPr>
        <w:t>结构组成</w:t>
      </w:r>
    </w:p>
    <w:p w14:paraId="02CB46E9"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应明确产品的结构组成。通常可包括照明装置（含常规照明光源和荧光激发光源）、光学滤镜系统、成像观察装置（如观察镜、摄像头等）、电源、患者护目镜、控制部件等。若包含软件，应明确软件发布版本。</w:t>
      </w:r>
    </w:p>
    <w:p w14:paraId="78C4D407"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2.2</w:t>
      </w:r>
      <w:r>
        <w:rPr>
          <w:rFonts w:eastAsia="仿宋_GB2312" w:cs="仿宋_GB2312" w:hint="eastAsia"/>
          <w:snapToGrid w:val="0"/>
          <w:kern w:val="0"/>
          <w:szCs w:val="32"/>
        </w:rPr>
        <w:t>产品功能</w:t>
      </w:r>
    </w:p>
    <w:p w14:paraId="09D26C31"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snapToGrid w:val="0"/>
          <w:kern w:val="0"/>
          <w:szCs w:val="32"/>
        </w:rPr>
        <w:lastRenderedPageBreak/>
        <w:t>应当详述产品功能及其组成部件的功能，对于具备常规照明功能的口腔照明设备，其光输出及控制装置部分，应描述输出的光谱范围、色温、显色指数、照度调节范围、输出模式（连续）、输出及调控光能量的原理、使用方式和临床用途等方面。</w:t>
      </w:r>
    </w:p>
    <w:p w14:paraId="5F9F4FED"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snapToGrid w:val="0"/>
          <w:kern w:val="0"/>
          <w:szCs w:val="32"/>
        </w:rPr>
        <w:t>对于具备荧光成像功能的口腔照明设备，其光输出及控制装置部分，应分别描述常规照明模式与荧光成像模式下的输出特性。其中，荧光成像模式应重点描述激发光源的光谱范围、输出模式（连续）、输出光功率或照度、激发光与荧光信号的分离原理（如光学滤镜的截止波长与透过率）；成像部分应描述图像传感器性能、图像显示方式；并说明该模式下的使用方式和临床辅助用途。</w:t>
      </w:r>
    </w:p>
    <w:p w14:paraId="4D655FDA"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snapToGrid w:val="0"/>
          <w:kern w:val="0"/>
          <w:szCs w:val="32"/>
        </w:rPr>
        <w:t>除基本的光能量输出外，</w:t>
      </w:r>
      <w:r>
        <w:rPr>
          <w:rFonts w:eastAsia="仿宋_GB2312" w:cs="仿宋_GB2312" w:hint="eastAsia"/>
          <w:snapToGrid w:val="0"/>
          <w:kern w:val="0"/>
          <w:szCs w:val="32"/>
        </w:rPr>
        <w:t>若有</w:t>
      </w:r>
      <w:r>
        <w:rPr>
          <w:rFonts w:eastAsia="仿宋_GB2312" w:cs="仿宋_GB2312"/>
          <w:snapToGrid w:val="0"/>
          <w:kern w:val="0"/>
          <w:szCs w:val="32"/>
        </w:rPr>
        <w:t>其他设备功能应分别说明其</w:t>
      </w:r>
      <w:r w:rsidRPr="00BC03E4">
        <w:rPr>
          <w:rFonts w:eastAsia="仿宋_GB2312" w:cs="仿宋_GB2312"/>
          <w:snapToGrid w:val="0"/>
          <w:kern w:val="0"/>
          <w:szCs w:val="32"/>
        </w:rPr>
        <w:t>用途、原理和实现方式，如图像采集与存储功能、无线控制功</w:t>
      </w:r>
      <w:r>
        <w:rPr>
          <w:rFonts w:eastAsia="仿宋_GB2312" w:cs="仿宋_GB2312"/>
          <w:snapToGrid w:val="0"/>
          <w:kern w:val="0"/>
          <w:szCs w:val="32"/>
        </w:rPr>
        <w:t>能、智能光斑定位功能、与牙科治疗机联动的功能。</w:t>
      </w:r>
    </w:p>
    <w:p w14:paraId="765044D6"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2.3</w:t>
      </w:r>
      <w:r>
        <w:rPr>
          <w:rFonts w:eastAsia="仿宋_GB2312" w:cs="仿宋_GB2312" w:hint="eastAsia"/>
          <w:snapToGrid w:val="0"/>
          <w:kern w:val="0"/>
          <w:szCs w:val="32"/>
        </w:rPr>
        <w:t>型号规格</w:t>
      </w:r>
    </w:p>
    <w:p w14:paraId="1D12E626"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需明确申报产品的型号规格。产品型号规格及其划分，如同一个注册单元包含多个型号规格，需提供产品型号规格区分列表或配置表。</w:t>
      </w:r>
    </w:p>
    <w:p w14:paraId="57ABCC35"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2.4</w:t>
      </w:r>
      <w:r>
        <w:rPr>
          <w:rFonts w:eastAsia="仿宋_GB2312" w:cs="仿宋_GB2312" w:hint="eastAsia"/>
          <w:snapToGrid w:val="0"/>
          <w:kern w:val="0"/>
          <w:szCs w:val="32"/>
        </w:rPr>
        <w:t>包装说明</w:t>
      </w:r>
    </w:p>
    <w:p w14:paraId="788A97C2"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应说明产品的包装信息，如包装材料、用途等，如有多层包装应分别描述，并提供各层包装的图示。说明如何确保最终使用者可清晰地辨识包装的完整性。</w:t>
      </w:r>
    </w:p>
    <w:p w14:paraId="3BA5B47E"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2.5</w:t>
      </w:r>
      <w:r>
        <w:rPr>
          <w:rFonts w:eastAsia="仿宋_GB2312" w:cs="仿宋_GB2312" w:hint="eastAsia"/>
          <w:snapToGrid w:val="0"/>
          <w:kern w:val="0"/>
          <w:szCs w:val="32"/>
        </w:rPr>
        <w:t>研发历程、与同类和</w:t>
      </w:r>
      <w:r>
        <w:rPr>
          <w:rFonts w:eastAsia="仿宋_GB2312" w:cs="仿宋_GB2312" w:hint="eastAsia"/>
          <w:snapToGrid w:val="0"/>
          <w:kern w:val="0"/>
          <w:szCs w:val="32"/>
        </w:rPr>
        <w:t>/</w:t>
      </w:r>
      <w:r>
        <w:rPr>
          <w:rFonts w:eastAsia="仿宋_GB2312" w:cs="仿宋_GB2312" w:hint="eastAsia"/>
          <w:snapToGrid w:val="0"/>
          <w:kern w:val="0"/>
          <w:szCs w:val="32"/>
        </w:rPr>
        <w:t>或前代产品的参考和比较</w:t>
      </w:r>
    </w:p>
    <w:p w14:paraId="5A8A74F6" w14:textId="77777777" w:rsidR="00CF703A" w:rsidRDefault="00000000">
      <w:pPr>
        <w:pStyle w:val="ae"/>
        <w:overflowPunct w:val="0"/>
        <w:autoSpaceDE w:val="0"/>
        <w:autoSpaceDN w:val="0"/>
        <w:spacing w:line="520" w:lineRule="exact"/>
        <w:ind w:right="210" w:firstLine="640"/>
        <w:outlineLvl w:val="2"/>
        <w:rPr>
          <w:rFonts w:eastAsia="仿宋_GB2312" w:cs="仿宋_GB2312"/>
          <w:snapToGrid w:val="0"/>
          <w:kern w:val="0"/>
          <w:szCs w:val="32"/>
        </w:rPr>
      </w:pPr>
      <w:r>
        <w:rPr>
          <w:rFonts w:eastAsia="仿宋_GB2312" w:cs="仿宋_GB2312" w:hint="eastAsia"/>
          <w:snapToGrid w:val="0"/>
          <w:kern w:val="0"/>
          <w:szCs w:val="32"/>
        </w:rPr>
        <w:t>阐述申请注册产品的研发背景和目的。若申报产品有同类</w:t>
      </w:r>
      <w:r>
        <w:rPr>
          <w:rFonts w:eastAsia="仿宋_GB2312" w:cs="仿宋_GB2312" w:hint="eastAsia"/>
          <w:snapToGrid w:val="0"/>
          <w:kern w:val="0"/>
          <w:szCs w:val="32"/>
        </w:rPr>
        <w:lastRenderedPageBreak/>
        <w:t>产品和</w:t>
      </w:r>
      <w:r>
        <w:rPr>
          <w:rFonts w:eastAsia="仿宋_GB2312" w:cs="仿宋_GB2312" w:hint="eastAsia"/>
          <w:snapToGrid w:val="0"/>
          <w:kern w:val="0"/>
          <w:szCs w:val="32"/>
        </w:rPr>
        <w:t>/</w:t>
      </w:r>
      <w:r>
        <w:rPr>
          <w:rFonts w:eastAsia="仿宋_GB2312" w:cs="仿宋_GB2312" w:hint="eastAsia"/>
          <w:snapToGrid w:val="0"/>
          <w:kern w:val="0"/>
          <w:szCs w:val="32"/>
        </w:rPr>
        <w:t>或前代产品，申请人应说明相关的背景情况，提供同类产品和</w:t>
      </w:r>
      <w:r>
        <w:rPr>
          <w:rFonts w:eastAsia="仿宋_GB2312" w:cs="仿宋_GB2312" w:hint="eastAsia"/>
          <w:snapToGrid w:val="0"/>
          <w:kern w:val="0"/>
          <w:szCs w:val="32"/>
        </w:rPr>
        <w:t>/</w:t>
      </w:r>
      <w:r>
        <w:rPr>
          <w:rFonts w:eastAsia="仿宋_GB2312" w:cs="仿宋_GB2312" w:hint="eastAsia"/>
          <w:snapToGrid w:val="0"/>
          <w:kern w:val="0"/>
          <w:szCs w:val="32"/>
        </w:rPr>
        <w:t>或前代产品的上市情况说明。列表比较申报产品与同类产品和</w:t>
      </w:r>
      <w:r>
        <w:rPr>
          <w:rFonts w:eastAsia="仿宋_GB2312" w:cs="仿宋_GB2312" w:hint="eastAsia"/>
          <w:snapToGrid w:val="0"/>
          <w:kern w:val="0"/>
          <w:szCs w:val="32"/>
        </w:rPr>
        <w:t>/</w:t>
      </w:r>
      <w:r>
        <w:rPr>
          <w:rFonts w:eastAsia="仿宋_GB2312" w:cs="仿宋_GB2312" w:hint="eastAsia"/>
          <w:snapToGrid w:val="0"/>
          <w:kern w:val="0"/>
          <w:szCs w:val="32"/>
        </w:rPr>
        <w:t>或前代产品在工作原理、结构组成、制造材料、性能指标、作用方式以及适用范围等方面的异同。</w:t>
      </w:r>
    </w:p>
    <w:p w14:paraId="4D7F2E5C" w14:textId="77777777" w:rsidR="00CF703A" w:rsidRDefault="00000000">
      <w:pPr>
        <w:spacing w:line="520" w:lineRule="exact"/>
        <w:ind w:firstLineChars="200" w:firstLine="643"/>
        <w:outlineLvl w:val="2"/>
        <w:rPr>
          <w:rFonts w:eastAsia="仿宋_GB2312" w:cs="仿宋_GB2312"/>
          <w:b/>
          <w:bCs/>
          <w:snapToGrid w:val="0"/>
          <w:kern w:val="0"/>
          <w:szCs w:val="32"/>
        </w:rPr>
      </w:pPr>
      <w:r>
        <w:rPr>
          <w:rFonts w:eastAsia="仿宋_GB2312" w:cs="仿宋_GB2312" w:hint="eastAsia"/>
          <w:b/>
          <w:bCs/>
          <w:snapToGrid w:val="0"/>
          <w:kern w:val="0"/>
          <w:szCs w:val="32"/>
        </w:rPr>
        <w:t>3.</w:t>
      </w:r>
      <w:r>
        <w:rPr>
          <w:rFonts w:eastAsia="仿宋_GB2312" w:cs="仿宋_GB2312" w:hint="eastAsia"/>
          <w:b/>
          <w:bCs/>
          <w:snapToGrid w:val="0"/>
          <w:kern w:val="0"/>
          <w:szCs w:val="32"/>
        </w:rPr>
        <w:t>适用范围和禁忌证</w:t>
      </w:r>
    </w:p>
    <w:p w14:paraId="23003AF1" w14:textId="77777777" w:rsidR="00CF703A" w:rsidRDefault="00000000">
      <w:pPr>
        <w:pStyle w:val="ae"/>
        <w:overflowPunct w:val="0"/>
        <w:autoSpaceDE w:val="0"/>
        <w:autoSpaceDN w:val="0"/>
        <w:spacing w:line="520" w:lineRule="exact"/>
        <w:ind w:right="210" w:firstLine="640"/>
        <w:outlineLvl w:val="3"/>
        <w:rPr>
          <w:rFonts w:eastAsia="仿宋_GB2312" w:cs="仿宋_GB2312"/>
          <w:snapToGrid w:val="0"/>
          <w:kern w:val="0"/>
          <w:szCs w:val="32"/>
        </w:rPr>
      </w:pPr>
      <w:r>
        <w:rPr>
          <w:rFonts w:eastAsia="仿宋_GB2312" w:cs="仿宋_GB2312" w:hint="eastAsia"/>
          <w:snapToGrid w:val="0"/>
          <w:kern w:val="0"/>
          <w:szCs w:val="32"/>
        </w:rPr>
        <w:t>3.1</w:t>
      </w:r>
      <w:r>
        <w:rPr>
          <w:rFonts w:eastAsia="仿宋_GB2312" w:cs="仿宋_GB2312" w:hint="eastAsia"/>
          <w:snapToGrid w:val="0"/>
          <w:kern w:val="0"/>
          <w:szCs w:val="32"/>
        </w:rPr>
        <w:t>适用范围</w:t>
      </w:r>
    </w:p>
    <w:p w14:paraId="1D3CF288"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适用范围需明确核心功能、适用人群、目标用户、临床用途。</w:t>
      </w:r>
    </w:p>
    <w:p w14:paraId="4848F353" w14:textId="77777777" w:rsidR="00CF703A" w:rsidRDefault="00000000">
      <w:pPr>
        <w:spacing w:line="520" w:lineRule="exact"/>
        <w:ind w:rightChars="-32" w:right="-68" w:firstLineChars="200" w:firstLine="640"/>
        <w:rPr>
          <w:rFonts w:eastAsia="仿宋_GB2312" w:cs="仿宋_GB2312"/>
          <w:snapToGrid w:val="0"/>
          <w:kern w:val="0"/>
          <w:szCs w:val="32"/>
        </w:rPr>
      </w:pPr>
      <w:r>
        <w:rPr>
          <w:rFonts w:eastAsia="仿宋_GB2312" w:cs="仿宋_GB2312" w:hint="eastAsia"/>
          <w:snapToGrid w:val="0"/>
          <w:kern w:val="0"/>
          <w:szCs w:val="32"/>
        </w:rPr>
        <w:t>例如，用于口腔照明及检测观察，并且辅助增强口腔检查中黏膜异常和口腔病变的可视化程度。</w:t>
      </w:r>
    </w:p>
    <w:p w14:paraId="4AA97596" w14:textId="77777777" w:rsidR="00CF703A" w:rsidRDefault="00000000">
      <w:pPr>
        <w:pStyle w:val="ae"/>
        <w:overflowPunct w:val="0"/>
        <w:autoSpaceDE w:val="0"/>
        <w:autoSpaceDN w:val="0"/>
        <w:spacing w:line="520" w:lineRule="exact"/>
        <w:ind w:right="210" w:firstLine="640"/>
        <w:outlineLvl w:val="3"/>
        <w:rPr>
          <w:rFonts w:eastAsia="仿宋_GB2312" w:cs="仿宋_GB2312"/>
          <w:snapToGrid w:val="0"/>
          <w:kern w:val="0"/>
          <w:szCs w:val="32"/>
        </w:rPr>
      </w:pPr>
      <w:r>
        <w:rPr>
          <w:rFonts w:eastAsia="仿宋_GB2312" w:cs="仿宋_GB2312" w:hint="eastAsia"/>
          <w:snapToGrid w:val="0"/>
          <w:kern w:val="0"/>
          <w:szCs w:val="32"/>
        </w:rPr>
        <w:t>3.2</w:t>
      </w:r>
      <w:r>
        <w:rPr>
          <w:rFonts w:eastAsia="仿宋_GB2312" w:cs="仿宋_GB2312" w:hint="eastAsia"/>
          <w:snapToGrid w:val="0"/>
          <w:kern w:val="0"/>
          <w:szCs w:val="32"/>
        </w:rPr>
        <w:t>预期使用环境</w:t>
      </w:r>
    </w:p>
    <w:p w14:paraId="280F2FF8"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需明确设备使用场所和使用环境要求。</w:t>
      </w:r>
    </w:p>
    <w:p w14:paraId="1FB7E36D"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设备使用场所包括：医疗机构等。</w:t>
      </w:r>
    </w:p>
    <w:p w14:paraId="3B8AE00F"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使用环境要求需至少包括：推荐使用的适宜温度、湿度、大气压、光照条件。</w:t>
      </w:r>
    </w:p>
    <w:p w14:paraId="6635CFAB"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3.3</w:t>
      </w:r>
      <w:r>
        <w:rPr>
          <w:rFonts w:eastAsia="仿宋_GB2312" w:cs="仿宋_GB2312" w:hint="eastAsia"/>
          <w:snapToGrid w:val="0"/>
          <w:kern w:val="0"/>
          <w:szCs w:val="32"/>
        </w:rPr>
        <w:t>禁忌证：</w:t>
      </w:r>
    </w:p>
    <w:p w14:paraId="7095C0A2"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已知对设备特定波长光过敏或有严重光敏反应史的患者。</w:t>
      </w:r>
    </w:p>
    <w:p w14:paraId="70D8C8A4"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患者存在精神疾病或认知障碍，无法配合完成检查、无法保持静止或无法理解并遵从医嘱的情况。</w:t>
      </w:r>
    </w:p>
    <w:p w14:paraId="27A8037C" w14:textId="1B4B9FD5" w:rsidR="00BC03E4" w:rsidRPr="00BC03E4" w:rsidRDefault="00BC03E4" w:rsidP="00BC03E4">
      <w:pPr>
        <w:overflowPunct w:val="0"/>
        <w:autoSpaceDE w:val="0"/>
        <w:autoSpaceDN w:val="0"/>
        <w:spacing w:line="520" w:lineRule="exact"/>
        <w:ind w:firstLineChars="200" w:firstLine="640"/>
        <w:rPr>
          <w:rFonts w:eastAsia="仿宋_GB2312" w:cs="仿宋_GB2312"/>
          <w:snapToGrid w:val="0"/>
          <w:kern w:val="0"/>
          <w:szCs w:val="32"/>
        </w:rPr>
      </w:pPr>
      <w:r w:rsidRPr="00BC03E4">
        <w:rPr>
          <w:rFonts w:eastAsia="仿宋_GB2312" w:cs="仿宋_GB2312" w:hint="eastAsia"/>
          <w:snapToGrid w:val="0"/>
          <w:kern w:val="0"/>
          <w:szCs w:val="32"/>
        </w:rPr>
        <w:t>癫痫、正在服用光敏药物人群，凝血功能障碍等。</w:t>
      </w:r>
    </w:p>
    <w:p w14:paraId="596E4D30"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上述适用范围和禁忌证是对该类产品常见适用范围、禁忌证的举例，不是对该类产品适用范围和禁忌证的具体要求，申请人应根据产品实际情况（作用机理的支持情况、临床评价资料的支撑情况）明确产品的适用范围和禁忌证。</w:t>
      </w:r>
    </w:p>
    <w:p w14:paraId="4F68AD98" w14:textId="77777777" w:rsidR="00CF703A" w:rsidRDefault="00000000">
      <w:pPr>
        <w:overflowPunct w:val="0"/>
        <w:autoSpaceDE w:val="0"/>
        <w:autoSpaceDN w:val="0"/>
        <w:spacing w:line="520" w:lineRule="exact"/>
        <w:ind w:firstLineChars="200" w:firstLine="640"/>
        <w:outlineLvl w:val="1"/>
        <w:rPr>
          <w:rFonts w:eastAsia="楷体_GB2312"/>
          <w:color w:val="000000"/>
          <w:szCs w:val="32"/>
        </w:rPr>
      </w:pPr>
      <w:r>
        <w:rPr>
          <w:rFonts w:eastAsia="楷体_GB2312" w:hint="eastAsia"/>
          <w:color w:val="000000"/>
          <w:szCs w:val="32"/>
        </w:rPr>
        <w:lastRenderedPageBreak/>
        <w:t>（三）非临床资料</w:t>
      </w:r>
    </w:p>
    <w:p w14:paraId="79A08EBC" w14:textId="77777777" w:rsidR="00CF703A" w:rsidRPr="00B534AC" w:rsidRDefault="00000000">
      <w:pPr>
        <w:overflowPunct w:val="0"/>
        <w:autoSpaceDE w:val="0"/>
        <w:autoSpaceDN w:val="0"/>
        <w:spacing w:line="520" w:lineRule="exact"/>
        <w:ind w:firstLineChars="200" w:firstLine="643"/>
        <w:outlineLvl w:val="1"/>
        <w:rPr>
          <w:rFonts w:eastAsia="仿宋_GB2312" w:cs="仿宋_GB2312"/>
          <w:b/>
          <w:bCs/>
          <w:snapToGrid w:val="0"/>
          <w:kern w:val="0"/>
          <w:szCs w:val="32"/>
        </w:rPr>
      </w:pPr>
      <w:r w:rsidRPr="00B534AC">
        <w:rPr>
          <w:rFonts w:eastAsia="仿宋_GB2312" w:cs="仿宋_GB2312" w:hint="eastAsia"/>
          <w:b/>
          <w:bCs/>
          <w:snapToGrid w:val="0"/>
          <w:kern w:val="0"/>
          <w:szCs w:val="32"/>
        </w:rPr>
        <w:t>1.</w:t>
      </w:r>
      <w:r w:rsidRPr="00B534AC">
        <w:rPr>
          <w:rFonts w:eastAsia="仿宋_GB2312" w:cs="仿宋_GB2312" w:hint="eastAsia"/>
          <w:b/>
          <w:bCs/>
          <w:snapToGrid w:val="0"/>
          <w:kern w:val="0"/>
          <w:szCs w:val="32"/>
        </w:rPr>
        <w:t>产品风险管理资料</w:t>
      </w:r>
    </w:p>
    <w:p w14:paraId="5559E757"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申请人可参考</w:t>
      </w:r>
      <w:r>
        <w:rPr>
          <w:rFonts w:eastAsia="仿宋_GB2312" w:cs="仿宋_GB2312" w:hint="eastAsia"/>
          <w:snapToGrid w:val="0"/>
          <w:kern w:val="0"/>
          <w:szCs w:val="32"/>
        </w:rPr>
        <w:t>GB/T 42062</w:t>
      </w:r>
      <w:r>
        <w:rPr>
          <w:rFonts w:eastAsia="仿宋_GB2312" w:cs="仿宋_GB2312" w:hint="eastAsia"/>
          <w:snapToGrid w:val="0"/>
          <w:kern w:val="0"/>
          <w:szCs w:val="32"/>
        </w:rPr>
        <w:t>及</w:t>
      </w:r>
      <w:r>
        <w:rPr>
          <w:rFonts w:eastAsia="仿宋_GB2312" w:cs="仿宋_GB2312" w:hint="eastAsia"/>
          <w:snapToGrid w:val="0"/>
          <w:kern w:val="0"/>
          <w:szCs w:val="32"/>
        </w:rPr>
        <w:t>YY/T 1437</w:t>
      </w:r>
      <w:r>
        <w:rPr>
          <w:rFonts w:eastAsia="仿宋_GB2312" w:cs="仿宋_GB2312" w:hint="eastAsia"/>
          <w:snapToGrid w:val="0"/>
          <w:kern w:val="0"/>
          <w:szCs w:val="32"/>
        </w:rPr>
        <w:t>标准对产品进行全生命周期风险管理，提交风险管理资料。除常规电气、机械、生物相容性等风险外，应重点关注与荧光成像功能相关的风险，例如。</w:t>
      </w:r>
    </w:p>
    <w:p w14:paraId="443CD193"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1.1</w:t>
      </w:r>
      <w:r>
        <w:rPr>
          <w:rFonts w:eastAsia="仿宋_GB2312" w:cs="仿宋_GB2312" w:hint="eastAsia"/>
          <w:snapToGrid w:val="0"/>
          <w:kern w:val="0"/>
          <w:szCs w:val="32"/>
        </w:rPr>
        <w:t>光学风险：激发光波长与能量是否在安全范围内，是否可能造成患者或使用者光生物危害（如视网膜蓝光危害）。</w:t>
      </w:r>
    </w:p>
    <w:p w14:paraId="45E0C1D3"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1.2</w:t>
      </w:r>
      <w:r>
        <w:rPr>
          <w:rFonts w:eastAsia="仿宋_GB2312" w:cs="仿宋_GB2312" w:hint="eastAsia"/>
          <w:snapToGrid w:val="0"/>
          <w:kern w:val="0"/>
          <w:szCs w:val="32"/>
        </w:rPr>
        <w:t>诊断性能风险：荧光成像的假阳性、假阴性结果可能导致漏诊、误诊或不必要的活检。需结合临床文献数据（如高灵敏度、低特异度的特点）评估相关风险。</w:t>
      </w:r>
    </w:p>
    <w:p w14:paraId="0D3877DD"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1.3</w:t>
      </w:r>
      <w:r>
        <w:rPr>
          <w:rFonts w:eastAsia="仿宋_GB2312" w:cs="仿宋_GB2312" w:hint="eastAsia"/>
          <w:snapToGrid w:val="0"/>
          <w:kern w:val="0"/>
          <w:szCs w:val="32"/>
        </w:rPr>
        <w:t>使用风险：使用者操作不当（如照射角度、距离）或经验不足导致图像误判。</w:t>
      </w:r>
    </w:p>
    <w:p w14:paraId="5F985D92"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1.4</w:t>
      </w:r>
      <w:r>
        <w:rPr>
          <w:rFonts w:eastAsia="仿宋_GB2312" w:cs="仿宋_GB2312" w:hint="eastAsia"/>
          <w:snapToGrid w:val="0"/>
          <w:kern w:val="0"/>
          <w:szCs w:val="32"/>
        </w:rPr>
        <w:t>信息风险：软件成像分析（如适用）的准确性、稳定性风险。</w:t>
      </w:r>
    </w:p>
    <w:p w14:paraId="1B0044EE"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报告中需对所判定的危害制定相应的风险控制措施，并对剩余风险进行评价。</w:t>
      </w:r>
    </w:p>
    <w:p w14:paraId="15728FC0" w14:textId="77777777" w:rsidR="00CF703A" w:rsidRDefault="00000000">
      <w:pPr>
        <w:overflowPunct w:val="0"/>
        <w:autoSpaceDE w:val="0"/>
        <w:autoSpaceDN w:val="0"/>
        <w:spacing w:line="520" w:lineRule="exact"/>
        <w:ind w:firstLineChars="200" w:firstLine="643"/>
        <w:rPr>
          <w:rFonts w:eastAsia="仿宋_GB2312" w:cs="仿宋_GB2312"/>
          <w:b/>
          <w:bCs/>
          <w:snapToGrid w:val="0"/>
          <w:kern w:val="0"/>
          <w:szCs w:val="32"/>
        </w:rPr>
      </w:pPr>
      <w:r>
        <w:rPr>
          <w:rFonts w:eastAsia="仿宋_GB2312" w:cs="仿宋_GB2312" w:hint="eastAsia"/>
          <w:b/>
          <w:bCs/>
          <w:snapToGrid w:val="0"/>
          <w:kern w:val="0"/>
          <w:szCs w:val="32"/>
        </w:rPr>
        <w:t>2.</w:t>
      </w:r>
      <w:r>
        <w:rPr>
          <w:rFonts w:eastAsia="仿宋_GB2312" w:cs="仿宋_GB2312" w:hint="eastAsia"/>
          <w:b/>
          <w:bCs/>
          <w:snapToGrid w:val="0"/>
          <w:kern w:val="0"/>
          <w:szCs w:val="32"/>
        </w:rPr>
        <w:t>医疗器械安全和性能基本原则清单</w:t>
      </w:r>
    </w:p>
    <w:p w14:paraId="571326FA"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应根据产品特征提交医疗器械安全和性能基本原则清单。</w:t>
      </w:r>
    </w:p>
    <w:p w14:paraId="1BDC492D" w14:textId="77777777" w:rsidR="00CF703A" w:rsidRDefault="00000000">
      <w:pPr>
        <w:overflowPunct w:val="0"/>
        <w:autoSpaceDE w:val="0"/>
        <w:autoSpaceDN w:val="0"/>
        <w:spacing w:line="520" w:lineRule="exact"/>
        <w:ind w:firstLineChars="200" w:firstLine="643"/>
        <w:rPr>
          <w:rFonts w:eastAsia="仿宋_GB2312" w:cs="仿宋_GB2312"/>
          <w:b/>
          <w:bCs/>
          <w:snapToGrid w:val="0"/>
          <w:kern w:val="0"/>
          <w:szCs w:val="32"/>
        </w:rPr>
      </w:pPr>
      <w:r>
        <w:rPr>
          <w:rFonts w:eastAsia="仿宋_GB2312" w:cs="仿宋_GB2312" w:hint="eastAsia"/>
          <w:b/>
          <w:bCs/>
          <w:snapToGrid w:val="0"/>
          <w:kern w:val="0"/>
          <w:szCs w:val="32"/>
        </w:rPr>
        <w:t>3.</w:t>
      </w:r>
      <w:r>
        <w:rPr>
          <w:rFonts w:eastAsia="仿宋_GB2312" w:cs="仿宋_GB2312" w:hint="eastAsia"/>
          <w:b/>
          <w:bCs/>
          <w:snapToGrid w:val="0"/>
          <w:kern w:val="0"/>
          <w:szCs w:val="32"/>
        </w:rPr>
        <w:t>产品技术要求及检验报告</w:t>
      </w:r>
    </w:p>
    <w:p w14:paraId="1ADAE0D1"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3.1</w:t>
      </w:r>
      <w:r>
        <w:rPr>
          <w:rFonts w:eastAsia="仿宋_GB2312" w:cs="仿宋_GB2312" w:hint="eastAsia"/>
          <w:snapToGrid w:val="0"/>
          <w:kern w:val="0"/>
          <w:szCs w:val="32"/>
        </w:rPr>
        <w:t>产品技术要求</w:t>
      </w:r>
    </w:p>
    <w:p w14:paraId="22139F19"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依据《医疗器械产品技术要求编写指导原则》进行编制。</w:t>
      </w:r>
    </w:p>
    <w:p w14:paraId="100C19DB" w14:textId="303C1015"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3.1.1</w:t>
      </w:r>
      <w:r w:rsidR="00BC03E4" w:rsidDel="00BC03E4">
        <w:rPr>
          <w:rFonts w:eastAsia="仿宋_GB2312" w:cs="仿宋_GB2312" w:hint="eastAsia"/>
          <w:snapToGrid w:val="0"/>
          <w:kern w:val="0"/>
          <w:szCs w:val="32"/>
        </w:rPr>
        <w:t xml:space="preserve"> </w:t>
      </w:r>
      <w:r w:rsidR="00BC03E4" w:rsidRPr="00BC03E4">
        <w:rPr>
          <w:rFonts w:eastAsia="仿宋_GB2312" w:cs="仿宋_GB2312" w:hint="eastAsia"/>
          <w:snapToGrid w:val="0"/>
          <w:kern w:val="0"/>
          <w:szCs w:val="32"/>
        </w:rPr>
        <w:t>型号、规格及其划分说明</w:t>
      </w:r>
    </w:p>
    <w:p w14:paraId="5F59F9DB"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明确软件发布版本和版本命名规则。软件版本命名规则原</w:t>
      </w:r>
      <w:r>
        <w:rPr>
          <w:rFonts w:eastAsia="仿宋_GB2312" w:cs="仿宋_GB2312" w:hint="eastAsia"/>
          <w:snapToGrid w:val="0"/>
          <w:kern w:val="0"/>
          <w:szCs w:val="32"/>
        </w:rPr>
        <w:lastRenderedPageBreak/>
        <w:t>则上需涵盖算法驱动型更新和数据驱动型更新，明确并区分重大软件更新和轻微软件更新，其中重大软件更新列举常见典型情况。</w:t>
      </w:r>
    </w:p>
    <w:p w14:paraId="5669A0FB"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明确不同型号间产品差异。</w:t>
      </w:r>
    </w:p>
    <w:p w14:paraId="00705094"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3.1.2</w:t>
      </w:r>
      <w:r>
        <w:rPr>
          <w:rFonts w:eastAsia="仿宋_GB2312" w:cs="仿宋_GB2312" w:hint="eastAsia"/>
          <w:snapToGrid w:val="0"/>
          <w:kern w:val="0"/>
          <w:szCs w:val="32"/>
        </w:rPr>
        <w:t>性能指标</w:t>
      </w:r>
    </w:p>
    <w:p w14:paraId="432586E0"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应至少包括以下适用内容：</w:t>
      </w:r>
    </w:p>
    <w:p w14:paraId="2B52863C" w14:textId="2662B974"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1.</w:t>
      </w:r>
      <w:r>
        <w:rPr>
          <w:rFonts w:eastAsia="仿宋_GB2312" w:cs="仿宋_GB2312" w:hint="eastAsia"/>
          <w:snapToGrid w:val="0"/>
          <w:kern w:val="0"/>
          <w:szCs w:val="32"/>
        </w:rPr>
        <w:t>常规照明性能：若产品包含常规口腔照明功能，其性能指标应符合</w:t>
      </w:r>
      <w:r>
        <w:rPr>
          <w:rFonts w:eastAsia="仿宋_GB2312" w:cs="仿宋_GB2312" w:hint="eastAsia"/>
          <w:snapToGrid w:val="0"/>
          <w:kern w:val="0"/>
          <w:szCs w:val="32"/>
        </w:rPr>
        <w:t>YY/T 1120</w:t>
      </w:r>
      <w:r>
        <w:rPr>
          <w:rFonts w:eastAsia="仿宋_GB2312" w:cs="仿宋_GB2312" w:hint="eastAsia"/>
          <w:snapToGrid w:val="0"/>
          <w:kern w:val="0"/>
          <w:szCs w:val="32"/>
        </w:rPr>
        <w:t>《牙科学口腔灯》的相关要求，如照度、照明光斑、色温、显色指数、患者眼睛照度、紫外辐照度等。</w:t>
      </w:r>
    </w:p>
    <w:p w14:paraId="2ABB3AC9"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2.</w:t>
      </w:r>
      <w:r>
        <w:rPr>
          <w:rFonts w:eastAsia="仿宋_GB2312" w:cs="仿宋_GB2312" w:hint="eastAsia"/>
          <w:snapToGrid w:val="0"/>
          <w:kern w:val="0"/>
          <w:szCs w:val="32"/>
        </w:rPr>
        <w:t>荧光成像功能性能：</w:t>
      </w:r>
    </w:p>
    <w:p w14:paraId="0C6EC799"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2.1</w:t>
      </w:r>
      <w:r>
        <w:rPr>
          <w:rFonts w:eastAsia="仿宋_GB2312" w:cs="仿宋_GB2312" w:hint="eastAsia"/>
          <w:snapToGrid w:val="0"/>
          <w:kern w:val="0"/>
          <w:szCs w:val="32"/>
        </w:rPr>
        <w:t>激发光源特性：中心波长、波段范围、输出光功率或辐照度（在指定工作距离处）。</w:t>
      </w:r>
    </w:p>
    <w:p w14:paraId="46BF7747"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2.2</w:t>
      </w:r>
      <w:r>
        <w:rPr>
          <w:rFonts w:eastAsia="仿宋_GB2312" w:cs="仿宋_GB2312" w:hint="eastAsia"/>
          <w:snapToGrid w:val="0"/>
          <w:kern w:val="0"/>
          <w:szCs w:val="32"/>
        </w:rPr>
        <w:t>成像性能（如含摄像系统）：成像灵敏度、动态范围、分辨率、视场范围、图像均匀性等。</w:t>
      </w:r>
    </w:p>
    <w:p w14:paraId="43128476"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2.3</w:t>
      </w:r>
      <w:r>
        <w:rPr>
          <w:rFonts w:eastAsia="仿宋_GB2312" w:cs="仿宋_GB2312" w:hint="eastAsia"/>
          <w:snapToGrid w:val="0"/>
          <w:kern w:val="0"/>
          <w:szCs w:val="32"/>
        </w:rPr>
        <w:t>图像处理（如有图像融合功能）：图像融合精度。</w:t>
      </w:r>
    </w:p>
    <w:p w14:paraId="0B625A89"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2.4</w:t>
      </w:r>
      <w:r>
        <w:rPr>
          <w:rFonts w:eastAsia="仿宋_GB2312" w:cs="仿宋_GB2312" w:hint="eastAsia"/>
          <w:snapToGrid w:val="0"/>
          <w:kern w:val="0"/>
          <w:szCs w:val="32"/>
        </w:rPr>
        <w:t>光生物安全：应符合</w:t>
      </w:r>
      <w:r>
        <w:rPr>
          <w:rFonts w:eastAsia="仿宋_GB2312" w:cs="仿宋_GB2312" w:hint="eastAsia"/>
          <w:snapToGrid w:val="0"/>
          <w:kern w:val="0"/>
          <w:szCs w:val="32"/>
        </w:rPr>
        <w:t>GB/T 20145</w:t>
      </w:r>
      <w:r>
        <w:rPr>
          <w:rFonts w:eastAsia="仿宋_GB2312" w:cs="仿宋_GB2312" w:hint="eastAsia"/>
          <w:snapToGrid w:val="0"/>
          <w:kern w:val="0"/>
          <w:szCs w:val="32"/>
        </w:rPr>
        <w:t>《灯和灯系统的光生物安全性》的要求，特别是对蓝光危害的评估。应提供激发光源在最大输出下的光生物安全等级评定报告。</w:t>
      </w:r>
    </w:p>
    <w:p w14:paraId="1293BB4E"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3.</w:t>
      </w:r>
      <w:r>
        <w:rPr>
          <w:rFonts w:eastAsia="仿宋_GB2312" w:cs="仿宋_GB2312" w:hint="eastAsia"/>
          <w:snapToGrid w:val="0"/>
          <w:kern w:val="0"/>
          <w:szCs w:val="32"/>
        </w:rPr>
        <w:t>电气安全：应符合</w:t>
      </w:r>
      <w:r>
        <w:rPr>
          <w:rFonts w:eastAsia="仿宋_GB2312" w:cs="仿宋_GB2312" w:hint="eastAsia"/>
          <w:snapToGrid w:val="0"/>
          <w:kern w:val="0"/>
          <w:szCs w:val="32"/>
        </w:rPr>
        <w:t>GB 9706.1</w:t>
      </w:r>
      <w:r>
        <w:rPr>
          <w:rFonts w:eastAsia="仿宋_GB2312" w:cs="仿宋_GB2312" w:hint="eastAsia"/>
          <w:snapToGrid w:val="0"/>
          <w:kern w:val="0"/>
          <w:szCs w:val="32"/>
        </w:rPr>
        <w:t>、</w:t>
      </w:r>
      <w:r>
        <w:rPr>
          <w:rFonts w:eastAsia="仿宋_GB2312" w:cs="仿宋_GB2312" w:hint="eastAsia"/>
          <w:snapToGrid w:val="0"/>
          <w:kern w:val="0"/>
          <w:szCs w:val="32"/>
        </w:rPr>
        <w:t>YY 9706.102</w:t>
      </w:r>
      <w:r>
        <w:rPr>
          <w:rFonts w:eastAsia="仿宋_GB2312" w:cs="仿宋_GB2312" w:hint="eastAsia"/>
          <w:snapToGrid w:val="0"/>
          <w:kern w:val="0"/>
          <w:szCs w:val="32"/>
        </w:rPr>
        <w:t>、</w:t>
      </w:r>
      <w:r>
        <w:rPr>
          <w:rFonts w:eastAsia="仿宋_GB2312" w:cs="仿宋_GB2312" w:hint="eastAsia"/>
          <w:snapToGrid w:val="0"/>
          <w:kern w:val="0"/>
          <w:szCs w:val="32"/>
        </w:rPr>
        <w:t>GB 9706.260</w:t>
      </w:r>
      <w:r>
        <w:rPr>
          <w:rFonts w:eastAsia="仿宋_GB2312" w:cs="仿宋_GB2312" w:hint="eastAsia"/>
          <w:snapToGrid w:val="0"/>
          <w:kern w:val="0"/>
          <w:szCs w:val="32"/>
        </w:rPr>
        <w:t>的要求。</w:t>
      </w:r>
    </w:p>
    <w:p w14:paraId="1848C5A0"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4.</w:t>
      </w:r>
      <w:r>
        <w:rPr>
          <w:rFonts w:eastAsia="仿宋_GB2312" w:cs="仿宋_GB2312" w:hint="eastAsia"/>
          <w:snapToGrid w:val="0"/>
          <w:kern w:val="0"/>
          <w:szCs w:val="32"/>
        </w:rPr>
        <w:t>软件（如适用）：若产品含有软件，应明确软件名称、型号规格、发布版本、完整版本命名规则，并参照《医疗器械软件注册审查指导原则》制定相关要求。</w:t>
      </w:r>
    </w:p>
    <w:p w14:paraId="5D030D9A"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3.2</w:t>
      </w:r>
      <w:r>
        <w:rPr>
          <w:rFonts w:eastAsia="仿宋_GB2312" w:cs="仿宋_GB2312" w:hint="eastAsia"/>
          <w:snapToGrid w:val="0"/>
          <w:kern w:val="0"/>
          <w:szCs w:val="32"/>
        </w:rPr>
        <w:t>检验报告</w:t>
      </w:r>
    </w:p>
    <w:p w14:paraId="0DFE13FD"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lastRenderedPageBreak/>
        <w:t>依据《医疗器械注册与备案管理办法》第三十一条：“检验用产品应当能够代表申请注册或者进行备案产品的安全性和有效性”，检验产品典型性型号的选取，应依据注册单元内所有型号的差异和检验项目来决定。可提交以下任一形式的检验报告：</w:t>
      </w:r>
    </w:p>
    <w:p w14:paraId="5160D40E"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w:t>
      </w:r>
      <w:r>
        <w:rPr>
          <w:rFonts w:eastAsia="仿宋_GB2312" w:cs="仿宋_GB2312" w:hint="eastAsia"/>
          <w:snapToGrid w:val="0"/>
          <w:kern w:val="0"/>
          <w:szCs w:val="32"/>
        </w:rPr>
        <w:t>1</w:t>
      </w:r>
      <w:r>
        <w:rPr>
          <w:rFonts w:eastAsia="仿宋_GB2312" w:cs="仿宋_GB2312" w:hint="eastAsia"/>
          <w:snapToGrid w:val="0"/>
          <w:kern w:val="0"/>
          <w:szCs w:val="32"/>
        </w:rPr>
        <w:t>）申请人出具的自检报告。</w:t>
      </w:r>
    </w:p>
    <w:p w14:paraId="358F84A5" w14:textId="77777777" w:rsidR="00CF703A" w:rsidRDefault="00000000">
      <w:pPr>
        <w:overflowPunct w:val="0"/>
        <w:autoSpaceDE w:val="0"/>
        <w:autoSpaceDN w:val="0"/>
        <w:spacing w:line="520" w:lineRule="exact"/>
        <w:ind w:firstLineChars="200" w:firstLine="640"/>
        <w:rPr>
          <w:rFonts w:eastAsia="仿宋_GB2312" w:cs="仿宋_GB2312"/>
          <w:snapToGrid w:val="0"/>
          <w:kern w:val="0"/>
          <w:szCs w:val="32"/>
        </w:rPr>
      </w:pPr>
      <w:r>
        <w:rPr>
          <w:rFonts w:eastAsia="仿宋_GB2312" w:cs="仿宋_GB2312" w:hint="eastAsia"/>
          <w:snapToGrid w:val="0"/>
          <w:kern w:val="0"/>
          <w:szCs w:val="32"/>
        </w:rPr>
        <w:t>（</w:t>
      </w:r>
      <w:r>
        <w:rPr>
          <w:rFonts w:eastAsia="仿宋_GB2312" w:cs="仿宋_GB2312" w:hint="eastAsia"/>
          <w:snapToGrid w:val="0"/>
          <w:kern w:val="0"/>
          <w:szCs w:val="32"/>
        </w:rPr>
        <w:t>2</w:t>
      </w:r>
      <w:r>
        <w:rPr>
          <w:rFonts w:eastAsia="仿宋_GB2312" w:cs="仿宋_GB2312" w:hint="eastAsia"/>
          <w:snapToGrid w:val="0"/>
          <w:kern w:val="0"/>
          <w:szCs w:val="32"/>
        </w:rPr>
        <w:t>）委托有资质的医疗器械检验机构出具的检验报告。</w:t>
      </w:r>
    </w:p>
    <w:p w14:paraId="36453995" w14:textId="77777777" w:rsidR="00CF703A" w:rsidRDefault="00000000">
      <w:pPr>
        <w:overflowPunct w:val="0"/>
        <w:autoSpaceDE w:val="0"/>
        <w:autoSpaceDN w:val="0"/>
        <w:spacing w:line="520" w:lineRule="exact"/>
        <w:ind w:firstLineChars="200" w:firstLine="643"/>
        <w:outlineLvl w:val="2"/>
        <w:rPr>
          <w:rFonts w:eastAsia="仿宋_GB2312" w:cs="仿宋_GB2312"/>
          <w:b/>
          <w:bCs/>
          <w:snapToGrid w:val="0"/>
          <w:szCs w:val="32"/>
        </w:rPr>
      </w:pPr>
      <w:r>
        <w:rPr>
          <w:rFonts w:eastAsia="仿宋_GB2312" w:cs="仿宋_GB2312" w:hint="eastAsia"/>
          <w:b/>
          <w:bCs/>
          <w:snapToGrid w:val="0"/>
          <w:kern w:val="0"/>
          <w:szCs w:val="32"/>
        </w:rPr>
        <w:t>4</w:t>
      </w:r>
      <w:r>
        <w:rPr>
          <w:rFonts w:eastAsia="仿宋_GB2312" w:cs="仿宋_GB2312"/>
          <w:b/>
          <w:bCs/>
          <w:snapToGrid w:val="0"/>
          <w:kern w:val="0"/>
          <w:szCs w:val="32"/>
        </w:rPr>
        <w:t>.</w:t>
      </w:r>
      <w:r>
        <w:rPr>
          <w:rFonts w:eastAsia="仿宋_GB2312" w:cs="仿宋_GB2312" w:hint="eastAsia"/>
          <w:b/>
          <w:bCs/>
          <w:snapToGrid w:val="0"/>
          <w:kern w:val="0"/>
          <w:szCs w:val="32"/>
        </w:rPr>
        <w:t>研究资料</w:t>
      </w:r>
    </w:p>
    <w:p w14:paraId="0B25990C"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4.1</w:t>
      </w:r>
      <w:r>
        <w:rPr>
          <w:rFonts w:eastAsia="仿宋_GB2312" w:hint="eastAsia"/>
          <w:snapToGrid w:val="0"/>
          <w:kern w:val="0"/>
          <w:szCs w:val="32"/>
        </w:rPr>
        <w:t>物理和化学性能研究</w:t>
      </w:r>
      <w:r>
        <w:rPr>
          <w:rFonts w:eastAsia="仿宋_GB2312" w:hint="eastAsia"/>
          <w:snapToGrid w:val="0"/>
          <w:kern w:val="0"/>
          <w:szCs w:val="32"/>
        </w:rPr>
        <w:tab/>
      </w:r>
    </w:p>
    <w:p w14:paraId="7B65C5DE"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应结合产品的作用机理详述性能指标的确定依据。指标的确定依据应明确、具体，并应描述其所考虑的实际临床应用出发点，以及相关指标和临床使用的关联性。还应考虑设计输入来源以及临床意义，所采用的标准或方法、采用的原因及理论基础。</w:t>
      </w:r>
    </w:p>
    <w:p w14:paraId="0040034B"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4.2</w:t>
      </w:r>
      <w:r>
        <w:rPr>
          <w:rFonts w:eastAsia="仿宋_GB2312" w:hint="eastAsia"/>
          <w:snapToGrid w:val="0"/>
          <w:kern w:val="0"/>
          <w:szCs w:val="32"/>
        </w:rPr>
        <w:t>电气系统安全性研究</w:t>
      </w:r>
    </w:p>
    <w:p w14:paraId="3D1522C2"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应提供电气安全性及电磁兼容性的研究资料。</w:t>
      </w:r>
    </w:p>
    <w:p w14:paraId="0755BDB3" w14:textId="0B41B08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目前与</w:t>
      </w:r>
      <w:r>
        <w:rPr>
          <w:rFonts w:eastAsia="仿宋_GB2312" w:hint="eastAsia"/>
          <w:color w:val="000000"/>
          <w:szCs w:val="32"/>
        </w:rPr>
        <w:t>口腔照明设备</w:t>
      </w:r>
      <w:r>
        <w:rPr>
          <w:rFonts w:eastAsia="仿宋_GB2312" w:hint="eastAsia"/>
          <w:snapToGrid w:val="0"/>
          <w:kern w:val="0"/>
          <w:szCs w:val="32"/>
        </w:rPr>
        <w:t>相关的常用标准为</w:t>
      </w:r>
      <w:r>
        <w:rPr>
          <w:rFonts w:eastAsia="仿宋_GB2312" w:hint="eastAsia"/>
          <w:snapToGrid w:val="0"/>
          <w:kern w:val="0"/>
          <w:szCs w:val="32"/>
        </w:rPr>
        <w:t>GB 9706.1</w:t>
      </w:r>
      <w:r>
        <w:rPr>
          <w:rFonts w:eastAsia="仿宋_GB2312" w:hint="eastAsia"/>
          <w:snapToGrid w:val="0"/>
          <w:kern w:val="0"/>
          <w:szCs w:val="32"/>
        </w:rPr>
        <w:t>、</w:t>
      </w:r>
      <w:r>
        <w:rPr>
          <w:rFonts w:eastAsia="仿宋_GB2312" w:hint="eastAsia"/>
          <w:snapToGrid w:val="0"/>
          <w:kern w:val="0"/>
          <w:szCs w:val="32"/>
        </w:rPr>
        <w:t>YY 9706.102</w:t>
      </w:r>
      <w:r>
        <w:rPr>
          <w:rFonts w:eastAsia="仿宋_GB2312" w:hint="eastAsia"/>
          <w:snapToGrid w:val="0"/>
          <w:kern w:val="0"/>
          <w:szCs w:val="32"/>
        </w:rPr>
        <w:t>、</w:t>
      </w:r>
      <w:r>
        <w:rPr>
          <w:rFonts w:eastAsia="仿宋_GB2312" w:hint="eastAsia"/>
          <w:snapToGrid w:val="0"/>
          <w:kern w:val="0"/>
          <w:szCs w:val="32"/>
        </w:rPr>
        <w:t>GB 9706.260</w:t>
      </w:r>
      <w:r>
        <w:rPr>
          <w:rFonts w:eastAsia="仿宋_GB2312" w:hint="eastAsia"/>
          <w:snapToGrid w:val="0"/>
          <w:kern w:val="0"/>
          <w:szCs w:val="32"/>
        </w:rPr>
        <w:t>。申请人还可根据产品自身特点引用其他相关的标准（国际标准、行业标准等）。若适用的强制性标准中有不适用的条款，还应说明不适用理由。</w:t>
      </w:r>
    </w:p>
    <w:p w14:paraId="68CD7A75"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4.3</w:t>
      </w:r>
      <w:r>
        <w:rPr>
          <w:rFonts w:eastAsia="仿宋_GB2312" w:hint="eastAsia"/>
          <w:snapToGrid w:val="0"/>
          <w:kern w:val="0"/>
          <w:szCs w:val="32"/>
        </w:rPr>
        <w:t>联合使用</w:t>
      </w:r>
    </w:p>
    <w:p w14:paraId="017AF713"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如申报产品预期与其他医疗器械、药品、非医疗器械产品联合使用实现同一预期用途，应当提供证明联合使用安全有效的研究资料，包括互联基本信息（连接类型、接口、协议、最</w:t>
      </w:r>
      <w:r>
        <w:rPr>
          <w:rFonts w:eastAsia="仿宋_GB2312" w:hint="eastAsia"/>
          <w:snapToGrid w:val="0"/>
          <w:kern w:val="0"/>
          <w:szCs w:val="32"/>
        </w:rPr>
        <w:lastRenderedPageBreak/>
        <w:t>低性能）、联合使用风险及控制措施、联合使用上的限制，兼容性研究等。</w:t>
      </w:r>
    </w:p>
    <w:p w14:paraId="1ADB8A6B"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例如，与不同型号的常规口腔灯联用，应提供联合使用安全有效、兼容性的研究资料。</w:t>
      </w:r>
    </w:p>
    <w:p w14:paraId="6023CFE2"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4.4</w:t>
      </w:r>
      <w:r>
        <w:rPr>
          <w:rFonts w:eastAsia="仿宋_GB2312" w:hint="eastAsia"/>
          <w:snapToGrid w:val="0"/>
          <w:kern w:val="0"/>
          <w:szCs w:val="32"/>
        </w:rPr>
        <w:t>量效关系和能量安全</w:t>
      </w:r>
    </w:p>
    <w:p w14:paraId="26B3302D"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申请人应当提供量效关系和热损伤研究资料，提供证明治疗参数设置的安全性、有效性、合理性，以及除预期靶组织外，能量不会对正常组织造成不可接受的伤害的研究资料。</w:t>
      </w:r>
    </w:p>
    <w:p w14:paraId="634A45F6"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4.5</w:t>
      </w:r>
      <w:r>
        <w:rPr>
          <w:rFonts w:eastAsia="仿宋_GB2312" w:hint="eastAsia"/>
          <w:snapToGrid w:val="0"/>
          <w:kern w:val="0"/>
          <w:szCs w:val="32"/>
        </w:rPr>
        <w:t>光辐射安全研究</w:t>
      </w:r>
    </w:p>
    <w:p w14:paraId="04E7C100" w14:textId="24294633"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应符合</w:t>
      </w:r>
      <w:r>
        <w:rPr>
          <w:rFonts w:eastAsia="仿宋_GB2312" w:hint="eastAsia"/>
          <w:snapToGrid w:val="0"/>
          <w:kern w:val="0"/>
          <w:szCs w:val="32"/>
        </w:rPr>
        <w:t>GB/T 20145</w:t>
      </w:r>
      <w:r>
        <w:rPr>
          <w:rFonts w:eastAsia="仿宋_GB2312" w:hint="eastAsia"/>
          <w:snapToGrid w:val="0"/>
          <w:kern w:val="0"/>
          <w:szCs w:val="32"/>
        </w:rPr>
        <w:t>《灯和灯系统的光生物安全性》</w:t>
      </w:r>
      <w:r w:rsidR="00BC03E4">
        <w:rPr>
          <w:rFonts w:eastAsia="仿宋_GB2312" w:hint="eastAsia"/>
          <w:snapToGrid w:val="0"/>
          <w:kern w:val="0"/>
          <w:szCs w:val="32"/>
        </w:rPr>
        <w:t>以及</w:t>
      </w:r>
      <w:r w:rsidR="00BC03E4" w:rsidRPr="00BC03E4">
        <w:rPr>
          <w:rFonts w:eastAsia="仿宋_GB2312" w:hint="eastAsia"/>
          <w:snapToGrid w:val="0"/>
          <w:kern w:val="0"/>
          <w:szCs w:val="32"/>
        </w:rPr>
        <w:t>《医疗器械光辐射安全注册审查指导原则》</w:t>
      </w:r>
      <w:r>
        <w:rPr>
          <w:rFonts w:eastAsia="仿宋_GB2312" w:hint="eastAsia"/>
          <w:snapToGrid w:val="0"/>
          <w:kern w:val="0"/>
          <w:szCs w:val="32"/>
        </w:rPr>
        <w:t>的要求。</w:t>
      </w:r>
    </w:p>
    <w:p w14:paraId="20513EE7"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4.6</w:t>
      </w:r>
      <w:r>
        <w:rPr>
          <w:rFonts w:eastAsia="仿宋_GB2312" w:hint="eastAsia"/>
          <w:snapToGrid w:val="0"/>
          <w:kern w:val="0"/>
          <w:szCs w:val="32"/>
        </w:rPr>
        <w:t>软件研究</w:t>
      </w:r>
      <w:r>
        <w:rPr>
          <w:rFonts w:eastAsia="仿宋_GB2312" w:hint="eastAsia"/>
          <w:snapToGrid w:val="0"/>
          <w:kern w:val="0"/>
          <w:szCs w:val="32"/>
        </w:rPr>
        <w:tab/>
      </w:r>
    </w:p>
    <w:p w14:paraId="0257221E"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口腔照明设备通常含有软件组件。对于治疗仪的软件，应按照《医疗器械软件注册审查指导原则（</w:t>
      </w:r>
      <w:r>
        <w:rPr>
          <w:rFonts w:eastAsia="仿宋_GB2312" w:hint="eastAsia"/>
          <w:snapToGrid w:val="0"/>
          <w:kern w:val="0"/>
          <w:szCs w:val="32"/>
        </w:rPr>
        <w:t>2022</w:t>
      </w:r>
      <w:r>
        <w:rPr>
          <w:rFonts w:eastAsia="仿宋_GB2312" w:hint="eastAsia"/>
          <w:snapToGrid w:val="0"/>
          <w:kern w:val="0"/>
          <w:szCs w:val="32"/>
        </w:rPr>
        <w:t>年修订版）》的要求，提供产品软件研究资料。</w:t>
      </w:r>
    </w:p>
    <w:p w14:paraId="4B3656C6"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4.7</w:t>
      </w:r>
      <w:r>
        <w:rPr>
          <w:rFonts w:eastAsia="仿宋_GB2312" w:hint="eastAsia"/>
          <w:snapToGrid w:val="0"/>
          <w:kern w:val="0"/>
          <w:szCs w:val="32"/>
        </w:rPr>
        <w:t>网络安全</w:t>
      </w:r>
    </w:p>
    <w:p w14:paraId="0249E3DC"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color w:val="000000"/>
          <w:szCs w:val="32"/>
        </w:rPr>
        <w:t>口腔照明设备</w:t>
      </w:r>
      <w:r>
        <w:rPr>
          <w:rFonts w:eastAsia="仿宋_GB2312" w:hint="eastAsia"/>
          <w:snapToGrid w:val="0"/>
          <w:kern w:val="0"/>
          <w:szCs w:val="32"/>
        </w:rPr>
        <w:t>若具备电子数据交换、远程访问与控制、用户访问三种功能当中一种及以上功能的，应参考《医疗器械网络安全注册审查指导原则（</w:t>
      </w:r>
      <w:r>
        <w:rPr>
          <w:rFonts w:eastAsia="仿宋_GB2312" w:hint="eastAsia"/>
          <w:snapToGrid w:val="0"/>
          <w:kern w:val="0"/>
          <w:szCs w:val="32"/>
        </w:rPr>
        <w:t>2022</w:t>
      </w:r>
      <w:r>
        <w:rPr>
          <w:rFonts w:eastAsia="仿宋_GB2312" w:hint="eastAsia"/>
          <w:snapToGrid w:val="0"/>
          <w:kern w:val="0"/>
          <w:szCs w:val="32"/>
        </w:rPr>
        <w:t>年修订版）》提供网络安全相关研究资料。</w:t>
      </w:r>
    </w:p>
    <w:p w14:paraId="0C53A7EA"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4.8</w:t>
      </w:r>
      <w:r>
        <w:rPr>
          <w:rFonts w:eastAsia="仿宋_GB2312" w:hint="eastAsia"/>
          <w:snapToGrid w:val="0"/>
          <w:kern w:val="0"/>
          <w:szCs w:val="32"/>
        </w:rPr>
        <w:t>可用性研究</w:t>
      </w:r>
    </w:p>
    <w:p w14:paraId="2137B2AE"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应参照《医疗器械可用性工程注册审查指导原则》，按照中、低使用风险医疗器械要求提交使用错误评估报告，包括基本信息、使用风险级别、核心要素、同类医疗器械上市后使用</w:t>
      </w:r>
      <w:r>
        <w:rPr>
          <w:rFonts w:eastAsia="仿宋_GB2312" w:hint="eastAsia"/>
          <w:snapToGrid w:val="0"/>
          <w:kern w:val="0"/>
          <w:szCs w:val="32"/>
        </w:rPr>
        <w:lastRenderedPageBreak/>
        <w:t>问题分析、使用风险管理、结论等内容。若前期已开展可用性工程工作，亦可提交可用性工程研究报告，用于替代使用错误评估报告。</w:t>
      </w:r>
    </w:p>
    <w:p w14:paraId="61221A78"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4.9</w:t>
      </w:r>
      <w:r>
        <w:rPr>
          <w:rFonts w:eastAsia="仿宋_GB2312" w:hint="eastAsia"/>
          <w:snapToGrid w:val="0"/>
          <w:kern w:val="0"/>
          <w:szCs w:val="32"/>
        </w:rPr>
        <w:t>生物学特性研究</w:t>
      </w:r>
      <w:r>
        <w:rPr>
          <w:rFonts w:eastAsia="仿宋_GB2312" w:hint="eastAsia"/>
          <w:snapToGrid w:val="0"/>
          <w:kern w:val="0"/>
          <w:szCs w:val="32"/>
        </w:rPr>
        <w:tab/>
      </w:r>
    </w:p>
    <w:p w14:paraId="21AB5E34"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对于成品中与患者直接或间接接触的部件，应当进行生物学评价。生物学评价资料应当包括：</w:t>
      </w:r>
    </w:p>
    <w:p w14:paraId="7AFA557E"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4.9.1</w:t>
      </w:r>
      <w:r>
        <w:rPr>
          <w:rFonts w:eastAsia="仿宋_GB2312" w:hint="eastAsia"/>
          <w:snapToGrid w:val="0"/>
          <w:kern w:val="0"/>
          <w:szCs w:val="32"/>
        </w:rPr>
        <w:t>描述产品所用材料及与人体接触性质，设计和生产过程中可能引入的污染物和残留物，设计和生产过程中可能产生的析出物（包括滤沥物和</w:t>
      </w:r>
      <w:r>
        <w:rPr>
          <w:rFonts w:eastAsia="仿宋_GB2312" w:hint="eastAsia"/>
          <w:snapToGrid w:val="0"/>
          <w:kern w:val="0"/>
          <w:szCs w:val="32"/>
        </w:rPr>
        <w:t>/</w:t>
      </w:r>
      <w:r>
        <w:rPr>
          <w:rFonts w:eastAsia="仿宋_GB2312" w:hint="eastAsia"/>
          <w:snapToGrid w:val="0"/>
          <w:kern w:val="0"/>
          <w:szCs w:val="32"/>
        </w:rPr>
        <w:t>或蒸发物）、降解产物、加工残留物，与医疗器械直接接触的包装材料等相关信息。</w:t>
      </w:r>
    </w:p>
    <w:p w14:paraId="475EC0EC"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4.9.2</w:t>
      </w:r>
      <w:r>
        <w:rPr>
          <w:rFonts w:eastAsia="仿宋_GB2312" w:hint="eastAsia"/>
          <w:snapToGrid w:val="0"/>
          <w:kern w:val="0"/>
          <w:szCs w:val="32"/>
        </w:rPr>
        <w:t>描述申报产品的物理和</w:t>
      </w:r>
      <w:r>
        <w:rPr>
          <w:rFonts w:eastAsia="仿宋_GB2312" w:hint="eastAsia"/>
          <w:snapToGrid w:val="0"/>
          <w:kern w:val="0"/>
          <w:szCs w:val="32"/>
        </w:rPr>
        <w:t>/</w:t>
      </w:r>
      <w:r>
        <w:rPr>
          <w:rFonts w:eastAsia="仿宋_GB2312" w:hint="eastAsia"/>
          <w:snapToGrid w:val="0"/>
          <w:kern w:val="0"/>
          <w:szCs w:val="32"/>
        </w:rPr>
        <w:t>或化学信息并考虑材料表征（如适用），如器械的物理作用可能产生生物学风险，应当进行评价。</w:t>
      </w:r>
    </w:p>
    <w:p w14:paraId="32BF6A46"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4.9.3</w:t>
      </w:r>
      <w:r>
        <w:rPr>
          <w:rFonts w:eastAsia="仿宋_GB2312" w:hint="eastAsia"/>
          <w:snapToGrid w:val="0"/>
          <w:kern w:val="0"/>
          <w:szCs w:val="32"/>
        </w:rPr>
        <w:t>生物学评价的策略、依据和方法。</w:t>
      </w:r>
    </w:p>
    <w:p w14:paraId="7A0CE31B"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4.9.4</w:t>
      </w:r>
      <w:r>
        <w:rPr>
          <w:rFonts w:eastAsia="仿宋_GB2312" w:hint="eastAsia"/>
          <w:snapToGrid w:val="0"/>
          <w:kern w:val="0"/>
          <w:szCs w:val="32"/>
        </w:rPr>
        <w:t>已有数据和结果的评价。</w:t>
      </w:r>
    </w:p>
    <w:p w14:paraId="33667A65"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4.9.5</w:t>
      </w:r>
      <w:r>
        <w:rPr>
          <w:rFonts w:eastAsia="仿宋_GB2312" w:hint="eastAsia"/>
          <w:snapToGrid w:val="0"/>
          <w:kern w:val="0"/>
          <w:szCs w:val="32"/>
        </w:rPr>
        <w:t>选择或豁免生物学试验的理由和论证。</w:t>
      </w:r>
    </w:p>
    <w:p w14:paraId="1639ADF4"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4.9.6</w:t>
      </w:r>
      <w:r>
        <w:rPr>
          <w:rFonts w:eastAsia="仿宋_GB2312" w:hint="eastAsia"/>
          <w:snapToGrid w:val="0"/>
          <w:kern w:val="0"/>
          <w:szCs w:val="32"/>
        </w:rPr>
        <w:t>完成生物学评价所需的其他数据。</w:t>
      </w:r>
    </w:p>
    <w:p w14:paraId="28EB0282" w14:textId="721DD5AD"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若通过生物相容性试验开展生物学评价，应依据</w:t>
      </w:r>
      <w:r>
        <w:rPr>
          <w:rFonts w:eastAsia="仿宋_GB2312" w:hint="eastAsia"/>
          <w:snapToGrid w:val="0"/>
          <w:kern w:val="0"/>
          <w:szCs w:val="32"/>
        </w:rPr>
        <w:t>GB/T 16886.1</w:t>
      </w:r>
      <w:r>
        <w:rPr>
          <w:rFonts w:eastAsia="仿宋_GB2312" w:hint="eastAsia"/>
          <w:snapToGrid w:val="0"/>
          <w:kern w:val="0"/>
          <w:szCs w:val="32"/>
        </w:rPr>
        <w:t>，根据与患者接触部位（完好皮肤、完整粘膜、破裂或损伤表面）和接触时间确定生物学试验项目。</w:t>
      </w:r>
    </w:p>
    <w:p w14:paraId="69C6F324"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4.10</w:t>
      </w:r>
      <w:r>
        <w:rPr>
          <w:rFonts w:eastAsia="仿宋_GB2312" w:hint="eastAsia"/>
          <w:snapToGrid w:val="0"/>
          <w:kern w:val="0"/>
          <w:szCs w:val="32"/>
        </w:rPr>
        <w:t>清洗、消毒研究</w:t>
      </w:r>
      <w:r>
        <w:rPr>
          <w:rFonts w:eastAsia="仿宋_GB2312" w:hint="eastAsia"/>
          <w:snapToGrid w:val="0"/>
          <w:kern w:val="0"/>
          <w:szCs w:val="32"/>
        </w:rPr>
        <w:tab/>
      </w:r>
    </w:p>
    <w:p w14:paraId="24347A43" w14:textId="2215E785" w:rsidR="00CF703A" w:rsidRDefault="00000000">
      <w:pPr>
        <w:overflowPunct w:val="0"/>
        <w:spacing w:line="520" w:lineRule="exact"/>
        <w:ind w:firstLineChars="200" w:firstLine="640"/>
        <w:rPr>
          <w:rFonts w:eastAsia="仿宋_GB2312"/>
          <w:snapToGrid w:val="0"/>
          <w:kern w:val="0"/>
          <w:szCs w:val="32"/>
        </w:rPr>
      </w:pPr>
      <w:r>
        <w:rPr>
          <w:rFonts w:eastAsia="仿宋_GB2312" w:hint="eastAsia"/>
          <w:color w:val="000000"/>
          <w:szCs w:val="32"/>
        </w:rPr>
        <w:t>口腔照明设备</w:t>
      </w:r>
      <w:r>
        <w:rPr>
          <w:rFonts w:eastAsia="仿宋_GB2312" w:hint="eastAsia"/>
          <w:snapToGrid w:val="0"/>
          <w:kern w:val="0"/>
          <w:szCs w:val="32"/>
        </w:rPr>
        <w:t>若与口腔或或破损皮肤接触，需要进行清洁和消毒，需说明推荐清洗、消毒工艺的确定依据并提供有效性验证资料。</w:t>
      </w:r>
    </w:p>
    <w:p w14:paraId="7ACC5CD3" w14:textId="77777777" w:rsidR="00CF703A" w:rsidRDefault="00000000">
      <w:pPr>
        <w:overflowPunct w:val="0"/>
        <w:spacing w:line="520" w:lineRule="exact"/>
        <w:ind w:firstLineChars="200" w:firstLine="643"/>
        <w:rPr>
          <w:rFonts w:eastAsia="仿宋_GB2312"/>
          <w:b/>
          <w:bCs/>
          <w:snapToGrid w:val="0"/>
          <w:kern w:val="0"/>
          <w:szCs w:val="32"/>
        </w:rPr>
      </w:pPr>
      <w:r>
        <w:rPr>
          <w:rFonts w:eastAsia="仿宋_GB2312" w:hint="eastAsia"/>
          <w:b/>
          <w:bCs/>
          <w:snapToGrid w:val="0"/>
          <w:kern w:val="0"/>
          <w:szCs w:val="32"/>
        </w:rPr>
        <w:lastRenderedPageBreak/>
        <w:t>5.</w:t>
      </w:r>
      <w:r>
        <w:rPr>
          <w:rFonts w:eastAsia="仿宋_GB2312" w:hint="eastAsia"/>
          <w:b/>
          <w:bCs/>
          <w:snapToGrid w:val="0"/>
          <w:kern w:val="0"/>
          <w:szCs w:val="32"/>
        </w:rPr>
        <w:t>稳定性研究</w:t>
      </w:r>
      <w:r>
        <w:rPr>
          <w:rFonts w:eastAsia="仿宋_GB2312" w:hint="eastAsia"/>
          <w:b/>
          <w:bCs/>
          <w:snapToGrid w:val="0"/>
          <w:kern w:val="0"/>
          <w:szCs w:val="32"/>
        </w:rPr>
        <w:tab/>
      </w:r>
    </w:p>
    <w:p w14:paraId="15504A32"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5.1</w:t>
      </w:r>
      <w:r>
        <w:rPr>
          <w:rFonts w:eastAsia="仿宋_GB2312" w:hint="eastAsia"/>
          <w:snapToGrid w:val="0"/>
          <w:kern w:val="0"/>
          <w:szCs w:val="32"/>
        </w:rPr>
        <w:t>使用稳定性</w:t>
      </w:r>
      <w:r>
        <w:rPr>
          <w:rFonts w:eastAsia="仿宋_GB2312" w:hint="eastAsia"/>
          <w:snapToGrid w:val="0"/>
          <w:kern w:val="0"/>
          <w:szCs w:val="32"/>
        </w:rPr>
        <w:tab/>
      </w:r>
    </w:p>
    <w:p w14:paraId="06A0EA14"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应当提供使用稳定性</w:t>
      </w:r>
      <w:r>
        <w:rPr>
          <w:rFonts w:eastAsia="仿宋_GB2312" w:hint="eastAsia"/>
          <w:snapToGrid w:val="0"/>
          <w:kern w:val="0"/>
          <w:szCs w:val="32"/>
        </w:rPr>
        <w:t>/</w:t>
      </w:r>
      <w:r>
        <w:rPr>
          <w:rFonts w:eastAsia="仿宋_GB2312" w:hint="eastAsia"/>
          <w:snapToGrid w:val="0"/>
          <w:kern w:val="0"/>
          <w:szCs w:val="32"/>
        </w:rPr>
        <w:t>可靠性研究资料，证明在规定的使用期限</w:t>
      </w:r>
      <w:r>
        <w:rPr>
          <w:rFonts w:eastAsia="仿宋_GB2312" w:hint="eastAsia"/>
          <w:snapToGrid w:val="0"/>
          <w:kern w:val="0"/>
          <w:szCs w:val="32"/>
        </w:rPr>
        <w:t>/</w:t>
      </w:r>
      <w:r>
        <w:rPr>
          <w:rFonts w:eastAsia="仿宋_GB2312" w:hint="eastAsia"/>
          <w:snapToGrid w:val="0"/>
          <w:kern w:val="0"/>
          <w:szCs w:val="32"/>
        </w:rPr>
        <w:t>使用次数内，在正常使用、维护和校准情况下，产品的性能功能满足使用要求。</w:t>
      </w:r>
    </w:p>
    <w:p w14:paraId="7F6A8E53" w14:textId="050C845A"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可参考</w:t>
      </w:r>
      <w:r w:rsidR="00F64F49" w:rsidRPr="00F64F49">
        <w:rPr>
          <w:rFonts w:eastAsia="仿宋_GB2312" w:hint="eastAsia"/>
          <w:snapToGrid w:val="0"/>
          <w:kern w:val="0"/>
          <w:szCs w:val="32"/>
        </w:rPr>
        <w:t>《有源医疗器械使用期限注册技术审查指导原则》</w:t>
      </w:r>
      <w:r>
        <w:rPr>
          <w:rFonts w:eastAsia="仿宋_GB2312" w:hint="eastAsia"/>
          <w:snapToGrid w:val="0"/>
          <w:kern w:val="0"/>
          <w:szCs w:val="32"/>
        </w:rPr>
        <w:t>推荐的方法，如采用加速老化和</w:t>
      </w:r>
      <w:r>
        <w:rPr>
          <w:rFonts w:eastAsia="仿宋_GB2312" w:hint="eastAsia"/>
          <w:snapToGrid w:val="0"/>
          <w:kern w:val="0"/>
          <w:szCs w:val="32"/>
        </w:rPr>
        <w:t>/</w:t>
      </w:r>
      <w:r>
        <w:rPr>
          <w:rFonts w:eastAsia="仿宋_GB2312" w:hint="eastAsia"/>
          <w:snapToGrid w:val="0"/>
          <w:kern w:val="0"/>
          <w:szCs w:val="32"/>
        </w:rPr>
        <w:t>或实时老化的方式进行，同时考虑能量输出对产品使用期限的影响，老化后对产品的关键功能性能及电气安全进行检验，以证明产品的功能性能满足使用要求。应给出老化后测试的性能指标的确定依据，对于未测试的性能指标，应给出合理解释。</w:t>
      </w:r>
    </w:p>
    <w:p w14:paraId="74DA59CF"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5.2</w:t>
      </w:r>
      <w:r>
        <w:rPr>
          <w:rFonts w:eastAsia="仿宋_GB2312" w:hint="eastAsia"/>
          <w:snapToGrid w:val="0"/>
          <w:kern w:val="0"/>
          <w:szCs w:val="32"/>
        </w:rPr>
        <w:t>运输稳定性</w:t>
      </w:r>
      <w:r>
        <w:rPr>
          <w:rFonts w:eastAsia="仿宋_GB2312" w:hint="eastAsia"/>
          <w:snapToGrid w:val="0"/>
          <w:kern w:val="0"/>
          <w:szCs w:val="32"/>
        </w:rPr>
        <w:tab/>
      </w:r>
    </w:p>
    <w:p w14:paraId="59B726DE" w14:textId="77777777" w:rsidR="00CF703A" w:rsidRDefault="00000000">
      <w:pPr>
        <w:overflowPunct w:val="0"/>
        <w:spacing w:line="520" w:lineRule="exact"/>
        <w:ind w:firstLineChars="200" w:firstLine="640"/>
        <w:rPr>
          <w:rFonts w:eastAsia="仿宋_GB2312"/>
          <w:snapToGrid w:val="0"/>
          <w:kern w:val="0"/>
          <w:szCs w:val="32"/>
        </w:rPr>
      </w:pPr>
      <w:r>
        <w:rPr>
          <w:rFonts w:eastAsia="仿宋_GB2312" w:hint="eastAsia"/>
          <w:snapToGrid w:val="0"/>
          <w:kern w:val="0"/>
          <w:szCs w:val="32"/>
        </w:rPr>
        <w:t>应提供运输稳定性和包装研究资料，证明生产企业规定的运输条件不会对产品的特性和性能造成不利影响。</w:t>
      </w:r>
    </w:p>
    <w:p w14:paraId="6256C97E" w14:textId="77777777" w:rsidR="00CF703A" w:rsidRDefault="00000000">
      <w:pPr>
        <w:overflowPunct w:val="0"/>
        <w:spacing w:line="520" w:lineRule="exact"/>
        <w:ind w:firstLineChars="200" w:firstLine="640"/>
        <w:rPr>
          <w:rFonts w:eastAsia="仿宋_GB2312" w:cs="仿宋_GB2312"/>
          <w:snapToGrid w:val="0"/>
          <w:kern w:val="0"/>
          <w:szCs w:val="32"/>
        </w:rPr>
      </w:pPr>
      <w:r>
        <w:rPr>
          <w:rFonts w:eastAsia="仿宋_GB2312" w:hint="eastAsia"/>
          <w:snapToGrid w:val="0"/>
          <w:kern w:val="0"/>
          <w:szCs w:val="32"/>
        </w:rPr>
        <w:t>运输稳定性研究通常提供模拟运输试验进行，通过模拟规定的运输贮存条件，验证包装对性能及安全的保护能力。运输试验开始前及结束后，应对产品关键功能性能及电气安全进行验证，应提供验证项目的选择依据。模拟运输试验可参考</w:t>
      </w:r>
      <w:r>
        <w:rPr>
          <w:rFonts w:eastAsia="仿宋_GB2312" w:hint="eastAsia"/>
          <w:snapToGrid w:val="0"/>
          <w:kern w:val="0"/>
          <w:szCs w:val="32"/>
        </w:rPr>
        <w:t>GB/T 14710</w:t>
      </w:r>
      <w:r>
        <w:rPr>
          <w:rFonts w:eastAsia="仿宋_GB2312" w:hint="eastAsia"/>
          <w:snapToGrid w:val="0"/>
          <w:kern w:val="0"/>
          <w:szCs w:val="32"/>
        </w:rPr>
        <w:t>或</w:t>
      </w:r>
      <w:r>
        <w:rPr>
          <w:rFonts w:eastAsia="仿宋_GB2312" w:hint="eastAsia"/>
          <w:snapToGrid w:val="0"/>
          <w:kern w:val="0"/>
          <w:szCs w:val="32"/>
        </w:rPr>
        <w:t>GB/T 4857</w:t>
      </w:r>
      <w:r>
        <w:rPr>
          <w:rFonts w:eastAsia="仿宋_GB2312" w:hint="eastAsia"/>
          <w:snapToGrid w:val="0"/>
          <w:kern w:val="0"/>
          <w:szCs w:val="32"/>
        </w:rPr>
        <w:t>系列标准的要求进行，也可参考相应的国际标准，如</w:t>
      </w:r>
      <w:r>
        <w:rPr>
          <w:rFonts w:eastAsia="仿宋_GB2312" w:hint="eastAsia"/>
          <w:snapToGrid w:val="0"/>
          <w:kern w:val="0"/>
          <w:szCs w:val="32"/>
        </w:rPr>
        <w:t>ASTMD4169</w:t>
      </w:r>
      <w:r>
        <w:rPr>
          <w:rFonts w:eastAsia="仿宋_GB2312" w:hint="eastAsia"/>
          <w:snapToGrid w:val="0"/>
          <w:kern w:val="0"/>
          <w:szCs w:val="32"/>
        </w:rPr>
        <w:t>等。运输贮存条件应与说明书中规定的条件一致。</w:t>
      </w:r>
    </w:p>
    <w:p w14:paraId="3FF34ED3" w14:textId="77777777" w:rsidR="00CF703A" w:rsidRDefault="00000000">
      <w:pPr>
        <w:overflowPunct w:val="0"/>
        <w:autoSpaceDE w:val="0"/>
        <w:autoSpaceDN w:val="0"/>
        <w:spacing w:line="520" w:lineRule="exact"/>
        <w:ind w:firstLineChars="200" w:firstLine="640"/>
        <w:outlineLvl w:val="1"/>
        <w:rPr>
          <w:rFonts w:eastAsia="楷体_GB2312"/>
          <w:color w:val="000000"/>
          <w:szCs w:val="32"/>
        </w:rPr>
      </w:pPr>
      <w:r>
        <w:rPr>
          <w:rFonts w:eastAsia="楷体_GB2312" w:hint="eastAsia"/>
          <w:color w:val="000000"/>
          <w:szCs w:val="32"/>
        </w:rPr>
        <w:t>（四）临床评价资料</w:t>
      </w:r>
    </w:p>
    <w:p w14:paraId="26A131FC"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该产品已列入《免于临床评价医疗器械目录》，申请人无需提交临床评价资料。如产品超出《免于进行临床评价医疗器</w:t>
      </w:r>
      <w:r>
        <w:rPr>
          <w:rFonts w:eastAsia="仿宋_GB2312" w:hint="eastAsia"/>
          <w:snapToGrid w:val="0"/>
          <w:kern w:val="0"/>
          <w:szCs w:val="32"/>
        </w:rPr>
        <w:lastRenderedPageBreak/>
        <w:t>械目录》的描述，则可按照国家药监局发布的《医疗器械临床评价技术指导原则》、《决策是否开展医疗器械临床试验技术指导原则》、《医疗器械临床评价等同性论证技术指导原则》、《医疗器械注册申报临床评价报告技术指导原则》等相关法规文件提交临床评价资料，来证明产品的安全性和有效性。临床评价应重点关注荧光成像功能辅助观察的有效性。可通过与已上市同类产品（如已获准境内注册的基于自体荧光成像原理的口腔检查设备）进行等同性对比，或通过临床试验来论证。</w:t>
      </w:r>
    </w:p>
    <w:p w14:paraId="4F8B76E8" w14:textId="77777777" w:rsidR="00CF703A" w:rsidRDefault="00000000">
      <w:pPr>
        <w:overflowPunct w:val="0"/>
        <w:autoSpaceDE w:val="0"/>
        <w:autoSpaceDN w:val="0"/>
        <w:spacing w:line="520" w:lineRule="exact"/>
        <w:ind w:firstLineChars="200" w:firstLine="640"/>
        <w:outlineLvl w:val="1"/>
        <w:rPr>
          <w:rFonts w:eastAsia="楷体_GB2312"/>
          <w:color w:val="000000"/>
          <w:szCs w:val="32"/>
        </w:rPr>
      </w:pPr>
      <w:r>
        <w:rPr>
          <w:rFonts w:eastAsia="楷体_GB2312" w:hint="eastAsia"/>
          <w:color w:val="000000"/>
          <w:szCs w:val="32"/>
        </w:rPr>
        <w:t>（五）</w:t>
      </w:r>
      <w:r>
        <w:rPr>
          <w:rFonts w:eastAsia="楷体_GB2312"/>
          <w:color w:val="000000"/>
          <w:szCs w:val="32"/>
        </w:rPr>
        <w:t>产品说明书和标签</w:t>
      </w:r>
      <w:r>
        <w:rPr>
          <w:rFonts w:eastAsia="楷体_GB2312" w:hint="eastAsia"/>
          <w:color w:val="000000"/>
          <w:szCs w:val="32"/>
        </w:rPr>
        <w:t>样稿</w:t>
      </w:r>
    </w:p>
    <w:p w14:paraId="220FA26A" w14:textId="409F2641"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产品说明书和标签应当符合《医疗器械说明书和标签管理规定》和</w:t>
      </w:r>
      <w:r>
        <w:rPr>
          <w:rFonts w:eastAsia="仿宋_GB2312" w:hint="eastAsia"/>
          <w:snapToGrid w:val="0"/>
          <w:kern w:val="0"/>
          <w:szCs w:val="32"/>
        </w:rPr>
        <w:t>GB 9706.1</w:t>
      </w:r>
      <w:r>
        <w:rPr>
          <w:rFonts w:eastAsia="仿宋_GB2312" w:hint="eastAsia"/>
          <w:snapToGrid w:val="0"/>
          <w:kern w:val="0"/>
          <w:szCs w:val="32"/>
        </w:rPr>
        <w:t>、</w:t>
      </w:r>
      <w:r>
        <w:rPr>
          <w:rFonts w:eastAsia="仿宋_GB2312" w:hint="eastAsia"/>
          <w:snapToGrid w:val="0"/>
          <w:kern w:val="0"/>
          <w:szCs w:val="32"/>
        </w:rPr>
        <w:t>YY 9706.102</w:t>
      </w:r>
      <w:r>
        <w:rPr>
          <w:rFonts w:eastAsia="仿宋_GB2312" w:hint="eastAsia"/>
          <w:snapToGrid w:val="0"/>
          <w:kern w:val="0"/>
          <w:szCs w:val="32"/>
        </w:rPr>
        <w:t>、</w:t>
      </w:r>
      <w:r>
        <w:rPr>
          <w:rFonts w:eastAsia="仿宋_GB2312" w:hint="eastAsia"/>
          <w:snapToGrid w:val="0"/>
          <w:kern w:val="0"/>
          <w:szCs w:val="32"/>
        </w:rPr>
        <w:t>GB 9706.260</w:t>
      </w:r>
      <w:r>
        <w:rPr>
          <w:rFonts w:eastAsia="仿宋_GB2312" w:hint="eastAsia"/>
          <w:snapToGrid w:val="0"/>
          <w:kern w:val="0"/>
          <w:szCs w:val="32"/>
        </w:rPr>
        <w:t>（中关于说明书和标签的相关要求</w:t>
      </w:r>
      <w:r>
        <w:rPr>
          <w:rFonts w:eastAsia="仿宋_GB2312"/>
          <w:snapToGrid w:val="0"/>
          <w:kern w:val="0"/>
          <w:szCs w:val="32"/>
        </w:rPr>
        <w:t>。</w:t>
      </w:r>
    </w:p>
    <w:p w14:paraId="7E6F9C41"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snapToGrid w:val="0"/>
          <w:kern w:val="0"/>
          <w:szCs w:val="32"/>
        </w:rPr>
        <w:t>说明书内容</w:t>
      </w:r>
      <w:r>
        <w:rPr>
          <w:rFonts w:eastAsia="仿宋_GB2312" w:hint="eastAsia"/>
          <w:snapToGrid w:val="0"/>
          <w:kern w:val="0"/>
          <w:szCs w:val="32"/>
        </w:rPr>
        <w:t>需</w:t>
      </w:r>
      <w:r>
        <w:rPr>
          <w:rFonts w:eastAsia="仿宋_GB2312"/>
          <w:snapToGrid w:val="0"/>
          <w:kern w:val="0"/>
          <w:szCs w:val="32"/>
        </w:rPr>
        <w:t>重点关注：</w:t>
      </w:r>
    </w:p>
    <w:p w14:paraId="681F8582"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5.1</w:t>
      </w:r>
      <w:r>
        <w:rPr>
          <w:rFonts w:eastAsia="仿宋_GB2312" w:hint="eastAsia"/>
          <w:snapToGrid w:val="0"/>
          <w:kern w:val="0"/>
          <w:szCs w:val="32"/>
        </w:rPr>
        <w:t>重要提示</w:t>
      </w:r>
      <w:r>
        <w:rPr>
          <w:rFonts w:eastAsia="仿宋_GB2312" w:hint="eastAsia"/>
          <w:snapToGrid w:val="0"/>
          <w:kern w:val="0"/>
          <w:szCs w:val="32"/>
        </w:rPr>
        <w:t>/</w:t>
      </w:r>
      <w:r>
        <w:rPr>
          <w:rFonts w:eastAsia="仿宋_GB2312" w:hint="eastAsia"/>
          <w:snapToGrid w:val="0"/>
          <w:kern w:val="0"/>
          <w:szCs w:val="32"/>
        </w:rPr>
        <w:t>警示：明确告知荧光成像功能仅用于辅助观察，其成像结果（如荧光缺失区域）不能直接作为诊断恶性病变的依据，最终诊断必须依靠组织病理学检查。应明确指出该技术存在假阳性和假阴性的可能。</w:t>
      </w:r>
    </w:p>
    <w:p w14:paraId="4F84D859"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5.2</w:t>
      </w:r>
      <w:r>
        <w:rPr>
          <w:rFonts w:eastAsia="仿宋_GB2312" w:hint="eastAsia"/>
          <w:snapToGrid w:val="0"/>
          <w:kern w:val="0"/>
          <w:szCs w:val="32"/>
        </w:rPr>
        <w:t>产品概述：详细说明荧光成像的工作原理、作用机理、正常（荧光保留）与异常（荧光缺失）荧光表现。</w:t>
      </w:r>
    </w:p>
    <w:p w14:paraId="61E548D7"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5.3</w:t>
      </w:r>
      <w:r>
        <w:rPr>
          <w:rFonts w:eastAsia="仿宋_GB2312" w:hint="eastAsia"/>
          <w:snapToGrid w:val="0"/>
          <w:kern w:val="0"/>
          <w:szCs w:val="32"/>
        </w:rPr>
        <w:t>操作说明：详细、图示化说明荧光成像模式下的正确操作方法，包括工作距离、照射角度、低环境光线要求（如关闭诊室灯光，使用自然背景光）、患者准备（如漱口清洁）等。</w:t>
      </w:r>
    </w:p>
    <w:p w14:paraId="67F29433"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5.4</w:t>
      </w:r>
      <w:r>
        <w:rPr>
          <w:rFonts w:eastAsia="仿宋_GB2312" w:hint="eastAsia"/>
          <w:snapToGrid w:val="0"/>
          <w:kern w:val="0"/>
          <w:szCs w:val="32"/>
        </w:rPr>
        <w:t>图像判读培训要求：强调使用者需经过专业培训，熟悉正常口腔黏膜的荧光表现，并能识别常见的荧光异常图像，了</w:t>
      </w:r>
      <w:r>
        <w:rPr>
          <w:rFonts w:eastAsia="仿宋_GB2312" w:hint="eastAsia"/>
          <w:snapToGrid w:val="0"/>
          <w:kern w:val="0"/>
          <w:szCs w:val="32"/>
        </w:rPr>
        <w:lastRenderedPageBreak/>
        <w:t>解其局限性。说明图像判读具有一定主观性，依赖于检查者的经验。</w:t>
      </w:r>
    </w:p>
    <w:p w14:paraId="5FB3A8B1"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5.5</w:t>
      </w:r>
      <w:r>
        <w:rPr>
          <w:rFonts w:eastAsia="仿宋_GB2312" w:hint="eastAsia"/>
          <w:snapToGrid w:val="0"/>
          <w:kern w:val="0"/>
          <w:szCs w:val="32"/>
        </w:rPr>
        <w:t>注意事项：</w:t>
      </w:r>
    </w:p>
    <w:p w14:paraId="2DE8BEE0"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5.5.1</w:t>
      </w:r>
      <w:r>
        <w:rPr>
          <w:rFonts w:eastAsia="仿宋_GB2312" w:hint="eastAsia"/>
          <w:snapToGrid w:val="0"/>
          <w:kern w:val="0"/>
          <w:szCs w:val="32"/>
        </w:rPr>
        <w:t>列出可能导致荧光成像假阳性（如炎症、溃疡、血渍、某些良性角化、色素沉着等）或假阴性（如高度角化或伪膜覆盖较厚的病损）的情况。</w:t>
      </w:r>
    </w:p>
    <w:p w14:paraId="5F4697A7" w14:textId="77777777" w:rsidR="00CF703A" w:rsidRDefault="00000000">
      <w:pPr>
        <w:overflowPunct w:val="0"/>
        <w:autoSpaceDE w:val="0"/>
        <w:autoSpaceDN w:val="0"/>
        <w:spacing w:line="520" w:lineRule="exact"/>
        <w:ind w:firstLineChars="200" w:firstLine="640"/>
        <w:rPr>
          <w:rFonts w:eastAsia="仿宋_GB2312"/>
          <w:snapToGrid w:val="0"/>
          <w:kern w:val="0"/>
          <w:szCs w:val="32"/>
        </w:rPr>
      </w:pPr>
      <w:r>
        <w:rPr>
          <w:rFonts w:eastAsia="仿宋_GB2312" w:hint="eastAsia"/>
          <w:snapToGrid w:val="0"/>
          <w:kern w:val="0"/>
          <w:szCs w:val="32"/>
        </w:rPr>
        <w:t>5.5.2</w:t>
      </w:r>
      <w:r>
        <w:rPr>
          <w:rFonts w:eastAsia="仿宋_GB2312" w:hint="eastAsia"/>
          <w:snapToGrid w:val="0"/>
          <w:kern w:val="0"/>
          <w:szCs w:val="32"/>
        </w:rPr>
        <w:t>明确设备的光生物安全等级及使用时的注意事项（如患者和操作者佩戴护目镜）。</w:t>
      </w:r>
    </w:p>
    <w:p w14:paraId="5010EEF8" w14:textId="77777777" w:rsidR="00CF703A" w:rsidRDefault="00000000">
      <w:pPr>
        <w:spacing w:line="560" w:lineRule="exact"/>
        <w:ind w:firstLineChars="200" w:firstLine="640"/>
        <w:rPr>
          <w:rFonts w:eastAsia="仿宋_GB2312"/>
          <w:snapToGrid w:val="0"/>
          <w:kern w:val="0"/>
          <w:szCs w:val="32"/>
        </w:rPr>
      </w:pPr>
      <w:r>
        <w:rPr>
          <w:rFonts w:eastAsia="仿宋_GB2312" w:hint="eastAsia"/>
          <w:snapToGrid w:val="0"/>
          <w:kern w:val="0"/>
          <w:szCs w:val="32"/>
        </w:rPr>
        <w:t>5.5.3</w:t>
      </w:r>
      <w:r>
        <w:rPr>
          <w:rFonts w:eastAsia="仿宋_GB2312" w:hint="eastAsia"/>
          <w:snapToGrid w:val="0"/>
          <w:kern w:val="0"/>
          <w:szCs w:val="32"/>
        </w:rPr>
        <w:t>说明设备（尤其是光学部件）的清洁、消毒方法及禁忌。</w:t>
      </w:r>
    </w:p>
    <w:p w14:paraId="06F061B3" w14:textId="77777777" w:rsidR="00CF703A" w:rsidRDefault="00000000">
      <w:pPr>
        <w:spacing w:line="560" w:lineRule="exact"/>
        <w:ind w:firstLineChars="200" w:firstLine="640"/>
        <w:rPr>
          <w:rFonts w:eastAsia="黑体" w:cs="仿宋"/>
          <w:szCs w:val="32"/>
        </w:rPr>
      </w:pPr>
      <w:r>
        <w:rPr>
          <w:rFonts w:eastAsia="黑体" w:cs="仿宋" w:hint="eastAsia"/>
          <w:szCs w:val="32"/>
        </w:rPr>
        <w:t>三、</w:t>
      </w:r>
      <w:r>
        <w:rPr>
          <w:rFonts w:eastAsia="黑体" w:hint="eastAsia"/>
          <w:szCs w:val="32"/>
        </w:rPr>
        <w:t>参考</w:t>
      </w:r>
      <w:r>
        <w:rPr>
          <w:rFonts w:eastAsia="黑体" w:cs="仿宋" w:hint="eastAsia"/>
          <w:szCs w:val="32"/>
        </w:rPr>
        <w:t>文献</w:t>
      </w:r>
    </w:p>
    <w:p w14:paraId="1D3BC2CC"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w:t>
      </w:r>
      <w:r>
        <w:rPr>
          <w:rFonts w:eastAsia="仿宋_GB2312" w:hint="eastAsia"/>
          <w:snapToGrid w:val="0"/>
          <w:kern w:val="0"/>
          <w:szCs w:val="32"/>
        </w:rPr>
        <w:t>医疗器械监督管理条例</w:t>
      </w:r>
      <w:r>
        <w:rPr>
          <w:rFonts w:eastAsia="仿宋_GB2312" w:hint="eastAsia"/>
          <w:snapToGrid w:val="0"/>
          <w:kern w:val="0"/>
          <w:szCs w:val="32"/>
        </w:rPr>
        <w:t>.</w:t>
      </w:r>
      <w:r>
        <w:rPr>
          <w:rFonts w:eastAsia="仿宋_GB2312" w:hint="eastAsia"/>
          <w:snapToGrid w:val="0"/>
          <w:kern w:val="0"/>
          <w:szCs w:val="32"/>
        </w:rPr>
        <w:t>中华人民共和国国务院令第</w:t>
      </w:r>
      <w:r>
        <w:rPr>
          <w:rFonts w:eastAsia="仿宋_GB2312" w:hint="eastAsia"/>
          <w:snapToGrid w:val="0"/>
          <w:kern w:val="0"/>
          <w:szCs w:val="32"/>
        </w:rPr>
        <w:t>739</w:t>
      </w:r>
      <w:r>
        <w:rPr>
          <w:rFonts w:eastAsia="仿宋_GB2312" w:hint="eastAsia"/>
          <w:snapToGrid w:val="0"/>
          <w:kern w:val="0"/>
          <w:szCs w:val="32"/>
        </w:rPr>
        <w:t>号</w:t>
      </w:r>
      <w:r>
        <w:rPr>
          <w:rFonts w:eastAsia="仿宋_GB2312"/>
          <w:kern w:val="0"/>
          <w:szCs w:val="32"/>
        </w:rPr>
        <w:t>[Z]</w:t>
      </w:r>
      <w:r>
        <w:rPr>
          <w:rFonts w:eastAsia="仿宋_GB2312" w:hint="eastAsia"/>
          <w:snapToGrid w:val="0"/>
          <w:kern w:val="0"/>
          <w:szCs w:val="32"/>
        </w:rPr>
        <w:t>.</w:t>
      </w:r>
    </w:p>
    <w:p w14:paraId="54F6CF46"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[2]</w:t>
      </w:r>
      <w:r>
        <w:rPr>
          <w:rFonts w:eastAsia="仿宋_GB2312" w:hint="eastAsia"/>
          <w:snapToGrid w:val="0"/>
          <w:kern w:val="0"/>
          <w:szCs w:val="32"/>
        </w:rPr>
        <w:t>医疗器械注册与备案管理办法</w:t>
      </w:r>
      <w:r>
        <w:rPr>
          <w:rFonts w:eastAsia="仿宋_GB2312" w:hint="eastAsia"/>
          <w:snapToGrid w:val="0"/>
          <w:kern w:val="0"/>
          <w:szCs w:val="32"/>
        </w:rPr>
        <w:t>.</w:t>
      </w:r>
      <w:r>
        <w:rPr>
          <w:rFonts w:eastAsia="仿宋_GB2312" w:hint="eastAsia"/>
          <w:snapToGrid w:val="0"/>
          <w:kern w:val="0"/>
          <w:szCs w:val="32"/>
        </w:rPr>
        <w:t>国家市场监督管理总局令第</w:t>
      </w:r>
      <w:r>
        <w:rPr>
          <w:rFonts w:eastAsia="仿宋_GB2312" w:hint="eastAsia"/>
          <w:snapToGrid w:val="0"/>
          <w:kern w:val="0"/>
          <w:szCs w:val="32"/>
        </w:rPr>
        <w:t>47</w:t>
      </w:r>
      <w:r>
        <w:rPr>
          <w:rFonts w:eastAsia="仿宋_GB2312" w:hint="eastAsia"/>
          <w:snapToGrid w:val="0"/>
          <w:kern w:val="0"/>
          <w:szCs w:val="32"/>
        </w:rPr>
        <w:t>号</w:t>
      </w:r>
      <w:r>
        <w:rPr>
          <w:rFonts w:eastAsia="仿宋_GB2312"/>
          <w:kern w:val="0"/>
          <w:szCs w:val="32"/>
        </w:rPr>
        <w:t>[Z]</w:t>
      </w:r>
      <w:r>
        <w:rPr>
          <w:rFonts w:eastAsia="仿宋_GB2312" w:hint="eastAsia"/>
          <w:snapToGrid w:val="0"/>
          <w:kern w:val="0"/>
          <w:szCs w:val="32"/>
        </w:rPr>
        <w:t>.</w:t>
      </w:r>
    </w:p>
    <w:p w14:paraId="1CC4AD69"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[3]</w:t>
      </w:r>
      <w:r>
        <w:rPr>
          <w:rFonts w:eastAsia="仿宋_GB2312" w:hint="eastAsia"/>
          <w:snapToGrid w:val="0"/>
          <w:kern w:val="0"/>
          <w:szCs w:val="32"/>
        </w:rPr>
        <w:t>医疗器械说明书和标签管理规定</w:t>
      </w:r>
      <w:r>
        <w:rPr>
          <w:rFonts w:eastAsia="仿宋_GB2312" w:hint="eastAsia"/>
          <w:snapToGrid w:val="0"/>
          <w:kern w:val="0"/>
          <w:szCs w:val="32"/>
        </w:rPr>
        <w:t>.</w:t>
      </w:r>
      <w:r>
        <w:rPr>
          <w:rFonts w:eastAsia="仿宋_GB2312" w:hint="eastAsia"/>
          <w:snapToGrid w:val="0"/>
          <w:kern w:val="0"/>
          <w:szCs w:val="32"/>
        </w:rPr>
        <w:t>国家食品药品监督管理总局令第</w:t>
      </w:r>
      <w:r>
        <w:rPr>
          <w:rFonts w:eastAsia="仿宋_GB2312" w:hint="eastAsia"/>
          <w:snapToGrid w:val="0"/>
          <w:kern w:val="0"/>
          <w:szCs w:val="32"/>
        </w:rPr>
        <w:t>6</w:t>
      </w:r>
      <w:r>
        <w:rPr>
          <w:rFonts w:eastAsia="仿宋_GB2312" w:hint="eastAsia"/>
          <w:snapToGrid w:val="0"/>
          <w:kern w:val="0"/>
          <w:szCs w:val="32"/>
        </w:rPr>
        <w:t>号</w:t>
      </w:r>
      <w:r>
        <w:rPr>
          <w:rFonts w:eastAsia="仿宋_GB2312" w:hint="eastAsia"/>
          <w:snapToGrid w:val="0"/>
          <w:kern w:val="0"/>
          <w:szCs w:val="32"/>
        </w:rPr>
        <w:t>.</w:t>
      </w:r>
    </w:p>
    <w:p w14:paraId="433AD14D"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[4]</w:t>
      </w:r>
      <w:r>
        <w:rPr>
          <w:rFonts w:eastAsia="仿宋_GB2312" w:hint="eastAsia"/>
          <w:snapToGrid w:val="0"/>
          <w:kern w:val="0"/>
          <w:szCs w:val="32"/>
        </w:rPr>
        <w:t>医疗器械通用名称命名规则</w:t>
      </w:r>
      <w:r>
        <w:rPr>
          <w:rFonts w:eastAsia="仿宋_GB2312" w:hint="eastAsia"/>
          <w:snapToGrid w:val="0"/>
          <w:kern w:val="0"/>
          <w:szCs w:val="32"/>
        </w:rPr>
        <w:t>.</w:t>
      </w:r>
      <w:r>
        <w:rPr>
          <w:rFonts w:eastAsia="仿宋_GB2312" w:hint="eastAsia"/>
          <w:snapToGrid w:val="0"/>
          <w:kern w:val="0"/>
          <w:szCs w:val="32"/>
        </w:rPr>
        <w:t>国家食品药品监督管理总局令第</w:t>
      </w:r>
      <w:r>
        <w:rPr>
          <w:rFonts w:eastAsia="仿宋_GB2312" w:hint="eastAsia"/>
          <w:snapToGrid w:val="0"/>
          <w:kern w:val="0"/>
          <w:szCs w:val="32"/>
        </w:rPr>
        <w:t>19</w:t>
      </w:r>
      <w:r>
        <w:rPr>
          <w:rFonts w:eastAsia="仿宋_GB2312" w:hint="eastAsia"/>
          <w:snapToGrid w:val="0"/>
          <w:kern w:val="0"/>
          <w:szCs w:val="32"/>
        </w:rPr>
        <w:t>号</w:t>
      </w:r>
      <w:r>
        <w:rPr>
          <w:rFonts w:eastAsia="仿宋_GB2312"/>
          <w:kern w:val="0"/>
          <w:szCs w:val="32"/>
        </w:rPr>
        <w:t>[Z]</w:t>
      </w:r>
      <w:r>
        <w:rPr>
          <w:rFonts w:eastAsia="仿宋_GB2312" w:hint="eastAsia"/>
          <w:snapToGrid w:val="0"/>
          <w:kern w:val="0"/>
          <w:szCs w:val="32"/>
        </w:rPr>
        <w:t>.</w:t>
      </w:r>
    </w:p>
    <w:p w14:paraId="20B9F5E0"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[5]</w:t>
      </w:r>
      <w:r>
        <w:rPr>
          <w:rFonts w:eastAsia="仿宋_GB2312" w:hint="eastAsia"/>
          <w:snapToGrid w:val="0"/>
          <w:kern w:val="0"/>
          <w:szCs w:val="32"/>
        </w:rPr>
        <w:t>《人工智能医疗器械注册审查指导原则》</w:t>
      </w:r>
      <w:r>
        <w:rPr>
          <w:rFonts w:eastAsia="仿宋_GB2312"/>
          <w:kern w:val="0"/>
          <w:szCs w:val="32"/>
        </w:rPr>
        <w:t>[Z]</w:t>
      </w:r>
      <w:r>
        <w:rPr>
          <w:rFonts w:eastAsia="仿宋_GB2312" w:hint="eastAsia"/>
          <w:snapToGrid w:val="0"/>
          <w:kern w:val="0"/>
          <w:szCs w:val="32"/>
        </w:rPr>
        <w:t>.</w:t>
      </w:r>
    </w:p>
    <w:p w14:paraId="5D0F28D7" w14:textId="77777777" w:rsidR="00CF703A" w:rsidRDefault="00000000">
      <w:pPr>
        <w:overflowPunct w:val="0"/>
        <w:spacing w:line="520" w:lineRule="exact"/>
        <w:ind w:firstLineChars="200" w:firstLine="640"/>
        <w:jc w:val="left"/>
      </w:pPr>
      <w:r>
        <w:rPr>
          <w:rFonts w:eastAsia="仿宋_GB2312" w:hint="eastAsia"/>
          <w:snapToGrid w:val="0"/>
          <w:kern w:val="0"/>
          <w:szCs w:val="32"/>
        </w:rPr>
        <w:t>[6]</w:t>
      </w:r>
      <w:r>
        <w:rPr>
          <w:rFonts w:eastAsia="仿宋_GB2312" w:hint="eastAsia"/>
          <w:snapToGrid w:val="0"/>
          <w:kern w:val="0"/>
          <w:szCs w:val="32"/>
        </w:rPr>
        <w:t>《医疗器械临床评价技术指导原则》</w:t>
      </w:r>
      <w:r>
        <w:rPr>
          <w:rFonts w:eastAsia="仿宋_GB2312"/>
          <w:kern w:val="0"/>
          <w:szCs w:val="32"/>
        </w:rPr>
        <w:t>[Z]</w:t>
      </w:r>
      <w:r>
        <w:rPr>
          <w:rFonts w:eastAsia="仿宋_GB2312" w:hint="eastAsia"/>
          <w:snapToGrid w:val="0"/>
          <w:kern w:val="0"/>
          <w:szCs w:val="32"/>
        </w:rPr>
        <w:t>.</w:t>
      </w:r>
    </w:p>
    <w:p w14:paraId="1994AB76"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[7]GB 9706.1-2020,</w:t>
      </w:r>
      <w:r>
        <w:rPr>
          <w:rFonts w:eastAsia="仿宋_GB2312" w:hint="eastAsia"/>
          <w:snapToGrid w:val="0"/>
          <w:kern w:val="0"/>
          <w:szCs w:val="32"/>
        </w:rPr>
        <w:t>医用电气设备第</w:t>
      </w:r>
      <w:r>
        <w:rPr>
          <w:rFonts w:eastAsia="仿宋_GB2312" w:hint="eastAsia"/>
          <w:snapToGrid w:val="0"/>
          <w:kern w:val="0"/>
          <w:szCs w:val="32"/>
        </w:rPr>
        <w:t>1</w:t>
      </w:r>
      <w:r>
        <w:rPr>
          <w:rFonts w:eastAsia="仿宋_GB2312" w:hint="eastAsia"/>
          <w:snapToGrid w:val="0"/>
          <w:kern w:val="0"/>
          <w:szCs w:val="32"/>
        </w:rPr>
        <w:t>部分：基本安全和基本性能的通用要求</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1EE3DD35"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[8]GB 9706.260,</w:t>
      </w:r>
      <w:r>
        <w:rPr>
          <w:rFonts w:eastAsia="仿宋_GB2312" w:hint="eastAsia"/>
          <w:snapToGrid w:val="0"/>
          <w:kern w:val="0"/>
          <w:szCs w:val="32"/>
        </w:rPr>
        <w:t>医用电气设备第</w:t>
      </w:r>
      <w:r>
        <w:rPr>
          <w:rFonts w:eastAsia="仿宋_GB2312" w:hint="eastAsia"/>
          <w:snapToGrid w:val="0"/>
          <w:kern w:val="0"/>
          <w:szCs w:val="32"/>
        </w:rPr>
        <w:t>2-60</w:t>
      </w:r>
      <w:r>
        <w:rPr>
          <w:rFonts w:eastAsia="仿宋_GB2312" w:hint="eastAsia"/>
          <w:snapToGrid w:val="0"/>
          <w:kern w:val="0"/>
          <w:szCs w:val="32"/>
        </w:rPr>
        <w:t>部分：牙科设备的基</w:t>
      </w:r>
      <w:r>
        <w:rPr>
          <w:rFonts w:eastAsia="仿宋_GB2312" w:hint="eastAsia"/>
          <w:snapToGrid w:val="0"/>
          <w:kern w:val="0"/>
          <w:szCs w:val="32"/>
        </w:rPr>
        <w:lastRenderedPageBreak/>
        <w:t>本安全和基本性能专用要求</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4A6B8586"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[9]GB/T 20145,</w:t>
      </w:r>
      <w:r>
        <w:rPr>
          <w:rFonts w:eastAsia="仿宋_GB2312" w:hint="eastAsia"/>
          <w:snapToGrid w:val="0"/>
          <w:kern w:val="0"/>
          <w:szCs w:val="32"/>
        </w:rPr>
        <w:t>灯和灯系统的光生物安全性</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42E250F0"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[10]GB/T 42062-2022,</w:t>
      </w:r>
      <w:r>
        <w:rPr>
          <w:rFonts w:eastAsia="仿宋_GB2312" w:hint="eastAsia"/>
          <w:snapToGrid w:val="0"/>
          <w:kern w:val="0"/>
          <w:szCs w:val="32"/>
        </w:rPr>
        <w:t>医疗器械风险管理对医疗器械的应用</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035B78A7"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[11]YY/T 0466.1-2023,</w:t>
      </w:r>
      <w:r>
        <w:rPr>
          <w:rFonts w:eastAsia="仿宋_GB2312" w:hint="eastAsia"/>
          <w:snapToGrid w:val="0"/>
          <w:kern w:val="0"/>
          <w:szCs w:val="32"/>
        </w:rPr>
        <w:t>医疗器械用于医疗器械标签、标记和提供信息的符号第</w:t>
      </w:r>
      <w:r>
        <w:rPr>
          <w:rFonts w:eastAsia="仿宋_GB2312" w:hint="eastAsia"/>
          <w:snapToGrid w:val="0"/>
          <w:kern w:val="0"/>
          <w:szCs w:val="32"/>
        </w:rPr>
        <w:t>1</w:t>
      </w:r>
      <w:r>
        <w:rPr>
          <w:rFonts w:eastAsia="仿宋_GB2312" w:hint="eastAsia"/>
          <w:snapToGrid w:val="0"/>
          <w:kern w:val="0"/>
          <w:szCs w:val="32"/>
        </w:rPr>
        <w:t>部分：通用要求</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0A6B6E42" w14:textId="77777777" w:rsidR="00CF703A" w:rsidRDefault="00000000">
      <w:pPr>
        <w:overflowPunct w:val="0"/>
        <w:spacing w:line="520" w:lineRule="exact"/>
        <w:ind w:firstLineChars="200" w:firstLine="640"/>
        <w:jc w:val="left"/>
      </w:pPr>
      <w:r>
        <w:rPr>
          <w:rFonts w:eastAsia="仿宋_GB2312" w:hint="eastAsia"/>
          <w:snapToGrid w:val="0"/>
          <w:kern w:val="0"/>
          <w:szCs w:val="32"/>
        </w:rPr>
        <w:t>[12]YY/T 0628,</w:t>
      </w:r>
      <w:r>
        <w:rPr>
          <w:rFonts w:eastAsia="仿宋_GB2312" w:hint="eastAsia"/>
          <w:snapToGrid w:val="0"/>
          <w:kern w:val="0"/>
          <w:szCs w:val="32"/>
        </w:rPr>
        <w:t>牙科学牙科设备图形符号</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3117D103"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[13]YY/T 1120-2021,</w:t>
      </w:r>
      <w:r>
        <w:rPr>
          <w:rFonts w:eastAsia="仿宋_GB2312" w:hint="eastAsia"/>
          <w:snapToGrid w:val="0"/>
          <w:kern w:val="0"/>
          <w:szCs w:val="32"/>
        </w:rPr>
        <w:t>牙科学口腔灯</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3531D7F6"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[14]YY 9706.102-2021</w:t>
      </w:r>
      <w:r>
        <w:rPr>
          <w:rFonts w:eastAsia="仿宋_GB2312" w:hint="eastAsia"/>
          <w:snapToGrid w:val="0"/>
          <w:kern w:val="0"/>
          <w:szCs w:val="32"/>
        </w:rPr>
        <w:t>医用电气设备第</w:t>
      </w:r>
      <w:r>
        <w:rPr>
          <w:rFonts w:eastAsia="仿宋_GB2312" w:hint="eastAsia"/>
          <w:snapToGrid w:val="0"/>
          <w:kern w:val="0"/>
          <w:szCs w:val="32"/>
        </w:rPr>
        <w:t>1-2</w:t>
      </w:r>
      <w:r>
        <w:rPr>
          <w:rFonts w:eastAsia="仿宋_GB2312" w:hint="eastAsia"/>
          <w:snapToGrid w:val="0"/>
          <w:kern w:val="0"/>
          <w:szCs w:val="32"/>
        </w:rPr>
        <w:t>部分：基本安全和基本性能的通用要求并列标准：电磁兼容要求和试验</w:t>
      </w:r>
      <w:r>
        <w:rPr>
          <w:rFonts w:eastAsia="仿宋_GB2312"/>
          <w:kern w:val="0"/>
          <w:szCs w:val="32"/>
        </w:rPr>
        <w:t>[</w:t>
      </w:r>
      <w:r>
        <w:rPr>
          <w:rFonts w:eastAsia="仿宋_GB2312" w:hint="eastAsia"/>
          <w:kern w:val="0"/>
          <w:szCs w:val="32"/>
        </w:rPr>
        <w:t>S</w:t>
      </w:r>
      <w:r>
        <w:rPr>
          <w:rFonts w:eastAsia="仿宋_GB2312"/>
          <w:kern w:val="0"/>
          <w:szCs w:val="32"/>
        </w:rPr>
        <w:t>]</w:t>
      </w:r>
      <w:r>
        <w:rPr>
          <w:rFonts w:eastAsia="仿宋_GB2312" w:hint="eastAsia"/>
          <w:snapToGrid w:val="0"/>
          <w:kern w:val="0"/>
          <w:szCs w:val="32"/>
        </w:rPr>
        <w:t>.</w:t>
      </w:r>
    </w:p>
    <w:p w14:paraId="3F050853"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[15]</w:t>
      </w:r>
      <w:r>
        <w:rPr>
          <w:rFonts w:eastAsia="仿宋_GB2312" w:hint="eastAsia"/>
          <w:snapToGrid w:val="0"/>
          <w:kern w:val="0"/>
          <w:szCs w:val="32"/>
        </w:rPr>
        <w:t>《医疗器械软件注册审查指导原则（</w:t>
      </w:r>
      <w:r>
        <w:rPr>
          <w:rFonts w:eastAsia="仿宋_GB2312" w:hint="eastAsia"/>
          <w:snapToGrid w:val="0"/>
          <w:kern w:val="0"/>
          <w:szCs w:val="32"/>
        </w:rPr>
        <w:t>2022</w:t>
      </w:r>
      <w:r>
        <w:rPr>
          <w:rFonts w:eastAsia="仿宋_GB2312" w:hint="eastAsia"/>
          <w:snapToGrid w:val="0"/>
          <w:kern w:val="0"/>
          <w:szCs w:val="32"/>
        </w:rPr>
        <w:t>年修订版）》</w:t>
      </w:r>
      <w:r>
        <w:rPr>
          <w:rFonts w:eastAsia="仿宋_GB2312"/>
          <w:kern w:val="0"/>
          <w:szCs w:val="32"/>
        </w:rPr>
        <w:t>[Z]</w:t>
      </w:r>
      <w:r>
        <w:rPr>
          <w:rFonts w:eastAsia="仿宋_GB2312" w:hint="eastAsia"/>
          <w:snapToGrid w:val="0"/>
          <w:kern w:val="0"/>
          <w:szCs w:val="32"/>
        </w:rPr>
        <w:t>.</w:t>
      </w:r>
    </w:p>
    <w:p w14:paraId="79C4087E"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[16]</w:t>
      </w:r>
      <w:r>
        <w:rPr>
          <w:rFonts w:eastAsia="仿宋_GB2312" w:hint="eastAsia"/>
          <w:snapToGrid w:val="0"/>
          <w:kern w:val="0"/>
          <w:szCs w:val="32"/>
        </w:rPr>
        <w:t>朱婉立</w:t>
      </w:r>
      <w:r>
        <w:rPr>
          <w:rFonts w:eastAsia="仿宋_GB2312" w:hint="eastAsia"/>
          <w:snapToGrid w:val="0"/>
          <w:kern w:val="0"/>
          <w:szCs w:val="32"/>
        </w:rPr>
        <w:t>,</w:t>
      </w:r>
      <w:r>
        <w:rPr>
          <w:rFonts w:eastAsia="仿宋_GB2312" w:hint="eastAsia"/>
          <w:snapToGrid w:val="0"/>
          <w:kern w:val="0"/>
          <w:szCs w:val="32"/>
        </w:rPr>
        <w:t>等</w:t>
      </w:r>
      <w:r>
        <w:rPr>
          <w:rFonts w:eastAsia="仿宋_GB2312" w:hint="eastAsia"/>
          <w:snapToGrid w:val="0"/>
          <w:kern w:val="0"/>
          <w:szCs w:val="32"/>
        </w:rPr>
        <w:t>.</w:t>
      </w:r>
      <w:r>
        <w:rPr>
          <w:rFonts w:eastAsia="仿宋_GB2312" w:hint="eastAsia"/>
          <w:snapToGrid w:val="0"/>
          <w:kern w:val="0"/>
          <w:szCs w:val="32"/>
        </w:rPr>
        <w:t>自体荧光检查技术在口腔潜在恶性疾病早期预警中的应用研究</w:t>
      </w:r>
      <w:r>
        <w:rPr>
          <w:rFonts w:eastAsia="仿宋_GB2312" w:hint="eastAsia"/>
          <w:snapToGrid w:val="0"/>
          <w:kern w:val="0"/>
          <w:szCs w:val="32"/>
        </w:rPr>
        <w:t>.</w:t>
      </w:r>
      <w:r>
        <w:rPr>
          <w:rFonts w:eastAsia="仿宋_GB2312" w:hint="eastAsia"/>
          <w:snapToGrid w:val="0"/>
          <w:kern w:val="0"/>
          <w:szCs w:val="32"/>
        </w:rPr>
        <w:t>实用口腔医学杂志，</w:t>
      </w:r>
      <w:r>
        <w:rPr>
          <w:rFonts w:eastAsia="仿宋_GB2312" w:hint="eastAsia"/>
          <w:snapToGrid w:val="0"/>
          <w:kern w:val="0"/>
          <w:szCs w:val="32"/>
        </w:rPr>
        <w:t>2025</w:t>
      </w:r>
      <w:r>
        <w:rPr>
          <w:rFonts w:eastAsia="仿宋_GB2312"/>
          <w:kern w:val="0"/>
          <w:szCs w:val="32"/>
        </w:rPr>
        <w:t>[</w:t>
      </w:r>
      <w:r>
        <w:rPr>
          <w:rFonts w:eastAsia="仿宋_GB2312" w:hint="eastAsia"/>
          <w:kern w:val="0"/>
          <w:szCs w:val="32"/>
        </w:rPr>
        <w:t>J</w:t>
      </w:r>
      <w:r>
        <w:rPr>
          <w:rFonts w:eastAsia="仿宋_GB2312"/>
          <w:kern w:val="0"/>
          <w:szCs w:val="32"/>
        </w:rPr>
        <w:t>]</w:t>
      </w:r>
      <w:r>
        <w:rPr>
          <w:rFonts w:eastAsia="仿宋_GB2312" w:hint="eastAsia"/>
          <w:snapToGrid w:val="0"/>
          <w:kern w:val="0"/>
          <w:szCs w:val="32"/>
        </w:rPr>
        <w:t>.</w:t>
      </w:r>
    </w:p>
    <w:p w14:paraId="246637D8"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[17]</w:t>
      </w:r>
      <w:r>
        <w:rPr>
          <w:rFonts w:eastAsia="仿宋_GB2312" w:hint="eastAsia"/>
          <w:snapToGrid w:val="0"/>
          <w:kern w:val="0"/>
          <w:szCs w:val="32"/>
        </w:rPr>
        <w:t>杭慧</w:t>
      </w:r>
      <w:r>
        <w:rPr>
          <w:rFonts w:eastAsia="仿宋_GB2312" w:hint="eastAsia"/>
          <w:snapToGrid w:val="0"/>
          <w:kern w:val="0"/>
          <w:szCs w:val="32"/>
        </w:rPr>
        <w:t>,</w:t>
      </w:r>
      <w:r>
        <w:rPr>
          <w:rFonts w:eastAsia="仿宋_GB2312" w:hint="eastAsia"/>
          <w:snapToGrid w:val="0"/>
          <w:kern w:val="0"/>
          <w:szCs w:val="32"/>
        </w:rPr>
        <w:t>等</w:t>
      </w:r>
      <w:r>
        <w:rPr>
          <w:rFonts w:eastAsia="仿宋_GB2312" w:hint="eastAsia"/>
          <w:snapToGrid w:val="0"/>
          <w:kern w:val="0"/>
          <w:szCs w:val="32"/>
        </w:rPr>
        <w:t>.</w:t>
      </w:r>
      <w:r>
        <w:rPr>
          <w:rFonts w:eastAsia="仿宋_GB2312" w:hint="eastAsia"/>
          <w:snapToGrid w:val="0"/>
          <w:kern w:val="0"/>
          <w:szCs w:val="32"/>
        </w:rPr>
        <w:t>自体荧光技术在口腔潜在恶性病变筛查中的应用</w:t>
      </w:r>
      <w:r>
        <w:rPr>
          <w:rFonts w:eastAsia="仿宋_GB2312" w:hint="eastAsia"/>
          <w:snapToGrid w:val="0"/>
          <w:kern w:val="0"/>
          <w:szCs w:val="32"/>
        </w:rPr>
        <w:t>.</w:t>
      </w:r>
      <w:r>
        <w:rPr>
          <w:rFonts w:eastAsia="仿宋_GB2312" w:hint="eastAsia"/>
          <w:snapToGrid w:val="0"/>
          <w:kern w:val="0"/>
          <w:szCs w:val="32"/>
        </w:rPr>
        <w:t>南京医科大学学报</w:t>
      </w:r>
      <w:r>
        <w:rPr>
          <w:rFonts w:eastAsia="仿宋_GB2312" w:hint="eastAsia"/>
          <w:snapToGrid w:val="0"/>
          <w:kern w:val="0"/>
          <w:szCs w:val="32"/>
        </w:rPr>
        <w:t>(</w:t>
      </w:r>
      <w:r>
        <w:rPr>
          <w:rFonts w:eastAsia="仿宋_GB2312" w:hint="eastAsia"/>
          <w:snapToGrid w:val="0"/>
          <w:kern w:val="0"/>
          <w:szCs w:val="32"/>
        </w:rPr>
        <w:t>自然科学版</w:t>
      </w:r>
      <w:r>
        <w:rPr>
          <w:rFonts w:eastAsia="仿宋_GB2312" w:hint="eastAsia"/>
          <w:snapToGrid w:val="0"/>
          <w:kern w:val="0"/>
          <w:szCs w:val="32"/>
        </w:rPr>
        <w:t>)</w:t>
      </w:r>
      <w:r>
        <w:rPr>
          <w:rFonts w:eastAsia="仿宋_GB2312" w:hint="eastAsia"/>
          <w:snapToGrid w:val="0"/>
          <w:kern w:val="0"/>
          <w:szCs w:val="32"/>
        </w:rPr>
        <w:t>，</w:t>
      </w:r>
      <w:r>
        <w:rPr>
          <w:rFonts w:eastAsia="仿宋_GB2312" w:hint="eastAsia"/>
          <w:snapToGrid w:val="0"/>
          <w:kern w:val="0"/>
          <w:szCs w:val="32"/>
        </w:rPr>
        <w:t>2019</w:t>
      </w:r>
      <w:r>
        <w:rPr>
          <w:rFonts w:eastAsia="仿宋_GB2312"/>
          <w:kern w:val="0"/>
          <w:szCs w:val="32"/>
        </w:rPr>
        <w:t>[</w:t>
      </w:r>
      <w:r>
        <w:rPr>
          <w:rFonts w:eastAsia="仿宋_GB2312" w:hint="eastAsia"/>
          <w:kern w:val="0"/>
          <w:szCs w:val="32"/>
        </w:rPr>
        <w:t>J</w:t>
      </w:r>
      <w:r>
        <w:rPr>
          <w:rFonts w:eastAsia="仿宋_GB2312"/>
          <w:kern w:val="0"/>
          <w:szCs w:val="32"/>
        </w:rPr>
        <w:t>]</w:t>
      </w:r>
      <w:r>
        <w:rPr>
          <w:rFonts w:eastAsia="仿宋_GB2312" w:hint="eastAsia"/>
          <w:snapToGrid w:val="0"/>
          <w:kern w:val="0"/>
          <w:szCs w:val="32"/>
        </w:rPr>
        <w:t>.</w:t>
      </w:r>
    </w:p>
    <w:p w14:paraId="759B4B7C" w14:textId="77777777" w:rsidR="00CF703A" w:rsidRDefault="00000000">
      <w:pPr>
        <w:overflowPunct w:val="0"/>
        <w:spacing w:line="520" w:lineRule="exact"/>
        <w:ind w:firstLineChars="200" w:firstLine="640"/>
        <w:jc w:val="left"/>
        <w:rPr>
          <w:rFonts w:eastAsia="仿宋_GB2312"/>
          <w:snapToGrid w:val="0"/>
          <w:kern w:val="0"/>
          <w:szCs w:val="32"/>
        </w:rPr>
      </w:pPr>
      <w:r>
        <w:rPr>
          <w:rFonts w:eastAsia="仿宋_GB2312" w:hint="eastAsia"/>
          <w:snapToGrid w:val="0"/>
          <w:kern w:val="0"/>
          <w:szCs w:val="32"/>
        </w:rPr>
        <w:t>[18]</w:t>
      </w:r>
      <w:r>
        <w:rPr>
          <w:rFonts w:eastAsia="仿宋_GB2312" w:hint="eastAsia"/>
          <w:snapToGrid w:val="0"/>
          <w:kern w:val="0"/>
          <w:szCs w:val="32"/>
        </w:rPr>
        <w:t>李晨曦</w:t>
      </w:r>
      <w:r>
        <w:rPr>
          <w:rFonts w:eastAsia="仿宋_GB2312" w:hint="eastAsia"/>
          <w:snapToGrid w:val="0"/>
          <w:kern w:val="0"/>
          <w:szCs w:val="32"/>
        </w:rPr>
        <w:t>,</w:t>
      </w:r>
      <w:r>
        <w:rPr>
          <w:rFonts w:eastAsia="仿宋_GB2312" w:hint="eastAsia"/>
          <w:snapToGrid w:val="0"/>
          <w:kern w:val="0"/>
          <w:szCs w:val="32"/>
        </w:rPr>
        <w:t>等</w:t>
      </w:r>
      <w:r>
        <w:rPr>
          <w:rFonts w:eastAsia="仿宋_GB2312" w:hint="eastAsia"/>
          <w:snapToGrid w:val="0"/>
          <w:kern w:val="0"/>
          <w:szCs w:val="32"/>
        </w:rPr>
        <w:t>.</w:t>
      </w:r>
      <w:r>
        <w:rPr>
          <w:rFonts w:eastAsia="仿宋_GB2312" w:hint="eastAsia"/>
          <w:snapToGrid w:val="0"/>
          <w:kern w:val="0"/>
          <w:szCs w:val="32"/>
        </w:rPr>
        <w:t>口腔白斑病自体荧光成像结果与临床病理特征相关性分析</w:t>
      </w:r>
      <w:r>
        <w:rPr>
          <w:rFonts w:eastAsia="仿宋_GB2312" w:hint="eastAsia"/>
          <w:snapToGrid w:val="0"/>
          <w:kern w:val="0"/>
          <w:szCs w:val="32"/>
        </w:rPr>
        <w:t>.</w:t>
      </w:r>
      <w:r>
        <w:rPr>
          <w:rFonts w:eastAsia="仿宋_GB2312" w:hint="eastAsia"/>
          <w:snapToGrid w:val="0"/>
          <w:kern w:val="0"/>
          <w:szCs w:val="32"/>
        </w:rPr>
        <w:t>临床口腔医学杂志，</w:t>
      </w:r>
      <w:r>
        <w:rPr>
          <w:rFonts w:eastAsia="仿宋_GB2312" w:hint="eastAsia"/>
          <w:snapToGrid w:val="0"/>
          <w:kern w:val="0"/>
          <w:szCs w:val="32"/>
        </w:rPr>
        <w:t>2023</w:t>
      </w:r>
      <w:r>
        <w:rPr>
          <w:rFonts w:eastAsia="仿宋_GB2312"/>
          <w:kern w:val="0"/>
          <w:szCs w:val="32"/>
        </w:rPr>
        <w:t>[</w:t>
      </w:r>
      <w:r>
        <w:rPr>
          <w:rFonts w:eastAsia="仿宋_GB2312" w:hint="eastAsia"/>
          <w:kern w:val="0"/>
          <w:szCs w:val="32"/>
        </w:rPr>
        <w:t>J</w:t>
      </w:r>
      <w:r>
        <w:rPr>
          <w:rFonts w:eastAsia="仿宋_GB2312"/>
          <w:kern w:val="0"/>
          <w:szCs w:val="32"/>
        </w:rPr>
        <w:t>]</w:t>
      </w:r>
      <w:r>
        <w:rPr>
          <w:rFonts w:eastAsia="仿宋_GB2312" w:hint="eastAsia"/>
          <w:snapToGrid w:val="0"/>
          <w:kern w:val="0"/>
          <w:szCs w:val="32"/>
        </w:rPr>
        <w:t>.</w:t>
      </w:r>
    </w:p>
    <w:p w14:paraId="41B2F923" w14:textId="77777777" w:rsidR="00CF703A" w:rsidRDefault="00CF703A">
      <w:pPr>
        <w:spacing w:line="520" w:lineRule="exact"/>
        <w:ind w:rightChars="-32" w:right="-68" w:firstLineChars="200" w:firstLine="640"/>
        <w:rPr>
          <w:rFonts w:eastAsia="方正仿宋_GB2312"/>
          <w:color w:val="000000"/>
          <w:szCs w:val="32"/>
        </w:rPr>
      </w:pPr>
    </w:p>
    <w:p w14:paraId="2DE481E9" w14:textId="77777777" w:rsidR="00CF703A" w:rsidRDefault="00CF703A">
      <w:pPr>
        <w:spacing w:line="520" w:lineRule="exact"/>
        <w:ind w:rightChars="-32" w:right="-68" w:firstLineChars="200" w:firstLine="640"/>
        <w:rPr>
          <w:rFonts w:eastAsia="方正仿宋_GB2312"/>
          <w:color w:val="000000"/>
          <w:szCs w:val="32"/>
        </w:rPr>
      </w:pPr>
    </w:p>
    <w:p w14:paraId="52BF1A6D" w14:textId="77777777" w:rsidR="00CF703A" w:rsidRDefault="00CF703A">
      <w:pPr>
        <w:spacing w:line="520" w:lineRule="exact"/>
        <w:ind w:rightChars="-32" w:right="-68" w:firstLineChars="200" w:firstLine="640"/>
        <w:rPr>
          <w:rFonts w:eastAsia="方正仿宋_GB2312"/>
          <w:color w:val="000000"/>
          <w:szCs w:val="32"/>
        </w:rPr>
      </w:pPr>
    </w:p>
    <w:p w14:paraId="5A8E6002" w14:textId="77777777" w:rsidR="00CF703A" w:rsidRDefault="00CF703A">
      <w:pPr>
        <w:spacing w:line="520" w:lineRule="exact"/>
        <w:ind w:rightChars="-32" w:right="-68" w:firstLineChars="200" w:firstLine="640"/>
        <w:rPr>
          <w:rFonts w:eastAsia="方正仿宋_GB2312"/>
          <w:color w:val="000000"/>
          <w:szCs w:val="32"/>
        </w:rPr>
      </w:pPr>
    </w:p>
    <w:p w14:paraId="45F51021" w14:textId="77777777" w:rsidR="00CF703A" w:rsidRDefault="00CF703A">
      <w:pPr>
        <w:spacing w:line="520" w:lineRule="exact"/>
        <w:ind w:rightChars="-32" w:right="-68" w:firstLineChars="200" w:firstLine="640"/>
        <w:rPr>
          <w:rFonts w:eastAsia="方正仿宋_GB2312"/>
          <w:color w:val="000000"/>
          <w:szCs w:val="32"/>
        </w:rPr>
      </w:pPr>
    </w:p>
    <w:p w14:paraId="127D734F" w14:textId="77777777" w:rsidR="00CF703A" w:rsidRDefault="00CF703A">
      <w:pPr>
        <w:spacing w:line="520" w:lineRule="exact"/>
        <w:ind w:rightChars="-32" w:right="-68" w:firstLineChars="200" w:firstLine="640"/>
        <w:rPr>
          <w:rFonts w:eastAsia="方正仿宋_GB2312"/>
          <w:color w:val="000000"/>
          <w:szCs w:val="32"/>
        </w:rPr>
      </w:pPr>
    </w:p>
    <w:sectPr w:rsidR="00CF703A" w:rsidSect="00B534AC">
      <w:footerReference w:type="even" r:id="rId8"/>
      <w:footerReference w:type="default" r:id="rId9"/>
      <w:pgSz w:w="11906" w:h="16838"/>
      <w:pgMar w:top="2098" w:right="1588" w:bottom="2098" w:left="1588" w:header="851" w:footer="992" w:gutter="0"/>
      <w:lnNumType w:countBy="1" w:restart="continuous"/>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819A" w14:textId="77777777" w:rsidR="00685541" w:rsidRDefault="00685541">
      <w:r>
        <w:separator/>
      </w:r>
    </w:p>
  </w:endnote>
  <w:endnote w:type="continuationSeparator" w:id="0">
    <w:p w14:paraId="10E34427" w14:textId="77777777" w:rsidR="00685541" w:rsidRDefault="00685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Malgun Gothic Semilight"/>
    <w:charset w:val="86"/>
    <w:family w:val="auto"/>
    <w:pitch w:val="default"/>
    <w:sig w:usb0="00000000" w:usb1="00000000" w:usb2="00082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aturday Sans Regular">
    <w:altName w:val="宋体"/>
    <w:charset w:val="86"/>
    <w:family w:val="auto"/>
    <w:pitch w:val="default"/>
    <w:sig w:usb0="00000000" w:usb1="00000000" w:usb2="00000000" w:usb3="00000000" w:csb0="00040000" w:csb1="00000000"/>
  </w:font>
  <w:font w:name="方正仿宋_GB2312">
    <w:altName w:val="仿宋"/>
    <w:charset w:val="86"/>
    <w:family w:val="auto"/>
    <w:pitch w:val="default"/>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script"/>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微软雅黑"/>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80849"/>
    </w:sdtPr>
    <w:sdtContent>
      <w:p w14:paraId="3F24E138" w14:textId="77777777" w:rsidR="00CF703A" w:rsidRDefault="00000000">
        <w:pPr>
          <w:pStyle w:val="a7"/>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w:t>
        </w:r>
        <w:r>
          <w:rPr>
            <w:sz w:val="28"/>
            <w:szCs w:val="28"/>
          </w:rPr>
          <w:fldChar w:fldCharType="end"/>
        </w:r>
        <w:r>
          <w:rPr>
            <w:sz w:val="28"/>
            <w:szCs w:val="28"/>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320D" w14:textId="77777777" w:rsidR="00CF703A" w:rsidRDefault="00000000">
    <w:pPr>
      <w:pStyle w:val="a7"/>
      <w:jc w:val="right"/>
      <w:rPr>
        <w:sz w:val="28"/>
        <w:szCs w:val="28"/>
      </w:rPr>
    </w:pPr>
    <w:r>
      <w:rPr>
        <w:sz w:val="28"/>
        <w:szCs w:val="28"/>
      </w:rPr>
      <w:t xml:space="preserve">— </w:t>
    </w:r>
    <w:sdt>
      <w:sdtPr>
        <w:rPr>
          <w:sz w:val="28"/>
          <w:szCs w:val="28"/>
        </w:rPr>
        <w:id w:val="90280837"/>
      </w:sdtPr>
      <w:sdtContent>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1</w:t>
        </w:r>
        <w:r>
          <w:rPr>
            <w:sz w:val="28"/>
            <w:szCs w:val="28"/>
          </w:rPr>
          <w:fldChar w:fldCharType="end"/>
        </w:r>
        <w:r>
          <w:rPr>
            <w:sz w:val="28"/>
            <w:szCs w:val="2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24646" w14:textId="77777777" w:rsidR="00685541" w:rsidRDefault="00685541">
      <w:r>
        <w:separator/>
      </w:r>
    </w:p>
  </w:footnote>
  <w:footnote w:type="continuationSeparator" w:id="0">
    <w:p w14:paraId="653C3126" w14:textId="77777777" w:rsidR="00685541" w:rsidRDefault="006855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C7B2EA"/>
    <w:multiLevelType w:val="singleLevel"/>
    <w:tmpl w:val="98C7B2EA"/>
    <w:lvl w:ilvl="0">
      <w:start w:val="2"/>
      <w:numFmt w:val="chineseCounting"/>
      <w:suff w:val="nothing"/>
      <w:lvlText w:val="%1、"/>
      <w:lvlJc w:val="left"/>
      <w:rPr>
        <w:rFonts w:hint="eastAsia"/>
      </w:rPr>
    </w:lvl>
  </w:abstractNum>
  <w:num w:numId="1" w16cid:durableId="87191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evenAndOddHeaders/>
  <w:drawingGridHorizontalSpacing w:val="106"/>
  <w:drawingGridVerticalSpacing w:val="435"/>
  <w:displayHorizont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docVars>
    <w:docVar w:name="commondata" w:val="eyJoZGlkIjoiZDA3ZDQwMmNiOWFlYzZjYTcwOWJiZGQ0YTA5ODBmZGUifQ=="/>
  </w:docVars>
  <w:rsids>
    <w:rsidRoot w:val="00787F7E"/>
    <w:rsid w:val="DEF70035"/>
    <w:rsid w:val="DFFFE17D"/>
    <w:rsid w:val="ED776AC6"/>
    <w:rsid w:val="EF9F915E"/>
    <w:rsid w:val="FBB7C68F"/>
    <w:rsid w:val="FDF752B8"/>
    <w:rsid w:val="FF7F9E8F"/>
    <w:rsid w:val="00020162"/>
    <w:rsid w:val="00021955"/>
    <w:rsid w:val="000309BB"/>
    <w:rsid w:val="00056A28"/>
    <w:rsid w:val="00060C10"/>
    <w:rsid w:val="0007686E"/>
    <w:rsid w:val="0009278E"/>
    <w:rsid w:val="000A41F8"/>
    <w:rsid w:val="000B4C9B"/>
    <w:rsid w:val="000C48A1"/>
    <w:rsid w:val="000E5335"/>
    <w:rsid w:val="00145167"/>
    <w:rsid w:val="0015622E"/>
    <w:rsid w:val="001C3A87"/>
    <w:rsid w:val="001E0961"/>
    <w:rsid w:val="00241E57"/>
    <w:rsid w:val="00242375"/>
    <w:rsid w:val="00244DF7"/>
    <w:rsid w:val="00246390"/>
    <w:rsid w:val="00256879"/>
    <w:rsid w:val="0026293F"/>
    <w:rsid w:val="00275A48"/>
    <w:rsid w:val="00277473"/>
    <w:rsid w:val="00291759"/>
    <w:rsid w:val="00294D2B"/>
    <w:rsid w:val="00295369"/>
    <w:rsid w:val="002A1DAB"/>
    <w:rsid w:val="002B2048"/>
    <w:rsid w:val="002B24A0"/>
    <w:rsid w:val="002D3B6C"/>
    <w:rsid w:val="002E0337"/>
    <w:rsid w:val="002F2978"/>
    <w:rsid w:val="0030368E"/>
    <w:rsid w:val="003137C1"/>
    <w:rsid w:val="00332DE8"/>
    <w:rsid w:val="003450A4"/>
    <w:rsid w:val="003549E8"/>
    <w:rsid w:val="00355421"/>
    <w:rsid w:val="00365AB2"/>
    <w:rsid w:val="0037408E"/>
    <w:rsid w:val="003E3A44"/>
    <w:rsid w:val="004027DD"/>
    <w:rsid w:val="00410598"/>
    <w:rsid w:val="0041581E"/>
    <w:rsid w:val="00422D3A"/>
    <w:rsid w:val="00435AC6"/>
    <w:rsid w:val="00440708"/>
    <w:rsid w:val="00440AA4"/>
    <w:rsid w:val="004410B9"/>
    <w:rsid w:val="0045151A"/>
    <w:rsid w:val="00483A83"/>
    <w:rsid w:val="004B2F13"/>
    <w:rsid w:val="004C4DBC"/>
    <w:rsid w:val="004E39ED"/>
    <w:rsid w:val="004F0151"/>
    <w:rsid w:val="005041BA"/>
    <w:rsid w:val="005277E2"/>
    <w:rsid w:val="00530384"/>
    <w:rsid w:val="00534F4C"/>
    <w:rsid w:val="005609D1"/>
    <w:rsid w:val="005A1410"/>
    <w:rsid w:val="005A204F"/>
    <w:rsid w:val="005D1959"/>
    <w:rsid w:val="006014D4"/>
    <w:rsid w:val="00670933"/>
    <w:rsid w:val="00685541"/>
    <w:rsid w:val="006A1165"/>
    <w:rsid w:val="006C00CB"/>
    <w:rsid w:val="006E68A9"/>
    <w:rsid w:val="006E7148"/>
    <w:rsid w:val="00716619"/>
    <w:rsid w:val="00725E46"/>
    <w:rsid w:val="00745098"/>
    <w:rsid w:val="007610F3"/>
    <w:rsid w:val="007646FC"/>
    <w:rsid w:val="00787F7E"/>
    <w:rsid w:val="007904F6"/>
    <w:rsid w:val="007D341A"/>
    <w:rsid w:val="00815364"/>
    <w:rsid w:val="00821079"/>
    <w:rsid w:val="0083192A"/>
    <w:rsid w:val="00845C30"/>
    <w:rsid w:val="008961B3"/>
    <w:rsid w:val="00920A47"/>
    <w:rsid w:val="00937F0E"/>
    <w:rsid w:val="00973235"/>
    <w:rsid w:val="0098100B"/>
    <w:rsid w:val="009C41FF"/>
    <w:rsid w:val="009E2514"/>
    <w:rsid w:val="009F209D"/>
    <w:rsid w:val="00A23EC2"/>
    <w:rsid w:val="00A25C1A"/>
    <w:rsid w:val="00A73BFE"/>
    <w:rsid w:val="00AA4FCB"/>
    <w:rsid w:val="00AB660B"/>
    <w:rsid w:val="00AB7E5C"/>
    <w:rsid w:val="00AD08D9"/>
    <w:rsid w:val="00AE21BC"/>
    <w:rsid w:val="00AF3558"/>
    <w:rsid w:val="00AF5D76"/>
    <w:rsid w:val="00B25163"/>
    <w:rsid w:val="00B41578"/>
    <w:rsid w:val="00B534AC"/>
    <w:rsid w:val="00B66355"/>
    <w:rsid w:val="00B9118A"/>
    <w:rsid w:val="00BC03E4"/>
    <w:rsid w:val="00BC2983"/>
    <w:rsid w:val="00BC7C84"/>
    <w:rsid w:val="00BD300F"/>
    <w:rsid w:val="00BE669C"/>
    <w:rsid w:val="00BE7E51"/>
    <w:rsid w:val="00C0562D"/>
    <w:rsid w:val="00C151FE"/>
    <w:rsid w:val="00C25F69"/>
    <w:rsid w:val="00C40950"/>
    <w:rsid w:val="00C55908"/>
    <w:rsid w:val="00C55C2E"/>
    <w:rsid w:val="00C93E80"/>
    <w:rsid w:val="00CA0BE6"/>
    <w:rsid w:val="00CB4CCD"/>
    <w:rsid w:val="00CD1907"/>
    <w:rsid w:val="00CE24E2"/>
    <w:rsid w:val="00CF703A"/>
    <w:rsid w:val="00D076F0"/>
    <w:rsid w:val="00D256A9"/>
    <w:rsid w:val="00D277BD"/>
    <w:rsid w:val="00D32614"/>
    <w:rsid w:val="00D36F91"/>
    <w:rsid w:val="00D4450D"/>
    <w:rsid w:val="00D667BF"/>
    <w:rsid w:val="00D6685B"/>
    <w:rsid w:val="00D73732"/>
    <w:rsid w:val="00D865D6"/>
    <w:rsid w:val="00DB1CED"/>
    <w:rsid w:val="00DC26FC"/>
    <w:rsid w:val="00DC3951"/>
    <w:rsid w:val="00DD740E"/>
    <w:rsid w:val="00E07E6A"/>
    <w:rsid w:val="00E113E4"/>
    <w:rsid w:val="00E11D78"/>
    <w:rsid w:val="00E343F9"/>
    <w:rsid w:val="00E72EF4"/>
    <w:rsid w:val="00E7330F"/>
    <w:rsid w:val="00E771F1"/>
    <w:rsid w:val="00EB1A04"/>
    <w:rsid w:val="00EC523A"/>
    <w:rsid w:val="00ED0226"/>
    <w:rsid w:val="00EE1269"/>
    <w:rsid w:val="00EE261B"/>
    <w:rsid w:val="00EE3620"/>
    <w:rsid w:val="00EE4EBB"/>
    <w:rsid w:val="00F31CB3"/>
    <w:rsid w:val="00F45E55"/>
    <w:rsid w:val="00F64F49"/>
    <w:rsid w:val="00F65346"/>
    <w:rsid w:val="00F73440"/>
    <w:rsid w:val="00F801A1"/>
    <w:rsid w:val="00F81D1A"/>
    <w:rsid w:val="00F90809"/>
    <w:rsid w:val="00FA36EA"/>
    <w:rsid w:val="00FB46B2"/>
    <w:rsid w:val="00FC6BE6"/>
    <w:rsid w:val="00FF0F38"/>
    <w:rsid w:val="03B405AC"/>
    <w:rsid w:val="05F7235B"/>
    <w:rsid w:val="066457F5"/>
    <w:rsid w:val="066C120B"/>
    <w:rsid w:val="070547EC"/>
    <w:rsid w:val="08FC67CE"/>
    <w:rsid w:val="0997726C"/>
    <w:rsid w:val="0AFB448C"/>
    <w:rsid w:val="0C621397"/>
    <w:rsid w:val="0DC01C9D"/>
    <w:rsid w:val="0F7729CA"/>
    <w:rsid w:val="108E47A5"/>
    <w:rsid w:val="14646D75"/>
    <w:rsid w:val="15C115EA"/>
    <w:rsid w:val="16470D12"/>
    <w:rsid w:val="186749EA"/>
    <w:rsid w:val="1B903AF2"/>
    <w:rsid w:val="1C993761"/>
    <w:rsid w:val="1CB258B7"/>
    <w:rsid w:val="1CFF7D2D"/>
    <w:rsid w:val="20C311DE"/>
    <w:rsid w:val="234C35B2"/>
    <w:rsid w:val="25C53CD1"/>
    <w:rsid w:val="28BA471D"/>
    <w:rsid w:val="2D440F48"/>
    <w:rsid w:val="2DBA0D1B"/>
    <w:rsid w:val="2FEC0488"/>
    <w:rsid w:val="304319F8"/>
    <w:rsid w:val="31622BB1"/>
    <w:rsid w:val="321C403D"/>
    <w:rsid w:val="33920D3F"/>
    <w:rsid w:val="33AB7E2E"/>
    <w:rsid w:val="34D31148"/>
    <w:rsid w:val="360A1966"/>
    <w:rsid w:val="366B2F01"/>
    <w:rsid w:val="36B46EF8"/>
    <w:rsid w:val="376B4A10"/>
    <w:rsid w:val="37731174"/>
    <w:rsid w:val="3B7A6CB7"/>
    <w:rsid w:val="3B8137E2"/>
    <w:rsid w:val="42981279"/>
    <w:rsid w:val="434B7896"/>
    <w:rsid w:val="439268D0"/>
    <w:rsid w:val="4472659C"/>
    <w:rsid w:val="45190605"/>
    <w:rsid w:val="45201B52"/>
    <w:rsid w:val="45DE00D6"/>
    <w:rsid w:val="483619F4"/>
    <w:rsid w:val="49161DC3"/>
    <w:rsid w:val="4A1A3DD9"/>
    <w:rsid w:val="4B5A635F"/>
    <w:rsid w:val="4DFD0382"/>
    <w:rsid w:val="4E447F77"/>
    <w:rsid w:val="4E540039"/>
    <w:rsid w:val="4EE60BAD"/>
    <w:rsid w:val="52CE74B4"/>
    <w:rsid w:val="52DB5F3B"/>
    <w:rsid w:val="57014D68"/>
    <w:rsid w:val="57621524"/>
    <w:rsid w:val="58BB6C26"/>
    <w:rsid w:val="58E84148"/>
    <w:rsid w:val="58E904D3"/>
    <w:rsid w:val="59AF56C9"/>
    <w:rsid w:val="5A7A3A87"/>
    <w:rsid w:val="5A9D1E11"/>
    <w:rsid w:val="5B497DD5"/>
    <w:rsid w:val="5BC924AC"/>
    <w:rsid w:val="5C7D0B63"/>
    <w:rsid w:val="5C9507D9"/>
    <w:rsid w:val="5D037CF8"/>
    <w:rsid w:val="5EDA259A"/>
    <w:rsid w:val="61132A54"/>
    <w:rsid w:val="618D5D0A"/>
    <w:rsid w:val="653F749F"/>
    <w:rsid w:val="66576CF4"/>
    <w:rsid w:val="680F0695"/>
    <w:rsid w:val="69672924"/>
    <w:rsid w:val="6A205087"/>
    <w:rsid w:val="6B3E7610"/>
    <w:rsid w:val="6B737129"/>
    <w:rsid w:val="6B740FB4"/>
    <w:rsid w:val="6C70279B"/>
    <w:rsid w:val="6E293091"/>
    <w:rsid w:val="74DD429B"/>
    <w:rsid w:val="76505CE1"/>
    <w:rsid w:val="772A1744"/>
    <w:rsid w:val="77804950"/>
    <w:rsid w:val="7D314532"/>
    <w:rsid w:val="7DC76761"/>
    <w:rsid w:val="7EC53957"/>
    <w:rsid w:val="7F4443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DB96A"/>
  <w15:docId w15:val="{485CDF7A-09ED-41DC-A488-B3E3428C0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eastAsia="方正仿宋_GBK"/>
      <w:kern w:val="2"/>
      <w:sz w:val="32"/>
      <w:szCs w:val="24"/>
    </w:rPr>
  </w:style>
  <w:style w:type="paragraph" w:styleId="1">
    <w:name w:val="heading 1"/>
    <w:basedOn w:val="a"/>
    <w:next w:val="a"/>
    <w:link w:val="10"/>
    <w:uiPriority w:val="9"/>
    <w:qFormat/>
    <w:pPr>
      <w:spacing w:beforeLines="50" w:afterLines="50"/>
      <w:ind w:left="1429"/>
      <w:outlineLvl w:val="0"/>
    </w:pPr>
    <w:rPr>
      <w:rFonts w:ascii="Calibri" w:eastAsia="黑体" w:hAnsi="Calibri"/>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qFormat/>
    <w:pPr>
      <w:spacing w:after="120" w:line="480" w:lineRule="auto"/>
    </w:pPr>
    <w:rPr>
      <w:rFonts w:eastAsia="宋体"/>
    </w:rPr>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rPr>
  </w:style>
  <w:style w:type="paragraph" w:styleId="a9">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Saturday Sans Regular" w:hAnsi="Saturday Sans Regular"/>
      <w:sz w:val="18"/>
    </w:rPr>
  </w:style>
  <w:style w:type="paragraph" w:styleId="aa">
    <w:name w:val="annotation subject"/>
    <w:basedOn w:val="a3"/>
    <w:next w:val="a3"/>
    <w:link w:val="ab"/>
    <w:uiPriority w:val="99"/>
    <w:semiHidden/>
    <w:unhideWhenUsed/>
    <w:qFormat/>
    <w:rPr>
      <w:b/>
      <w:bCs/>
    </w:rPr>
  </w:style>
  <w:style w:type="character" w:styleId="ac">
    <w:name w:val="line number"/>
    <w:basedOn w:val="a0"/>
    <w:uiPriority w:val="99"/>
    <w:unhideWhenUsed/>
    <w:qFormat/>
  </w:style>
  <w:style w:type="character" w:styleId="ad">
    <w:name w:val="annotation reference"/>
    <w:basedOn w:val="a0"/>
    <w:uiPriority w:val="99"/>
    <w:semiHidden/>
    <w:unhideWhenUsed/>
    <w:qFormat/>
    <w:rPr>
      <w:sz w:val="21"/>
      <w:szCs w:val="21"/>
    </w:rPr>
  </w:style>
  <w:style w:type="paragraph" w:customStyle="1" w:styleId="11">
    <w:name w:val="列出段落1"/>
    <w:basedOn w:val="a"/>
    <w:link w:val="Char"/>
    <w:uiPriority w:val="34"/>
    <w:qFormat/>
    <w:pPr>
      <w:ind w:firstLineChars="200" w:firstLine="420"/>
    </w:pPr>
    <w:rPr>
      <w:rFonts w:eastAsia="方正仿宋_GB2312"/>
      <w:szCs w:val="32"/>
    </w:rPr>
  </w:style>
  <w:style w:type="character" w:customStyle="1" w:styleId="Char">
    <w:name w:val="列出段落 Char"/>
    <w:basedOn w:val="a0"/>
    <w:link w:val="11"/>
    <w:uiPriority w:val="34"/>
    <w:qFormat/>
    <w:rPr>
      <w:rFonts w:ascii="Times New Roman" w:eastAsia="方正仿宋_GB2312" w:hAnsi="Times New Roman" w:cs="Times New Roman"/>
      <w:sz w:val="32"/>
      <w:szCs w:val="32"/>
    </w:rPr>
  </w:style>
  <w:style w:type="character" w:customStyle="1" w:styleId="a6">
    <w:name w:val="批注框文本 字符"/>
    <w:basedOn w:val="a0"/>
    <w:link w:val="a5"/>
    <w:uiPriority w:val="99"/>
    <w:semiHidden/>
    <w:qFormat/>
    <w:rPr>
      <w:rFonts w:ascii="Times New Roman" w:eastAsia="方正仿宋_GBK" w:hAnsi="Times New Roman" w:cs="Times New Roman"/>
      <w:kern w:val="2"/>
      <w:sz w:val="18"/>
      <w:szCs w:val="18"/>
    </w:rPr>
  </w:style>
  <w:style w:type="paragraph" w:styleId="ae">
    <w:name w:val="List Paragraph"/>
    <w:basedOn w:val="a"/>
    <w:link w:val="af"/>
    <w:uiPriority w:val="34"/>
    <w:unhideWhenUsed/>
    <w:qFormat/>
    <w:pPr>
      <w:ind w:firstLineChars="200" w:firstLine="420"/>
    </w:pPr>
  </w:style>
  <w:style w:type="character" w:customStyle="1" w:styleId="a4">
    <w:name w:val="批注文字 字符"/>
    <w:basedOn w:val="a0"/>
    <w:link w:val="a3"/>
    <w:uiPriority w:val="99"/>
    <w:semiHidden/>
    <w:qFormat/>
    <w:rPr>
      <w:rFonts w:ascii="Times New Roman" w:eastAsia="方正仿宋_GBK" w:hAnsi="Times New Roman" w:cs="Times New Roman"/>
      <w:kern w:val="2"/>
      <w:sz w:val="32"/>
      <w:szCs w:val="24"/>
    </w:rPr>
  </w:style>
  <w:style w:type="character" w:customStyle="1" w:styleId="ab">
    <w:name w:val="批注主题 字符"/>
    <w:basedOn w:val="a4"/>
    <w:link w:val="aa"/>
    <w:uiPriority w:val="99"/>
    <w:semiHidden/>
    <w:qFormat/>
    <w:rPr>
      <w:rFonts w:ascii="Times New Roman" w:eastAsia="方正仿宋_GBK" w:hAnsi="Times New Roman" w:cs="Times New Roman"/>
      <w:b/>
      <w:bCs/>
      <w:kern w:val="2"/>
      <w:sz w:val="32"/>
      <w:szCs w:val="24"/>
    </w:rPr>
  </w:style>
  <w:style w:type="character" w:customStyle="1" w:styleId="a8">
    <w:name w:val="页脚 字符"/>
    <w:basedOn w:val="a0"/>
    <w:link w:val="a7"/>
    <w:uiPriority w:val="99"/>
    <w:qFormat/>
    <w:rPr>
      <w:rFonts w:ascii="Times New Roman" w:eastAsia="方正仿宋_GBK" w:hAnsi="Times New Roman" w:cs="Times New Roman"/>
      <w:kern w:val="2"/>
      <w:sz w:val="18"/>
      <w:szCs w:val="24"/>
    </w:rPr>
  </w:style>
  <w:style w:type="character" w:customStyle="1" w:styleId="10">
    <w:name w:val="标题 1 字符"/>
    <w:basedOn w:val="a0"/>
    <w:link w:val="1"/>
    <w:uiPriority w:val="9"/>
    <w:qFormat/>
    <w:rPr>
      <w:rFonts w:ascii="Calibri" w:eastAsia="黑体" w:hAnsi="Calibri" w:cs="Times New Roman"/>
      <w:kern w:val="2"/>
      <w:sz w:val="32"/>
      <w:szCs w:val="22"/>
    </w:rPr>
  </w:style>
  <w:style w:type="character" w:customStyle="1" w:styleId="af">
    <w:name w:val="列表段落 字符"/>
    <w:link w:val="ae"/>
    <w:uiPriority w:val="34"/>
    <w:qFormat/>
    <w:rPr>
      <w:rFonts w:ascii="Times New Roman" w:eastAsia="方正仿宋_GBK" w:hAnsi="Times New Roman" w:cs="Times New Roman"/>
      <w:kern w:val="2"/>
      <w:sz w:val="32"/>
      <w:szCs w:val="24"/>
    </w:rPr>
  </w:style>
  <w:style w:type="paragraph" w:customStyle="1" w:styleId="Style19">
    <w:name w:val="_Style 19"/>
    <w:basedOn w:val="a"/>
    <w:next w:val="ae"/>
    <w:uiPriority w:val="34"/>
    <w:qFormat/>
    <w:pPr>
      <w:ind w:firstLineChars="200" w:firstLine="420"/>
    </w:pPr>
    <w:rPr>
      <w:rFonts w:eastAsia="宋体"/>
      <w:sz w:val="21"/>
    </w:rPr>
  </w:style>
  <w:style w:type="paragraph" w:styleId="af0">
    <w:name w:val="No Spacing"/>
    <w:qFormat/>
    <w:pPr>
      <w:adjustRightInd w:val="0"/>
      <w:snapToGrid w:val="0"/>
    </w:pPr>
    <w:rPr>
      <w:rFonts w:ascii="Tahoma" w:eastAsia="微软雅黑" w:hAnsi="Tahoma"/>
      <w:sz w:val="22"/>
      <w:szCs w:val="22"/>
    </w:rPr>
  </w:style>
  <w:style w:type="paragraph" w:styleId="af1">
    <w:name w:val="Revision"/>
    <w:hidden/>
    <w:uiPriority w:val="99"/>
    <w:unhideWhenUsed/>
    <w:rsid w:val="00BC03E4"/>
    <w:rPr>
      <w:rFonts w:eastAsia="方正仿宋_GBK"/>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2F514-77BA-46EB-B139-EB45E38D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3404</Words>
  <Characters>3677</Characters>
  <Application>Microsoft Office Word</Application>
  <DocSecurity>0</DocSecurity>
  <Lines>183</Lines>
  <Paragraphs>153</Paragraphs>
  <ScaleCrop>false</ScaleCrop>
  <Company>Microsoft</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佳佳 席</cp:lastModifiedBy>
  <cp:revision>24</cp:revision>
  <dcterms:created xsi:type="dcterms:W3CDTF">2022-04-01T05:16:00Z</dcterms:created>
  <dcterms:modified xsi:type="dcterms:W3CDTF">2026-07-24T01:14:00Z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F25EE98A686C43D591BC32F37F098FD3</vt:lpwstr>
  </property>
  <property fmtid="{D5CDD505-2E9C-101B-9397-08002B2CF9AE}" pid="4" name="KSOTemplateDocerSaveRecord">
    <vt:lpwstr>eyJoZGlkIjoiYzIzNjhjZjkxMjg2OGJjOTQ0NThhNzBhOGI4YTVmYWYiLCJ1c2VySWQiOiI3NDExMTE5OTIifQ==</vt:lpwstr>
  </property>
</Properties>
</file>