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39A" w:rsidRDefault="002A639A">
      <w:pPr>
        <w:spacing w:line="520" w:lineRule="exact"/>
        <w:ind w:rightChars="-32" w:right="-102"/>
        <w:rPr>
          <w:rFonts w:eastAsia="方正小标宋简体"/>
          <w:color w:val="000000"/>
          <w:sz w:val="44"/>
        </w:rPr>
      </w:pPr>
    </w:p>
    <w:p w:rsidR="002A639A" w:rsidRDefault="006441EF">
      <w:pPr>
        <w:spacing w:line="520" w:lineRule="exact"/>
        <w:ind w:rightChars="-32" w:right="-102"/>
        <w:jc w:val="center"/>
        <w:rPr>
          <w:rFonts w:eastAsia="方正小标宋简体"/>
          <w:bCs/>
          <w:color w:val="000000"/>
          <w:sz w:val="44"/>
          <w:szCs w:val="44"/>
        </w:rPr>
      </w:pPr>
      <w:r>
        <w:rPr>
          <w:rFonts w:eastAsia="方正小标宋简体" w:hint="eastAsia"/>
          <w:color w:val="000000"/>
          <w:sz w:val="44"/>
        </w:rPr>
        <w:t>人工晶状体植入</w:t>
      </w:r>
      <w:proofErr w:type="gramStart"/>
      <w:r>
        <w:rPr>
          <w:rFonts w:eastAsia="方正小标宋简体" w:hint="eastAsia"/>
          <w:color w:val="000000"/>
          <w:sz w:val="44"/>
        </w:rPr>
        <w:t>器</w:t>
      </w:r>
      <w:r>
        <w:rPr>
          <w:rFonts w:eastAsia="方正小标宋简体"/>
          <w:bCs/>
          <w:color w:val="000000"/>
          <w:sz w:val="44"/>
          <w:szCs w:val="44"/>
        </w:rPr>
        <w:t>注册</w:t>
      </w:r>
      <w:proofErr w:type="gramEnd"/>
      <w:r>
        <w:rPr>
          <w:rFonts w:eastAsia="方正小标宋简体"/>
          <w:bCs/>
          <w:sz w:val="44"/>
          <w:szCs w:val="44"/>
        </w:rPr>
        <w:t>审查</w:t>
      </w:r>
      <w:r>
        <w:rPr>
          <w:rFonts w:eastAsia="方正小标宋简体"/>
          <w:bCs/>
          <w:color w:val="000000"/>
          <w:sz w:val="44"/>
          <w:szCs w:val="44"/>
        </w:rPr>
        <w:t>指导原则</w:t>
      </w:r>
    </w:p>
    <w:p w:rsidR="002A639A" w:rsidRDefault="006441EF">
      <w:pPr>
        <w:spacing w:line="520" w:lineRule="exact"/>
        <w:ind w:rightChars="-32" w:right="-102"/>
        <w:jc w:val="center"/>
        <w:rPr>
          <w:rFonts w:eastAsia="方正小标宋简体"/>
          <w:bCs/>
          <w:color w:val="000000"/>
          <w:sz w:val="44"/>
          <w:szCs w:val="44"/>
        </w:rPr>
      </w:pPr>
      <w:r>
        <w:rPr>
          <w:rFonts w:eastAsia="方正小标宋简体" w:hint="eastAsia"/>
          <w:b/>
          <w:bCs/>
          <w:color w:val="000000"/>
          <w:sz w:val="44"/>
          <w:szCs w:val="44"/>
        </w:rPr>
        <w:t>（</w:t>
      </w:r>
      <w:r>
        <w:rPr>
          <w:rFonts w:eastAsia="方正小标宋简体" w:hint="eastAsia"/>
          <w:b/>
          <w:bCs/>
          <w:color w:val="000000"/>
          <w:sz w:val="44"/>
          <w:szCs w:val="44"/>
        </w:rPr>
        <w:t>征求意见稿</w:t>
      </w:r>
      <w:r>
        <w:rPr>
          <w:rFonts w:eastAsia="方正小标宋简体" w:hint="eastAsia"/>
          <w:b/>
          <w:bCs/>
          <w:color w:val="000000"/>
          <w:sz w:val="44"/>
          <w:szCs w:val="44"/>
        </w:rPr>
        <w:t>）</w:t>
      </w:r>
    </w:p>
    <w:p w:rsidR="002A639A" w:rsidRDefault="002A639A">
      <w:pPr>
        <w:ind w:rightChars="-32" w:right="-102"/>
        <w:jc w:val="center"/>
        <w:rPr>
          <w:rFonts w:eastAsia="方正小标宋简体"/>
          <w:color w:val="000000"/>
          <w:szCs w:val="44"/>
        </w:rPr>
      </w:pPr>
    </w:p>
    <w:p w:rsidR="002A639A" w:rsidRDefault="006441EF">
      <w:pPr>
        <w:spacing w:line="520" w:lineRule="exact"/>
        <w:ind w:firstLineChars="200" w:firstLine="640"/>
        <w:rPr>
          <w:rFonts w:eastAsia="仿宋_GB2312"/>
          <w:color w:val="000000"/>
          <w:szCs w:val="32"/>
        </w:rPr>
      </w:pPr>
      <w:r>
        <w:rPr>
          <w:rFonts w:eastAsia="仿宋_GB2312"/>
          <w:color w:val="000000"/>
          <w:szCs w:val="32"/>
        </w:rPr>
        <w:t>本指导原则旨在指导注册申请人对</w:t>
      </w:r>
      <w:r>
        <w:rPr>
          <w:rFonts w:eastAsia="仿宋_GB2312" w:hint="eastAsia"/>
          <w:color w:val="000000"/>
          <w:szCs w:val="32"/>
        </w:rPr>
        <w:t>人工晶状体植入器</w:t>
      </w:r>
      <w:r>
        <w:rPr>
          <w:rFonts w:eastAsia="仿宋_GB2312"/>
          <w:color w:val="000000"/>
          <w:szCs w:val="32"/>
        </w:rPr>
        <w:t>产品注册申报资料的准备及撰写，同时也为技术审评部门对注册申报资料的审评提供技术参考。</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本指导原则是对</w:t>
      </w:r>
      <w:r>
        <w:rPr>
          <w:rFonts w:eastAsia="仿宋_GB2312" w:hint="eastAsia"/>
          <w:color w:val="000000"/>
          <w:szCs w:val="32"/>
        </w:rPr>
        <w:t>人工晶状体植入</w:t>
      </w:r>
      <w:proofErr w:type="gramStart"/>
      <w:r>
        <w:rPr>
          <w:rFonts w:eastAsia="仿宋_GB2312" w:hint="eastAsia"/>
          <w:color w:val="000000"/>
          <w:szCs w:val="32"/>
        </w:rPr>
        <w:t>器</w:t>
      </w:r>
      <w:r>
        <w:rPr>
          <w:rFonts w:eastAsia="仿宋_GB2312"/>
          <w:color w:val="000000"/>
          <w:szCs w:val="32"/>
        </w:rPr>
        <w:t>注册</w:t>
      </w:r>
      <w:proofErr w:type="gramEnd"/>
      <w:r>
        <w:rPr>
          <w:rFonts w:eastAsia="仿宋_GB2312"/>
          <w:color w:val="000000"/>
          <w:szCs w:val="32"/>
        </w:rPr>
        <w:t>申报资料的一般要求，注册申请人需依据产品的具体特性确定其中内容是否使用。若不适用，需具体阐述理由及相应的科学依据，并依据产品的具体特性对注册申报资料的内容进行充实和细化。</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本指导原则是</w:t>
      </w:r>
      <w:proofErr w:type="gramStart"/>
      <w:r>
        <w:rPr>
          <w:rFonts w:eastAsia="仿宋_GB2312"/>
          <w:color w:val="000000"/>
          <w:szCs w:val="32"/>
        </w:rPr>
        <w:t>供注册</w:t>
      </w:r>
      <w:proofErr w:type="gramEnd"/>
      <w:r>
        <w:rPr>
          <w:rFonts w:eastAsia="仿宋_GB2312"/>
          <w:color w:val="000000"/>
          <w:szCs w:val="32"/>
        </w:rPr>
        <w:t>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rsidR="002A639A" w:rsidRDefault="006441EF">
      <w:pPr>
        <w:spacing w:line="520" w:lineRule="exact"/>
        <w:ind w:firstLineChars="200" w:firstLine="640"/>
        <w:rPr>
          <w:rFonts w:eastAsia="黑体"/>
          <w:color w:val="000000"/>
          <w:szCs w:val="32"/>
        </w:rPr>
      </w:pPr>
      <w:r>
        <w:rPr>
          <w:rFonts w:eastAsia="黑体"/>
          <w:color w:val="000000"/>
          <w:szCs w:val="32"/>
        </w:rPr>
        <w:t>一、适用范</w:t>
      </w:r>
      <w:bookmarkStart w:id="0" w:name="_GoBack"/>
      <w:bookmarkEnd w:id="0"/>
      <w:r>
        <w:rPr>
          <w:rFonts w:eastAsia="黑体"/>
          <w:color w:val="000000"/>
          <w:szCs w:val="32"/>
        </w:rPr>
        <w:t>围</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本指导原则适用</w:t>
      </w:r>
      <w:r>
        <w:rPr>
          <w:rFonts w:eastAsia="仿宋_GB2312" w:hint="eastAsia"/>
          <w:color w:val="000000"/>
          <w:szCs w:val="32"/>
        </w:rPr>
        <w:t>于《医疗器械分类目录》中人工晶状体、人工玻璃体植入器械产品，分类编码</w:t>
      </w:r>
      <w:r>
        <w:rPr>
          <w:rFonts w:eastAsia="仿宋_GB2312" w:hint="eastAsia"/>
          <w:color w:val="000000"/>
          <w:szCs w:val="32"/>
        </w:rPr>
        <w:t>1</w:t>
      </w:r>
      <w:r>
        <w:rPr>
          <w:rFonts w:eastAsia="仿宋_GB2312"/>
          <w:color w:val="000000"/>
          <w:szCs w:val="32"/>
        </w:rPr>
        <w:t>6-07-15</w:t>
      </w:r>
      <w:r>
        <w:rPr>
          <w:rFonts w:eastAsia="仿宋_GB2312" w:hint="eastAsia"/>
          <w:color w:val="000000"/>
          <w:szCs w:val="32"/>
        </w:rPr>
        <w:t>，</w:t>
      </w:r>
      <w:r>
        <w:rPr>
          <w:rFonts w:eastAsia="仿宋_GB2312" w:hint="eastAsia"/>
          <w:color w:val="000000"/>
          <w:szCs w:val="32"/>
        </w:rPr>
        <w:t>采用塑料材料生产、无菌提供，用于植入人工晶状体的无源医疗器械。</w:t>
      </w:r>
    </w:p>
    <w:p w:rsidR="002A639A" w:rsidRDefault="006441EF">
      <w:pPr>
        <w:spacing w:line="520" w:lineRule="exact"/>
        <w:ind w:firstLineChars="200" w:firstLine="640"/>
        <w:rPr>
          <w:rFonts w:eastAsia="黑体"/>
          <w:color w:val="000000"/>
          <w:szCs w:val="32"/>
        </w:rPr>
      </w:pPr>
      <w:r>
        <w:rPr>
          <w:rFonts w:eastAsia="黑体"/>
          <w:color w:val="000000"/>
          <w:szCs w:val="32"/>
        </w:rPr>
        <w:t>二、注册审查要点</w:t>
      </w:r>
    </w:p>
    <w:p w:rsidR="002A639A" w:rsidRDefault="006441EF">
      <w:pPr>
        <w:spacing w:line="520" w:lineRule="exact"/>
        <w:ind w:firstLineChars="200" w:firstLine="640"/>
        <w:rPr>
          <w:rFonts w:eastAsia="楷体_GB2312"/>
          <w:color w:val="000000"/>
          <w:szCs w:val="32"/>
        </w:rPr>
      </w:pPr>
      <w:r>
        <w:rPr>
          <w:rFonts w:eastAsia="楷体_GB2312"/>
          <w:color w:val="000000"/>
          <w:szCs w:val="32"/>
        </w:rPr>
        <w:t>（一）监管信息</w:t>
      </w:r>
    </w:p>
    <w:p w:rsidR="002A639A" w:rsidRDefault="006441EF">
      <w:pPr>
        <w:spacing w:line="520" w:lineRule="exact"/>
        <w:ind w:firstLineChars="200" w:firstLine="640"/>
        <w:rPr>
          <w:rFonts w:eastAsia="仿宋_GB2312"/>
          <w:color w:val="000000"/>
          <w:szCs w:val="32"/>
        </w:rPr>
      </w:pPr>
      <w:r>
        <w:rPr>
          <w:rFonts w:eastAsia="仿宋_GB2312"/>
          <w:color w:val="000000"/>
          <w:szCs w:val="32"/>
        </w:rPr>
        <w:lastRenderedPageBreak/>
        <w:t>1.</w:t>
      </w:r>
      <w:r>
        <w:rPr>
          <w:rFonts w:eastAsia="仿宋_GB2312"/>
          <w:color w:val="000000"/>
          <w:szCs w:val="32"/>
        </w:rPr>
        <w:t>产品名称</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人工晶状体植入器产品的命名需采用《医疗器械分类目录》或国家标准、行业标准中的通用名称，或以产品结构和预期目的为依据命名，需符合《医疗器械通用名称命名规则》《眼科器械通用名称命名指导原则》等相关规范性文件的要求。如人工晶状体植入系统、一次性使用无菌人工晶状体推注器、一次性使用无菌人工晶状体植入器、一次性使用无菌人工晶状体折叠夹等。</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分类编码</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根据《医疗器械分类目录》规定，管理类别为Ⅱ类，子目录为</w:t>
      </w:r>
      <w:r>
        <w:rPr>
          <w:rFonts w:eastAsia="仿宋_GB2312" w:hint="eastAsia"/>
          <w:color w:val="000000"/>
          <w:szCs w:val="32"/>
        </w:rPr>
        <w:t>16</w:t>
      </w:r>
      <w:r>
        <w:rPr>
          <w:rFonts w:eastAsia="仿宋_GB2312" w:hint="eastAsia"/>
          <w:color w:val="000000"/>
          <w:szCs w:val="32"/>
        </w:rPr>
        <w:t>眼科器械，一级产品类别为</w:t>
      </w:r>
      <w:r>
        <w:rPr>
          <w:rFonts w:eastAsia="仿宋_GB2312" w:hint="eastAsia"/>
          <w:color w:val="000000"/>
          <w:szCs w:val="32"/>
        </w:rPr>
        <w:t>07</w:t>
      </w:r>
      <w:r>
        <w:rPr>
          <w:rFonts w:eastAsia="仿宋_GB2312" w:hint="eastAsia"/>
          <w:color w:val="000000"/>
          <w:szCs w:val="32"/>
        </w:rPr>
        <w:t>眼科植入物及辅助器械，二级产品类别为</w:t>
      </w:r>
      <w:r>
        <w:rPr>
          <w:rFonts w:eastAsia="仿宋_GB2312" w:hint="eastAsia"/>
          <w:color w:val="000000"/>
          <w:szCs w:val="32"/>
        </w:rPr>
        <w:t>15</w:t>
      </w:r>
      <w:r>
        <w:rPr>
          <w:rFonts w:eastAsia="仿宋_GB2312" w:hint="eastAsia"/>
          <w:color w:val="000000"/>
          <w:szCs w:val="32"/>
        </w:rPr>
        <w:t>人工晶状体、人工玻璃体植入器械。</w:t>
      </w:r>
    </w:p>
    <w:p w:rsidR="002A639A" w:rsidRDefault="006441EF">
      <w:pPr>
        <w:spacing w:line="52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注册单元划分的原则和实例</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依据《医疗器械注册与备案管理办法》《医疗器械注册单元划分指导原则》划分，人工晶状体植入器的注册单元以产品的技术原理、结构组成、性能指标和适用范围等为划分依据。</w:t>
      </w:r>
      <w:bookmarkStart w:id="1" w:name="OLE_LINK17"/>
      <w:bookmarkStart w:id="2" w:name="OLE_LINK16"/>
      <w:r>
        <w:rPr>
          <w:rFonts w:eastAsia="仿宋_GB2312" w:hint="eastAsia"/>
          <w:color w:val="000000"/>
          <w:szCs w:val="32"/>
        </w:rPr>
        <w:t>如推注器和导入头为一体式与分体式的植入</w:t>
      </w:r>
      <w:proofErr w:type="gramStart"/>
      <w:r>
        <w:rPr>
          <w:rFonts w:eastAsia="仿宋_GB2312" w:hint="eastAsia"/>
          <w:color w:val="000000"/>
          <w:szCs w:val="32"/>
        </w:rPr>
        <w:t>器建议</w:t>
      </w:r>
      <w:proofErr w:type="gramEnd"/>
      <w:r>
        <w:rPr>
          <w:rFonts w:eastAsia="仿宋_GB2312" w:hint="eastAsia"/>
          <w:color w:val="000000"/>
          <w:szCs w:val="32"/>
        </w:rPr>
        <w:t>划分为同一注册单元。</w:t>
      </w:r>
    </w:p>
    <w:bookmarkEnd w:id="1"/>
    <w:bookmarkEnd w:id="2"/>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型号规格</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对于存在多种型号规格的产品，说明型号规格的划分依据、明确各型号规格的区别。可采用对比</w:t>
      </w:r>
      <w:r>
        <w:rPr>
          <w:rFonts w:eastAsia="仿宋_GB2312" w:hint="eastAsia"/>
          <w:color w:val="000000"/>
          <w:szCs w:val="32"/>
        </w:rPr>
        <w:t>表或带有说明性文字的图片、图表，对不同型号规格的结构组成、尺寸参数、性能指标（若有不同）等方面加以描述。</w:t>
      </w:r>
    </w:p>
    <w:p w:rsidR="002A639A" w:rsidRDefault="006441EF">
      <w:pPr>
        <w:spacing w:line="520" w:lineRule="exact"/>
        <w:ind w:firstLineChars="200" w:firstLine="640"/>
        <w:rPr>
          <w:rFonts w:eastAsia="仿宋_GB2312"/>
          <w:color w:val="000000"/>
          <w:szCs w:val="32"/>
        </w:rPr>
      </w:pPr>
      <w:r>
        <w:rPr>
          <w:rFonts w:eastAsia="仿宋_GB2312"/>
          <w:color w:val="000000"/>
          <w:szCs w:val="32"/>
        </w:rPr>
        <w:t>5.</w:t>
      </w:r>
      <w:r>
        <w:rPr>
          <w:rFonts w:eastAsia="仿宋_GB2312"/>
          <w:color w:val="000000"/>
          <w:szCs w:val="32"/>
        </w:rPr>
        <w:t>结构组成</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人工晶状体植入器一般由推注器和导入头组成，推注器</w:t>
      </w:r>
      <w:r>
        <w:rPr>
          <w:rFonts w:eastAsia="仿宋_GB2312" w:hint="eastAsia"/>
          <w:color w:val="000000"/>
          <w:szCs w:val="32"/>
        </w:rPr>
        <w:lastRenderedPageBreak/>
        <w:t>一般由螺旋推杆、推进旋钮、外筒、人工晶状体安装槽组成。</w:t>
      </w:r>
    </w:p>
    <w:p w:rsidR="002A639A" w:rsidRDefault="006441EF">
      <w:pPr>
        <w:spacing w:line="520" w:lineRule="exact"/>
        <w:ind w:firstLineChars="200" w:firstLine="640"/>
        <w:rPr>
          <w:rFonts w:eastAsia="楷体_GB2312"/>
          <w:color w:val="000000"/>
          <w:szCs w:val="32"/>
        </w:rPr>
      </w:pPr>
      <w:r>
        <w:rPr>
          <w:rFonts w:eastAsia="楷体_GB2312"/>
          <w:color w:val="000000"/>
          <w:szCs w:val="32"/>
        </w:rPr>
        <w:t>（二）综述资料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器械及操作原理描述</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 xml:space="preserve">1.1 </w:t>
      </w:r>
      <w:r>
        <w:rPr>
          <w:rFonts w:eastAsia="仿宋_GB2312" w:hint="eastAsia"/>
          <w:color w:val="000000"/>
          <w:szCs w:val="32"/>
        </w:rPr>
        <w:t>产品几何结构外形图如图</w:t>
      </w:r>
      <w:r>
        <w:rPr>
          <w:rFonts w:eastAsia="仿宋_GB2312" w:hint="eastAsia"/>
          <w:color w:val="000000"/>
          <w:szCs w:val="32"/>
        </w:rPr>
        <w:t>1</w:t>
      </w:r>
      <w:r>
        <w:rPr>
          <w:rFonts w:eastAsia="仿宋_GB2312" w:hint="eastAsia"/>
          <w:color w:val="000000"/>
          <w:szCs w:val="32"/>
        </w:rPr>
        <w:t>示例，其组件包括螺旋推杆、推进旋钮、外筒、人工晶状体安装槽和导入头。</w:t>
      </w:r>
    </w:p>
    <w:p w:rsidR="002A639A" w:rsidRDefault="006441EF">
      <w:pPr>
        <w:ind w:firstLineChars="200" w:firstLine="640"/>
        <w:jc w:val="center"/>
        <w:rPr>
          <w:rFonts w:eastAsia="仿宋_GB2312"/>
          <w:color w:val="000000"/>
          <w:szCs w:val="32"/>
        </w:rPr>
      </w:pPr>
      <w:r>
        <w:rPr>
          <w:noProof/>
        </w:rPr>
        <w:drawing>
          <wp:anchor distT="0" distB="0" distL="114300" distR="114300" simplePos="0" relativeHeight="251659264" behindDoc="1" locked="0" layoutInCell="1" allowOverlap="1">
            <wp:simplePos x="0" y="0"/>
            <wp:positionH relativeFrom="margin">
              <wp:align>center</wp:align>
            </wp:positionH>
            <wp:positionV relativeFrom="paragraph">
              <wp:posOffset>25400</wp:posOffset>
            </wp:positionV>
            <wp:extent cx="3227705" cy="2371090"/>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227705" cy="2371090"/>
                    </a:xfrm>
                    <a:prstGeom prst="rect">
                      <a:avLst/>
                    </a:prstGeom>
                  </pic:spPr>
                </pic:pic>
              </a:graphicData>
            </a:graphic>
          </wp:anchor>
        </w:drawing>
      </w:r>
      <w:r>
        <w:rPr>
          <w:rFonts w:eastAsia="仿宋_GB2312" w:hint="eastAsia"/>
          <w:color w:val="000000"/>
          <w:szCs w:val="32"/>
        </w:rPr>
        <w:t>图</w:t>
      </w:r>
      <w:r>
        <w:rPr>
          <w:rFonts w:eastAsia="仿宋_GB2312" w:hint="eastAsia"/>
          <w:color w:val="000000"/>
          <w:szCs w:val="32"/>
        </w:rPr>
        <w:t>1</w:t>
      </w:r>
    </w:p>
    <w:p w:rsidR="002A639A" w:rsidRDefault="002A639A">
      <w:pPr>
        <w:ind w:firstLineChars="200" w:firstLine="640"/>
        <w:jc w:val="left"/>
        <w:rPr>
          <w:rFonts w:eastAsia="仿宋_GB2312"/>
          <w:color w:val="000000"/>
          <w:szCs w:val="32"/>
        </w:rPr>
      </w:pP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1.2</w:t>
      </w:r>
      <w:r>
        <w:rPr>
          <w:rFonts w:eastAsia="仿宋_GB2312" w:hint="eastAsia"/>
          <w:color w:val="000000"/>
          <w:szCs w:val="32"/>
        </w:rPr>
        <w:t>应明确产品的相关材料牌号</w:t>
      </w:r>
      <w:r>
        <w:rPr>
          <w:rFonts w:eastAsia="仿宋_GB2312" w:hint="eastAsia"/>
          <w:color w:val="000000"/>
          <w:szCs w:val="32"/>
        </w:rPr>
        <w:t>/</w:t>
      </w:r>
      <w:r>
        <w:rPr>
          <w:rFonts w:eastAsia="仿宋_GB2312" w:hint="eastAsia"/>
          <w:color w:val="000000"/>
          <w:szCs w:val="32"/>
        </w:rPr>
        <w:t>商品名及符合的标准。如：导入头由聚醚嵌段酰胺（简称</w:t>
      </w:r>
      <w:r>
        <w:rPr>
          <w:rFonts w:eastAsia="仿宋_GB2312" w:hint="eastAsia"/>
          <w:color w:val="000000"/>
          <w:szCs w:val="32"/>
        </w:rPr>
        <w:t>PEBA</w:t>
      </w:r>
      <w:r>
        <w:rPr>
          <w:rFonts w:eastAsia="仿宋_GB2312" w:hint="eastAsia"/>
          <w:color w:val="000000"/>
          <w:szCs w:val="32"/>
        </w:rPr>
        <w:t>）经注塑加工成型，内表面经亲水涂层处理</w:t>
      </w:r>
      <w:r>
        <w:rPr>
          <w:rFonts w:eastAsia="仿宋_GB2312" w:hint="eastAsia"/>
          <w:color w:val="000000"/>
          <w:szCs w:val="32"/>
        </w:rPr>
        <w:t>，宜描述涂层的化学名称，组成成分及比例、作用等；推注器包括外筒、推进旋钮和螺旋推杆三部分，由符合</w:t>
      </w:r>
      <w:r>
        <w:rPr>
          <w:rFonts w:eastAsia="仿宋_GB2312" w:hint="eastAsia"/>
          <w:color w:val="000000"/>
          <w:szCs w:val="32"/>
        </w:rPr>
        <w:t>YY/T 0806-2010</w:t>
      </w:r>
      <w:r>
        <w:rPr>
          <w:rFonts w:eastAsia="仿宋_GB2312" w:hint="eastAsia"/>
          <w:color w:val="000000"/>
          <w:szCs w:val="32"/>
        </w:rPr>
        <w:t>的聚碳酸酯材料制成。</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1.3</w:t>
      </w:r>
      <w:r>
        <w:rPr>
          <w:rFonts w:eastAsia="仿宋_GB2312" w:hint="eastAsia"/>
          <w:color w:val="000000"/>
          <w:szCs w:val="32"/>
        </w:rPr>
        <w:t>应明确人工晶状体植入器的关键尺寸信息，如导入头推注通道出口端横截面等体现产品设计特征的尺寸及公差。</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1.4</w:t>
      </w:r>
      <w:r>
        <w:rPr>
          <w:rFonts w:eastAsia="仿宋_GB2312" w:hint="eastAsia"/>
          <w:color w:val="000000"/>
          <w:szCs w:val="32"/>
        </w:rPr>
        <w:t>如产品有多种型号，应明确其划分依据。</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1.5</w:t>
      </w:r>
      <w:r>
        <w:rPr>
          <w:rFonts w:eastAsia="仿宋_GB2312" w:hint="eastAsia"/>
          <w:color w:val="000000"/>
          <w:szCs w:val="32"/>
        </w:rPr>
        <w:t>产品工作原理</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将人工晶状体装入安装槽，利用植入器结构约束使人工晶状体折叠、压缩，通过推杆匀速推动，将人工晶状体从植</w:t>
      </w:r>
      <w:r>
        <w:rPr>
          <w:rFonts w:eastAsia="仿宋_GB2312" w:hint="eastAsia"/>
          <w:color w:val="000000"/>
          <w:szCs w:val="32"/>
        </w:rPr>
        <w:lastRenderedPageBreak/>
        <w:t>入器前端推出，经角膜</w:t>
      </w:r>
      <w:r>
        <w:rPr>
          <w:rFonts w:eastAsia="仿宋_GB2312" w:hint="eastAsia"/>
          <w:color w:val="000000"/>
          <w:szCs w:val="32"/>
        </w:rPr>
        <w:t>/</w:t>
      </w:r>
      <w:r>
        <w:rPr>
          <w:rFonts w:eastAsia="仿宋_GB2312" w:hint="eastAsia"/>
          <w:color w:val="000000"/>
          <w:szCs w:val="32"/>
        </w:rPr>
        <w:t>巩膜切口进入前房，精准送入晶状体囊袋内；人工晶状体脱离植入器约束后自动舒展</w:t>
      </w:r>
      <w:r>
        <w:rPr>
          <w:rFonts w:eastAsia="仿宋_GB2312" w:hint="eastAsia"/>
          <w:color w:val="000000"/>
          <w:szCs w:val="32"/>
        </w:rPr>
        <w:t>复位，</w:t>
      </w:r>
      <w:bookmarkStart w:id="3" w:name="OLE_LINK3"/>
      <w:proofErr w:type="gramStart"/>
      <w:r>
        <w:rPr>
          <w:rFonts w:eastAsia="仿宋_GB2312" w:hint="eastAsia"/>
          <w:color w:val="000000"/>
          <w:szCs w:val="32"/>
        </w:rPr>
        <w:t>襻</w:t>
      </w:r>
      <w:bookmarkEnd w:id="3"/>
      <w:proofErr w:type="gramEnd"/>
      <w:r>
        <w:rPr>
          <w:rFonts w:eastAsia="仿宋_GB2312" w:hint="eastAsia"/>
          <w:color w:val="000000"/>
          <w:szCs w:val="32"/>
        </w:rPr>
        <w:t>支撑于囊袋赤道部，固定人工晶状体位置。</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1.6</w:t>
      </w:r>
      <w:r>
        <w:rPr>
          <w:rFonts w:eastAsia="仿宋_GB2312" w:hint="eastAsia"/>
          <w:color w:val="000000"/>
          <w:szCs w:val="32"/>
        </w:rPr>
        <w:t>应明确产品结构及关键尺寸的设计依据。</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产品的适用范围、适用人群、禁忌证</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2.1</w:t>
      </w:r>
      <w:r>
        <w:rPr>
          <w:rFonts w:eastAsia="仿宋_GB2312" w:hint="eastAsia"/>
          <w:color w:val="000000"/>
          <w:szCs w:val="32"/>
        </w:rPr>
        <w:t>适用范围：供人工晶状体植入术中推注折叠式人工晶状体用。应明确配合使用的人工晶状体，如与经申报产品验证过的可折叠人工晶状体配合使用。</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2.2</w:t>
      </w:r>
      <w:r>
        <w:rPr>
          <w:rFonts w:eastAsia="仿宋_GB2312" w:hint="eastAsia"/>
          <w:color w:val="000000"/>
          <w:szCs w:val="32"/>
        </w:rPr>
        <w:t>适用人群：需植入人工晶状体的患者。</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2.3</w:t>
      </w:r>
      <w:r>
        <w:rPr>
          <w:rFonts w:eastAsia="仿宋_GB2312" w:hint="eastAsia"/>
          <w:color w:val="000000"/>
          <w:szCs w:val="32"/>
        </w:rPr>
        <w:t>禁忌证：不宜做人工晶状体植入手术的患者；对产品接触材料过敏者。</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color w:val="000000"/>
          <w:szCs w:val="32"/>
        </w:rPr>
        <w:t>.</w:t>
      </w:r>
      <w:r>
        <w:rPr>
          <w:rFonts w:eastAsia="仿宋_GB2312" w:hint="eastAsia"/>
          <w:color w:val="000000"/>
          <w:szCs w:val="32"/>
        </w:rPr>
        <w:t>不良事件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提交申报产品在各国家或地区的上市批准时间、销售情况。如有不良事件和召回，分别对申报产品上市后发生的不良事件、召回的发生</w:t>
      </w:r>
      <w:r>
        <w:rPr>
          <w:rFonts w:eastAsia="仿宋_GB2312" w:hint="eastAsia"/>
          <w:color w:val="000000"/>
          <w:szCs w:val="32"/>
        </w:rPr>
        <w:t>时间、注册申请人采取的处理和解决方案、相关部门的调查处理情况等进行描述。</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人工晶状体植入器产品常见不良事件有：人工晶状体被过度折叠、挤压，</w:t>
      </w:r>
      <w:proofErr w:type="gramStart"/>
      <w:r>
        <w:rPr>
          <w:rFonts w:eastAsia="仿宋_GB2312" w:hint="eastAsia"/>
          <w:color w:val="000000"/>
          <w:szCs w:val="32"/>
        </w:rPr>
        <w:t>襻</w:t>
      </w:r>
      <w:proofErr w:type="gramEnd"/>
      <w:r>
        <w:rPr>
          <w:rFonts w:eastAsia="仿宋_GB2312" w:hint="eastAsia"/>
          <w:color w:val="000000"/>
          <w:szCs w:val="32"/>
        </w:rPr>
        <w:t>受压变形等。</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注册申请人可收集已上市同类产品的不良事件、召回、警戒等相关信息，并将其作为产品设计开发和风险管理的输入资料，进行风险控制。</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包装说明</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应提供有关产品包装的信息，如描述产品包装的材料，说明包装清单和包装方式，提供包装图示等。如有内、外包装，应对每一层包装分别进行描述。应当说明包装材料与成型和热</w:t>
      </w:r>
      <w:proofErr w:type="gramStart"/>
      <w:r>
        <w:rPr>
          <w:rFonts w:eastAsia="仿宋_GB2312" w:hint="eastAsia"/>
          <w:color w:val="000000"/>
          <w:szCs w:val="32"/>
        </w:rPr>
        <w:t>封过程</w:t>
      </w:r>
      <w:proofErr w:type="gramEnd"/>
      <w:r>
        <w:rPr>
          <w:rFonts w:eastAsia="仿宋_GB2312" w:hint="eastAsia"/>
          <w:color w:val="000000"/>
          <w:szCs w:val="32"/>
        </w:rPr>
        <w:t>的适应性、包装材料的微生物屏障特性、包装</w:t>
      </w:r>
      <w:r>
        <w:rPr>
          <w:rFonts w:eastAsia="仿宋_GB2312" w:hint="eastAsia"/>
          <w:color w:val="000000"/>
          <w:szCs w:val="32"/>
        </w:rPr>
        <w:lastRenderedPageBreak/>
        <w:t>材料与灭菌过程的</w:t>
      </w:r>
      <w:r>
        <w:rPr>
          <w:rFonts w:eastAsia="仿宋_GB2312" w:hint="eastAsia"/>
          <w:color w:val="000000"/>
          <w:szCs w:val="32"/>
        </w:rPr>
        <w:t>相适应性、包装材料与标签系统的相适应性、包装材料与贮存运输过程的相适应性。</w:t>
      </w:r>
    </w:p>
    <w:p w:rsidR="002A639A" w:rsidRDefault="006441EF">
      <w:pPr>
        <w:spacing w:line="520" w:lineRule="exact"/>
        <w:ind w:firstLineChars="200" w:firstLine="640"/>
        <w:rPr>
          <w:rFonts w:eastAsia="楷体_GB2312"/>
          <w:color w:val="000000"/>
          <w:szCs w:val="32"/>
        </w:rPr>
      </w:pPr>
      <w:r>
        <w:rPr>
          <w:rFonts w:eastAsia="楷体_GB2312"/>
          <w:color w:val="000000"/>
          <w:szCs w:val="32"/>
        </w:rPr>
        <w:t>（三）非临床资料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1.</w:t>
      </w:r>
      <w:r>
        <w:rPr>
          <w:rFonts w:eastAsia="仿宋_GB2312"/>
          <w:color w:val="000000"/>
          <w:szCs w:val="32"/>
        </w:rPr>
        <w:t>产品风险管理资料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注册申请人需对产品全生命周期实施风险管理，提交风险管理资料</w:t>
      </w:r>
      <w:r>
        <w:rPr>
          <w:rFonts w:eastAsia="仿宋_GB2312" w:hint="eastAsia"/>
          <w:color w:val="000000"/>
          <w:szCs w:val="32"/>
        </w:rPr>
        <w:t>，</w:t>
      </w:r>
      <w:r>
        <w:rPr>
          <w:rFonts w:eastAsia="仿宋_GB2312"/>
          <w:color w:val="000000"/>
          <w:szCs w:val="32"/>
        </w:rPr>
        <w:t>参照</w:t>
      </w:r>
      <w:r>
        <w:rPr>
          <w:rFonts w:eastAsia="仿宋_GB2312"/>
          <w:color w:val="000000"/>
          <w:szCs w:val="32"/>
        </w:rPr>
        <w:t>GB/T 42062</w:t>
      </w:r>
      <w:r>
        <w:rPr>
          <w:rFonts w:eastAsia="仿宋_GB2312"/>
          <w:color w:val="000000"/>
          <w:szCs w:val="32"/>
        </w:rPr>
        <w:t>《医疗器械风险管理对医疗器械的应用》。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对于</w:t>
      </w:r>
      <w:r>
        <w:rPr>
          <w:rFonts w:eastAsia="仿宋_GB2312" w:hint="eastAsia"/>
          <w:color w:val="000000"/>
          <w:szCs w:val="32"/>
        </w:rPr>
        <w:t>人工晶状体植入器</w:t>
      </w:r>
      <w:r>
        <w:rPr>
          <w:rFonts w:eastAsia="仿宋_GB2312"/>
          <w:color w:val="000000"/>
          <w:szCs w:val="32"/>
        </w:rPr>
        <w:t>，注册申请人还需关注产品设计研发、生产制造环节的相关风险，具体可参考附</w:t>
      </w:r>
      <w:r>
        <w:rPr>
          <w:rFonts w:eastAsia="仿宋_GB2312" w:hint="eastAsia"/>
          <w:color w:val="000000"/>
          <w:szCs w:val="32"/>
        </w:rPr>
        <w:t>件</w:t>
      </w:r>
      <w:r>
        <w:rPr>
          <w:rFonts w:eastAsia="仿宋_GB2312"/>
          <w:color w:val="000000"/>
          <w:szCs w:val="32"/>
        </w:rPr>
        <w:t>《</w:t>
      </w:r>
      <w:r>
        <w:rPr>
          <w:rFonts w:eastAsia="仿宋_GB2312" w:hint="eastAsia"/>
          <w:color w:val="000000"/>
          <w:szCs w:val="32"/>
        </w:rPr>
        <w:t>人工晶状体植入物</w:t>
      </w:r>
      <w:r>
        <w:rPr>
          <w:rFonts w:eastAsia="仿宋_GB2312"/>
          <w:color w:val="000000"/>
          <w:szCs w:val="32"/>
        </w:rPr>
        <w:t>产品风险管理资料要求》。</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产品技术要求的主要性能指标</w:t>
      </w:r>
    </w:p>
    <w:p w:rsidR="002A639A" w:rsidRDefault="006441EF">
      <w:pPr>
        <w:spacing w:line="520" w:lineRule="exact"/>
        <w:ind w:firstLineChars="200" w:firstLine="640"/>
        <w:rPr>
          <w:rFonts w:eastAsia="仿宋_GB2312"/>
          <w:color w:val="000000"/>
          <w:szCs w:val="32"/>
        </w:rPr>
      </w:pPr>
      <w:r>
        <w:rPr>
          <w:rFonts w:eastAsia="仿宋_GB2312"/>
          <w:color w:val="000000"/>
          <w:szCs w:val="32"/>
        </w:rPr>
        <w:t>产品技术要求需符合相关国家标准、行业标准和有关法律、法规的相应要求。在此基础上，注册申请人需根据产品的特点，制定保证产品安全、有效的技术要求。产品技术要求中试验方法需依据有关国家标准、行业标准、国际标准制订，或经过验证。</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2.1</w:t>
      </w:r>
      <w:r>
        <w:rPr>
          <w:rFonts w:eastAsia="仿宋_GB2312"/>
          <w:color w:val="000000"/>
          <w:szCs w:val="32"/>
        </w:rPr>
        <w:t>产品型号</w:t>
      </w:r>
      <w:r>
        <w:rPr>
          <w:rFonts w:eastAsia="仿宋_GB2312"/>
          <w:color w:val="000000"/>
          <w:szCs w:val="32"/>
        </w:rPr>
        <w:t>/</w:t>
      </w:r>
      <w:r>
        <w:rPr>
          <w:rFonts w:eastAsia="仿宋_GB2312"/>
          <w:color w:val="000000"/>
          <w:szCs w:val="32"/>
        </w:rPr>
        <w:t>规格及其划分的说明</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列表说明产品的型号、规格，明确产品型号、规格的划分说明。需包含以下产品相关信息：</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2.1.1</w:t>
      </w:r>
      <w:r>
        <w:rPr>
          <w:rFonts w:eastAsia="仿宋_GB2312"/>
          <w:color w:val="000000"/>
          <w:szCs w:val="32"/>
        </w:rPr>
        <w:t>明示产品的组成、各组成部分的材料牌号</w:t>
      </w:r>
      <w:r>
        <w:rPr>
          <w:rFonts w:eastAsia="仿宋_GB2312"/>
          <w:color w:val="000000"/>
          <w:szCs w:val="32"/>
        </w:rPr>
        <w:t>/</w:t>
      </w:r>
      <w:r>
        <w:rPr>
          <w:rFonts w:eastAsia="仿宋_GB2312"/>
          <w:color w:val="000000"/>
          <w:szCs w:val="32"/>
        </w:rPr>
        <w:t>商品名及符合的国家标准、行业标准、国际标准。</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2.1.2</w:t>
      </w:r>
      <w:r>
        <w:rPr>
          <w:rFonts w:eastAsia="仿宋_GB2312"/>
          <w:color w:val="000000"/>
          <w:szCs w:val="32"/>
        </w:rPr>
        <w:t>提供各型号产品的结构图并标识关键尺寸。</w:t>
      </w:r>
    </w:p>
    <w:p w:rsidR="002A639A" w:rsidRDefault="006441EF">
      <w:pPr>
        <w:spacing w:line="520" w:lineRule="exact"/>
        <w:ind w:firstLineChars="200" w:firstLine="640"/>
        <w:rPr>
          <w:rFonts w:eastAsia="仿宋_GB2312"/>
          <w:color w:val="000000"/>
          <w:szCs w:val="32"/>
        </w:rPr>
      </w:pPr>
      <w:r>
        <w:rPr>
          <w:rFonts w:eastAsia="仿宋_GB2312"/>
          <w:color w:val="000000"/>
          <w:szCs w:val="32"/>
        </w:rPr>
        <w:lastRenderedPageBreak/>
        <w:t>2.1.3</w:t>
      </w:r>
      <w:r>
        <w:rPr>
          <w:rFonts w:eastAsia="仿宋_GB2312"/>
          <w:color w:val="000000"/>
          <w:szCs w:val="32"/>
        </w:rPr>
        <w:t>提供产品关键尺寸信息，如</w:t>
      </w:r>
      <w:r>
        <w:rPr>
          <w:rFonts w:eastAsia="仿宋_GB2312" w:hint="eastAsia"/>
          <w:color w:val="000000"/>
          <w:szCs w:val="32"/>
        </w:rPr>
        <w:t>导入头推注通道出口端横截面</w:t>
      </w:r>
      <w:r>
        <w:rPr>
          <w:rFonts w:eastAsia="仿宋_GB2312"/>
          <w:color w:val="000000"/>
          <w:szCs w:val="32"/>
        </w:rPr>
        <w:t>等。</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w:t>
      </w:r>
      <w:r>
        <w:rPr>
          <w:rFonts w:eastAsia="仿宋_GB2312"/>
          <w:color w:val="000000"/>
          <w:szCs w:val="32"/>
        </w:rPr>
        <w:t>性能指标</w:t>
      </w:r>
    </w:p>
    <w:p w:rsidR="002A639A" w:rsidRDefault="006441EF">
      <w:pPr>
        <w:spacing w:line="520" w:lineRule="exact"/>
        <w:ind w:firstLineChars="200" w:firstLine="640"/>
        <w:rPr>
          <w:rFonts w:eastAsia="仿宋_GB2312"/>
          <w:color w:val="000000"/>
          <w:szCs w:val="32"/>
        </w:rPr>
      </w:pPr>
      <w:r>
        <w:rPr>
          <w:rFonts w:eastAsia="仿宋_GB2312"/>
          <w:color w:val="000000"/>
          <w:szCs w:val="32"/>
        </w:rPr>
        <w:t>产品技术要求的主要性能指标</w:t>
      </w:r>
      <w:r>
        <w:rPr>
          <w:rFonts w:eastAsia="仿宋_GB2312" w:hint="eastAsia"/>
          <w:color w:val="000000"/>
          <w:szCs w:val="32"/>
        </w:rPr>
        <w:t>应符合</w:t>
      </w:r>
      <w:r>
        <w:rPr>
          <w:rFonts w:eastAsia="仿宋_GB2312" w:hint="eastAsia"/>
          <w:color w:val="000000"/>
          <w:szCs w:val="32"/>
        </w:rPr>
        <w:t>Y</w:t>
      </w:r>
      <w:r>
        <w:rPr>
          <w:rFonts w:eastAsia="仿宋_GB2312"/>
          <w:color w:val="000000"/>
          <w:szCs w:val="32"/>
        </w:rPr>
        <w:t>Y/T 0942</w:t>
      </w:r>
      <w:r>
        <w:rPr>
          <w:rFonts w:eastAsia="仿宋_GB2312" w:hint="eastAsia"/>
          <w:color w:val="000000"/>
          <w:szCs w:val="32"/>
        </w:rPr>
        <w:t>适用部分，至少</w:t>
      </w:r>
      <w:proofErr w:type="gramStart"/>
      <w:r>
        <w:rPr>
          <w:rFonts w:eastAsia="仿宋_GB2312"/>
          <w:color w:val="000000"/>
          <w:szCs w:val="32"/>
        </w:rPr>
        <w:t>需包括</w:t>
      </w:r>
      <w:proofErr w:type="gramEnd"/>
      <w:r>
        <w:rPr>
          <w:rFonts w:eastAsia="仿宋_GB2312"/>
          <w:color w:val="000000"/>
          <w:szCs w:val="32"/>
        </w:rPr>
        <w:t>以下适用内容：</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2.2.1</w:t>
      </w:r>
      <w:r>
        <w:rPr>
          <w:rFonts w:eastAsia="仿宋_GB2312"/>
          <w:color w:val="000000"/>
          <w:szCs w:val="32"/>
          <w:lang w:val="zh-CN"/>
        </w:rPr>
        <w:t>产品表面质量</w:t>
      </w:r>
      <w:r>
        <w:rPr>
          <w:rFonts w:eastAsia="仿宋_GB2312" w:hint="eastAsia"/>
          <w:color w:val="000000"/>
          <w:szCs w:val="32"/>
          <w:lang w:val="zh-CN"/>
        </w:rPr>
        <w:t>。</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2.2.2</w:t>
      </w:r>
      <w:r>
        <w:rPr>
          <w:rFonts w:eastAsia="仿宋_GB2312"/>
          <w:color w:val="000000"/>
          <w:szCs w:val="32"/>
        </w:rPr>
        <w:t>产品重要部位尺寸和公差。</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2.2.3</w:t>
      </w:r>
      <w:r>
        <w:rPr>
          <w:rFonts w:eastAsia="仿宋_GB2312"/>
          <w:color w:val="000000"/>
          <w:szCs w:val="32"/>
        </w:rPr>
        <w:t>产品的</w:t>
      </w:r>
      <w:r>
        <w:rPr>
          <w:rFonts w:eastAsia="仿宋_GB2312" w:hint="eastAsia"/>
          <w:color w:val="000000"/>
          <w:szCs w:val="32"/>
        </w:rPr>
        <w:t>机械性能</w:t>
      </w:r>
      <w:r>
        <w:rPr>
          <w:rFonts w:eastAsia="仿宋_GB2312"/>
          <w:color w:val="000000"/>
          <w:szCs w:val="32"/>
        </w:rPr>
        <w:t>，如</w:t>
      </w:r>
      <w:r>
        <w:rPr>
          <w:rFonts w:eastAsia="仿宋_GB2312" w:hint="eastAsia"/>
          <w:color w:val="000000"/>
          <w:szCs w:val="32"/>
        </w:rPr>
        <w:t>刚性、连接强度和韧性、推进阻力、轴线偏离、行程限值</w:t>
      </w:r>
      <w:r>
        <w:rPr>
          <w:rFonts w:eastAsia="仿宋_GB2312"/>
          <w:color w:val="000000"/>
          <w:szCs w:val="32"/>
        </w:rPr>
        <w:t>等。</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2.2.4</w:t>
      </w:r>
      <w:r>
        <w:rPr>
          <w:rFonts w:eastAsia="仿宋_GB2312" w:hint="eastAsia"/>
          <w:color w:val="000000"/>
          <w:szCs w:val="32"/>
        </w:rPr>
        <w:t>分体式晶状体植入</w:t>
      </w:r>
      <w:proofErr w:type="gramStart"/>
      <w:r>
        <w:rPr>
          <w:rFonts w:eastAsia="仿宋_GB2312" w:hint="eastAsia"/>
          <w:color w:val="000000"/>
          <w:szCs w:val="32"/>
        </w:rPr>
        <w:t>器配合</w:t>
      </w:r>
      <w:proofErr w:type="gramEnd"/>
      <w:r>
        <w:rPr>
          <w:rFonts w:eastAsia="仿宋_GB2312" w:hint="eastAsia"/>
          <w:color w:val="000000"/>
          <w:szCs w:val="32"/>
        </w:rPr>
        <w:t>性能</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2.2.5</w:t>
      </w:r>
      <w:r>
        <w:rPr>
          <w:rFonts w:eastAsia="仿宋_GB2312" w:hint="eastAsia"/>
          <w:color w:val="000000"/>
          <w:szCs w:val="32"/>
        </w:rPr>
        <w:t>生物学</w:t>
      </w:r>
      <w:r>
        <w:rPr>
          <w:rFonts w:eastAsia="仿宋_GB2312" w:hint="eastAsia"/>
          <w:color w:val="000000"/>
          <w:szCs w:val="32"/>
        </w:rPr>
        <w:t>性能（无菌、细菌内毒素）</w:t>
      </w:r>
      <w:r>
        <w:rPr>
          <w:rFonts w:eastAsia="仿宋_GB2312"/>
          <w:color w:val="000000"/>
          <w:szCs w:val="32"/>
        </w:rPr>
        <w:t>。</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2.2.6</w:t>
      </w:r>
      <w:r>
        <w:rPr>
          <w:rFonts w:eastAsia="仿宋_GB2312"/>
          <w:color w:val="000000"/>
          <w:szCs w:val="32"/>
        </w:rPr>
        <w:t>若灭菌使用的方法涉及出现残留，需对允许的残留量进行规定，如采用环氧乙烷灭菌的产品的环氧乙烷残留量的要求。</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color w:val="000000"/>
          <w:szCs w:val="32"/>
        </w:rPr>
        <w:t>.2.7</w:t>
      </w:r>
      <w:r>
        <w:rPr>
          <w:rFonts w:eastAsia="仿宋_GB2312" w:hint="eastAsia"/>
          <w:color w:val="000000"/>
          <w:szCs w:val="32"/>
        </w:rPr>
        <w:t>化学要求。</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color w:val="000000"/>
          <w:szCs w:val="32"/>
        </w:rPr>
        <w:t>.2.8</w:t>
      </w:r>
      <w:r>
        <w:rPr>
          <w:rFonts w:eastAsia="仿宋_GB2312" w:hint="eastAsia"/>
          <w:color w:val="000000"/>
          <w:szCs w:val="32"/>
        </w:rPr>
        <w:t>如产品带有附件，应制定附件的性能指标。</w:t>
      </w:r>
    </w:p>
    <w:p w:rsidR="002A639A" w:rsidRDefault="006441EF">
      <w:pPr>
        <w:spacing w:line="520" w:lineRule="exact"/>
        <w:ind w:firstLineChars="200" w:firstLine="640"/>
        <w:rPr>
          <w:rFonts w:eastAsia="仿宋_GB2312"/>
          <w:color w:val="000000"/>
          <w:szCs w:val="32"/>
        </w:rPr>
      </w:pPr>
      <w:r>
        <w:rPr>
          <w:rFonts w:eastAsia="仿宋_GB2312"/>
          <w:color w:val="000000"/>
          <w:szCs w:val="32"/>
        </w:rPr>
        <w:t>2.3</w:t>
      </w:r>
      <w:r>
        <w:rPr>
          <w:rFonts w:eastAsia="仿宋_GB2312"/>
          <w:color w:val="000000"/>
          <w:szCs w:val="32"/>
        </w:rPr>
        <w:t>检验方法</w:t>
      </w:r>
    </w:p>
    <w:p w:rsidR="002A639A" w:rsidRDefault="006441EF">
      <w:pPr>
        <w:spacing w:line="520" w:lineRule="exact"/>
        <w:ind w:firstLineChars="200" w:firstLine="640"/>
        <w:rPr>
          <w:rFonts w:eastAsia="仿宋_GB2312"/>
          <w:color w:val="000000"/>
          <w:szCs w:val="32"/>
        </w:rPr>
      </w:pPr>
      <w:r>
        <w:rPr>
          <w:rFonts w:eastAsia="仿宋_GB2312"/>
          <w:color w:val="000000"/>
          <w:szCs w:val="32"/>
        </w:rPr>
        <w:t>产品的检验方法需根据技术性能指标设定，检验方法需优先采用公认的或已颁布的标准检验方法；自建检验方法需提供相应的方法学依据及理论基础，同时保证检验方法具有可操作性和</w:t>
      </w:r>
      <w:proofErr w:type="gramStart"/>
      <w:r>
        <w:rPr>
          <w:rFonts w:eastAsia="仿宋_GB2312"/>
          <w:color w:val="000000"/>
          <w:szCs w:val="32"/>
        </w:rPr>
        <w:t>可</w:t>
      </w:r>
      <w:proofErr w:type="gramEnd"/>
      <w:r>
        <w:rPr>
          <w:rFonts w:eastAsia="仿宋_GB2312"/>
          <w:color w:val="000000"/>
          <w:szCs w:val="32"/>
        </w:rPr>
        <w:t>重现性，必要时可附相应图示进行说明，文本较大的可以附录形式提供。</w:t>
      </w:r>
    </w:p>
    <w:p w:rsidR="002A639A" w:rsidRDefault="006441EF">
      <w:pPr>
        <w:spacing w:line="52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同一注册单元内检验典型性产品确定原则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同一注册</w:t>
      </w:r>
      <w:r>
        <w:rPr>
          <w:rFonts w:eastAsia="仿宋_GB2312"/>
          <w:color w:val="000000"/>
          <w:szCs w:val="32"/>
        </w:rPr>
        <w:t>单元内所检验的产品应当能够代表</w:t>
      </w:r>
      <w:proofErr w:type="gramStart"/>
      <w:r>
        <w:rPr>
          <w:rFonts w:eastAsia="仿宋_GB2312"/>
          <w:color w:val="000000"/>
          <w:szCs w:val="32"/>
        </w:rPr>
        <w:t>本注册</w:t>
      </w:r>
      <w:proofErr w:type="gramEnd"/>
      <w:r>
        <w:rPr>
          <w:rFonts w:eastAsia="仿宋_GB2312"/>
          <w:color w:val="000000"/>
          <w:szCs w:val="32"/>
        </w:rPr>
        <w:t>单元内其他产品的安全性和有效性，并提供典型性检验样品的确定依据。</w:t>
      </w:r>
      <w:r>
        <w:rPr>
          <w:rFonts w:eastAsia="仿宋_GB2312" w:hint="eastAsia"/>
          <w:color w:val="000000"/>
          <w:szCs w:val="32"/>
        </w:rPr>
        <w:t>若一个型号规格不能覆盖，</w:t>
      </w:r>
      <w:proofErr w:type="gramStart"/>
      <w:r>
        <w:rPr>
          <w:rFonts w:eastAsia="仿宋_GB2312" w:hint="eastAsia"/>
          <w:color w:val="000000"/>
          <w:szCs w:val="32"/>
        </w:rPr>
        <w:t>除选择</w:t>
      </w:r>
      <w:proofErr w:type="gramEnd"/>
      <w:r>
        <w:rPr>
          <w:rFonts w:eastAsia="仿宋_GB2312" w:hint="eastAsia"/>
          <w:color w:val="000000"/>
          <w:szCs w:val="32"/>
        </w:rPr>
        <w:t>典型型号规格</w:t>
      </w:r>
      <w:r>
        <w:rPr>
          <w:rFonts w:eastAsia="仿宋_GB2312" w:hint="eastAsia"/>
          <w:color w:val="000000"/>
          <w:szCs w:val="32"/>
        </w:rPr>
        <w:lastRenderedPageBreak/>
        <w:t>进行全性能检验外，还应选</w:t>
      </w:r>
      <w:proofErr w:type="gramStart"/>
      <w:r>
        <w:rPr>
          <w:rFonts w:eastAsia="仿宋_GB2312" w:hint="eastAsia"/>
          <w:color w:val="000000"/>
          <w:szCs w:val="32"/>
        </w:rPr>
        <w:t>择其他</w:t>
      </w:r>
      <w:proofErr w:type="gramEnd"/>
      <w:r>
        <w:rPr>
          <w:rFonts w:eastAsia="仿宋_GB2312" w:hint="eastAsia"/>
          <w:color w:val="000000"/>
          <w:szCs w:val="32"/>
        </w:rPr>
        <w:t>型号规格进行差异性检验。</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研究资料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.1</w:t>
      </w:r>
      <w:r>
        <w:rPr>
          <w:rFonts w:eastAsia="仿宋_GB2312" w:hint="eastAsia"/>
          <w:color w:val="000000"/>
          <w:szCs w:val="32"/>
        </w:rPr>
        <w:t>产品性能研究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4.1.1</w:t>
      </w:r>
      <w:r>
        <w:rPr>
          <w:rFonts w:eastAsia="仿宋_GB2312" w:hint="eastAsia"/>
          <w:color w:val="000000"/>
          <w:szCs w:val="32"/>
        </w:rPr>
        <w:t>应当提供产品的性能研究资料，包括有效性、安全性指标以及与质量控制相关的其他指标的确定依据、所采用的标准或方法、采用的原因及理论基础等。</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4.1.2</w:t>
      </w:r>
      <w:r>
        <w:rPr>
          <w:rFonts w:eastAsia="仿宋_GB2312" w:hint="eastAsia"/>
          <w:color w:val="000000"/>
          <w:szCs w:val="32"/>
        </w:rPr>
        <w:t>应研究的产品性能包括但不局限于产品技术要求中的性能指标。导入头内部存在涂层时，建议增加涂层定性定量、涂层牢固度、涂层均匀性、涂层降解代谢等研究资料。应提交产品与人工晶状体、</w:t>
      </w:r>
      <w:proofErr w:type="gramStart"/>
      <w:r>
        <w:rPr>
          <w:rFonts w:eastAsia="仿宋_GB2312" w:hint="eastAsia"/>
          <w:color w:val="000000"/>
          <w:szCs w:val="32"/>
        </w:rPr>
        <w:t>粘弹剂</w:t>
      </w:r>
      <w:proofErr w:type="gramEnd"/>
      <w:r>
        <w:rPr>
          <w:rFonts w:eastAsia="仿宋_GB2312" w:hint="eastAsia"/>
          <w:color w:val="000000"/>
          <w:szCs w:val="32"/>
        </w:rPr>
        <w:t>的联合使用验证资料，其中，人工晶状体应具有典型性，如一件式、三件式、板型</w:t>
      </w:r>
      <w:proofErr w:type="gramStart"/>
      <w:r>
        <w:rPr>
          <w:rFonts w:eastAsia="仿宋_GB2312" w:hint="eastAsia"/>
          <w:color w:val="000000"/>
          <w:szCs w:val="32"/>
        </w:rPr>
        <w:t>襻</w:t>
      </w:r>
      <w:proofErr w:type="gramEnd"/>
      <w:r>
        <w:rPr>
          <w:rFonts w:eastAsia="仿宋_GB2312" w:hint="eastAsia"/>
          <w:color w:val="000000"/>
          <w:szCs w:val="32"/>
        </w:rPr>
        <w:t>等。若产品带有配合使用的附件（如镊子），应列出附件的材料、尺寸并开展性能研究。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4.1.3</w:t>
      </w:r>
      <w:r>
        <w:rPr>
          <w:rFonts w:eastAsia="仿宋_GB2312" w:hint="eastAsia"/>
          <w:color w:val="000000"/>
          <w:szCs w:val="32"/>
        </w:rPr>
        <w:t>对于采用新材料制造的产品以及具有其他特殊性能的产品，申请人应根据产品特点制定相应的性能要求，设计验证该项特殊性能的试验方法，阐明试验方法的来源或提供方法学确认资料。</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2</w:t>
      </w:r>
      <w:r>
        <w:rPr>
          <w:rFonts w:eastAsia="仿宋_GB2312"/>
          <w:color w:val="000000"/>
          <w:szCs w:val="32"/>
        </w:rPr>
        <w:t>生物学特性研究</w:t>
      </w:r>
    </w:p>
    <w:p w:rsidR="002A639A" w:rsidRDefault="006441EF">
      <w:pPr>
        <w:spacing w:line="520" w:lineRule="exact"/>
        <w:ind w:firstLineChars="200" w:firstLine="640"/>
        <w:rPr>
          <w:rFonts w:eastAsia="仿宋_GB2312"/>
          <w:color w:val="000000"/>
          <w:szCs w:val="32"/>
        </w:rPr>
      </w:pPr>
      <w:r>
        <w:rPr>
          <w:rFonts w:eastAsia="仿宋_GB2312"/>
          <w:color w:val="000000"/>
          <w:szCs w:val="32"/>
        </w:rPr>
        <w:t>生物</w:t>
      </w:r>
      <w:r>
        <w:rPr>
          <w:rFonts w:eastAsia="仿宋_GB2312" w:hint="eastAsia"/>
          <w:color w:val="000000"/>
          <w:szCs w:val="32"/>
        </w:rPr>
        <w:t>学</w:t>
      </w:r>
      <w:r>
        <w:rPr>
          <w:rFonts w:eastAsia="仿宋_GB2312"/>
          <w:color w:val="000000"/>
          <w:szCs w:val="32"/>
        </w:rPr>
        <w:t>评价资料应当包括：生物</w:t>
      </w:r>
      <w:r>
        <w:rPr>
          <w:rFonts w:eastAsia="仿宋_GB2312" w:hint="eastAsia"/>
          <w:color w:val="000000"/>
          <w:szCs w:val="32"/>
        </w:rPr>
        <w:t>学</w:t>
      </w:r>
      <w:r>
        <w:rPr>
          <w:rFonts w:eastAsia="仿宋_GB2312"/>
          <w:color w:val="000000"/>
          <w:szCs w:val="32"/>
        </w:rPr>
        <w:t>评价的</w:t>
      </w:r>
      <w:r>
        <w:rPr>
          <w:rFonts w:eastAsia="仿宋_GB2312" w:hint="eastAsia"/>
          <w:color w:val="000000"/>
          <w:szCs w:val="32"/>
        </w:rPr>
        <w:t>策略、</w:t>
      </w:r>
      <w:r>
        <w:rPr>
          <w:rFonts w:eastAsia="仿宋_GB2312"/>
          <w:color w:val="000000"/>
          <w:szCs w:val="32"/>
        </w:rPr>
        <w:t>依据和方法</w:t>
      </w:r>
      <w:r>
        <w:rPr>
          <w:rFonts w:eastAsia="仿宋_GB2312" w:hint="eastAsia"/>
          <w:color w:val="000000"/>
          <w:szCs w:val="32"/>
        </w:rPr>
        <w:t>，</w:t>
      </w:r>
      <w:r>
        <w:rPr>
          <w:rFonts w:eastAsia="仿宋_GB2312"/>
          <w:color w:val="000000"/>
          <w:szCs w:val="32"/>
        </w:rPr>
        <w:t>产品所用材料的描述及与人体接触的性质</w:t>
      </w:r>
      <w:r>
        <w:rPr>
          <w:rFonts w:eastAsia="仿宋_GB2312" w:hint="eastAsia"/>
          <w:color w:val="000000"/>
          <w:szCs w:val="32"/>
        </w:rPr>
        <w:t>，选择</w:t>
      </w:r>
      <w:r>
        <w:rPr>
          <w:rFonts w:eastAsia="仿宋_GB2312"/>
          <w:color w:val="000000"/>
          <w:szCs w:val="32"/>
        </w:rPr>
        <w:t>或豁免生物学试验的理由和论证</w:t>
      </w:r>
      <w:r>
        <w:rPr>
          <w:rFonts w:eastAsia="仿宋_GB2312" w:hint="eastAsia"/>
          <w:color w:val="000000"/>
          <w:szCs w:val="32"/>
        </w:rPr>
        <w:t>，</w:t>
      </w:r>
      <w:r>
        <w:rPr>
          <w:rFonts w:eastAsia="仿宋_GB2312"/>
          <w:color w:val="000000"/>
          <w:szCs w:val="32"/>
        </w:rPr>
        <w:t>对于现有数据或试验结果的评价。</w:t>
      </w:r>
    </w:p>
    <w:p w:rsidR="002A639A" w:rsidRDefault="006441EF">
      <w:pPr>
        <w:spacing w:line="520" w:lineRule="exact"/>
        <w:ind w:firstLineChars="200" w:firstLine="640"/>
        <w:rPr>
          <w:rFonts w:eastAsia="仿宋_GB2312"/>
          <w:color w:val="000000"/>
          <w:szCs w:val="32"/>
        </w:rPr>
      </w:pPr>
      <w:r>
        <w:rPr>
          <w:rFonts w:eastAsia="仿宋_GB2312"/>
          <w:color w:val="000000"/>
          <w:szCs w:val="32"/>
        </w:rPr>
        <w:t>根据</w:t>
      </w:r>
      <w:r>
        <w:rPr>
          <w:rFonts w:eastAsia="仿宋_GB2312"/>
          <w:color w:val="000000"/>
          <w:szCs w:val="32"/>
        </w:rPr>
        <w:t>GB/T 168861</w:t>
      </w:r>
      <w:r w:rsidR="00662774">
        <w:rPr>
          <w:rFonts w:eastAsia="仿宋_GB2312"/>
          <w:color w:val="000000"/>
          <w:szCs w:val="32"/>
        </w:rPr>
        <w:t>.1</w:t>
      </w:r>
      <w:r>
        <w:rPr>
          <w:rFonts w:eastAsia="仿宋_GB2312"/>
          <w:color w:val="000000"/>
          <w:szCs w:val="32"/>
        </w:rPr>
        <w:t>《医疗器械生物学评价</w:t>
      </w:r>
      <w:r>
        <w:rPr>
          <w:rFonts w:eastAsia="仿宋_GB2312"/>
          <w:color w:val="000000"/>
          <w:szCs w:val="32"/>
        </w:rPr>
        <w:t xml:space="preserve"> </w:t>
      </w:r>
      <w:r>
        <w:rPr>
          <w:rFonts w:eastAsia="仿宋_GB2312"/>
          <w:color w:val="000000"/>
          <w:szCs w:val="32"/>
        </w:rPr>
        <w:t>第</w:t>
      </w:r>
      <w:r>
        <w:rPr>
          <w:rFonts w:eastAsia="仿宋_GB2312"/>
          <w:color w:val="000000"/>
          <w:szCs w:val="32"/>
        </w:rPr>
        <w:t>1</w:t>
      </w:r>
      <w:r>
        <w:rPr>
          <w:rFonts w:eastAsia="仿宋_GB2312"/>
          <w:color w:val="000000"/>
          <w:szCs w:val="32"/>
        </w:rPr>
        <w:t>部分：风险管理过程中的评价与试验》</w:t>
      </w:r>
      <w:r>
        <w:rPr>
          <w:rFonts w:eastAsia="仿宋_GB2312" w:hint="eastAsia"/>
          <w:color w:val="000000"/>
          <w:szCs w:val="32"/>
        </w:rPr>
        <w:t>的</w:t>
      </w:r>
      <w:r>
        <w:rPr>
          <w:rFonts w:eastAsia="仿宋_GB2312"/>
          <w:color w:val="000000"/>
          <w:szCs w:val="32"/>
        </w:rPr>
        <w:t>要求，</w:t>
      </w:r>
      <w:r>
        <w:rPr>
          <w:rFonts w:eastAsia="仿宋_GB2312" w:hint="eastAsia"/>
          <w:color w:val="000000"/>
          <w:szCs w:val="32"/>
        </w:rPr>
        <w:t>阐述</w:t>
      </w:r>
      <w:r>
        <w:rPr>
          <w:rFonts w:eastAsia="仿宋_GB2312"/>
          <w:color w:val="000000"/>
          <w:szCs w:val="32"/>
        </w:rPr>
        <w:t>产品所用</w:t>
      </w:r>
      <w:r>
        <w:rPr>
          <w:rFonts w:eastAsia="仿宋_GB2312" w:hint="eastAsia"/>
          <w:color w:val="000000"/>
          <w:szCs w:val="32"/>
        </w:rPr>
        <w:t>组件及</w:t>
      </w:r>
      <w:r>
        <w:rPr>
          <w:rFonts w:eastAsia="仿宋_GB2312"/>
          <w:color w:val="000000"/>
          <w:szCs w:val="32"/>
        </w:rPr>
        <w:t>材料与人体的接触性质、接触时间</w:t>
      </w:r>
      <w:r>
        <w:rPr>
          <w:rFonts w:eastAsia="仿宋_GB2312" w:hint="eastAsia"/>
          <w:color w:val="000000"/>
          <w:szCs w:val="32"/>
        </w:rPr>
        <w:t>，并开展</w:t>
      </w:r>
      <w:r>
        <w:rPr>
          <w:rFonts w:eastAsia="仿宋_GB2312"/>
          <w:color w:val="000000"/>
          <w:szCs w:val="32"/>
        </w:rPr>
        <w:t>生物</w:t>
      </w:r>
      <w:r>
        <w:rPr>
          <w:rFonts w:eastAsia="仿宋_GB2312" w:hint="eastAsia"/>
          <w:color w:val="000000"/>
          <w:szCs w:val="32"/>
        </w:rPr>
        <w:t>学</w:t>
      </w:r>
      <w:r>
        <w:rPr>
          <w:rFonts w:eastAsia="仿宋_GB2312"/>
          <w:color w:val="000000"/>
          <w:szCs w:val="32"/>
        </w:rPr>
        <w:t>评价</w:t>
      </w:r>
      <w:r>
        <w:rPr>
          <w:rFonts w:eastAsia="仿宋_GB2312" w:hint="eastAsia"/>
          <w:color w:val="000000"/>
          <w:szCs w:val="32"/>
        </w:rPr>
        <w:t>。人工晶状体植入器与人体直接或间接接触，接触时间≤</w:t>
      </w:r>
      <w:r>
        <w:rPr>
          <w:rFonts w:eastAsia="仿宋_GB2312" w:hint="eastAsia"/>
          <w:color w:val="000000"/>
          <w:szCs w:val="32"/>
        </w:rPr>
        <w:t>2</w:t>
      </w:r>
      <w:r>
        <w:rPr>
          <w:rFonts w:eastAsia="仿宋_GB2312"/>
          <w:color w:val="000000"/>
          <w:szCs w:val="32"/>
        </w:rPr>
        <w:t>4</w:t>
      </w:r>
      <w:r>
        <w:rPr>
          <w:rFonts w:eastAsia="仿宋_GB2312" w:hint="eastAsia"/>
          <w:color w:val="000000"/>
          <w:szCs w:val="32"/>
        </w:rPr>
        <w:t>h</w:t>
      </w:r>
      <w:r>
        <w:rPr>
          <w:rFonts w:eastAsia="仿宋_GB2312" w:hint="eastAsia"/>
          <w:color w:val="000000"/>
          <w:szCs w:val="32"/>
        </w:rPr>
        <w:t>，</w:t>
      </w:r>
      <w:r>
        <w:rPr>
          <w:rFonts w:eastAsia="仿宋_GB2312" w:hint="eastAsia"/>
          <w:color w:val="000000"/>
          <w:szCs w:val="32"/>
        </w:rPr>
        <w:lastRenderedPageBreak/>
        <w:t>考虑的</w:t>
      </w:r>
      <w:r>
        <w:rPr>
          <w:rFonts w:eastAsia="仿宋_GB2312"/>
          <w:color w:val="000000"/>
          <w:szCs w:val="32"/>
        </w:rPr>
        <w:t>生物学评价终点</w:t>
      </w:r>
      <w:r>
        <w:rPr>
          <w:rFonts w:eastAsia="仿宋_GB2312" w:hint="eastAsia"/>
          <w:color w:val="000000"/>
          <w:szCs w:val="32"/>
        </w:rPr>
        <w:t>至少包括：</w:t>
      </w:r>
      <w:r>
        <w:rPr>
          <w:rFonts w:eastAsia="仿宋_GB2312"/>
          <w:color w:val="000000"/>
          <w:szCs w:val="32"/>
        </w:rPr>
        <w:t>细胞毒性、致敏反应、刺激或皮内反应、材料</w:t>
      </w:r>
      <w:proofErr w:type="gramStart"/>
      <w:r>
        <w:rPr>
          <w:rFonts w:eastAsia="仿宋_GB2312"/>
          <w:color w:val="000000"/>
          <w:szCs w:val="32"/>
        </w:rPr>
        <w:t>介</w:t>
      </w:r>
      <w:proofErr w:type="gramEnd"/>
      <w:r>
        <w:rPr>
          <w:rFonts w:eastAsia="仿宋_GB2312"/>
          <w:color w:val="000000"/>
          <w:szCs w:val="32"/>
        </w:rPr>
        <w:t>导的致热性、急性全身毒性。必要时开展生物学试验</w:t>
      </w:r>
      <w:r>
        <w:rPr>
          <w:rFonts w:eastAsia="仿宋_GB2312"/>
          <w:color w:val="000000"/>
          <w:szCs w:val="32"/>
        </w:rPr>
        <w:t>。</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.3</w:t>
      </w:r>
      <w:r>
        <w:rPr>
          <w:rFonts w:eastAsia="仿宋_GB2312"/>
          <w:color w:val="000000"/>
          <w:szCs w:val="32"/>
        </w:rPr>
        <w:t>清洁、灭菌研究</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应明确灭菌工艺（方法和参数）及其选择依据和无菌保证水平（</w:t>
      </w:r>
      <w:r>
        <w:rPr>
          <w:rFonts w:eastAsia="仿宋_GB2312"/>
          <w:color w:val="000000"/>
          <w:szCs w:val="32"/>
        </w:rPr>
        <w:t>SAL</w:t>
      </w:r>
      <w:r>
        <w:rPr>
          <w:rFonts w:eastAsia="仿宋_GB2312"/>
          <w:color w:val="000000"/>
          <w:szCs w:val="32"/>
        </w:rPr>
        <w:t>），并提供灭菌确认报告。无菌保证水平（</w:t>
      </w:r>
      <w:r>
        <w:rPr>
          <w:rFonts w:eastAsia="仿宋_GB2312"/>
          <w:color w:val="000000"/>
          <w:szCs w:val="32"/>
        </w:rPr>
        <w:t>SAL</w:t>
      </w:r>
      <w:r>
        <w:rPr>
          <w:rFonts w:eastAsia="仿宋_GB2312"/>
          <w:color w:val="000000"/>
          <w:szCs w:val="32"/>
        </w:rPr>
        <w:t>）应达到</w:t>
      </w:r>
      <w:r>
        <w:rPr>
          <w:rFonts w:eastAsia="仿宋_GB2312"/>
          <w:color w:val="000000"/>
          <w:szCs w:val="32"/>
        </w:rPr>
        <w:t>1×10</w:t>
      </w:r>
      <w:r w:rsidRPr="00662774">
        <w:rPr>
          <w:rFonts w:eastAsia="仿宋_GB2312"/>
          <w:color w:val="000000"/>
          <w:szCs w:val="32"/>
          <w:vertAlign w:val="superscript"/>
        </w:rPr>
        <w:t>-6</w:t>
      </w:r>
      <w:r>
        <w:rPr>
          <w:rFonts w:eastAsia="仿宋_GB2312"/>
          <w:color w:val="000000"/>
          <w:szCs w:val="32"/>
        </w:rPr>
        <w:t>。</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对于经辐照灭菌的产品，需明确射线种类、辐照剂量及相关的验证报告</w:t>
      </w:r>
      <w:r>
        <w:rPr>
          <w:rFonts w:eastAsia="仿宋_GB2312" w:hint="eastAsia"/>
          <w:color w:val="000000"/>
          <w:szCs w:val="32"/>
        </w:rPr>
        <w:t>，</w:t>
      </w:r>
      <w:r>
        <w:rPr>
          <w:rFonts w:eastAsia="仿宋_GB2312"/>
          <w:color w:val="000000"/>
          <w:szCs w:val="32"/>
        </w:rPr>
        <w:t>其中具体的剂量确定依据可参照</w:t>
      </w:r>
      <w:r>
        <w:rPr>
          <w:rFonts w:eastAsia="仿宋_GB2312"/>
          <w:color w:val="000000"/>
          <w:szCs w:val="32"/>
        </w:rPr>
        <w:t>GB 18280</w:t>
      </w:r>
      <w:r>
        <w:rPr>
          <w:rFonts w:eastAsia="仿宋_GB2312"/>
          <w:color w:val="000000"/>
          <w:szCs w:val="32"/>
        </w:rPr>
        <w:t>系列标准。对于经环氧乙烷灭菌的产品，需提供灭菌结果确认和过程控制报告</w:t>
      </w:r>
      <w:r>
        <w:rPr>
          <w:rFonts w:eastAsia="仿宋_GB2312" w:hint="eastAsia"/>
          <w:color w:val="000000"/>
          <w:szCs w:val="32"/>
        </w:rPr>
        <w:t>，</w:t>
      </w:r>
      <w:r>
        <w:rPr>
          <w:rFonts w:eastAsia="仿宋_GB2312"/>
          <w:color w:val="000000"/>
          <w:szCs w:val="32"/>
        </w:rPr>
        <w:t>具体可参照</w:t>
      </w:r>
      <w:r>
        <w:rPr>
          <w:rFonts w:eastAsia="仿宋_GB2312"/>
          <w:color w:val="000000"/>
          <w:szCs w:val="32"/>
        </w:rPr>
        <w:t>GB 18279</w:t>
      </w:r>
      <w:r>
        <w:rPr>
          <w:rFonts w:eastAsia="仿宋_GB2312"/>
          <w:color w:val="000000"/>
          <w:szCs w:val="32"/>
        </w:rPr>
        <w:t>系列标准。</w:t>
      </w:r>
    </w:p>
    <w:p w:rsidR="002A639A" w:rsidRDefault="006441EF">
      <w:pPr>
        <w:spacing w:line="520" w:lineRule="exact"/>
        <w:ind w:firstLineChars="200" w:firstLine="640"/>
        <w:rPr>
          <w:rFonts w:eastAsia="仿宋_GB2312"/>
          <w:color w:val="000000"/>
          <w:szCs w:val="32"/>
        </w:rPr>
      </w:pPr>
      <w:proofErr w:type="gramStart"/>
      <w:r>
        <w:rPr>
          <w:rFonts w:eastAsia="仿宋_GB2312"/>
          <w:color w:val="000000"/>
          <w:szCs w:val="32"/>
        </w:rPr>
        <w:t>需评价</w:t>
      </w:r>
      <w:proofErr w:type="gramEnd"/>
      <w:r>
        <w:rPr>
          <w:rFonts w:eastAsia="仿宋_GB2312"/>
          <w:color w:val="000000"/>
          <w:szCs w:val="32"/>
        </w:rPr>
        <w:t>灭菌方法（包括不同辐照源）对于产品性能的影响，并提供验证性能的确定依据、验证方案及报告以及接受指标的确定依据。</w:t>
      </w:r>
    </w:p>
    <w:p w:rsidR="002A639A" w:rsidRDefault="006441EF">
      <w:pPr>
        <w:spacing w:line="520" w:lineRule="exact"/>
        <w:ind w:firstLineChars="200" w:firstLine="640"/>
        <w:rPr>
          <w:rFonts w:eastAsia="仿宋_GB2312"/>
          <w:color w:val="000000"/>
          <w:szCs w:val="32"/>
        </w:rPr>
      </w:pPr>
      <w:r>
        <w:rPr>
          <w:rFonts w:eastAsia="仿宋_GB2312"/>
          <w:color w:val="000000"/>
          <w:szCs w:val="32"/>
        </w:rPr>
        <w:t>若使用的灭菌方法涉及残留物，</w:t>
      </w:r>
      <w:r>
        <w:rPr>
          <w:rFonts w:eastAsia="仿宋_GB2312" w:hint="eastAsia"/>
          <w:color w:val="000000"/>
          <w:szCs w:val="32"/>
        </w:rPr>
        <w:t>如环氧乙烷灭菌，应当明确残留物（</w:t>
      </w:r>
      <w:r>
        <w:rPr>
          <w:rFonts w:eastAsia="仿宋_GB2312" w:hint="eastAsia"/>
          <w:color w:val="000000"/>
          <w:szCs w:val="32"/>
        </w:rPr>
        <w:t>E</w:t>
      </w:r>
      <w:r>
        <w:rPr>
          <w:rFonts w:eastAsia="仿宋_GB2312"/>
          <w:color w:val="000000"/>
          <w:szCs w:val="32"/>
        </w:rPr>
        <w:t>O</w:t>
      </w:r>
      <w:r>
        <w:rPr>
          <w:rFonts w:eastAsia="仿宋_GB2312" w:hint="eastAsia"/>
          <w:color w:val="000000"/>
          <w:szCs w:val="32"/>
        </w:rPr>
        <w:t>及</w:t>
      </w:r>
      <w:r>
        <w:rPr>
          <w:rFonts w:eastAsia="仿宋_GB2312" w:hint="eastAsia"/>
          <w:color w:val="000000"/>
          <w:szCs w:val="32"/>
        </w:rPr>
        <w:t>E</w:t>
      </w:r>
      <w:r>
        <w:rPr>
          <w:rFonts w:eastAsia="仿宋_GB2312"/>
          <w:color w:val="000000"/>
          <w:szCs w:val="32"/>
        </w:rPr>
        <w:t>CH</w:t>
      </w:r>
      <w:r>
        <w:rPr>
          <w:rFonts w:eastAsia="仿宋_GB2312" w:hint="eastAsia"/>
          <w:color w:val="000000"/>
          <w:szCs w:val="32"/>
        </w:rPr>
        <w:t>）信息及</w:t>
      </w:r>
      <w:r>
        <w:rPr>
          <w:rFonts w:eastAsia="仿宋_GB2312"/>
          <w:color w:val="000000"/>
          <w:szCs w:val="32"/>
        </w:rPr>
        <w:t>采取处理方法，并提供研究资料。</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color w:val="000000"/>
          <w:szCs w:val="32"/>
        </w:rPr>
        <w:t>.4</w:t>
      </w:r>
      <w:r>
        <w:rPr>
          <w:rFonts w:eastAsia="仿宋_GB2312" w:hint="eastAsia"/>
          <w:color w:val="000000"/>
          <w:szCs w:val="32"/>
        </w:rPr>
        <w:t>可用性研究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医疗器械可用性工程是医疗器械设计开发的重要组成部分，注册申请人需在质量管理体系设计开发过程的框架下，参考指导原则相应内容或可用性相关标准，建立充分、适宜、有效的可用性工程过程。</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基于医疗器械使用风险级别区分监管要求：中、</w:t>
      </w:r>
      <w:proofErr w:type="gramStart"/>
      <w:r>
        <w:rPr>
          <w:rFonts w:eastAsia="仿宋_GB2312" w:hint="eastAsia"/>
          <w:color w:val="000000"/>
          <w:szCs w:val="32"/>
        </w:rPr>
        <w:t>低使用</w:t>
      </w:r>
      <w:proofErr w:type="gramEnd"/>
      <w:r>
        <w:rPr>
          <w:rFonts w:eastAsia="仿宋_GB2312" w:hint="eastAsia"/>
          <w:color w:val="000000"/>
          <w:szCs w:val="32"/>
        </w:rPr>
        <w:t>风险医疗器械可基于风险管理过程开展可用性工程生命周期质控工作，提交使用错误评估报告。</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使用错误评估报告用于细化风险管理报告关于可用性</w:t>
      </w:r>
      <w:r>
        <w:rPr>
          <w:rFonts w:eastAsia="仿宋_GB2312" w:hint="eastAsia"/>
          <w:color w:val="000000"/>
          <w:szCs w:val="32"/>
        </w:rPr>
        <w:lastRenderedPageBreak/>
        <w:t>的内容，包括基本信息、使</w:t>
      </w:r>
      <w:r>
        <w:rPr>
          <w:rFonts w:eastAsia="仿宋_GB2312" w:hint="eastAsia"/>
          <w:color w:val="000000"/>
          <w:szCs w:val="32"/>
        </w:rPr>
        <w:t>用风险级别、核心要素、同类医疗器械上市后使用问题分析、使用风险管理、结论等内容。</w:t>
      </w:r>
    </w:p>
    <w:p w:rsidR="002A639A" w:rsidRDefault="006441EF">
      <w:pPr>
        <w:spacing w:line="52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5</w:t>
      </w:r>
      <w:r>
        <w:rPr>
          <w:rFonts w:eastAsia="仿宋_GB2312"/>
          <w:color w:val="000000"/>
          <w:szCs w:val="32"/>
        </w:rPr>
        <w:t>稳定性研究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color w:val="000000"/>
          <w:szCs w:val="32"/>
        </w:rPr>
        <w:t>.</w:t>
      </w:r>
      <w:r>
        <w:rPr>
          <w:rFonts w:eastAsia="仿宋_GB2312" w:hint="eastAsia"/>
          <w:color w:val="000000"/>
          <w:szCs w:val="32"/>
        </w:rPr>
        <w:t>5</w:t>
      </w:r>
      <w:r>
        <w:rPr>
          <w:rFonts w:eastAsia="仿宋_GB2312"/>
          <w:color w:val="000000"/>
          <w:szCs w:val="32"/>
        </w:rPr>
        <w:t>.1</w:t>
      </w:r>
      <w:r>
        <w:rPr>
          <w:rFonts w:eastAsia="仿宋_GB2312"/>
          <w:color w:val="000000"/>
          <w:szCs w:val="32"/>
        </w:rPr>
        <w:t>货架有效期</w:t>
      </w:r>
    </w:p>
    <w:p w:rsidR="002A639A" w:rsidRDefault="006441EF">
      <w:pPr>
        <w:spacing w:line="520" w:lineRule="exact"/>
        <w:ind w:firstLineChars="200" w:firstLine="640"/>
        <w:rPr>
          <w:rFonts w:eastAsia="仿宋_GB2312"/>
          <w:color w:val="000000"/>
          <w:szCs w:val="32"/>
        </w:rPr>
      </w:pPr>
      <w:r>
        <w:rPr>
          <w:rFonts w:eastAsia="仿宋_GB2312"/>
          <w:color w:val="000000"/>
          <w:szCs w:val="32"/>
        </w:rPr>
        <w:t>货架有效期包括产品有效期和包装有效期。产品有效期验证可采用实时老化或加速老化的研究。实时老化的研究是唯一能够反映产品在规定储存条件下实际稳定性要求的方法。加速老化试验选择的环境条件的老化机制应与宣称的真实运输储存条件下发生产品老化的机制相匹配。加速老化研究报告中应明确试验温度、湿度、加速老化因子、加速老化时间的确定依据。</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包装有效期验证</w:t>
      </w:r>
      <w:r>
        <w:rPr>
          <w:rFonts w:eastAsia="仿宋_GB2312"/>
          <w:color w:val="000000"/>
          <w:szCs w:val="32"/>
        </w:rPr>
        <w:t>申请人可依据相关标准，如</w:t>
      </w:r>
      <w:r>
        <w:rPr>
          <w:rFonts w:eastAsia="仿宋_GB2312"/>
          <w:color w:val="000000"/>
          <w:szCs w:val="32"/>
        </w:rPr>
        <w:t xml:space="preserve"> GB/T </w:t>
      </w:r>
      <w:r>
        <w:rPr>
          <w:rFonts w:eastAsia="仿宋_GB2312"/>
          <w:color w:val="000000"/>
          <w:szCs w:val="32"/>
        </w:rPr>
        <w:t>19633</w:t>
      </w:r>
      <w:r>
        <w:rPr>
          <w:rFonts w:eastAsia="仿宋_GB2312"/>
          <w:color w:val="000000"/>
          <w:szCs w:val="32"/>
        </w:rPr>
        <w:t>《最终灭菌医疗器械包装》系列标准、</w:t>
      </w:r>
      <w:r>
        <w:rPr>
          <w:rFonts w:eastAsia="仿宋_GB2312"/>
          <w:color w:val="000000"/>
          <w:szCs w:val="32"/>
        </w:rPr>
        <w:t>YY/T 0681</w:t>
      </w:r>
      <w:r>
        <w:rPr>
          <w:rFonts w:eastAsia="仿宋_GB2312"/>
          <w:color w:val="000000"/>
          <w:szCs w:val="32"/>
        </w:rPr>
        <w:t>《无菌医疗器械包装试验方法》、</w:t>
      </w:r>
      <w:r>
        <w:rPr>
          <w:rFonts w:eastAsia="仿宋_GB2312"/>
          <w:color w:val="000000"/>
          <w:szCs w:val="32"/>
        </w:rPr>
        <w:t>YY/T0698</w:t>
      </w:r>
      <w:r>
        <w:rPr>
          <w:rFonts w:eastAsia="仿宋_GB2312"/>
          <w:color w:val="000000"/>
          <w:szCs w:val="32"/>
        </w:rPr>
        <w:t>《最终灭菌医疗器械包装材料》系列标准等进行包装研究。直接接触产品的包装材料的选择应至少考虑以下因素：包装材料的物理化学性能；包装材料的毒理学特性；包装材料与产品的适应性；包装材料与成型和密封过程的适应性；包装材料与灭菌过程的适应性；包装材料所能提供的物理、化学和微生物屏障保护；包装材料与使用者使用时的要求（如无菌开启）的适应性；包装材料与标签系统的适应性；包装材料与贮存运输过程的适应性。</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4</w:t>
      </w:r>
      <w:r>
        <w:rPr>
          <w:rFonts w:eastAsia="仿宋_GB2312"/>
          <w:color w:val="000000"/>
          <w:szCs w:val="32"/>
        </w:rPr>
        <w:t>.</w:t>
      </w:r>
      <w:r>
        <w:rPr>
          <w:rFonts w:eastAsia="仿宋_GB2312" w:hint="eastAsia"/>
          <w:color w:val="000000"/>
          <w:szCs w:val="32"/>
        </w:rPr>
        <w:t>5</w:t>
      </w:r>
      <w:r>
        <w:rPr>
          <w:rFonts w:eastAsia="仿宋_GB2312"/>
          <w:color w:val="000000"/>
          <w:szCs w:val="32"/>
        </w:rPr>
        <w:t>.2</w:t>
      </w:r>
      <w:r>
        <w:rPr>
          <w:rFonts w:eastAsia="仿宋_GB2312"/>
          <w:color w:val="000000"/>
          <w:szCs w:val="32"/>
        </w:rPr>
        <w:t>运</w:t>
      </w:r>
      <w:r>
        <w:rPr>
          <w:rFonts w:eastAsia="仿宋_GB2312"/>
          <w:color w:val="000000"/>
          <w:szCs w:val="32"/>
        </w:rPr>
        <w:t>输稳定性</w:t>
      </w:r>
    </w:p>
    <w:p w:rsidR="002A639A" w:rsidRDefault="006441EF">
      <w:pPr>
        <w:spacing w:line="520" w:lineRule="exact"/>
        <w:ind w:firstLineChars="200" w:firstLine="640"/>
        <w:rPr>
          <w:rFonts w:eastAsia="仿宋_GB2312"/>
          <w:color w:val="000000"/>
          <w:szCs w:val="32"/>
        </w:rPr>
      </w:pPr>
      <w:r>
        <w:rPr>
          <w:rFonts w:eastAsia="仿宋_GB2312"/>
          <w:color w:val="000000"/>
          <w:szCs w:val="32"/>
        </w:rPr>
        <w:t>应当提供运输稳定性和包装研究资料，证明在生产企业规定的运输条件下（如适宜的温度、湿度、震动、振动、压力等），运输过程不会对产品的特性和性能，包装性能造成不利影响。</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lastRenderedPageBreak/>
        <w:t xml:space="preserve">4.6 </w:t>
      </w:r>
      <w:r>
        <w:rPr>
          <w:rFonts w:eastAsia="仿宋_GB2312" w:hint="eastAsia"/>
          <w:color w:val="000000"/>
          <w:szCs w:val="32"/>
        </w:rPr>
        <w:t>产品列入《免于临床评价医疗器械目录》，注册申请人需按照《列入免于临床评价医疗器械目录产品对比说明技术指导原则》，从基本原理、结构组成、性能、安全性、适用范围等方面，证明产品的安全有效性。申报产品与对比产品存在差异的，还应提交差异部分对安全有效性影响的分析研究资料。应充分考虑豁免情况不包括新材料、新作用机理、新功能的产品。</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（四）</w:t>
      </w:r>
      <w:r>
        <w:rPr>
          <w:rFonts w:eastAsia="仿宋_GB2312" w:hint="eastAsia"/>
          <w:color w:val="000000"/>
          <w:szCs w:val="32"/>
        </w:rPr>
        <w:t>临床评价资料</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若无法证明申报产品与已获准境内注册的产品具有基本等同性，则应按照《医疗器械临床评价技术指导原则》提交临床评价资料。</w:t>
      </w:r>
    </w:p>
    <w:p w:rsidR="002A639A" w:rsidRPr="00C2390E" w:rsidRDefault="006441EF">
      <w:pPr>
        <w:spacing w:line="520" w:lineRule="exact"/>
        <w:ind w:firstLineChars="200" w:firstLine="640"/>
        <w:rPr>
          <w:rFonts w:eastAsia="仿宋_GB2312"/>
          <w:color w:val="000000"/>
          <w:szCs w:val="32"/>
        </w:rPr>
      </w:pPr>
      <w:r w:rsidRPr="00C2390E">
        <w:rPr>
          <w:rFonts w:eastAsia="仿宋_GB2312"/>
          <w:color w:val="000000"/>
          <w:szCs w:val="32"/>
        </w:rPr>
        <w:t>（</w:t>
      </w:r>
      <w:r w:rsidRPr="00C2390E">
        <w:rPr>
          <w:rFonts w:eastAsia="仿宋_GB2312" w:hint="eastAsia"/>
          <w:color w:val="000000"/>
          <w:szCs w:val="32"/>
        </w:rPr>
        <w:t>五</w:t>
      </w:r>
      <w:r w:rsidRPr="00C2390E">
        <w:rPr>
          <w:rFonts w:eastAsia="仿宋_GB2312"/>
          <w:color w:val="000000"/>
          <w:szCs w:val="32"/>
        </w:rPr>
        <w:t>）产品说明书和标签样稿</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产品说明书、标签样稿内容除需符合《医疗器械说明书和标签管理规定》要求外，还需符合</w:t>
      </w:r>
      <w:r>
        <w:rPr>
          <w:rFonts w:eastAsia="仿宋_GB2312" w:hint="eastAsia"/>
          <w:color w:val="000000"/>
          <w:szCs w:val="32"/>
        </w:rPr>
        <w:t>YY/T 0942</w:t>
      </w:r>
      <w:r>
        <w:rPr>
          <w:rFonts w:eastAsia="仿宋_GB2312" w:hint="eastAsia"/>
          <w:color w:val="000000"/>
          <w:szCs w:val="32"/>
        </w:rPr>
        <w:t>《眼科光学</w:t>
      </w:r>
      <w:r>
        <w:rPr>
          <w:rFonts w:eastAsia="仿宋_GB2312" w:hint="eastAsia"/>
          <w:color w:val="000000"/>
          <w:szCs w:val="32"/>
        </w:rPr>
        <w:t xml:space="preserve"> </w:t>
      </w:r>
      <w:r>
        <w:rPr>
          <w:rFonts w:eastAsia="仿宋_GB2312" w:hint="eastAsia"/>
          <w:color w:val="000000"/>
          <w:szCs w:val="32"/>
        </w:rPr>
        <w:t>人工晶状体植入系统》、</w:t>
      </w:r>
      <w:r>
        <w:rPr>
          <w:rFonts w:eastAsia="仿宋_GB2312" w:hint="eastAsia"/>
          <w:color w:val="000000"/>
          <w:szCs w:val="32"/>
        </w:rPr>
        <w:t>YY/T 0466.1</w:t>
      </w:r>
      <w:r>
        <w:rPr>
          <w:rFonts w:eastAsia="仿宋_GB2312" w:hint="eastAsia"/>
          <w:color w:val="000000"/>
          <w:szCs w:val="32"/>
        </w:rPr>
        <w:t>《医疗器械</w:t>
      </w:r>
      <w:r>
        <w:rPr>
          <w:rFonts w:eastAsia="仿宋_GB2312" w:hint="eastAsia"/>
          <w:color w:val="000000"/>
          <w:szCs w:val="32"/>
        </w:rPr>
        <w:t xml:space="preserve"> </w:t>
      </w:r>
      <w:r>
        <w:rPr>
          <w:rFonts w:eastAsia="仿宋_GB2312" w:hint="eastAsia"/>
          <w:color w:val="000000"/>
          <w:szCs w:val="32"/>
        </w:rPr>
        <w:t>用于制造商提供信息的符号</w:t>
      </w:r>
      <w:r>
        <w:rPr>
          <w:rFonts w:eastAsia="仿宋_GB2312" w:hint="eastAsia"/>
          <w:color w:val="000000"/>
          <w:szCs w:val="32"/>
        </w:rPr>
        <w:t xml:space="preserve"> </w:t>
      </w:r>
      <w:r>
        <w:rPr>
          <w:rFonts w:eastAsia="仿宋_GB2312" w:hint="eastAsia"/>
          <w:color w:val="000000"/>
          <w:szCs w:val="32"/>
        </w:rPr>
        <w:t>第</w:t>
      </w:r>
      <w:r>
        <w:rPr>
          <w:rFonts w:eastAsia="仿宋_GB2312" w:hint="eastAsia"/>
          <w:color w:val="000000"/>
          <w:szCs w:val="32"/>
        </w:rPr>
        <w:t>1</w:t>
      </w:r>
      <w:r>
        <w:rPr>
          <w:rFonts w:eastAsia="仿宋_GB2312" w:hint="eastAsia"/>
          <w:color w:val="000000"/>
          <w:szCs w:val="32"/>
        </w:rPr>
        <w:t>部分：通用要求》中的相关规定。产品说明书和标签的内容应当科学、真实、完整、准确，并与产品特性一致。</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注意事项、警示及提示的内容应至少包括以下内容：</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 xml:space="preserve">1. </w:t>
      </w:r>
      <w:r>
        <w:rPr>
          <w:rFonts w:eastAsia="仿宋_GB2312" w:hint="eastAsia"/>
          <w:color w:val="000000"/>
          <w:szCs w:val="32"/>
        </w:rPr>
        <w:t>应明</w:t>
      </w:r>
      <w:r>
        <w:rPr>
          <w:rFonts w:eastAsia="仿宋_GB2312" w:hint="eastAsia"/>
          <w:color w:val="000000"/>
          <w:szCs w:val="32"/>
        </w:rPr>
        <w:t>确配合使用的人工晶状体；</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应明确配合使用的器械的要求；</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hint="eastAsia"/>
          <w:color w:val="000000"/>
          <w:szCs w:val="32"/>
        </w:rPr>
        <w:t>医生术者应取得人工晶状体植入手术资质，非专业人员不得操作使用。</w:t>
      </w:r>
    </w:p>
    <w:p w:rsidR="002A639A" w:rsidRPr="00C2390E" w:rsidRDefault="006441EF">
      <w:pPr>
        <w:spacing w:line="520" w:lineRule="exact"/>
        <w:ind w:firstLineChars="200" w:firstLine="640"/>
        <w:rPr>
          <w:rFonts w:eastAsia="仿宋_GB2312"/>
          <w:color w:val="000000"/>
          <w:szCs w:val="32"/>
        </w:rPr>
      </w:pPr>
      <w:r w:rsidRPr="00C2390E">
        <w:rPr>
          <w:rFonts w:eastAsia="仿宋_GB2312"/>
          <w:color w:val="000000"/>
          <w:szCs w:val="32"/>
        </w:rPr>
        <w:t>（</w:t>
      </w:r>
      <w:r w:rsidRPr="00C2390E">
        <w:rPr>
          <w:rFonts w:eastAsia="仿宋_GB2312" w:hint="eastAsia"/>
          <w:color w:val="000000"/>
          <w:szCs w:val="32"/>
        </w:rPr>
        <w:t>六</w:t>
      </w:r>
      <w:r w:rsidRPr="00C2390E">
        <w:rPr>
          <w:rFonts w:eastAsia="仿宋_GB2312"/>
          <w:color w:val="000000"/>
          <w:szCs w:val="32"/>
        </w:rPr>
        <w:t>）质量管理体系文件</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1.</w:t>
      </w:r>
      <w:r>
        <w:rPr>
          <w:rFonts w:eastAsia="仿宋_GB2312" w:hint="eastAsia"/>
          <w:color w:val="000000"/>
          <w:szCs w:val="32"/>
        </w:rPr>
        <w:t>详述产品的生产工艺和步骤，提供生产工艺流程图。提交产品生产工艺概述、生产工艺过程中需要进行控制和测</w:t>
      </w:r>
      <w:r>
        <w:rPr>
          <w:rFonts w:eastAsia="仿宋_GB2312" w:hint="eastAsia"/>
          <w:color w:val="000000"/>
          <w:szCs w:val="32"/>
        </w:rPr>
        <w:lastRenderedPageBreak/>
        <w:t>试的环节及相关证明性资料。确认关键工艺点，并对生产工艺的可控性、稳定性进行确认。</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2.</w:t>
      </w:r>
      <w:r>
        <w:rPr>
          <w:rFonts w:eastAsia="仿宋_GB2312" w:hint="eastAsia"/>
          <w:color w:val="000000"/>
          <w:szCs w:val="32"/>
        </w:rPr>
        <w:t>明确特殊过程和关键工序，提供特殊过程的确认资料以及关键工序的验证资料。对于可能影响</w:t>
      </w:r>
      <w:proofErr w:type="gramStart"/>
      <w:r>
        <w:rPr>
          <w:rFonts w:eastAsia="仿宋_GB2312" w:hint="eastAsia"/>
          <w:color w:val="000000"/>
          <w:szCs w:val="32"/>
        </w:rPr>
        <w:t>终产品</w:t>
      </w:r>
      <w:proofErr w:type="gramEnd"/>
      <w:r>
        <w:rPr>
          <w:rFonts w:eastAsia="仿宋_GB2312" w:hint="eastAsia"/>
          <w:color w:val="000000"/>
          <w:szCs w:val="32"/>
        </w:rPr>
        <w:t>性能的内容，如打印工艺，后处理工艺，清洗工艺等，需提供详细的工艺验证资料。</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3.</w:t>
      </w:r>
      <w:r>
        <w:rPr>
          <w:rFonts w:eastAsia="仿宋_GB2312" w:hint="eastAsia"/>
          <w:color w:val="000000"/>
          <w:szCs w:val="32"/>
        </w:rPr>
        <w:t>明确</w:t>
      </w:r>
      <w:r>
        <w:rPr>
          <w:rFonts w:eastAsia="仿宋_GB2312" w:hint="eastAsia"/>
          <w:color w:val="000000"/>
          <w:szCs w:val="32"/>
        </w:rPr>
        <w:t>原材料及生产工艺中涉及的各种加工助剂的质量控制标准。</w:t>
      </w:r>
    </w:p>
    <w:p w:rsidR="002A639A" w:rsidRDefault="006441EF">
      <w:pPr>
        <w:pStyle w:val="11"/>
        <w:spacing w:line="520" w:lineRule="exact"/>
        <w:ind w:firstLine="640"/>
        <w:jc w:val="left"/>
        <w:outlineLvl w:val="0"/>
        <w:rPr>
          <w:rFonts w:eastAsia="黑体"/>
        </w:rPr>
      </w:pPr>
      <w:bookmarkStart w:id="4" w:name="_Toc265839389"/>
      <w:r>
        <w:rPr>
          <w:rFonts w:eastAsia="黑体" w:hint="eastAsia"/>
        </w:rPr>
        <w:t>三、参考文献</w:t>
      </w:r>
      <w:bookmarkEnd w:id="4"/>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w:t>
      </w:r>
      <w:r>
        <w:rPr>
          <w:rFonts w:eastAsia="仿宋_GB2312"/>
          <w:color w:val="000000"/>
          <w:szCs w:val="32"/>
        </w:rPr>
        <w:t>中华人民共和国国务院</w:t>
      </w:r>
      <w:r>
        <w:rPr>
          <w:rFonts w:eastAsia="仿宋_GB2312"/>
          <w:color w:val="000000"/>
          <w:szCs w:val="32"/>
        </w:rPr>
        <w:t>.</w:t>
      </w:r>
      <w:r>
        <w:rPr>
          <w:rFonts w:eastAsia="仿宋_GB2312"/>
          <w:color w:val="000000"/>
          <w:szCs w:val="32"/>
        </w:rPr>
        <w:t>医疗器械监督管理条例</w:t>
      </w:r>
      <w:r>
        <w:rPr>
          <w:rFonts w:eastAsia="仿宋_GB2312"/>
          <w:color w:val="000000"/>
          <w:szCs w:val="32"/>
        </w:rPr>
        <w:t xml:space="preserve">: </w:t>
      </w:r>
      <w:r>
        <w:rPr>
          <w:rFonts w:eastAsia="仿宋_GB2312"/>
          <w:color w:val="000000"/>
          <w:szCs w:val="32"/>
        </w:rPr>
        <w:t>中华人民共和国国务院令第</w:t>
      </w:r>
      <w:r>
        <w:rPr>
          <w:rFonts w:eastAsia="仿宋_GB2312"/>
          <w:color w:val="000000"/>
          <w:szCs w:val="32"/>
        </w:rPr>
        <w:t>739</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w:t>
      </w:r>
      <w:r>
        <w:rPr>
          <w:rFonts w:eastAsia="仿宋_GB2312"/>
          <w:color w:val="000000"/>
          <w:szCs w:val="32"/>
        </w:rPr>
        <w:t>国家市场监督管理总局</w:t>
      </w:r>
      <w:r>
        <w:rPr>
          <w:rFonts w:eastAsia="仿宋_GB2312"/>
          <w:color w:val="000000"/>
          <w:szCs w:val="32"/>
        </w:rPr>
        <w:t>.</w:t>
      </w:r>
      <w:r>
        <w:rPr>
          <w:rFonts w:eastAsia="仿宋_GB2312"/>
          <w:color w:val="000000"/>
          <w:szCs w:val="32"/>
        </w:rPr>
        <w:t>医疗器械注册与备案管理办法</w:t>
      </w:r>
      <w:r>
        <w:rPr>
          <w:rFonts w:eastAsia="仿宋_GB2312"/>
          <w:color w:val="000000"/>
          <w:szCs w:val="32"/>
        </w:rPr>
        <w:t xml:space="preserve">: </w:t>
      </w:r>
      <w:r>
        <w:rPr>
          <w:rFonts w:eastAsia="仿宋_GB2312"/>
          <w:color w:val="000000"/>
          <w:szCs w:val="32"/>
        </w:rPr>
        <w:t>国家市场监督管理总局令第</w:t>
      </w:r>
      <w:r>
        <w:rPr>
          <w:rFonts w:eastAsia="仿宋_GB2312"/>
          <w:color w:val="000000"/>
          <w:szCs w:val="32"/>
        </w:rPr>
        <w:t>47</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[3]</w:t>
      </w:r>
      <w:r>
        <w:rPr>
          <w:rFonts w:eastAsia="仿宋_GB2312"/>
          <w:color w:val="000000"/>
          <w:szCs w:val="32"/>
        </w:rPr>
        <w:t>国家食品药品监督管理局</w:t>
      </w:r>
      <w:r>
        <w:rPr>
          <w:rFonts w:eastAsia="仿宋_GB2312" w:hint="eastAsia"/>
          <w:color w:val="000000"/>
          <w:szCs w:val="32"/>
        </w:rPr>
        <w:t>.</w:t>
      </w:r>
      <w:r>
        <w:rPr>
          <w:rFonts w:eastAsia="仿宋_GB2312"/>
          <w:color w:val="000000"/>
          <w:szCs w:val="32"/>
        </w:rPr>
        <w:t>医疗器械生产质量管理规范</w:t>
      </w:r>
      <w:r>
        <w:rPr>
          <w:rFonts w:eastAsia="仿宋_GB2312" w:hint="eastAsia"/>
          <w:color w:val="000000"/>
          <w:szCs w:val="32"/>
        </w:rPr>
        <w:t>:</w:t>
      </w:r>
      <w:r>
        <w:rPr>
          <w:rFonts w:eastAsia="仿宋_GB2312"/>
          <w:color w:val="000000"/>
          <w:szCs w:val="32"/>
        </w:rPr>
        <w:t>国家食品药品监督管理总局</w:t>
      </w:r>
      <w:r>
        <w:rPr>
          <w:rFonts w:eastAsia="仿宋_GB2312"/>
          <w:color w:val="000000"/>
          <w:szCs w:val="32"/>
        </w:rPr>
        <w:t>2014</w:t>
      </w:r>
      <w:r>
        <w:rPr>
          <w:rFonts w:eastAsia="仿宋_GB2312"/>
          <w:color w:val="000000"/>
          <w:szCs w:val="32"/>
        </w:rPr>
        <w:t>年第</w:t>
      </w:r>
      <w:r>
        <w:rPr>
          <w:rFonts w:eastAsia="仿宋_GB2312"/>
          <w:color w:val="000000"/>
          <w:szCs w:val="32"/>
        </w:rPr>
        <w:t>64</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[4]</w:t>
      </w:r>
      <w:r>
        <w:rPr>
          <w:rFonts w:eastAsia="仿宋_GB2312"/>
          <w:color w:val="000000"/>
          <w:szCs w:val="32"/>
        </w:rPr>
        <w:t>国家药品监督管理局中华人民共和国国家卫生</w:t>
      </w:r>
      <w:r>
        <w:rPr>
          <w:rFonts w:eastAsia="仿宋_GB2312" w:hint="eastAsia"/>
          <w:color w:val="000000"/>
          <w:szCs w:val="32"/>
        </w:rPr>
        <w:t>健康委员会</w:t>
      </w:r>
      <w:r>
        <w:rPr>
          <w:rFonts w:eastAsia="仿宋_GB2312" w:hint="eastAsia"/>
          <w:color w:val="000000"/>
          <w:szCs w:val="32"/>
        </w:rPr>
        <w:t>.</w:t>
      </w:r>
      <w:r>
        <w:rPr>
          <w:rFonts w:eastAsia="仿宋_GB2312"/>
          <w:color w:val="000000"/>
          <w:szCs w:val="32"/>
        </w:rPr>
        <w:t>医疗器械临床试验质量管理规范</w:t>
      </w:r>
      <w:r>
        <w:rPr>
          <w:rFonts w:eastAsia="仿宋_GB2312" w:hint="eastAsia"/>
          <w:color w:val="000000"/>
          <w:szCs w:val="32"/>
        </w:rPr>
        <w:t>:</w:t>
      </w:r>
      <w:r>
        <w:rPr>
          <w:rFonts w:eastAsia="仿宋_GB2312" w:hint="eastAsia"/>
          <w:color w:val="000000"/>
          <w:szCs w:val="32"/>
        </w:rPr>
        <w:t>国家药监局</w:t>
      </w:r>
      <w:r>
        <w:rPr>
          <w:rFonts w:eastAsia="仿宋_GB2312" w:hint="eastAsia"/>
          <w:color w:val="000000"/>
          <w:szCs w:val="32"/>
        </w:rPr>
        <w:t xml:space="preserve"> </w:t>
      </w:r>
      <w:r>
        <w:rPr>
          <w:rFonts w:eastAsia="仿宋_GB2312" w:hint="eastAsia"/>
          <w:color w:val="000000"/>
          <w:szCs w:val="32"/>
        </w:rPr>
        <w:t>国家卫生健康委公告</w:t>
      </w:r>
      <w:r>
        <w:rPr>
          <w:rFonts w:eastAsia="仿宋_GB2312" w:hint="eastAsia"/>
          <w:color w:val="000000"/>
          <w:szCs w:val="32"/>
        </w:rPr>
        <w:t>2022</w:t>
      </w:r>
      <w:r>
        <w:rPr>
          <w:rFonts w:eastAsia="仿宋_GB2312" w:hint="eastAsia"/>
          <w:color w:val="000000"/>
          <w:szCs w:val="32"/>
        </w:rPr>
        <w:t>年第</w:t>
      </w:r>
      <w:r>
        <w:rPr>
          <w:rFonts w:eastAsia="仿宋_GB2312" w:hint="eastAsia"/>
          <w:color w:val="000000"/>
          <w:szCs w:val="32"/>
        </w:rPr>
        <w:t>28</w:t>
      </w:r>
      <w:r>
        <w:rPr>
          <w:rFonts w:eastAsia="仿宋_GB2312" w:hint="eastAsia"/>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[5]</w:t>
      </w:r>
      <w:r>
        <w:rPr>
          <w:rFonts w:eastAsia="仿宋_GB2312"/>
          <w:color w:val="000000"/>
          <w:szCs w:val="32"/>
        </w:rPr>
        <w:t>国家药品监督管理局</w:t>
      </w:r>
      <w:r>
        <w:rPr>
          <w:rFonts w:eastAsia="仿宋_GB2312"/>
          <w:color w:val="000000"/>
          <w:szCs w:val="32"/>
        </w:rPr>
        <w:t>.</w:t>
      </w:r>
      <w:r>
        <w:rPr>
          <w:rFonts w:eastAsia="仿宋_GB2312"/>
          <w:color w:val="000000"/>
          <w:szCs w:val="32"/>
        </w:rPr>
        <w:t>关于公布医疗器械注册申报资料要求和批准证明文件格式的公告</w:t>
      </w:r>
      <w:r>
        <w:rPr>
          <w:rFonts w:eastAsia="仿宋_GB2312"/>
          <w:color w:val="000000"/>
          <w:szCs w:val="32"/>
        </w:rPr>
        <w:t xml:space="preserve">: </w:t>
      </w:r>
      <w:r>
        <w:rPr>
          <w:rFonts w:eastAsia="仿宋_GB2312"/>
          <w:color w:val="000000"/>
          <w:szCs w:val="32"/>
        </w:rPr>
        <w:t>国家药品监督管理局</w:t>
      </w:r>
      <w:r>
        <w:rPr>
          <w:rFonts w:eastAsia="仿宋_GB2312"/>
          <w:color w:val="000000"/>
          <w:szCs w:val="32"/>
        </w:rPr>
        <w:t>2021</w:t>
      </w:r>
      <w:r>
        <w:rPr>
          <w:rFonts w:eastAsia="仿宋_GB2312"/>
          <w:color w:val="000000"/>
          <w:szCs w:val="32"/>
        </w:rPr>
        <w:t>年第</w:t>
      </w:r>
      <w:r>
        <w:rPr>
          <w:rFonts w:eastAsia="仿宋_GB2312"/>
          <w:color w:val="000000"/>
          <w:szCs w:val="32"/>
        </w:rPr>
        <w:t>121</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[6]</w:t>
      </w:r>
      <w:r>
        <w:rPr>
          <w:rFonts w:eastAsia="仿宋_GB2312" w:hint="eastAsia"/>
          <w:color w:val="000000"/>
          <w:szCs w:val="32"/>
        </w:rPr>
        <w:t>国家药品监督管理局</w:t>
      </w:r>
      <w:r>
        <w:rPr>
          <w:rFonts w:eastAsia="仿宋_GB2312" w:hint="eastAsia"/>
          <w:color w:val="000000"/>
          <w:szCs w:val="32"/>
        </w:rPr>
        <w:t>.</w:t>
      </w:r>
      <w:r>
        <w:rPr>
          <w:rFonts w:eastAsia="仿宋_GB2312"/>
          <w:color w:val="000000"/>
          <w:szCs w:val="32"/>
        </w:rPr>
        <w:t>医疗器械注册申报资料要求和批准证明文件格式</w:t>
      </w:r>
      <w:r>
        <w:rPr>
          <w:rFonts w:eastAsia="仿宋_GB2312" w:hint="eastAsia"/>
          <w:color w:val="000000"/>
          <w:szCs w:val="32"/>
        </w:rPr>
        <w:t>:</w:t>
      </w:r>
      <w:r>
        <w:rPr>
          <w:rFonts w:eastAsia="仿宋_GB2312" w:hint="eastAsia"/>
          <w:color w:val="000000"/>
          <w:szCs w:val="32"/>
        </w:rPr>
        <w:t>国家药监局公告</w:t>
      </w:r>
      <w:r>
        <w:rPr>
          <w:rFonts w:eastAsia="仿宋_GB2312" w:hint="eastAsia"/>
          <w:color w:val="000000"/>
          <w:szCs w:val="32"/>
        </w:rPr>
        <w:t>2021</w:t>
      </w:r>
      <w:r>
        <w:rPr>
          <w:rFonts w:eastAsia="仿宋_GB2312" w:hint="eastAsia"/>
          <w:color w:val="000000"/>
          <w:szCs w:val="32"/>
        </w:rPr>
        <w:t>年第</w:t>
      </w:r>
      <w:r>
        <w:rPr>
          <w:rFonts w:eastAsia="仿宋_GB2312" w:hint="eastAsia"/>
          <w:color w:val="000000"/>
          <w:szCs w:val="32"/>
        </w:rPr>
        <w:t>121</w:t>
      </w:r>
      <w:r>
        <w:rPr>
          <w:rFonts w:eastAsia="仿宋_GB2312" w:hint="eastAsia"/>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[7]</w:t>
      </w:r>
      <w:r>
        <w:rPr>
          <w:rFonts w:eastAsia="仿宋_GB2312"/>
          <w:color w:val="000000"/>
          <w:szCs w:val="32"/>
        </w:rPr>
        <w:t>国家食品药品监督管理总局</w:t>
      </w:r>
      <w:r>
        <w:rPr>
          <w:rFonts w:eastAsia="仿宋_GB2312"/>
          <w:color w:val="000000"/>
          <w:szCs w:val="32"/>
        </w:rPr>
        <w:t>.</w:t>
      </w:r>
      <w:r>
        <w:rPr>
          <w:rFonts w:eastAsia="仿宋_GB2312"/>
          <w:color w:val="000000"/>
          <w:szCs w:val="32"/>
        </w:rPr>
        <w:t>医疗器械说明书和标签管理规定</w:t>
      </w:r>
      <w:r>
        <w:rPr>
          <w:rFonts w:eastAsia="仿宋_GB2312"/>
          <w:color w:val="000000"/>
          <w:szCs w:val="32"/>
        </w:rPr>
        <w:t xml:space="preserve">: </w:t>
      </w:r>
      <w:r>
        <w:rPr>
          <w:rFonts w:eastAsia="仿宋_GB2312"/>
          <w:color w:val="000000"/>
          <w:szCs w:val="32"/>
        </w:rPr>
        <w:t>国家食品药品监督管理总局令第</w:t>
      </w:r>
      <w:r>
        <w:rPr>
          <w:rFonts w:eastAsia="仿宋_GB2312"/>
          <w:color w:val="000000"/>
          <w:szCs w:val="32"/>
        </w:rPr>
        <w:t>6</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[8]</w:t>
      </w:r>
      <w:r>
        <w:rPr>
          <w:rFonts w:eastAsia="仿宋_GB2312"/>
          <w:color w:val="000000"/>
          <w:szCs w:val="32"/>
        </w:rPr>
        <w:t>国家食品药品监督管理总局</w:t>
      </w:r>
      <w:r>
        <w:rPr>
          <w:rFonts w:eastAsia="仿宋_GB2312"/>
          <w:color w:val="000000"/>
          <w:szCs w:val="32"/>
        </w:rPr>
        <w:t>.</w:t>
      </w:r>
      <w:r>
        <w:rPr>
          <w:rFonts w:eastAsia="仿宋_GB2312"/>
          <w:color w:val="000000"/>
          <w:szCs w:val="32"/>
        </w:rPr>
        <w:t>医疗器械分类目录</w:t>
      </w:r>
      <w:r>
        <w:rPr>
          <w:rFonts w:eastAsia="仿宋_GB2312"/>
          <w:color w:val="000000"/>
          <w:szCs w:val="32"/>
        </w:rPr>
        <w:t xml:space="preserve">: </w:t>
      </w:r>
      <w:r>
        <w:rPr>
          <w:rFonts w:eastAsia="仿宋_GB2312"/>
          <w:color w:val="000000"/>
          <w:szCs w:val="32"/>
        </w:rPr>
        <w:t>国家</w:t>
      </w:r>
      <w:r>
        <w:rPr>
          <w:rFonts w:eastAsia="仿宋_GB2312"/>
          <w:color w:val="000000"/>
          <w:szCs w:val="32"/>
        </w:rPr>
        <w:lastRenderedPageBreak/>
        <w:t>食品药品监督管理总局</w:t>
      </w:r>
      <w:r>
        <w:rPr>
          <w:rFonts w:eastAsia="仿宋_GB2312"/>
          <w:color w:val="000000"/>
          <w:szCs w:val="32"/>
        </w:rPr>
        <w:t>2017</w:t>
      </w:r>
      <w:r>
        <w:rPr>
          <w:rFonts w:eastAsia="仿宋_GB2312"/>
          <w:color w:val="000000"/>
          <w:szCs w:val="32"/>
        </w:rPr>
        <w:t>年第</w:t>
      </w:r>
      <w:r>
        <w:rPr>
          <w:rFonts w:eastAsia="仿宋_GB2312"/>
          <w:color w:val="000000"/>
          <w:szCs w:val="32"/>
        </w:rPr>
        <w:t>104</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[9]</w:t>
      </w:r>
      <w:r>
        <w:rPr>
          <w:rFonts w:eastAsia="仿宋_GB2312"/>
          <w:color w:val="000000"/>
          <w:szCs w:val="32"/>
        </w:rPr>
        <w:t>国家食品药品监督管理局</w:t>
      </w:r>
      <w:r>
        <w:rPr>
          <w:rFonts w:eastAsia="仿宋_GB2312" w:hint="eastAsia"/>
          <w:color w:val="000000"/>
          <w:szCs w:val="32"/>
        </w:rPr>
        <w:t>.</w:t>
      </w:r>
      <w:r>
        <w:rPr>
          <w:rFonts w:eastAsia="仿宋_GB2312"/>
          <w:color w:val="000000"/>
          <w:szCs w:val="32"/>
        </w:rPr>
        <w:t>医疗器械通用名称命名规则</w:t>
      </w:r>
      <w:r>
        <w:rPr>
          <w:rFonts w:eastAsia="仿宋_GB2312" w:hint="eastAsia"/>
          <w:color w:val="000000"/>
          <w:szCs w:val="32"/>
        </w:rPr>
        <w:t>：</w:t>
      </w:r>
      <w:r>
        <w:rPr>
          <w:rFonts w:eastAsia="仿宋_GB2312"/>
          <w:color w:val="000000"/>
          <w:szCs w:val="32"/>
        </w:rPr>
        <w:t>国家食品药品监督管理总局令第</w:t>
      </w:r>
      <w:r>
        <w:rPr>
          <w:rFonts w:eastAsia="仿宋_GB2312"/>
          <w:color w:val="000000"/>
          <w:szCs w:val="32"/>
        </w:rPr>
        <w:t>19</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[10]</w:t>
      </w:r>
      <w:r>
        <w:rPr>
          <w:rFonts w:eastAsia="仿宋_GB2312"/>
          <w:color w:val="000000"/>
          <w:szCs w:val="32"/>
          <w:lang w:val="en"/>
        </w:rPr>
        <w:t>国家食品药品监督管理局</w:t>
      </w:r>
      <w:r>
        <w:rPr>
          <w:rFonts w:eastAsia="仿宋_GB2312"/>
          <w:color w:val="000000"/>
          <w:szCs w:val="32"/>
        </w:rPr>
        <w:t>.</w:t>
      </w:r>
      <w:r>
        <w:rPr>
          <w:rFonts w:eastAsia="仿宋_GB2312"/>
          <w:color w:val="000000"/>
          <w:szCs w:val="32"/>
        </w:rPr>
        <w:t>医疗器械分类目录</w:t>
      </w:r>
      <w:r>
        <w:rPr>
          <w:rFonts w:eastAsia="仿宋_GB2312" w:hint="eastAsia"/>
          <w:color w:val="000000"/>
          <w:szCs w:val="32"/>
        </w:rPr>
        <w:t>:</w:t>
      </w:r>
      <w:r>
        <w:rPr>
          <w:rFonts w:eastAsia="仿宋_GB2312"/>
          <w:color w:val="000000"/>
          <w:szCs w:val="32"/>
          <w:lang w:val="en"/>
        </w:rPr>
        <w:t>国家食品药品监督管理总局</w:t>
      </w:r>
      <w:r>
        <w:rPr>
          <w:rFonts w:eastAsia="仿宋_GB2312" w:hint="eastAsia"/>
          <w:color w:val="000000"/>
          <w:szCs w:val="32"/>
          <w:lang w:val="en"/>
        </w:rPr>
        <w:t>公告</w:t>
      </w:r>
      <w:r>
        <w:rPr>
          <w:rFonts w:eastAsia="仿宋_GB2312"/>
          <w:color w:val="000000"/>
          <w:szCs w:val="32"/>
          <w:lang w:val="en"/>
        </w:rPr>
        <w:t>2017</w:t>
      </w:r>
      <w:r>
        <w:rPr>
          <w:rFonts w:eastAsia="仿宋_GB2312"/>
          <w:color w:val="000000"/>
          <w:szCs w:val="32"/>
          <w:lang w:val="en"/>
        </w:rPr>
        <w:t>年第</w:t>
      </w:r>
      <w:r>
        <w:rPr>
          <w:rFonts w:eastAsia="仿宋_GB2312"/>
          <w:color w:val="000000"/>
          <w:szCs w:val="32"/>
          <w:lang w:val="en"/>
        </w:rPr>
        <w:t>104</w:t>
      </w:r>
      <w:r>
        <w:rPr>
          <w:rFonts w:eastAsia="仿宋_GB2312"/>
          <w:color w:val="000000"/>
          <w:szCs w:val="32"/>
          <w:lang w:val="en"/>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[11]</w:t>
      </w:r>
      <w:r>
        <w:rPr>
          <w:rFonts w:eastAsia="仿宋_GB2312"/>
          <w:color w:val="000000"/>
          <w:szCs w:val="32"/>
        </w:rPr>
        <w:t>国家食品药品监督管理总局</w:t>
      </w:r>
      <w:r>
        <w:rPr>
          <w:rFonts w:eastAsia="仿宋_GB2312"/>
          <w:color w:val="000000"/>
          <w:szCs w:val="32"/>
        </w:rPr>
        <w:t>.</w:t>
      </w:r>
      <w:r>
        <w:rPr>
          <w:rFonts w:eastAsia="仿宋_GB2312"/>
          <w:color w:val="000000"/>
          <w:szCs w:val="32"/>
        </w:rPr>
        <w:t>医疗器械注册单元划分指导原则</w:t>
      </w:r>
      <w:r>
        <w:rPr>
          <w:rFonts w:eastAsia="仿宋_GB2312"/>
          <w:color w:val="000000"/>
          <w:szCs w:val="32"/>
        </w:rPr>
        <w:t xml:space="preserve">: </w:t>
      </w:r>
      <w:r>
        <w:rPr>
          <w:rFonts w:eastAsia="仿宋_GB2312"/>
          <w:color w:val="000000"/>
          <w:szCs w:val="32"/>
        </w:rPr>
        <w:t>国家食品药品监督管理总局通告</w:t>
      </w:r>
      <w:r>
        <w:rPr>
          <w:rFonts w:eastAsia="仿宋_GB2312"/>
          <w:color w:val="000000"/>
          <w:szCs w:val="32"/>
        </w:rPr>
        <w:t>2017</w:t>
      </w:r>
      <w:r>
        <w:rPr>
          <w:rFonts w:eastAsia="仿宋_GB2312"/>
          <w:color w:val="000000"/>
          <w:szCs w:val="32"/>
        </w:rPr>
        <w:t>年第</w:t>
      </w:r>
      <w:r>
        <w:rPr>
          <w:rFonts w:eastAsia="仿宋_GB2312"/>
          <w:color w:val="000000"/>
          <w:szCs w:val="32"/>
        </w:rPr>
        <w:t>187</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[12]</w:t>
      </w:r>
      <w:r>
        <w:rPr>
          <w:rFonts w:eastAsia="仿宋_GB2312"/>
          <w:color w:val="000000"/>
          <w:szCs w:val="32"/>
        </w:rPr>
        <w:t>国家药品监督管理局</w:t>
      </w:r>
      <w:r>
        <w:rPr>
          <w:rFonts w:eastAsia="仿宋_GB2312"/>
          <w:color w:val="000000"/>
          <w:szCs w:val="32"/>
        </w:rPr>
        <w:t>.</w:t>
      </w:r>
      <w:r>
        <w:rPr>
          <w:rFonts w:eastAsia="仿宋_GB2312"/>
          <w:color w:val="000000"/>
          <w:szCs w:val="32"/>
        </w:rPr>
        <w:t>医疗器械临床评价技术指导原则</w:t>
      </w:r>
      <w:r>
        <w:rPr>
          <w:rFonts w:eastAsia="仿宋_GB2312"/>
          <w:color w:val="000000"/>
          <w:szCs w:val="32"/>
        </w:rPr>
        <w:t>:</w:t>
      </w:r>
      <w:r>
        <w:rPr>
          <w:rFonts w:eastAsia="仿宋_GB2312"/>
          <w:color w:val="000000"/>
          <w:szCs w:val="32"/>
        </w:rPr>
        <w:t>国家药品监督管理局</w:t>
      </w:r>
      <w:r>
        <w:rPr>
          <w:rFonts w:eastAsia="仿宋_GB2312"/>
          <w:color w:val="000000"/>
          <w:szCs w:val="32"/>
        </w:rPr>
        <w:t>2021</w:t>
      </w:r>
      <w:r>
        <w:rPr>
          <w:rFonts w:eastAsia="仿宋_GB2312"/>
          <w:color w:val="000000"/>
          <w:szCs w:val="32"/>
        </w:rPr>
        <w:t>年第</w:t>
      </w:r>
      <w:r>
        <w:rPr>
          <w:rFonts w:eastAsia="仿宋_GB2312"/>
          <w:color w:val="000000"/>
          <w:szCs w:val="32"/>
        </w:rPr>
        <w:t>73</w:t>
      </w:r>
      <w:r>
        <w:rPr>
          <w:rFonts w:eastAsia="仿宋_GB2312"/>
          <w:color w:val="000000"/>
          <w:szCs w:val="32"/>
        </w:rPr>
        <w:t>号</w:t>
      </w:r>
      <w:r>
        <w:rPr>
          <w:rFonts w:eastAsia="仿宋_GB2312"/>
          <w:color w:val="000000"/>
          <w:szCs w:val="32"/>
        </w:rPr>
        <w:t>[Z].</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 xml:space="preserve">[13] </w:t>
      </w:r>
      <w:r>
        <w:rPr>
          <w:rFonts w:eastAsia="仿宋_GB2312"/>
          <w:color w:val="000000"/>
          <w:szCs w:val="32"/>
        </w:rPr>
        <w:t>国家药品监督管理局</w:t>
      </w:r>
      <w:r>
        <w:rPr>
          <w:rFonts w:eastAsia="仿宋_GB2312"/>
          <w:color w:val="000000"/>
          <w:szCs w:val="32"/>
        </w:rPr>
        <w:t>.</w:t>
      </w:r>
      <w:r>
        <w:rPr>
          <w:rFonts w:eastAsia="仿宋_GB2312"/>
          <w:color w:val="000000"/>
          <w:szCs w:val="32"/>
        </w:rPr>
        <w:t>医疗器械可用性工程注册审查指导原则国家药品监督管理局</w:t>
      </w:r>
      <w:r>
        <w:rPr>
          <w:rFonts w:eastAsia="仿宋_GB2312"/>
          <w:color w:val="000000"/>
          <w:szCs w:val="32"/>
        </w:rPr>
        <w:t>2024</w:t>
      </w:r>
      <w:r>
        <w:rPr>
          <w:rFonts w:eastAsia="仿宋_GB2312"/>
          <w:color w:val="000000"/>
          <w:szCs w:val="32"/>
        </w:rPr>
        <w:t>年第</w:t>
      </w:r>
      <w:r>
        <w:rPr>
          <w:rFonts w:eastAsia="仿宋_GB2312"/>
          <w:color w:val="000000"/>
          <w:szCs w:val="32"/>
        </w:rPr>
        <w:t>13</w:t>
      </w:r>
      <w:r>
        <w:rPr>
          <w:rFonts w:eastAsia="仿宋_GB2312"/>
          <w:color w:val="000000"/>
          <w:szCs w:val="32"/>
        </w:rPr>
        <w:t>号</w:t>
      </w:r>
      <w:r>
        <w:rPr>
          <w:rFonts w:eastAsia="仿宋_GB2312"/>
          <w:color w:val="000000"/>
          <w:szCs w:val="32"/>
        </w:rPr>
        <w:t>[Z]</w:t>
      </w:r>
      <w:r>
        <w:rPr>
          <w:rFonts w:eastAsia="仿宋_GB2312"/>
          <w:color w:val="000000"/>
          <w:szCs w:val="32"/>
        </w:rPr>
        <w:t xml:space="preserve">. </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 xml:space="preserve">[14]YY/T </w:t>
      </w:r>
      <w:r>
        <w:rPr>
          <w:rFonts w:eastAsia="仿宋_GB2312" w:hint="eastAsia"/>
          <w:color w:val="000000"/>
          <w:szCs w:val="32"/>
        </w:rPr>
        <w:t>0942-2014</w:t>
      </w:r>
      <w:r>
        <w:rPr>
          <w:rFonts w:eastAsia="仿宋_GB2312"/>
          <w:color w:val="000000"/>
          <w:szCs w:val="32"/>
        </w:rPr>
        <w:t xml:space="preserve"> </w:t>
      </w:r>
      <w:r>
        <w:rPr>
          <w:rFonts w:eastAsia="仿宋_GB2312" w:hint="eastAsia"/>
          <w:color w:val="000000"/>
          <w:szCs w:val="32"/>
        </w:rPr>
        <w:t>眼科光学</w:t>
      </w:r>
      <w:r>
        <w:rPr>
          <w:rFonts w:eastAsia="仿宋_GB2312"/>
          <w:color w:val="000000"/>
          <w:szCs w:val="32"/>
        </w:rPr>
        <w:t xml:space="preserve"> </w:t>
      </w:r>
      <w:r>
        <w:rPr>
          <w:rFonts w:eastAsia="仿宋_GB2312" w:hint="eastAsia"/>
          <w:color w:val="000000"/>
          <w:szCs w:val="32"/>
        </w:rPr>
        <w:t>人工晶状体植入系统</w:t>
      </w:r>
      <w:r>
        <w:rPr>
          <w:rFonts w:eastAsia="仿宋_GB2312" w:hint="eastAsia"/>
          <w:color w:val="000000"/>
          <w:szCs w:val="32"/>
        </w:rPr>
        <w:t>[</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[15]GB/T 42062-2022</w:t>
      </w:r>
      <w:r>
        <w:rPr>
          <w:rFonts w:eastAsia="仿宋_GB2312"/>
          <w:color w:val="000000"/>
          <w:szCs w:val="32"/>
        </w:rPr>
        <w:t>，医疗器械</w:t>
      </w:r>
      <w:r>
        <w:rPr>
          <w:rFonts w:eastAsia="仿宋_GB2312"/>
          <w:color w:val="000000"/>
          <w:szCs w:val="32"/>
        </w:rPr>
        <w:t xml:space="preserve"> </w:t>
      </w:r>
      <w:r>
        <w:rPr>
          <w:rFonts w:eastAsia="仿宋_GB2312"/>
          <w:color w:val="000000"/>
          <w:szCs w:val="32"/>
        </w:rPr>
        <w:t>风险管理对医疗器械的应用</w:t>
      </w:r>
      <w:r>
        <w:rPr>
          <w:rFonts w:eastAsia="仿宋_GB2312"/>
          <w:color w:val="000000"/>
          <w:szCs w:val="32"/>
        </w:rPr>
        <w:t xml:space="preserve">[S]. </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[16] GB 18279,</w:t>
      </w:r>
      <w:r>
        <w:rPr>
          <w:rFonts w:eastAsia="仿宋_GB2312"/>
          <w:color w:val="000000"/>
          <w:szCs w:val="32"/>
        </w:rPr>
        <w:t>《医疗保健产品灭菌</w:t>
      </w:r>
      <w:r>
        <w:rPr>
          <w:rFonts w:eastAsia="仿宋_GB2312"/>
          <w:color w:val="000000"/>
          <w:szCs w:val="32"/>
        </w:rPr>
        <w:t xml:space="preserve"> </w:t>
      </w:r>
      <w:r>
        <w:rPr>
          <w:rFonts w:eastAsia="仿宋_GB2312"/>
          <w:color w:val="000000"/>
          <w:szCs w:val="32"/>
        </w:rPr>
        <w:t>环氧乙烷》系列标准</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[17] GB 18280,</w:t>
      </w:r>
      <w:r>
        <w:rPr>
          <w:rFonts w:eastAsia="仿宋_GB2312"/>
          <w:color w:val="000000"/>
          <w:szCs w:val="32"/>
        </w:rPr>
        <w:t>《医疗保健产品灭菌</w:t>
      </w:r>
      <w:r>
        <w:rPr>
          <w:rFonts w:eastAsia="仿宋_GB2312"/>
          <w:color w:val="000000"/>
          <w:szCs w:val="32"/>
        </w:rPr>
        <w:t xml:space="preserve"> </w:t>
      </w:r>
      <w:r>
        <w:rPr>
          <w:rFonts w:eastAsia="仿宋_GB2312"/>
          <w:color w:val="000000"/>
          <w:szCs w:val="32"/>
        </w:rPr>
        <w:t>辐射》系列标准</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[18]GB 18281.2-2015,</w:t>
      </w:r>
      <w:r>
        <w:rPr>
          <w:rFonts w:eastAsia="仿宋_GB2312"/>
          <w:color w:val="000000"/>
          <w:szCs w:val="32"/>
        </w:rPr>
        <w:t>医疗保健产品灭菌</w:t>
      </w:r>
      <w:r>
        <w:rPr>
          <w:rFonts w:eastAsia="仿宋_GB2312"/>
          <w:color w:val="000000"/>
          <w:szCs w:val="32"/>
        </w:rPr>
        <w:t xml:space="preserve"> </w:t>
      </w:r>
      <w:r>
        <w:rPr>
          <w:rFonts w:eastAsia="仿宋_GB2312"/>
          <w:color w:val="000000"/>
          <w:szCs w:val="32"/>
        </w:rPr>
        <w:t>生物指示物</w:t>
      </w:r>
      <w:r>
        <w:rPr>
          <w:rFonts w:eastAsia="仿宋_GB2312"/>
          <w:color w:val="000000"/>
          <w:szCs w:val="32"/>
        </w:rPr>
        <w:t xml:space="preserve"> </w:t>
      </w:r>
      <w:r>
        <w:rPr>
          <w:rFonts w:eastAsia="仿宋_GB2312"/>
          <w:color w:val="000000"/>
          <w:szCs w:val="32"/>
        </w:rPr>
        <w:t>第</w:t>
      </w:r>
      <w:r>
        <w:rPr>
          <w:rFonts w:eastAsia="仿宋_GB2312"/>
          <w:color w:val="000000"/>
          <w:szCs w:val="32"/>
        </w:rPr>
        <w:t>2</w:t>
      </w:r>
      <w:r>
        <w:rPr>
          <w:rFonts w:eastAsia="仿宋_GB2312"/>
          <w:color w:val="000000"/>
          <w:szCs w:val="32"/>
        </w:rPr>
        <w:t>部分：环氧乙烷灭菌用生物指示物</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[19]GB/T 16886.1-2022</w:t>
      </w:r>
      <w:r>
        <w:rPr>
          <w:rFonts w:eastAsia="仿宋_GB2312"/>
          <w:color w:val="000000"/>
          <w:szCs w:val="32"/>
        </w:rPr>
        <w:t>，医疗器械生物学评价</w:t>
      </w:r>
      <w:r>
        <w:rPr>
          <w:rFonts w:eastAsia="仿宋_GB2312"/>
          <w:color w:val="000000"/>
          <w:szCs w:val="32"/>
        </w:rPr>
        <w:t xml:space="preserve"> </w:t>
      </w:r>
      <w:r>
        <w:rPr>
          <w:rFonts w:eastAsia="仿宋_GB2312"/>
          <w:color w:val="000000"/>
          <w:szCs w:val="32"/>
        </w:rPr>
        <w:t>第</w:t>
      </w:r>
      <w:r>
        <w:rPr>
          <w:rFonts w:eastAsia="仿宋_GB2312"/>
          <w:color w:val="000000"/>
          <w:szCs w:val="32"/>
        </w:rPr>
        <w:t>1</w:t>
      </w:r>
      <w:r>
        <w:rPr>
          <w:rFonts w:eastAsia="仿宋_GB2312"/>
          <w:color w:val="000000"/>
          <w:szCs w:val="32"/>
        </w:rPr>
        <w:t>部分：风险管理</w:t>
      </w:r>
      <w:r>
        <w:rPr>
          <w:rFonts w:eastAsia="仿宋_GB2312"/>
          <w:color w:val="000000"/>
          <w:szCs w:val="32"/>
        </w:rPr>
        <w:t>过程中的评价与试验</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[20] GB/T 16886.5-2017,</w:t>
      </w:r>
      <w:r>
        <w:rPr>
          <w:rFonts w:eastAsia="仿宋_GB2312"/>
          <w:color w:val="000000"/>
          <w:szCs w:val="32"/>
        </w:rPr>
        <w:t>医疗器械生物学评价</w:t>
      </w:r>
      <w:r>
        <w:rPr>
          <w:rFonts w:eastAsia="仿宋_GB2312"/>
          <w:color w:val="000000"/>
          <w:szCs w:val="32"/>
        </w:rPr>
        <w:t xml:space="preserve"> </w:t>
      </w:r>
      <w:r>
        <w:rPr>
          <w:rFonts w:eastAsia="仿宋_GB2312"/>
          <w:color w:val="000000"/>
          <w:szCs w:val="32"/>
        </w:rPr>
        <w:t>第</w:t>
      </w:r>
      <w:r>
        <w:rPr>
          <w:rFonts w:eastAsia="仿宋_GB2312"/>
          <w:color w:val="000000"/>
          <w:szCs w:val="32"/>
        </w:rPr>
        <w:t>5</w:t>
      </w:r>
      <w:r>
        <w:rPr>
          <w:rFonts w:eastAsia="仿宋_GB2312"/>
          <w:color w:val="000000"/>
          <w:szCs w:val="32"/>
        </w:rPr>
        <w:t>部分：体外细胞毒性试验</w:t>
      </w:r>
      <w:r>
        <w:rPr>
          <w:rFonts w:eastAsia="仿宋_GB2312"/>
          <w:color w:val="000000"/>
          <w:szCs w:val="32"/>
        </w:rPr>
        <w:t xml:space="preserve">[S]. </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[21]GB/T 16886.7-2015</w:t>
      </w:r>
      <w:r>
        <w:rPr>
          <w:rFonts w:eastAsia="仿宋_GB2312"/>
          <w:color w:val="000000"/>
          <w:szCs w:val="32"/>
        </w:rPr>
        <w:t>，医疗器械生物学评价第</w:t>
      </w:r>
      <w:r>
        <w:rPr>
          <w:rFonts w:eastAsia="仿宋_GB2312"/>
          <w:color w:val="000000"/>
          <w:szCs w:val="32"/>
        </w:rPr>
        <w:t>7</w:t>
      </w:r>
      <w:r>
        <w:rPr>
          <w:rFonts w:eastAsia="仿宋_GB2312"/>
          <w:color w:val="000000"/>
          <w:szCs w:val="32"/>
        </w:rPr>
        <w:t>部分：环氧乙烷灭菌残留量</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lastRenderedPageBreak/>
        <w:t>[22]GB/T 16886.10-2024,</w:t>
      </w:r>
      <w:r>
        <w:rPr>
          <w:rFonts w:eastAsia="仿宋_GB2312"/>
          <w:color w:val="000000"/>
          <w:szCs w:val="32"/>
        </w:rPr>
        <w:t>医疗器械生物学评价</w:t>
      </w:r>
      <w:r>
        <w:rPr>
          <w:rFonts w:eastAsia="仿宋_GB2312"/>
          <w:color w:val="000000"/>
          <w:szCs w:val="32"/>
        </w:rPr>
        <w:t xml:space="preserve"> </w:t>
      </w:r>
      <w:r>
        <w:rPr>
          <w:rFonts w:eastAsia="仿宋_GB2312"/>
          <w:color w:val="000000"/>
          <w:szCs w:val="32"/>
        </w:rPr>
        <w:t>第</w:t>
      </w:r>
      <w:r>
        <w:rPr>
          <w:rFonts w:eastAsia="仿宋_GB2312"/>
          <w:color w:val="000000"/>
          <w:szCs w:val="32"/>
        </w:rPr>
        <w:t>10</w:t>
      </w:r>
      <w:r>
        <w:rPr>
          <w:rFonts w:eastAsia="仿宋_GB2312"/>
          <w:color w:val="000000"/>
          <w:szCs w:val="32"/>
        </w:rPr>
        <w:t>部分：皮肤致敏试验</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[23]GB/T 16886.23-2023,</w:t>
      </w:r>
      <w:r>
        <w:rPr>
          <w:rFonts w:eastAsia="仿宋_GB2312"/>
          <w:color w:val="000000"/>
          <w:szCs w:val="32"/>
        </w:rPr>
        <w:t>医疗器械生物学评价</w:t>
      </w:r>
      <w:r>
        <w:rPr>
          <w:rFonts w:eastAsia="仿宋_GB2312"/>
          <w:color w:val="000000"/>
          <w:szCs w:val="32"/>
        </w:rPr>
        <w:t xml:space="preserve"> </w:t>
      </w:r>
      <w:r>
        <w:rPr>
          <w:rFonts w:eastAsia="仿宋_GB2312"/>
          <w:color w:val="000000"/>
          <w:szCs w:val="32"/>
        </w:rPr>
        <w:t>第</w:t>
      </w:r>
      <w:r>
        <w:rPr>
          <w:rFonts w:eastAsia="仿宋_GB2312"/>
          <w:color w:val="000000"/>
          <w:szCs w:val="32"/>
        </w:rPr>
        <w:t>23</w:t>
      </w:r>
      <w:r>
        <w:rPr>
          <w:rFonts w:eastAsia="仿宋_GB2312"/>
          <w:color w:val="000000"/>
          <w:szCs w:val="32"/>
        </w:rPr>
        <w:t>部分：</w:t>
      </w:r>
      <w:r>
        <w:rPr>
          <w:rFonts w:eastAsia="仿宋_GB2312" w:hint="eastAsia"/>
          <w:color w:val="000000"/>
          <w:szCs w:val="32"/>
        </w:rPr>
        <w:t>刺激</w:t>
      </w:r>
      <w:r>
        <w:rPr>
          <w:rFonts w:eastAsia="仿宋_GB2312"/>
          <w:color w:val="000000"/>
          <w:szCs w:val="32"/>
        </w:rPr>
        <w:t>试验</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[24]GB/T 19633,</w:t>
      </w:r>
      <w:r>
        <w:rPr>
          <w:rFonts w:eastAsia="仿宋_GB2312"/>
          <w:color w:val="000000"/>
          <w:szCs w:val="32"/>
        </w:rPr>
        <w:t>《最终灭菌医疗器械包装》系列标准</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[25]YY</w:t>
      </w:r>
      <w:r>
        <w:rPr>
          <w:rFonts w:eastAsia="仿宋_GB2312"/>
          <w:color w:val="000000"/>
          <w:szCs w:val="32"/>
        </w:rPr>
        <w:t>/T 0313-2014,</w:t>
      </w:r>
      <w:r>
        <w:rPr>
          <w:rFonts w:eastAsia="仿宋_GB2312"/>
          <w:color w:val="000000"/>
          <w:szCs w:val="32"/>
        </w:rPr>
        <w:t>医用高分子产品</w:t>
      </w:r>
      <w:r>
        <w:rPr>
          <w:rFonts w:eastAsia="仿宋_GB2312"/>
          <w:color w:val="000000"/>
          <w:szCs w:val="32"/>
        </w:rPr>
        <w:t xml:space="preserve"> </w:t>
      </w:r>
      <w:r>
        <w:rPr>
          <w:rFonts w:eastAsia="仿宋_GB2312"/>
          <w:color w:val="000000"/>
          <w:szCs w:val="32"/>
        </w:rPr>
        <w:t>包装和制造商提供信息的要求</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[26]YY/T 0466,</w:t>
      </w:r>
      <w:r>
        <w:rPr>
          <w:rFonts w:eastAsia="仿宋_GB2312"/>
          <w:color w:val="000000"/>
          <w:szCs w:val="32"/>
        </w:rPr>
        <w:t>《医疗器械</w:t>
      </w:r>
      <w:r>
        <w:rPr>
          <w:rFonts w:eastAsia="仿宋_GB2312"/>
          <w:color w:val="000000"/>
          <w:szCs w:val="32"/>
        </w:rPr>
        <w:t xml:space="preserve"> </w:t>
      </w:r>
      <w:r>
        <w:rPr>
          <w:rFonts w:eastAsia="仿宋_GB2312"/>
          <w:color w:val="000000"/>
          <w:szCs w:val="32"/>
        </w:rPr>
        <w:t>用于医疗器械标签、标记和提供信息的符号》系列标准</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[27]YY/T 0681.1-2018,</w:t>
      </w:r>
      <w:r>
        <w:rPr>
          <w:rFonts w:eastAsia="仿宋_GB2312"/>
          <w:color w:val="000000"/>
          <w:szCs w:val="32"/>
        </w:rPr>
        <w:t>无菌医疗器械包装试验方法</w:t>
      </w:r>
      <w:r>
        <w:rPr>
          <w:rFonts w:eastAsia="仿宋_GB2312"/>
          <w:color w:val="000000"/>
          <w:szCs w:val="32"/>
        </w:rPr>
        <w:t xml:space="preserve"> </w:t>
      </w:r>
      <w:r>
        <w:rPr>
          <w:rFonts w:eastAsia="仿宋_GB2312"/>
          <w:color w:val="000000"/>
          <w:szCs w:val="32"/>
        </w:rPr>
        <w:t>第</w:t>
      </w:r>
      <w:r>
        <w:rPr>
          <w:rFonts w:eastAsia="仿宋_GB2312"/>
          <w:color w:val="000000"/>
          <w:szCs w:val="32"/>
        </w:rPr>
        <w:t>1</w:t>
      </w:r>
      <w:r>
        <w:rPr>
          <w:rFonts w:eastAsia="仿宋_GB2312"/>
          <w:color w:val="000000"/>
          <w:szCs w:val="32"/>
        </w:rPr>
        <w:t>部分：加速老化试验指南</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[28]YY/T 0681.15-2019,</w:t>
      </w:r>
      <w:r>
        <w:rPr>
          <w:rFonts w:eastAsia="仿宋_GB2312"/>
          <w:color w:val="000000"/>
          <w:szCs w:val="32"/>
        </w:rPr>
        <w:t>无菌医疗器械包装试验方法</w:t>
      </w:r>
      <w:r>
        <w:rPr>
          <w:rFonts w:eastAsia="仿宋_GB2312"/>
          <w:color w:val="000000"/>
          <w:szCs w:val="32"/>
        </w:rPr>
        <w:t xml:space="preserve"> </w:t>
      </w:r>
      <w:r>
        <w:rPr>
          <w:rFonts w:eastAsia="仿宋_GB2312"/>
          <w:color w:val="000000"/>
          <w:szCs w:val="32"/>
        </w:rPr>
        <w:t>第</w:t>
      </w:r>
      <w:r>
        <w:rPr>
          <w:rFonts w:eastAsia="仿宋_GB2312"/>
          <w:color w:val="000000"/>
          <w:szCs w:val="32"/>
        </w:rPr>
        <w:t>15</w:t>
      </w:r>
      <w:r>
        <w:rPr>
          <w:rFonts w:eastAsia="仿宋_GB2312"/>
          <w:color w:val="000000"/>
          <w:szCs w:val="32"/>
        </w:rPr>
        <w:t>部分：运输容器和系统的性能试验</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[29]YY/T 1268-2023,</w:t>
      </w:r>
      <w:r>
        <w:rPr>
          <w:rFonts w:eastAsia="仿宋_GB2312"/>
          <w:color w:val="000000"/>
          <w:szCs w:val="32"/>
        </w:rPr>
        <w:t>环氧乙烷灭菌的产品追加和过程等效</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[30]</w:t>
      </w:r>
      <w:r>
        <w:rPr>
          <w:rFonts w:eastAsia="仿宋_GB2312"/>
          <w:color w:val="000000"/>
          <w:szCs w:val="32"/>
        </w:rPr>
        <w:t>中华人民共和国药典</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[31]GB/T 14233.2-2005,</w:t>
      </w:r>
      <w:r>
        <w:rPr>
          <w:rFonts w:eastAsia="仿宋_GB2312"/>
          <w:color w:val="000000"/>
          <w:szCs w:val="32"/>
        </w:rPr>
        <w:t>医用输液、输血、注射器具检验方法</w:t>
      </w:r>
      <w:r>
        <w:rPr>
          <w:rFonts w:eastAsia="仿宋_GB2312"/>
          <w:color w:val="000000"/>
          <w:szCs w:val="32"/>
        </w:rPr>
        <w:t xml:space="preserve">  </w:t>
      </w:r>
      <w:r>
        <w:rPr>
          <w:rFonts w:eastAsia="仿宋_GB2312"/>
          <w:color w:val="000000"/>
          <w:szCs w:val="32"/>
        </w:rPr>
        <w:t>第</w:t>
      </w:r>
      <w:r>
        <w:rPr>
          <w:rFonts w:eastAsia="仿宋_GB2312"/>
          <w:color w:val="000000"/>
          <w:szCs w:val="32"/>
        </w:rPr>
        <w:t>2</w:t>
      </w:r>
      <w:r>
        <w:rPr>
          <w:rFonts w:eastAsia="仿宋_GB2312"/>
          <w:color w:val="000000"/>
          <w:szCs w:val="32"/>
        </w:rPr>
        <w:t>部分：生物学试验方法</w:t>
      </w:r>
      <w:r>
        <w:rPr>
          <w:rFonts w:eastAsia="仿宋_GB2312"/>
          <w:color w:val="000000"/>
          <w:szCs w:val="32"/>
        </w:rPr>
        <w:t>[S].</w:t>
      </w:r>
    </w:p>
    <w:p w:rsidR="002A639A" w:rsidRDefault="006441EF">
      <w:pPr>
        <w:spacing w:line="520" w:lineRule="exact"/>
        <w:ind w:rightChars="-32" w:right="-102" w:firstLineChars="200" w:firstLine="640"/>
        <w:rPr>
          <w:rFonts w:eastAsia="仿宋_GB2312"/>
          <w:color w:val="000000"/>
          <w:szCs w:val="32"/>
        </w:rPr>
      </w:pPr>
      <w:r>
        <w:rPr>
          <w:rFonts w:eastAsia="仿宋_GB2312"/>
          <w:color w:val="000000"/>
          <w:szCs w:val="32"/>
        </w:rPr>
        <w:t>[32]</w:t>
      </w:r>
      <w:r>
        <w:rPr>
          <w:rFonts w:eastAsia="仿宋_GB2312" w:hint="eastAsia"/>
          <w:color w:val="000000"/>
          <w:szCs w:val="32"/>
        </w:rPr>
        <w:t>GB/T 14233.1</w:t>
      </w:r>
      <w:r>
        <w:rPr>
          <w:rFonts w:eastAsia="仿宋_GB2312"/>
          <w:color w:val="000000"/>
          <w:szCs w:val="32"/>
        </w:rPr>
        <w:t>-2022</w:t>
      </w:r>
      <w:r>
        <w:rPr>
          <w:rFonts w:eastAsia="仿宋_GB2312" w:hint="eastAsia"/>
          <w:color w:val="000000"/>
          <w:szCs w:val="32"/>
        </w:rPr>
        <w:t>医用输液、输血、注射器具检验方法第</w:t>
      </w:r>
      <w:r>
        <w:rPr>
          <w:rFonts w:eastAsia="仿宋_GB2312" w:hint="eastAsia"/>
          <w:color w:val="000000"/>
          <w:szCs w:val="32"/>
        </w:rPr>
        <w:t>1</w:t>
      </w:r>
      <w:r>
        <w:rPr>
          <w:rFonts w:eastAsia="仿宋_GB2312" w:hint="eastAsia"/>
          <w:color w:val="000000"/>
          <w:szCs w:val="32"/>
        </w:rPr>
        <w:t>部分：化学分析方法</w:t>
      </w:r>
      <w:r>
        <w:rPr>
          <w:rFonts w:eastAsia="仿宋_GB2312"/>
          <w:color w:val="000000"/>
          <w:szCs w:val="32"/>
        </w:rPr>
        <w:t>[S].</w:t>
      </w:r>
    </w:p>
    <w:p w:rsidR="002A639A" w:rsidRDefault="002A639A">
      <w:pPr>
        <w:widowControl/>
        <w:rPr>
          <w:rFonts w:eastAsia="仿宋_GB2312"/>
          <w:color w:val="000000"/>
          <w:szCs w:val="32"/>
        </w:rPr>
      </w:pPr>
    </w:p>
    <w:p w:rsidR="002A639A" w:rsidRDefault="002A639A">
      <w:pPr>
        <w:widowControl/>
        <w:rPr>
          <w:rFonts w:eastAsia="仿宋_GB2312"/>
          <w:color w:val="000000"/>
          <w:szCs w:val="32"/>
        </w:rPr>
      </w:pPr>
    </w:p>
    <w:p w:rsidR="002A639A" w:rsidRDefault="002A639A">
      <w:pPr>
        <w:widowControl/>
        <w:rPr>
          <w:rFonts w:eastAsia="仿宋_GB2312"/>
          <w:color w:val="000000"/>
          <w:szCs w:val="32"/>
        </w:rPr>
      </w:pPr>
    </w:p>
    <w:p w:rsidR="002A639A" w:rsidRDefault="002A639A">
      <w:pPr>
        <w:widowControl/>
        <w:rPr>
          <w:rFonts w:eastAsia="仿宋_GB2312"/>
          <w:color w:val="000000"/>
          <w:szCs w:val="32"/>
        </w:rPr>
      </w:pPr>
    </w:p>
    <w:p w:rsidR="002A639A" w:rsidRDefault="002A639A">
      <w:pPr>
        <w:widowControl/>
        <w:rPr>
          <w:rFonts w:eastAsia="仿宋_GB2312"/>
          <w:color w:val="000000"/>
          <w:szCs w:val="32"/>
        </w:rPr>
      </w:pPr>
    </w:p>
    <w:p w:rsidR="002A639A" w:rsidRDefault="006441EF">
      <w:pPr>
        <w:widowControl/>
        <w:rPr>
          <w:rFonts w:eastAsia="仿宋_GB2312"/>
          <w:bCs/>
          <w:color w:val="000000"/>
          <w:szCs w:val="32"/>
        </w:rPr>
      </w:pPr>
      <w:r>
        <w:rPr>
          <w:rFonts w:eastAsia="仿宋_GB2312" w:hint="eastAsia"/>
          <w:color w:val="000000"/>
          <w:szCs w:val="32"/>
        </w:rPr>
        <w:t>附</w:t>
      </w:r>
      <w:r>
        <w:rPr>
          <w:rFonts w:eastAsia="仿宋_GB2312" w:hint="eastAsia"/>
          <w:color w:val="000000"/>
          <w:szCs w:val="32"/>
        </w:rPr>
        <w:t>录</w:t>
      </w:r>
      <w:r>
        <w:rPr>
          <w:rFonts w:eastAsia="仿宋_GB2312" w:hint="eastAsia"/>
          <w:color w:val="000000"/>
          <w:szCs w:val="32"/>
        </w:rPr>
        <w:t>：人工晶状体植入</w:t>
      </w:r>
      <w:proofErr w:type="gramStart"/>
      <w:r>
        <w:rPr>
          <w:rFonts w:eastAsia="仿宋_GB2312" w:hint="eastAsia"/>
          <w:color w:val="000000"/>
          <w:szCs w:val="32"/>
        </w:rPr>
        <w:t>器风险</w:t>
      </w:r>
      <w:proofErr w:type="gramEnd"/>
      <w:r>
        <w:rPr>
          <w:rFonts w:eastAsia="仿宋_GB2312" w:hint="eastAsia"/>
          <w:color w:val="000000"/>
          <w:szCs w:val="32"/>
        </w:rPr>
        <w:t>管理资料要求</w:t>
      </w:r>
    </w:p>
    <w:p w:rsidR="002A639A" w:rsidRDefault="006441EF">
      <w:pPr>
        <w:widowControl/>
        <w:spacing w:line="520" w:lineRule="exact"/>
        <w:rPr>
          <w:rFonts w:eastAsia="黑体"/>
          <w:bCs/>
          <w:szCs w:val="32"/>
        </w:rPr>
      </w:pPr>
      <w:r>
        <w:rPr>
          <w:rFonts w:eastAsia="黑体" w:hint="eastAsia"/>
          <w:bCs/>
          <w:szCs w:val="32"/>
        </w:rPr>
        <w:t>附录</w:t>
      </w:r>
    </w:p>
    <w:p w:rsidR="002A639A" w:rsidRDefault="006441EF">
      <w:pPr>
        <w:pStyle w:val="12"/>
        <w:ind w:firstLineChars="0" w:firstLine="0"/>
        <w:jc w:val="center"/>
        <w:rPr>
          <w:rFonts w:eastAsia="黑体"/>
        </w:rPr>
      </w:pPr>
      <w:r>
        <w:rPr>
          <w:rFonts w:eastAsia="黑体" w:hint="eastAsia"/>
        </w:rPr>
        <w:lastRenderedPageBreak/>
        <w:t>人工晶状体植入</w:t>
      </w:r>
      <w:proofErr w:type="gramStart"/>
      <w:r>
        <w:rPr>
          <w:rFonts w:eastAsia="黑体" w:hint="eastAsia"/>
        </w:rPr>
        <w:t>器风险</w:t>
      </w:r>
      <w:proofErr w:type="gramEnd"/>
      <w:r>
        <w:rPr>
          <w:rFonts w:eastAsia="黑体" w:hint="eastAsia"/>
        </w:rPr>
        <w:t>管理资料要求</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注册申请人应提供产品上市前对其风险管理活动进行全面评审所形成的风险管理报告以及相关的产品风险管理资料。该风险管理报告应说明：</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－风险管理计划已被适当地实施；</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－综合剩余风险是可接受的；</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－已有恰当的方法获得与本产品相关的包括出厂</w:t>
      </w:r>
      <w:proofErr w:type="gramStart"/>
      <w:r>
        <w:rPr>
          <w:rFonts w:eastAsia="仿宋_GB2312" w:hint="eastAsia"/>
          <w:color w:val="000000"/>
          <w:szCs w:val="32"/>
        </w:rPr>
        <w:t>后流通</w:t>
      </w:r>
      <w:proofErr w:type="gramEnd"/>
      <w:r>
        <w:rPr>
          <w:rFonts w:eastAsia="仿宋_GB2312" w:hint="eastAsia"/>
          <w:color w:val="000000"/>
          <w:szCs w:val="32"/>
        </w:rPr>
        <w:t>与临床应用的信息。</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除此之外，风险管理报告还应扼要说明：</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－在产品研制的初期阶段，对风险管理活动的策划，和所形成的风险管理计划；</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－说明已识别了产品的有关可能的危害，并对其危害产生的风险进行了估计和评价；</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－在降低风险措施方面，考虑了相关安全标准和相关产品标准，并有针对性地实施了降低风险的技术和管理方面的措施。</w:t>
      </w:r>
    </w:p>
    <w:p w:rsidR="002A639A" w:rsidRDefault="006441EF">
      <w:pPr>
        <w:spacing w:line="520" w:lineRule="exact"/>
        <w:ind w:firstLineChars="200" w:firstLine="640"/>
        <w:rPr>
          <w:rFonts w:eastAsia="仿宋_GB2312"/>
          <w:color w:val="000000"/>
          <w:szCs w:val="32"/>
        </w:rPr>
      </w:pPr>
      <w:r>
        <w:rPr>
          <w:rFonts w:eastAsia="仿宋_GB2312" w:hint="eastAsia"/>
          <w:color w:val="000000"/>
          <w:szCs w:val="32"/>
        </w:rPr>
        <w:t>应关注人工晶状体植入器产品的常见危险示例详见下表。</w:t>
      </w:r>
    </w:p>
    <w:p w:rsidR="002A639A" w:rsidRDefault="002A639A">
      <w:pPr>
        <w:ind w:firstLineChars="200" w:firstLine="640"/>
        <w:rPr>
          <w:rFonts w:eastAsia="仿宋_GB2312"/>
        </w:rPr>
      </w:pPr>
    </w:p>
    <w:p w:rsidR="002A639A" w:rsidRDefault="006441EF">
      <w:pPr>
        <w:pStyle w:val="12"/>
        <w:ind w:firstLineChars="0" w:firstLine="0"/>
        <w:jc w:val="center"/>
        <w:rPr>
          <w:rFonts w:eastAsia="黑体"/>
        </w:rPr>
      </w:pPr>
      <w:r>
        <w:rPr>
          <w:rFonts w:eastAsia="黑体"/>
        </w:rPr>
        <w:t>产品主要危害</w:t>
      </w:r>
      <w:r>
        <w:rPr>
          <w:rFonts w:eastAsia="黑体" w:hint="eastAsia"/>
        </w:rPr>
        <w:t>示例</w:t>
      </w:r>
    </w:p>
    <w:p w:rsidR="002A639A" w:rsidRDefault="002A639A">
      <w:pPr>
        <w:ind w:firstLineChars="200" w:firstLine="640"/>
        <w:rPr>
          <w:rFonts w:eastAsia="仿宋_GB2312"/>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398"/>
        <w:gridCol w:w="2656"/>
        <w:gridCol w:w="3370"/>
      </w:tblGrid>
      <w:tr w:rsidR="002A639A">
        <w:trPr>
          <w:trHeight w:val="494"/>
          <w:tblCellSpacing w:w="0" w:type="dxa"/>
          <w:jc w:val="center"/>
        </w:trPr>
        <w:tc>
          <w:tcPr>
            <w:tcW w:w="2290" w:type="dxa"/>
            <w:gridSpan w:val="2"/>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危险的分类</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危险的形成因素</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可能的后果</w:t>
            </w:r>
          </w:p>
        </w:tc>
      </w:tr>
      <w:tr w:rsidR="002A639A">
        <w:trPr>
          <w:trHeight w:val="1701"/>
          <w:tblCellSpacing w:w="0" w:type="dxa"/>
          <w:jc w:val="center"/>
        </w:trPr>
        <w:tc>
          <w:tcPr>
            <w:tcW w:w="876" w:type="dxa"/>
            <w:vMerge w:val="restart"/>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生物学危险</w:t>
            </w:r>
          </w:p>
          <w:p w:rsidR="002A639A" w:rsidRDefault="006441EF">
            <w:pPr>
              <w:spacing w:line="400" w:lineRule="exact"/>
              <w:jc w:val="left"/>
              <w:rPr>
                <w:rFonts w:eastAsia="仿宋_GB2312"/>
                <w:sz w:val="28"/>
                <w:szCs w:val="28"/>
              </w:rPr>
            </w:pPr>
            <w:r>
              <w:rPr>
                <w:rFonts w:eastAsia="仿宋_GB2312" w:hint="eastAsia"/>
                <w:sz w:val="28"/>
                <w:szCs w:val="28"/>
              </w:rPr>
              <w:t> </w:t>
            </w: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生物污染</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生产环境控制不好、灭菌操作不严格、包装破损、使用时未按照无菌操作技术操作</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产品带菌，引起患者眼睛感染</w:t>
            </w:r>
          </w:p>
        </w:tc>
      </w:tr>
      <w:tr w:rsidR="002A639A">
        <w:trPr>
          <w:trHeight w:val="2154"/>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生物不相容性</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采用不合格的原辅材料、其他加工助剂残留、成品环氧乙烷残留</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毒性或刺激反应</w:t>
            </w:r>
          </w:p>
        </w:tc>
      </w:tr>
      <w:tr w:rsidR="002A639A">
        <w:trPr>
          <w:trHeight w:val="1120"/>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不正确的配方</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未按照工艺要求配料，添加剂或助剂使用比例不当</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造成毒性危险</w:t>
            </w:r>
          </w:p>
        </w:tc>
      </w:tr>
      <w:tr w:rsidR="002A639A">
        <w:trPr>
          <w:trHeight w:val="20"/>
          <w:tblCellSpacing w:w="0" w:type="dxa"/>
          <w:jc w:val="center"/>
        </w:trPr>
        <w:tc>
          <w:tcPr>
            <w:tcW w:w="876" w:type="dxa"/>
            <w:vMerge w:val="restart"/>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环境危险</w:t>
            </w: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储运不当</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储运条件（如温度、湿度）不符合要求</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产品无菌屏障损坏或有效期缩短</w:t>
            </w:r>
          </w:p>
        </w:tc>
      </w:tr>
      <w:tr w:rsidR="002A639A">
        <w:trPr>
          <w:trHeight w:val="20"/>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意外的机械破坏</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储运、使用过程中发生意外的机械性破坏</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产品染菌或使用性能无法得到保证</w:t>
            </w:r>
          </w:p>
        </w:tc>
      </w:tr>
      <w:tr w:rsidR="002A639A">
        <w:trPr>
          <w:trHeight w:val="2551"/>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由于废物和（或）医疗器械处置的污染</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使用后的产品没有按照要求集中销毁</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造成医院环境污染</w:t>
            </w:r>
          </w:p>
        </w:tc>
      </w:tr>
      <w:tr w:rsidR="002A639A">
        <w:trPr>
          <w:trHeight w:val="937"/>
          <w:tblCellSpacing w:w="0" w:type="dxa"/>
          <w:jc w:val="center"/>
        </w:trPr>
        <w:tc>
          <w:tcPr>
            <w:tcW w:w="876" w:type="dxa"/>
            <w:vMerge w:val="restart"/>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与医疗器械使用有关的危险</w:t>
            </w:r>
          </w:p>
          <w:p w:rsidR="002A639A" w:rsidRDefault="006441EF">
            <w:pPr>
              <w:spacing w:line="400" w:lineRule="exact"/>
              <w:jc w:val="left"/>
              <w:rPr>
                <w:rFonts w:eastAsia="仿宋_GB2312"/>
                <w:sz w:val="28"/>
                <w:szCs w:val="28"/>
              </w:rPr>
            </w:pPr>
            <w:r>
              <w:rPr>
                <w:rFonts w:eastAsia="仿宋_GB2312" w:hint="eastAsia"/>
                <w:sz w:val="28"/>
                <w:szCs w:val="28"/>
              </w:rPr>
              <w:t> </w:t>
            </w: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不适当的标记</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标记不清</w:t>
            </w:r>
            <w:proofErr w:type="gramStart"/>
            <w:r>
              <w:rPr>
                <w:rFonts w:eastAsia="仿宋_GB2312" w:hint="eastAsia"/>
                <w:sz w:val="28"/>
                <w:szCs w:val="28"/>
              </w:rPr>
              <w:t>晰</w:t>
            </w:r>
            <w:proofErr w:type="gramEnd"/>
            <w:r>
              <w:rPr>
                <w:rFonts w:eastAsia="仿宋_GB2312" w:hint="eastAsia"/>
                <w:sz w:val="28"/>
                <w:szCs w:val="28"/>
              </w:rPr>
              <w:t>、错误、没有按照要求进行标记</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错误使用，重复使用，辨别错误</w:t>
            </w:r>
          </w:p>
        </w:tc>
      </w:tr>
      <w:tr w:rsidR="002A639A">
        <w:trPr>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不适当的操作说明</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操作要点不突出，无法识别；由不熟练</w:t>
            </w:r>
            <w:r>
              <w:rPr>
                <w:rFonts w:eastAsia="仿宋_GB2312" w:hint="eastAsia"/>
                <w:sz w:val="28"/>
                <w:szCs w:val="28"/>
              </w:rPr>
              <w:t>/</w:t>
            </w:r>
            <w:r>
              <w:rPr>
                <w:rFonts w:eastAsia="仿宋_GB2312" w:hint="eastAsia"/>
                <w:sz w:val="28"/>
                <w:szCs w:val="28"/>
              </w:rPr>
              <w:t>未经培训的人员使用；拔管操作不规范</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造成巩膜损伤</w:t>
            </w:r>
            <w:r>
              <w:rPr>
                <w:rFonts w:eastAsia="仿宋_GB2312" w:hint="eastAsia"/>
                <w:sz w:val="28"/>
                <w:szCs w:val="28"/>
              </w:rPr>
              <w:t xml:space="preserve"> </w:t>
            </w:r>
          </w:p>
        </w:tc>
      </w:tr>
      <w:tr w:rsidR="002A639A">
        <w:trPr>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合理可预见的误用</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规格型号选用错误</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导致人工晶状体无法推注至前房</w:t>
            </w:r>
          </w:p>
        </w:tc>
      </w:tr>
      <w:tr w:rsidR="002A639A">
        <w:trPr>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对副作用的警告不充分</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对操作人员警示不足</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患者出现过敏、刺激反应</w:t>
            </w:r>
          </w:p>
        </w:tc>
      </w:tr>
      <w:tr w:rsidR="002A639A">
        <w:trPr>
          <w:tblCellSpacing w:w="0" w:type="dxa"/>
          <w:jc w:val="center"/>
        </w:trPr>
        <w:tc>
          <w:tcPr>
            <w:tcW w:w="0" w:type="auto"/>
            <w:vMerge/>
            <w:tcBorders>
              <w:tl2br w:val="nil"/>
              <w:tr2bl w:val="nil"/>
            </w:tcBorders>
            <w:vAlign w:val="center"/>
          </w:tcPr>
          <w:p w:rsidR="002A639A" w:rsidRDefault="002A639A">
            <w:pPr>
              <w:spacing w:line="400" w:lineRule="exact"/>
              <w:jc w:val="left"/>
              <w:rPr>
                <w:rFonts w:eastAsia="仿宋_GB2312"/>
                <w:sz w:val="28"/>
                <w:szCs w:val="28"/>
              </w:rPr>
            </w:pP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对一次性使用医疗器械很可能再次使用的危险警告不适当</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重复使用</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交叉感染</w:t>
            </w:r>
          </w:p>
        </w:tc>
      </w:tr>
      <w:tr w:rsidR="002A639A">
        <w:trPr>
          <w:tblCellSpacing w:w="0" w:type="dxa"/>
          <w:jc w:val="center"/>
        </w:trPr>
        <w:tc>
          <w:tcPr>
            <w:tcW w:w="876"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lastRenderedPageBreak/>
              <w:t>功能失效、老化引起的危险</w:t>
            </w:r>
          </w:p>
        </w:tc>
        <w:tc>
          <w:tcPr>
            <w:tcW w:w="1414"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对医疗器械寿命终止缺少适当的决定</w:t>
            </w:r>
          </w:p>
        </w:tc>
        <w:tc>
          <w:tcPr>
            <w:tcW w:w="275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超出有效期的产品被使用</w:t>
            </w:r>
          </w:p>
        </w:tc>
        <w:tc>
          <w:tcPr>
            <w:tcW w:w="3501" w:type="dxa"/>
            <w:tcBorders>
              <w:tl2br w:val="nil"/>
              <w:tr2bl w:val="nil"/>
            </w:tcBorders>
            <w:vAlign w:val="center"/>
          </w:tcPr>
          <w:p w:rsidR="002A639A" w:rsidRDefault="006441EF">
            <w:pPr>
              <w:spacing w:line="400" w:lineRule="exact"/>
              <w:jc w:val="left"/>
              <w:rPr>
                <w:rFonts w:eastAsia="仿宋_GB2312"/>
                <w:sz w:val="28"/>
                <w:szCs w:val="28"/>
              </w:rPr>
            </w:pPr>
            <w:r>
              <w:rPr>
                <w:rFonts w:eastAsia="仿宋_GB2312" w:hint="eastAsia"/>
                <w:sz w:val="28"/>
                <w:szCs w:val="28"/>
              </w:rPr>
              <w:t>患者感染或产品无法满足临床使用</w:t>
            </w:r>
          </w:p>
        </w:tc>
      </w:tr>
    </w:tbl>
    <w:p w:rsidR="002A639A" w:rsidRDefault="002A639A">
      <w:pPr>
        <w:spacing w:line="400" w:lineRule="exact"/>
        <w:jc w:val="left"/>
        <w:rPr>
          <w:rFonts w:eastAsia="仿宋_GB2312"/>
          <w:sz w:val="28"/>
          <w:szCs w:val="28"/>
        </w:rPr>
      </w:pPr>
    </w:p>
    <w:sectPr w:rsidR="002A639A">
      <w:footerReference w:type="default" r:id="rId8"/>
      <w:pgSz w:w="11906" w:h="16838"/>
      <w:pgMar w:top="1440" w:right="1800" w:bottom="1440" w:left="1800" w:header="851" w:footer="992" w:gutter="0"/>
      <w:lnNumType w:countBy="1" w:restart="continuous"/>
      <w:cols w:space="425"/>
      <w:docGrid w:type="lines"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1EF" w:rsidRDefault="006441EF">
      <w:r>
        <w:separator/>
      </w:r>
    </w:p>
  </w:endnote>
  <w:endnote w:type="continuationSeparator" w:id="0">
    <w:p w:rsidR="006441EF" w:rsidRDefault="00644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DejaVu Sans"/>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dobe 仿宋 Std R">
    <w:altName w:val="仿宋"/>
    <w:charset w:val="86"/>
    <w:family w:val="roman"/>
    <w:pitch w:val="default"/>
    <w:sig w:usb0="00000000" w:usb1="00000000" w:usb2="00000016" w:usb3="00000000" w:csb0="00060007" w:csb1="00000000"/>
  </w:font>
  <w:font w:name="Calibri Light">
    <w:panose1 w:val="020F0302020204030204"/>
    <w:charset w:val="00"/>
    <w:family w:val="swiss"/>
    <w:pitch w:val="variable"/>
    <w:sig w:usb0="E4002EFF" w:usb1="C200247B" w:usb2="00000009" w:usb3="00000000" w:csb0="000001FF" w:csb1="00000000"/>
  </w:font>
  <w:font w:name="DejaVu Sans">
    <w:altName w:val="Arial"/>
    <w:charset w:val="00"/>
    <w:family w:val="auto"/>
    <w:pitch w:val="default"/>
    <w:sig w:usb0="00000000" w:usb1="00000000" w:usb2="0A246029" w:usb3="0400200C" w:csb0="600001FF" w:csb1="DFFF0000"/>
  </w:font>
  <w:font w:name="Tahoma">
    <w:panose1 w:val="020B0604030504040204"/>
    <w:charset w:val="00"/>
    <w:family w:val="swiss"/>
    <w:pitch w:val="variable"/>
    <w:sig w:usb0="E1002EFF" w:usb1="C000605B" w:usb2="00000029" w:usb3="00000000" w:csb0="000101FF" w:csb1="00000000"/>
  </w:font>
  <w:font w:name="微软雅黑">
    <w:altName w:val="黑体"/>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39A" w:rsidRDefault="006441EF">
    <w:pPr>
      <w:pStyle w:val="a8"/>
      <w:ind w:firstLine="562"/>
      <w:jc w:val="right"/>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C2390E" w:rsidRPr="00C2390E">
      <w:rPr>
        <w:noProof/>
        <w:sz w:val="28"/>
        <w:szCs w:val="28"/>
        <w:lang w:val="zh-CN"/>
      </w:rPr>
      <w:t>16</w:t>
    </w:r>
    <w:r>
      <w:rPr>
        <w:sz w:val="28"/>
        <w:szCs w:val="28"/>
      </w:rPr>
      <w:fldChar w:fldCharType="end"/>
    </w:r>
    <w:r>
      <w:rPr>
        <w:sz w:val="28"/>
        <w:szCs w:val="28"/>
      </w:rPr>
      <w:t xml:space="preserve"> —</w:t>
    </w:r>
  </w:p>
  <w:p w:rsidR="002A639A" w:rsidRDefault="006441EF">
    <w:pPr>
      <w:pStyle w:val="a8"/>
    </w:pPr>
    <w:r>
      <w:rPr>
        <w:noProof/>
      </w:rPr>
      <mc:AlternateContent>
        <mc:Choice Requires="wps">
          <w:drawing>
            <wp:anchor distT="0" distB="0" distL="114300" distR="114300" simplePos="0" relativeHeight="251659264" behindDoc="0" locked="0" layoutInCell="1" allowOverlap="1">
              <wp:simplePos x="0" y="0"/>
              <wp:positionH relativeFrom="margin">
                <wp:posOffset>2615565</wp:posOffset>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2A639A" w:rsidRDefault="006441EF">
                          <w:pPr>
                            <w:snapToGrid w:val="0"/>
                            <w:rPr>
                              <w:sz w:val="18"/>
                            </w:rPr>
                          </w:pPr>
                          <w:r>
                            <w:rPr>
                              <w:sz w:val="18"/>
                            </w:rPr>
                            <w:fldChar w:fldCharType="begin"/>
                          </w:r>
                          <w:r>
                            <w:rPr>
                              <w:sz w:val="18"/>
                            </w:rPr>
                            <w:instrText xml:space="preserve"> PAGE  \* MERGEFORMAT </w:instrText>
                          </w:r>
                          <w:r>
                            <w:rPr>
                              <w:sz w:val="18"/>
                            </w:rPr>
                            <w:fldChar w:fldCharType="separate"/>
                          </w:r>
                          <w:r w:rsidR="00C2390E">
                            <w:rPr>
                              <w:noProof/>
                              <w:sz w:val="18"/>
                            </w:rPr>
                            <w:t>16</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205.95pt;margin-top:0;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" filled="f" stroked="f" strokeweight=".5pt">
              <v:textbox style="mso-fit-shape-to-text:t" inset="0,0,0,0">
                <w:txbxContent>
                  <w:p w:rsidR="002A639A" w:rsidRDefault="006441EF">
                    <w:pPr>
                      <w:snapToGrid w:val="0"/>
                      <w:rPr>
                        <w:sz w:val="18"/>
                      </w:rPr>
                    </w:pPr>
                    <w:r>
                      <w:rPr>
                        <w:sz w:val="18"/>
                      </w:rPr>
                      <w:fldChar w:fldCharType="begin"/>
                    </w:r>
                    <w:r>
                      <w:rPr>
                        <w:sz w:val="18"/>
                      </w:rPr>
                      <w:instrText xml:space="preserve"> PAGE  \* MERGEFORMAT </w:instrText>
                    </w:r>
                    <w:r>
                      <w:rPr>
                        <w:sz w:val="18"/>
                      </w:rPr>
                      <w:fldChar w:fldCharType="separate"/>
                    </w:r>
                    <w:r w:rsidR="00C2390E">
                      <w:rPr>
                        <w:noProof/>
                        <w:sz w:val="18"/>
                      </w:rPr>
                      <w:t>16</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1EF" w:rsidRDefault="006441EF">
      <w:r>
        <w:separator/>
      </w:r>
    </w:p>
  </w:footnote>
  <w:footnote w:type="continuationSeparator" w:id="0">
    <w:p w:rsidR="006441EF" w:rsidRDefault="00644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20"/>
  <w:drawingGridHorizontalSpacing w:val="160"/>
  <w:drawingGridVerticalSpacing w:val="435"/>
  <w:displayHorizontalDrawingGridEvery w:val="0"/>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3ZDQwMmNiOWFlYzZjYTcwOWJiZGQ0YTA5ODBmZGUifQ=="/>
  </w:docVars>
  <w:rsids>
    <w:rsidRoot w:val="00787F7E"/>
    <w:rsid w:val="DEF70035"/>
    <w:rsid w:val="DFFFE17D"/>
    <w:rsid w:val="ED776AC6"/>
    <w:rsid w:val="EF9F915E"/>
    <w:rsid w:val="FB7B3ABB"/>
    <w:rsid w:val="FBB7C68F"/>
    <w:rsid w:val="FDF752B8"/>
    <w:rsid w:val="FF7F9E8F"/>
    <w:rsid w:val="0005382D"/>
    <w:rsid w:val="000567EF"/>
    <w:rsid w:val="0007686E"/>
    <w:rsid w:val="000C6CA4"/>
    <w:rsid w:val="000D3847"/>
    <w:rsid w:val="000E5335"/>
    <w:rsid w:val="000E6725"/>
    <w:rsid w:val="00104504"/>
    <w:rsid w:val="00141137"/>
    <w:rsid w:val="00143B97"/>
    <w:rsid w:val="00145167"/>
    <w:rsid w:val="0015144A"/>
    <w:rsid w:val="0015622E"/>
    <w:rsid w:val="001C3A87"/>
    <w:rsid w:val="001E0961"/>
    <w:rsid w:val="001F0D7D"/>
    <w:rsid w:val="00212253"/>
    <w:rsid w:val="002340F4"/>
    <w:rsid w:val="002403EB"/>
    <w:rsid w:val="00242375"/>
    <w:rsid w:val="00242AB2"/>
    <w:rsid w:val="00244DF7"/>
    <w:rsid w:val="002459EF"/>
    <w:rsid w:val="00252228"/>
    <w:rsid w:val="00277473"/>
    <w:rsid w:val="00291759"/>
    <w:rsid w:val="00294D2B"/>
    <w:rsid w:val="002A639A"/>
    <w:rsid w:val="002B24A0"/>
    <w:rsid w:val="002C5962"/>
    <w:rsid w:val="002F2978"/>
    <w:rsid w:val="0030368E"/>
    <w:rsid w:val="003137C1"/>
    <w:rsid w:val="00317F6A"/>
    <w:rsid w:val="00332DE8"/>
    <w:rsid w:val="003450A4"/>
    <w:rsid w:val="00355421"/>
    <w:rsid w:val="0036369D"/>
    <w:rsid w:val="00365AB2"/>
    <w:rsid w:val="00382BC3"/>
    <w:rsid w:val="00393C1E"/>
    <w:rsid w:val="00393FAD"/>
    <w:rsid w:val="003B5AA5"/>
    <w:rsid w:val="003E1C3E"/>
    <w:rsid w:val="00410598"/>
    <w:rsid w:val="00435AC6"/>
    <w:rsid w:val="004378F1"/>
    <w:rsid w:val="00440708"/>
    <w:rsid w:val="004410B9"/>
    <w:rsid w:val="004B4075"/>
    <w:rsid w:val="004C4DBC"/>
    <w:rsid w:val="004E39ED"/>
    <w:rsid w:val="004E731F"/>
    <w:rsid w:val="005041BA"/>
    <w:rsid w:val="0052112F"/>
    <w:rsid w:val="00526B27"/>
    <w:rsid w:val="00534F4C"/>
    <w:rsid w:val="005531A6"/>
    <w:rsid w:val="005A1410"/>
    <w:rsid w:val="005A204F"/>
    <w:rsid w:val="006425E6"/>
    <w:rsid w:val="006441EF"/>
    <w:rsid w:val="00662774"/>
    <w:rsid w:val="00681770"/>
    <w:rsid w:val="006A1165"/>
    <w:rsid w:val="006C00CB"/>
    <w:rsid w:val="006E68A9"/>
    <w:rsid w:val="006E7148"/>
    <w:rsid w:val="00702D93"/>
    <w:rsid w:val="00716619"/>
    <w:rsid w:val="00745098"/>
    <w:rsid w:val="0075485D"/>
    <w:rsid w:val="007646FC"/>
    <w:rsid w:val="00765FAD"/>
    <w:rsid w:val="00771577"/>
    <w:rsid w:val="00773223"/>
    <w:rsid w:val="00782961"/>
    <w:rsid w:val="00787F7E"/>
    <w:rsid w:val="007904F6"/>
    <w:rsid w:val="007A39C6"/>
    <w:rsid w:val="007D341A"/>
    <w:rsid w:val="007D376C"/>
    <w:rsid w:val="007F57CA"/>
    <w:rsid w:val="00815364"/>
    <w:rsid w:val="00821079"/>
    <w:rsid w:val="008241DA"/>
    <w:rsid w:val="00845C30"/>
    <w:rsid w:val="00860236"/>
    <w:rsid w:val="00864A00"/>
    <w:rsid w:val="00933041"/>
    <w:rsid w:val="00937F0E"/>
    <w:rsid w:val="009572AF"/>
    <w:rsid w:val="00960346"/>
    <w:rsid w:val="009A7713"/>
    <w:rsid w:val="009B0D0E"/>
    <w:rsid w:val="009C041C"/>
    <w:rsid w:val="009D3C1E"/>
    <w:rsid w:val="009E2514"/>
    <w:rsid w:val="009F209D"/>
    <w:rsid w:val="009F39E6"/>
    <w:rsid w:val="00A23BB8"/>
    <w:rsid w:val="00A23EC2"/>
    <w:rsid w:val="00A25C1A"/>
    <w:rsid w:val="00A31C4D"/>
    <w:rsid w:val="00A54407"/>
    <w:rsid w:val="00A73BFE"/>
    <w:rsid w:val="00AA3B74"/>
    <w:rsid w:val="00AB15BE"/>
    <w:rsid w:val="00AB2503"/>
    <w:rsid w:val="00B001A2"/>
    <w:rsid w:val="00B22F7D"/>
    <w:rsid w:val="00B35413"/>
    <w:rsid w:val="00B3781B"/>
    <w:rsid w:val="00B41578"/>
    <w:rsid w:val="00B439C5"/>
    <w:rsid w:val="00B6191F"/>
    <w:rsid w:val="00B66355"/>
    <w:rsid w:val="00B67D86"/>
    <w:rsid w:val="00B73F00"/>
    <w:rsid w:val="00B7683D"/>
    <w:rsid w:val="00B9118A"/>
    <w:rsid w:val="00BB0706"/>
    <w:rsid w:val="00BB4EF0"/>
    <w:rsid w:val="00BC2983"/>
    <w:rsid w:val="00BC7C84"/>
    <w:rsid w:val="00BD1993"/>
    <w:rsid w:val="00BD300F"/>
    <w:rsid w:val="00BE669C"/>
    <w:rsid w:val="00C0562D"/>
    <w:rsid w:val="00C2390E"/>
    <w:rsid w:val="00C2508E"/>
    <w:rsid w:val="00C25F69"/>
    <w:rsid w:val="00C36CED"/>
    <w:rsid w:val="00C405B7"/>
    <w:rsid w:val="00C40950"/>
    <w:rsid w:val="00C4222F"/>
    <w:rsid w:val="00C74CE1"/>
    <w:rsid w:val="00C74F17"/>
    <w:rsid w:val="00C90D68"/>
    <w:rsid w:val="00C92650"/>
    <w:rsid w:val="00CA68C1"/>
    <w:rsid w:val="00CB4CCD"/>
    <w:rsid w:val="00CC1A47"/>
    <w:rsid w:val="00CC7C3F"/>
    <w:rsid w:val="00CF69C8"/>
    <w:rsid w:val="00D24CDB"/>
    <w:rsid w:val="00D30D22"/>
    <w:rsid w:val="00D32614"/>
    <w:rsid w:val="00D36F91"/>
    <w:rsid w:val="00D4450D"/>
    <w:rsid w:val="00D728B2"/>
    <w:rsid w:val="00DD740E"/>
    <w:rsid w:val="00DF5D2A"/>
    <w:rsid w:val="00E07E6A"/>
    <w:rsid w:val="00E11D78"/>
    <w:rsid w:val="00E72EF4"/>
    <w:rsid w:val="00EB1A04"/>
    <w:rsid w:val="00EC256B"/>
    <w:rsid w:val="00EC523A"/>
    <w:rsid w:val="00ED0226"/>
    <w:rsid w:val="00EE261B"/>
    <w:rsid w:val="00EE4EBB"/>
    <w:rsid w:val="00EE583C"/>
    <w:rsid w:val="00EF15CA"/>
    <w:rsid w:val="00F121A8"/>
    <w:rsid w:val="00F31CB3"/>
    <w:rsid w:val="00F51B96"/>
    <w:rsid w:val="00F81D1A"/>
    <w:rsid w:val="00FB46B2"/>
    <w:rsid w:val="00FF0F38"/>
    <w:rsid w:val="05A917FF"/>
    <w:rsid w:val="05D1617E"/>
    <w:rsid w:val="05F54156"/>
    <w:rsid w:val="0CA25ADE"/>
    <w:rsid w:val="172956FD"/>
    <w:rsid w:val="272730B1"/>
    <w:rsid w:val="29D238DE"/>
    <w:rsid w:val="2C520295"/>
    <w:rsid w:val="2F230642"/>
    <w:rsid w:val="3C83601B"/>
    <w:rsid w:val="3EE30952"/>
    <w:rsid w:val="4EE87A64"/>
    <w:rsid w:val="515371F8"/>
    <w:rsid w:val="5159722E"/>
    <w:rsid w:val="51D3684D"/>
    <w:rsid w:val="52EA224B"/>
    <w:rsid w:val="54B76B30"/>
    <w:rsid w:val="5B746366"/>
    <w:rsid w:val="5BEA1F80"/>
    <w:rsid w:val="68AD29CC"/>
    <w:rsid w:val="68E3245D"/>
    <w:rsid w:val="6B737129"/>
    <w:rsid w:val="6DEB0194"/>
    <w:rsid w:val="707C3028"/>
    <w:rsid w:val="71E61A86"/>
    <w:rsid w:val="76481A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3E28B1F"/>
  <w15:docId w15:val="{93C80E8F-A897-4A99-8BED-0E368199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Adobe 仿宋 Std R" w:hAnsi="Times New Roman" w:cs="Times New Roman"/>
      <w:kern w:val="2"/>
      <w:sz w:val="32"/>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Cs w:val="32"/>
    </w:rPr>
  </w:style>
  <w:style w:type="paragraph" w:styleId="3">
    <w:name w:val="heading 3"/>
    <w:basedOn w:val="a"/>
    <w:next w:val="a"/>
    <w:link w:val="30"/>
    <w:uiPriority w:val="9"/>
    <w:unhideWhenUsed/>
    <w:qFormat/>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uiPriority w:val="99"/>
    <w:qFormat/>
    <w:rPr>
      <w:rFonts w:ascii="宋体"/>
      <w:kern w:val="0"/>
      <w:sz w:val="20"/>
      <w:szCs w:val="21"/>
    </w:rPr>
  </w:style>
  <w:style w:type="paragraph" w:styleId="a6">
    <w:name w:val="Balloon Text"/>
    <w:basedOn w:val="a"/>
    <w:link w:val="a7"/>
    <w:uiPriority w:val="99"/>
    <w:semiHidden/>
    <w:unhideWhenUsed/>
    <w:qFormat/>
    <w:rPr>
      <w:sz w:val="18"/>
      <w:szCs w:val="18"/>
    </w:rPr>
  </w:style>
  <w:style w:type="paragraph" w:styleId="a8">
    <w:name w:val="footer"/>
    <w:basedOn w:val="a"/>
    <w:uiPriority w:val="99"/>
    <w:unhideWhenUsed/>
    <w:qFormat/>
    <w:pPr>
      <w:tabs>
        <w:tab w:val="center" w:pos="4153"/>
        <w:tab w:val="right" w:pos="8306"/>
      </w:tabs>
      <w:snapToGrid w:val="0"/>
      <w:jc w:val="left"/>
    </w:pPr>
    <w:rPr>
      <w:sz w:val="18"/>
    </w:rPr>
  </w:style>
  <w:style w:type="paragraph" w:styleId="a9">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a">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rPr>
  </w:style>
  <w:style w:type="paragraph" w:styleId="ab">
    <w:name w:val="annotation subject"/>
    <w:basedOn w:val="a3"/>
    <w:next w:val="a3"/>
    <w:link w:val="ac"/>
    <w:uiPriority w:val="99"/>
    <w:semiHidden/>
    <w:unhideWhenUsed/>
    <w:qFormat/>
    <w:rPr>
      <w:b/>
      <w:bCs/>
    </w:rPr>
  </w:style>
  <w:style w:type="character" w:styleId="ad">
    <w:name w:val="line number"/>
    <w:basedOn w:val="a0"/>
    <w:uiPriority w:val="99"/>
    <w:semiHidden/>
    <w:unhideWhenUsed/>
    <w:qFormat/>
  </w:style>
  <w:style w:type="character" w:styleId="ae">
    <w:name w:val="annotation reference"/>
    <w:basedOn w:val="a0"/>
    <w:uiPriority w:val="99"/>
    <w:semiHidden/>
    <w:unhideWhenUsed/>
    <w:qFormat/>
    <w:rPr>
      <w:sz w:val="21"/>
      <w:szCs w:val="21"/>
    </w:rPr>
  </w:style>
  <w:style w:type="paragraph" w:styleId="af">
    <w:name w:val="No Spacing"/>
    <w:qFormat/>
    <w:pPr>
      <w:adjustRightInd w:val="0"/>
      <w:snapToGrid w:val="0"/>
    </w:pPr>
    <w:rPr>
      <w:rFonts w:ascii="Tahoma" w:eastAsia="微软雅黑" w:hAnsi="Tahoma" w:cs="Times New Roman"/>
      <w:sz w:val="22"/>
      <w:szCs w:val="22"/>
    </w:rPr>
  </w:style>
  <w:style w:type="paragraph" w:customStyle="1" w:styleId="11">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0"/>
    <w:link w:val="11"/>
    <w:uiPriority w:val="34"/>
    <w:qFormat/>
    <w:rPr>
      <w:rFonts w:ascii="Times New Roman" w:eastAsia="仿宋_GB2312" w:hAnsi="Times New Roman" w:cs="Times New Roman"/>
      <w:sz w:val="32"/>
      <w:szCs w:val="32"/>
    </w:rPr>
  </w:style>
  <w:style w:type="character" w:customStyle="1" w:styleId="a7">
    <w:name w:val="批注框文本 字符"/>
    <w:basedOn w:val="a0"/>
    <w:link w:val="a6"/>
    <w:uiPriority w:val="99"/>
    <w:semiHidden/>
    <w:qFormat/>
    <w:rPr>
      <w:rFonts w:ascii="Times New Roman" w:eastAsia="Adobe 仿宋 Std R" w:hAnsi="Times New Roman" w:cs="Times New Roman"/>
      <w:kern w:val="2"/>
      <w:sz w:val="18"/>
      <w:szCs w:val="18"/>
    </w:rPr>
  </w:style>
  <w:style w:type="paragraph" w:styleId="af0">
    <w:name w:val="List Paragraph"/>
    <w:basedOn w:val="a"/>
    <w:uiPriority w:val="99"/>
    <w:unhideWhenUsed/>
    <w:qFormat/>
    <w:pPr>
      <w:ind w:firstLineChars="200" w:firstLine="420"/>
    </w:pPr>
  </w:style>
  <w:style w:type="character" w:customStyle="1" w:styleId="a4">
    <w:name w:val="批注文字 字符"/>
    <w:basedOn w:val="a0"/>
    <w:link w:val="a3"/>
    <w:uiPriority w:val="99"/>
    <w:semiHidden/>
    <w:qFormat/>
    <w:rPr>
      <w:rFonts w:ascii="Times New Roman" w:eastAsia="Adobe 仿宋 Std R" w:hAnsi="Times New Roman" w:cs="Times New Roman"/>
      <w:kern w:val="2"/>
      <w:sz w:val="32"/>
      <w:szCs w:val="24"/>
    </w:rPr>
  </w:style>
  <w:style w:type="character" w:customStyle="1" w:styleId="ac">
    <w:name w:val="批注主题 字符"/>
    <w:basedOn w:val="a4"/>
    <w:link w:val="ab"/>
    <w:uiPriority w:val="99"/>
    <w:semiHidden/>
    <w:qFormat/>
    <w:rPr>
      <w:rFonts w:ascii="Times New Roman" w:eastAsia="Adobe 仿宋 Std R" w:hAnsi="Times New Roman" w:cs="Times New Roman"/>
      <w:b/>
      <w:bCs/>
      <w:kern w:val="2"/>
      <w:sz w:val="32"/>
      <w:szCs w:val="24"/>
    </w:rPr>
  </w:style>
  <w:style w:type="character" w:customStyle="1" w:styleId="10">
    <w:name w:val="标题 1 字符"/>
    <w:basedOn w:val="a0"/>
    <w:link w:val="1"/>
    <w:uiPriority w:val="9"/>
    <w:qFormat/>
    <w:rPr>
      <w:rFonts w:ascii="Times New Roman" w:eastAsia="Adobe 仿宋 Std R" w:hAnsi="Times New Roman" w:cs="Times New Roman"/>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qFormat/>
    <w:rPr>
      <w:rFonts w:ascii="Times New Roman" w:eastAsia="Adobe 仿宋 Std R" w:hAnsi="Times New Roman" w:cs="Times New Roman"/>
      <w:b/>
      <w:bCs/>
      <w:kern w:val="2"/>
      <w:sz w:val="32"/>
      <w:szCs w:val="32"/>
    </w:rPr>
  </w:style>
  <w:style w:type="paragraph" w:customStyle="1" w:styleId="12">
    <w:name w:val="正文1"/>
    <w:basedOn w:val="a"/>
    <w:qFormat/>
    <w:pPr>
      <w:spacing w:line="520" w:lineRule="exact"/>
      <w:ind w:firstLineChars="200" w:firstLine="200"/>
    </w:pPr>
    <w:rPr>
      <w:rFonts w:eastAsia="仿宋"/>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3836</Words>
  <Characters>4183</Characters>
  <Application>Microsoft Office Word</Application>
  <DocSecurity>0</DocSecurity>
  <Lines>261</Lines>
  <Paragraphs>195</Paragraphs>
  <ScaleCrop>false</ScaleCrop>
  <Company>Microsoft</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user</cp:lastModifiedBy>
  <cp:revision>20</cp:revision>
  <dcterms:created xsi:type="dcterms:W3CDTF">2026-06-25T06:39:00Z</dcterms:created>
  <dcterms:modified xsi:type="dcterms:W3CDTF">2026-07-29T08:03:00Z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BFC910573E93454280E4203616B8E5D9_13</vt:lpwstr>
  </property>
  <property fmtid="{D5CDD505-2E9C-101B-9397-08002B2CF9AE}" pid="4" name="KSOTemplateDocerSaveRecord">
    <vt:lpwstr>eyJoZGlkIjoiNTc4MTNhMTY0YzczMmFkNjIyODYwZTFjZTZhNjY1ZDUiLCJ1c2VySWQiOiI5NjgxNzAyOTQifQ==</vt:lpwstr>
  </property>
</Properties>
</file>