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right="320" w:rightChars="100"/>
        <w:jc w:val="left"/>
        <w:rPr>
          <w:rFonts w:eastAsia="黑体"/>
          <w:color w:val="000000"/>
          <w:szCs w:val="32"/>
        </w:rPr>
      </w:pPr>
    </w:p>
    <w:p>
      <w:pPr>
        <w:spacing w:line="520" w:lineRule="exact"/>
        <w:ind w:right="-102" w:rightChars="-32"/>
        <w:jc w:val="center"/>
        <w:rPr>
          <w:rFonts w:eastAsia="方正小标宋简体"/>
          <w:bCs/>
          <w:color w:val="000000"/>
          <w:sz w:val="44"/>
          <w:szCs w:val="44"/>
        </w:rPr>
      </w:pPr>
      <w:r>
        <w:rPr>
          <w:rFonts w:hint="eastAsia" w:eastAsia="方正小标宋简体"/>
          <w:color w:val="000000"/>
          <w:sz w:val="44"/>
        </w:rPr>
        <w:t>海水鼻腔清洗液</w:t>
      </w: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p>
    <w:p>
      <w:pPr>
        <w:pStyle w:val="2"/>
        <w:jc w:val="center"/>
        <w:rPr>
          <w:rFonts w:hint="eastAsia" w:ascii="Times New Roman" w:hAnsi="Times New Roman" w:eastAsia="方正小标宋简体"/>
          <w:bCs/>
          <w:color w:val="000000"/>
          <w:kern w:val="2"/>
          <w:sz w:val="44"/>
          <w:szCs w:val="44"/>
        </w:rPr>
      </w:pPr>
      <w:bookmarkStart w:id="2" w:name="_GoBack"/>
      <w:r>
        <w:rPr>
          <w:rFonts w:hint="eastAsia" w:ascii="Times New Roman" w:hAnsi="Times New Roman" w:eastAsia="方正小标宋简体"/>
          <w:bCs/>
          <w:color w:val="000000"/>
          <w:kern w:val="2"/>
          <w:sz w:val="44"/>
          <w:szCs w:val="44"/>
        </w:rPr>
        <w:t>（征求意见稿）</w:t>
      </w:r>
      <w:bookmarkEnd w:id="2"/>
    </w:p>
    <w:p>
      <w:pPr>
        <w:spacing w:line="520" w:lineRule="exact"/>
        <w:ind w:right="-102" w:rightChars="-32"/>
        <w:jc w:val="center"/>
        <w:rPr>
          <w:rFonts w:eastAsia="方正小标宋简体"/>
          <w:color w:val="000000"/>
          <w:szCs w:val="44"/>
        </w:rPr>
      </w:pPr>
    </w:p>
    <w:p>
      <w:pPr>
        <w:keepNext w:val="0"/>
        <w:keepLines w:val="0"/>
        <w:pageBreakBefore w:val="0"/>
        <w:kinsoku/>
        <w:wordWrap/>
        <w:overflowPunct/>
        <w:topLinePunct w:val="0"/>
        <w:autoSpaceDE/>
        <w:autoSpaceDN/>
        <w:bidi w:val="0"/>
        <w:spacing w:line="520" w:lineRule="exact"/>
        <w:ind w:right="-14" w:firstLine="640" w:firstLineChars="200"/>
        <w:textAlignment w:val="auto"/>
        <w:rPr>
          <w:rFonts w:eastAsia="仿宋_GB2312"/>
          <w:color w:val="000000"/>
          <w:szCs w:val="32"/>
        </w:rPr>
      </w:pPr>
      <w:r>
        <w:rPr>
          <w:rFonts w:eastAsia="仿宋_GB2312"/>
          <w:color w:val="000000"/>
          <w:szCs w:val="32"/>
        </w:rPr>
        <w:t>本指导原则旨在指导注册申请人对</w:t>
      </w:r>
      <w:r>
        <w:rPr>
          <w:rFonts w:hint="eastAsia" w:eastAsia="仿宋_GB2312"/>
          <w:color w:val="000000"/>
          <w:szCs w:val="32"/>
        </w:rPr>
        <w:t>海水鼻腔清洗液</w:t>
      </w:r>
      <w:r>
        <w:rPr>
          <w:rFonts w:eastAsia="仿宋_GB2312"/>
          <w:color w:val="000000"/>
          <w:szCs w:val="32"/>
        </w:rPr>
        <w:t>产品注册申报资料的准备及撰写，同时也为技术审评部门对注册申报资料的审评提供技术参考。</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本指导原则是对</w:t>
      </w:r>
      <w:r>
        <w:rPr>
          <w:rFonts w:hint="eastAsia" w:eastAsia="仿宋_GB2312"/>
          <w:color w:val="000000"/>
          <w:szCs w:val="32"/>
        </w:rPr>
        <w:t>海水鼻腔清洗液</w:t>
      </w:r>
      <w:r>
        <w:rPr>
          <w:rFonts w:eastAsia="仿宋_GB2312"/>
          <w:color w:val="000000"/>
          <w:szCs w:val="32"/>
        </w:rPr>
        <w:t>注册申报资料的一般要求，注册申请人需依据产品的具体特性确定其中内容是否</w:t>
      </w:r>
      <w:r>
        <w:rPr>
          <w:rFonts w:hint="eastAsia" w:eastAsia="仿宋_GB2312"/>
          <w:color w:val="000000"/>
          <w:szCs w:val="32"/>
        </w:rPr>
        <w:t>适</w:t>
      </w:r>
      <w:r>
        <w:rPr>
          <w:rFonts w:eastAsia="仿宋_GB2312"/>
          <w:color w:val="000000"/>
          <w:szCs w:val="32"/>
        </w:rPr>
        <w:t>用。若不适用，需具体阐述理由及相应的科学依据，并依据产品的具体特性对注册申报资料的内容进行充实和细化。</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黑体"/>
          <w:color w:val="000000"/>
          <w:szCs w:val="32"/>
        </w:rPr>
      </w:pPr>
      <w:r>
        <w:rPr>
          <w:rFonts w:eastAsia="黑体"/>
          <w:color w:val="000000"/>
          <w:szCs w:val="32"/>
        </w:rPr>
        <w:t>一、适用范围</w:t>
      </w:r>
    </w:p>
    <w:p>
      <w:pPr>
        <w:pStyle w:val="21"/>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snapToGrid w:val="0"/>
          <w:sz w:val="32"/>
          <w:szCs w:val="32"/>
        </w:rPr>
      </w:pPr>
      <w:r>
        <w:rPr>
          <w:rFonts w:ascii="Times New Roman" w:hAnsi="Times New Roman"/>
          <w:color w:val="000000"/>
          <w:kern w:val="2"/>
          <w:sz w:val="32"/>
          <w:szCs w:val="32"/>
        </w:rPr>
        <w:t>本指导原则适用于《医疗器械分类</w:t>
      </w:r>
      <w:r>
        <w:rPr>
          <w:rFonts w:ascii="Times New Roman" w:hAnsi="Times New Roman"/>
          <w:snapToGrid w:val="0"/>
          <w:sz w:val="32"/>
          <w:szCs w:val="32"/>
        </w:rPr>
        <w:t>目录》中</w:t>
      </w:r>
      <w:r>
        <w:rPr>
          <w:rFonts w:hint="eastAsia" w:ascii="Times New Roman" w:hAnsi="Times New Roman"/>
          <w:snapToGrid w:val="0"/>
          <w:sz w:val="32"/>
          <w:szCs w:val="32"/>
        </w:rPr>
        <w:t>作为第</w:t>
      </w:r>
      <w:r>
        <w:rPr>
          <w:rFonts w:hint="eastAsia" w:eastAsia="宋体" w:cs="宋体"/>
          <w:snapToGrid w:val="0"/>
          <w:sz w:val="32"/>
          <w:szCs w:val="32"/>
        </w:rPr>
        <w:t>Ⅱ</w:t>
      </w:r>
      <w:r>
        <w:rPr>
          <w:rFonts w:hint="eastAsia" w:ascii="Times New Roman" w:hAnsi="Times New Roman"/>
          <w:snapToGrid w:val="0"/>
          <w:sz w:val="32"/>
          <w:szCs w:val="32"/>
        </w:rPr>
        <w:t>类医疗器械管理的海水鼻腔清洗液产品，分类编码为14注输、护理和防护器械-15病人护理防护用品-04海水鼻腔清洗液。通常由海盐或海水、纯化水等组成，所含成分不具有药理学作用。适用于急慢性鼻炎、过敏性鼻炎、鼻息肉、鼻窦炎等鼻腔疾病患者的鼻腔清洗，也用于鼻炎手术后及化疗后的鼻腔清洗。</w:t>
      </w:r>
      <w:r>
        <w:rPr>
          <w:bCs/>
          <w:sz w:val="32"/>
          <w:szCs w:val="32"/>
        </w:rPr>
        <w:t>对产品中因为组成成分或适用范围导致属性和分类不明确的，需申请属性和分类界定。</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黑体"/>
          <w:color w:val="000000"/>
          <w:szCs w:val="32"/>
        </w:rPr>
      </w:pPr>
      <w:r>
        <w:rPr>
          <w:rFonts w:eastAsia="黑体"/>
          <w:color w:val="000000"/>
          <w:szCs w:val="32"/>
        </w:rPr>
        <w:t>二、注册审查要点</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楷体_GB2312"/>
          <w:color w:val="000000"/>
          <w:szCs w:val="32"/>
        </w:rPr>
      </w:pPr>
      <w:r>
        <w:rPr>
          <w:rFonts w:eastAsia="楷体_GB2312"/>
          <w:color w:val="000000"/>
          <w:szCs w:val="32"/>
        </w:rPr>
        <w:t>（一）监管信息</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1.产品名称</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海水鼻腔清洗</w:t>
      </w:r>
      <w:r>
        <w:rPr>
          <w:rFonts w:hint="eastAsia" w:eastAsia="仿宋_GB2312"/>
          <w:szCs w:val="32"/>
        </w:rPr>
        <w:t>液</w:t>
      </w:r>
      <w:r>
        <w:rPr>
          <w:rFonts w:eastAsia="仿宋_GB2312"/>
          <w:szCs w:val="32"/>
        </w:rPr>
        <w:t>产品的命名需</w:t>
      </w:r>
      <w:r>
        <w:rPr>
          <w:rFonts w:hint="eastAsia" w:eastAsia="仿宋_GB2312"/>
          <w:szCs w:val="32"/>
        </w:rPr>
        <w:t>符合</w:t>
      </w:r>
      <w:r>
        <w:rPr>
          <w:rFonts w:eastAsia="仿宋_GB2312"/>
          <w:color w:val="000000"/>
          <w:szCs w:val="32"/>
        </w:rPr>
        <w:t>《医疗器械通用名称命名规则》</w:t>
      </w:r>
      <w:r>
        <w:rPr>
          <w:rFonts w:hint="eastAsia" w:eastAsia="仿宋_GB2312"/>
          <w:color w:val="000000"/>
          <w:szCs w:val="32"/>
        </w:rPr>
        <w:t>的要求，产品名称由一个核心词和不超过三个的特征词组成。通常可采用海水鼻腔清洗</w:t>
      </w:r>
      <w:r>
        <w:rPr>
          <w:rFonts w:hint="eastAsia" w:eastAsia="仿宋_GB2312"/>
          <w:szCs w:val="32"/>
        </w:rPr>
        <w:t>液、生理性海水鼻腔喷雾、生理性海水鼻部护理液、生理性海水鼻部黏膜清洗液命名。</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2.分类编码</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根据《医疗器械分类目录》，分类编码为</w:t>
      </w:r>
      <w:r>
        <w:rPr>
          <w:rFonts w:hint="eastAsia" w:eastAsia="仿宋_GB2312"/>
          <w:color w:val="000000"/>
          <w:szCs w:val="32"/>
        </w:rPr>
        <w:t>14-15-04</w:t>
      </w:r>
      <w:r>
        <w:rPr>
          <w:rFonts w:eastAsia="仿宋_GB2312"/>
          <w:color w:val="000000"/>
          <w:szCs w:val="32"/>
        </w:rPr>
        <w:t>，管理类别为</w:t>
      </w:r>
      <w:r>
        <w:rPr>
          <w:rFonts w:hint="eastAsia" w:eastAsia="仿宋_GB2312"/>
          <w:color w:val="000000"/>
          <w:szCs w:val="32"/>
        </w:rPr>
        <w:t>Ⅱ</w:t>
      </w:r>
      <w:r>
        <w:rPr>
          <w:rFonts w:eastAsia="仿宋_GB2312"/>
          <w:color w:val="000000"/>
          <w:szCs w:val="32"/>
        </w:rPr>
        <w:t>类。</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3.注册单元划分的原则和实例</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产品注册单元的划分需符合《医疗器械注册单元划分指导原则》的要求</w:t>
      </w:r>
      <w:r>
        <w:rPr>
          <w:rFonts w:hint="eastAsia" w:eastAsia="仿宋_GB2312"/>
          <w:color w:val="000000"/>
          <w:szCs w:val="32"/>
        </w:rPr>
        <w:t>，以产品的结构组成、性能指标和适用范围等因素为划分依据。例如：</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3.1主要组成成分不同的产品，应划分为不同注册单元。</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3.2喷雾液主要组成成分相同，包装材质不同时，包装对产品性能无影响，如聚对苯二甲酸乙二醇酯（PET）喷瓶和</w:t>
      </w:r>
      <w:r>
        <w:rPr>
          <w:rFonts w:hint="eastAsia" w:eastAsia="仿宋_GB2312"/>
          <w:szCs w:val="32"/>
        </w:rPr>
        <w:t>铝质气雾罐</w:t>
      </w:r>
      <w:r>
        <w:rPr>
          <w:rFonts w:hint="eastAsia" w:eastAsia="仿宋_GB2312"/>
          <w:color w:val="000000"/>
          <w:szCs w:val="32"/>
        </w:rPr>
        <w:t>，可划分为同一个注册单元；包装对产品性能有影响时，如电动喷雾器、手动喷雾器应划分为不同注册单元。</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4.型号规格</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szCs w:val="32"/>
        </w:rPr>
      </w:pPr>
      <w:r>
        <w:rPr>
          <w:rFonts w:hint="eastAsia" w:eastAsia="仿宋_GB2312"/>
          <w:szCs w:val="32"/>
        </w:rPr>
        <w:t>说明产品的型号规格及划分依据，明确各型号规格之间的区别。可采用列表形式对不同型号规格的结构组成加以描述，必要时应提供差异部分的图示说明。</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eastAsia="仿宋_GB2312"/>
          <w:color w:val="000000"/>
          <w:szCs w:val="32"/>
        </w:rPr>
        <w:t>5.结构组成</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产品中主要成分为海盐，容器通常为带喷雾泵的包装瓶或其他适用的包装瓶。</w:t>
      </w:r>
      <w:r>
        <w:rPr>
          <w:rFonts w:hint="eastAsia" w:eastAsia="仿宋_GB2312"/>
          <w:szCs w:val="32"/>
        </w:rPr>
        <w:t>申请人应明确产品的全部组成成分及包装容器（材质），</w:t>
      </w:r>
      <w:r>
        <w:rPr>
          <w:rFonts w:hint="eastAsia" w:eastAsia="仿宋_GB2312"/>
          <w:color w:val="000000"/>
          <w:szCs w:val="32"/>
        </w:rPr>
        <w:t>所含成分不应具有药理学作用。应明确非无菌形式或无菌形式提供。</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楷体_GB2312"/>
          <w:color w:val="000000"/>
          <w:szCs w:val="32"/>
        </w:rPr>
      </w:pPr>
      <w:r>
        <w:rPr>
          <w:rFonts w:eastAsia="楷体_GB2312"/>
          <w:color w:val="000000"/>
          <w:szCs w:val="32"/>
        </w:rPr>
        <w:t>（二）综述资料</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1.概述</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描述申报产品通用名称及其确定依据、管理类别、分类编码和适用范围等。</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2.产品描述</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产品描述需全面、详细，至少需包括申报产品名称、结构组成及相应图示、各组成成分及组成百分比、各组分在产品中的功能、产品工作机理、技术性能指标、灭菌方式、有效期、预期用途、适用部位、使用方法、配合使用的产品信息、区别于其他同类产品的特征和符合的标准等。</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3.型号规格</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对于存在多种型号规格的产品，说明型号规格的划分依据、明确各型号规格的区别，说明型号规格表述方式中对应字母、数字或符号的代表含义。需采用对比表及带有说明性文字的图片、图表对各种型号规格的结构组成、功能、产品特征、性能指标等加以描述。</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4.包装说明</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说明产品的包装层次，明确产品各层次包装（初包装、二级包装等）的材料信息；特别需说明其无菌屏障系统（包括与灭菌方法相适应的初包装）的材料信息。</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5.研发历程</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阐述申请注册产品的研发背景和目的。如有参考的同类产品或前代产品（如有），应当提供同类产品或前代产品的信息，并说明选择其作为研发参考的原因。</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6.与同类和/或前代产品比较</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列表比较说明申报产品与同类产品和/或前代产品在工作原理、结构组成、制造材料、性能指标、作用方式，以及适用范围等方面的异同。可包括本企业或其他企业已上市同品种/类似产品。</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7.适用范围和禁忌证</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7.1适用范围</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7.1.1应当描述申报产品的适用范围，明确预期用途。如产品宣称其他的适用范围，应与临床评价结论一致，应有充分的临床数据支持。</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7.1.2明确目标用户及其操作或使用申报产品应当具备的技能/知识/培训。如适用，明确与申报产品联合使用实现预期用途的其他产品的详细信息。</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7.2预期使用环境</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明确该产品预期使用的地点，如医疗机构、家庭等。</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7.3适用人群</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明确目标患者人群的信息，如是否适用于儿童。</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7.4禁忌证</w:t>
      </w:r>
    </w:p>
    <w:p>
      <w:pPr>
        <w:pStyle w:val="2"/>
        <w:keepNext w:val="0"/>
        <w:keepLines w:val="0"/>
        <w:pageBreakBefore w:val="0"/>
        <w:kinsoku/>
        <w:wordWrap/>
        <w:overflowPunct/>
        <w:topLinePunct w:val="0"/>
        <w:autoSpaceDE/>
        <w:autoSpaceDN/>
        <w:bidi w:val="0"/>
        <w:spacing w:line="520" w:lineRule="exact"/>
        <w:ind w:firstLine="640" w:firstLineChars="200"/>
        <w:textAlignment w:val="auto"/>
        <w:rPr>
          <w:rFonts w:ascii="Times New Roman" w:hAnsi="Times New Roman" w:eastAsia="仿宋_GB2312"/>
          <w:color w:val="000000"/>
          <w:kern w:val="2"/>
          <w:sz w:val="32"/>
          <w:szCs w:val="32"/>
        </w:rPr>
      </w:pPr>
      <w:r>
        <w:rPr>
          <w:rFonts w:hint="eastAsia" w:ascii="Times New Roman" w:hAnsi="Times New Roman" w:eastAsia="仿宋_GB2312"/>
          <w:color w:val="000000"/>
          <w:kern w:val="2"/>
          <w:sz w:val="32"/>
          <w:szCs w:val="32"/>
        </w:rPr>
        <w:t>应当明确说明该器械不适宜应用的特定的人群或特定情况等信息，如：对原材料过敏者禁用。</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楷体_GB2312"/>
          <w:b/>
          <w:color w:val="000000"/>
          <w:szCs w:val="32"/>
        </w:rPr>
      </w:pPr>
      <w:r>
        <w:rPr>
          <w:rFonts w:eastAsia="楷体_GB2312"/>
          <w:color w:val="000000"/>
          <w:szCs w:val="32"/>
        </w:rPr>
        <w:t>（三）非临床资料</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1.产品风险管理资料</w:t>
      </w:r>
    </w:p>
    <w:p>
      <w:pPr>
        <w:keepNext w:val="0"/>
        <w:keepLines w:val="0"/>
        <w:pageBreakBefore w:val="0"/>
        <w:kinsoku/>
        <w:wordWrap/>
        <w:overflowPunct/>
        <w:topLinePunct w:val="0"/>
        <w:autoSpaceDE/>
        <w:autoSpaceDN/>
        <w:bidi w:val="0"/>
        <w:spacing w:line="520" w:lineRule="exact"/>
        <w:ind w:firstLine="640" w:firstLineChars="200"/>
        <w:textAlignment w:val="auto"/>
        <w:rPr>
          <w:rFonts w:eastAsia="仿宋_GB2312"/>
          <w:color w:val="000000"/>
          <w:szCs w:val="32"/>
        </w:rPr>
      </w:pPr>
      <w:r>
        <w:rPr>
          <w:rFonts w:hint="eastAsia" w:eastAsia="仿宋_GB2312"/>
          <w:color w:val="000000"/>
          <w:szCs w:val="32"/>
        </w:rPr>
        <w:t>应依据GB/T 42062提供产品风险管理报告。注册申请人应重点说明：申报产品的研制阶段已对有关可能的危害及产生的风险进行了估计和评价，针对性地实施了降低风险的技术和管理方面的措施。产品性能测试对上述措施的有效性进行了部分验证，达到了通用和专用标准的要求。注册申请人对所有剩余风险进行了评价，全部达到可接受的水平。产品风险分析资料应为注册申请人关于产品安全性的承诺提供支持。应对申报产品的可能危害进行判定并列出清单（见附表）。</w:t>
      </w:r>
    </w:p>
    <w:p>
      <w:pPr>
        <w:spacing w:line="520" w:lineRule="exact"/>
        <w:ind w:firstLine="640" w:firstLineChars="200"/>
        <w:rPr>
          <w:rFonts w:eastAsia="仿宋_GB2312"/>
          <w:color w:val="000000"/>
          <w:szCs w:val="32"/>
        </w:rPr>
      </w:pPr>
      <w:r>
        <w:rPr>
          <w:rFonts w:hint="eastAsia" w:eastAsia="仿宋_GB2312"/>
          <w:color w:val="000000"/>
          <w:szCs w:val="32"/>
        </w:rPr>
        <w:t>2.医疗器械安全和性能基本原则清单</w:t>
      </w:r>
    </w:p>
    <w:p>
      <w:pPr>
        <w:spacing w:line="520" w:lineRule="exact"/>
        <w:ind w:firstLine="640" w:firstLineChars="200"/>
        <w:rPr>
          <w:rFonts w:eastAsia="仿宋_GB2312"/>
          <w:color w:val="000000"/>
          <w:szCs w:val="32"/>
        </w:rPr>
      </w:pPr>
      <w:r>
        <w:rPr>
          <w:rFonts w:hint="eastAsia" w:eastAsia="仿宋_GB2312"/>
          <w:color w:val="000000"/>
          <w:szCs w:val="32"/>
        </w:rPr>
        <w:t>说明申报产品符合《医疗器械安全和性能基本原则清单》各项适用要求所采用的方法，以及证明其符合性的文件。对于《医疗器械安全和性能基本原则清单》中不适用的各项要求，应当说明理由。</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hint="eastAsia" w:eastAsia="仿宋_GB2312"/>
          <w:color w:val="000000"/>
          <w:szCs w:val="32"/>
        </w:rPr>
        <w:t>3</w:t>
      </w:r>
      <w:r>
        <w:rPr>
          <w:rFonts w:eastAsia="仿宋_GB2312"/>
          <w:color w:val="000000"/>
          <w:szCs w:val="32"/>
        </w:rPr>
        <w:t>.产品技术要求</w:t>
      </w:r>
      <w:r>
        <w:rPr>
          <w:rFonts w:hint="eastAsia" w:eastAsia="仿宋_GB2312"/>
          <w:color w:val="000000"/>
          <w:szCs w:val="32"/>
        </w:rPr>
        <w:t>及检验报告</w:t>
      </w:r>
    </w:p>
    <w:p>
      <w:pPr>
        <w:spacing w:line="520" w:lineRule="exact"/>
        <w:ind w:firstLine="640" w:firstLineChars="200"/>
        <w:rPr>
          <w:rFonts w:eastAsia="仿宋_GB2312"/>
          <w:color w:val="000000"/>
          <w:szCs w:val="32"/>
        </w:rPr>
      </w:pPr>
      <w:r>
        <w:rPr>
          <w:rFonts w:eastAsia="仿宋_GB2312"/>
          <w:color w:val="000000"/>
          <w:szCs w:val="32"/>
        </w:rPr>
        <w:t>3.1</w:t>
      </w:r>
      <w:r>
        <w:rPr>
          <w:rFonts w:hint="eastAsia" w:eastAsia="仿宋_GB2312"/>
          <w:color w:val="000000"/>
          <w:szCs w:val="32"/>
        </w:rPr>
        <w:t>产品技术要求</w:t>
      </w:r>
    </w:p>
    <w:p>
      <w:pPr>
        <w:spacing w:line="520" w:lineRule="exact"/>
        <w:ind w:firstLine="640" w:firstLineChars="200"/>
        <w:rPr>
          <w:rFonts w:eastAsia="仿宋_GB2312"/>
          <w:color w:val="000000"/>
          <w:szCs w:val="32"/>
        </w:rPr>
      </w:pPr>
      <w:r>
        <w:rPr>
          <w:rFonts w:hint="eastAsia" w:eastAsia="仿宋_GB2312"/>
          <w:color w:val="000000"/>
          <w:szCs w:val="32"/>
        </w:rPr>
        <w:t>产品技术要求需符合相关国家标准、行业标准和《医疗器械产品技术要求编写指导原则》的相关法规要求。在此基础上，注册申请人需根据产品的特点，制定保证产品安全、有效的技术要求。产品技术要求中试验方法需依据有关国家标准、行业标准、国际标准制订，或经过验证。</w:t>
      </w:r>
    </w:p>
    <w:p>
      <w:pPr>
        <w:spacing w:line="520" w:lineRule="exact"/>
        <w:ind w:firstLine="640" w:firstLineChars="200"/>
        <w:rPr>
          <w:rFonts w:eastAsia="仿宋_GB2312"/>
          <w:color w:val="000000"/>
          <w:szCs w:val="32"/>
        </w:rPr>
      </w:pPr>
      <w:r>
        <w:rPr>
          <w:rFonts w:eastAsia="仿宋_GB2312"/>
          <w:color w:val="000000"/>
          <w:szCs w:val="32"/>
        </w:rPr>
        <w:t>3.1.1</w:t>
      </w:r>
      <w:r>
        <w:rPr>
          <w:rFonts w:hint="eastAsia" w:eastAsia="仿宋_GB2312"/>
          <w:color w:val="000000"/>
          <w:szCs w:val="32"/>
        </w:rPr>
        <w:t>产品型号</w:t>
      </w:r>
      <w:r>
        <w:rPr>
          <w:rFonts w:eastAsia="仿宋_GB2312"/>
          <w:color w:val="000000"/>
          <w:szCs w:val="32"/>
        </w:rPr>
        <w:t>/</w:t>
      </w:r>
      <w:r>
        <w:rPr>
          <w:rFonts w:hint="eastAsia" w:eastAsia="仿宋_GB2312"/>
          <w:color w:val="000000"/>
          <w:szCs w:val="32"/>
        </w:rPr>
        <w:t>规格及其划分说明</w:t>
      </w:r>
    </w:p>
    <w:p>
      <w:pPr>
        <w:spacing w:line="520" w:lineRule="exact"/>
        <w:ind w:firstLine="640" w:firstLineChars="200"/>
        <w:rPr>
          <w:rFonts w:eastAsia="仿宋_GB2312"/>
          <w:color w:val="000000"/>
          <w:szCs w:val="32"/>
        </w:rPr>
      </w:pPr>
      <w:r>
        <w:rPr>
          <w:rFonts w:hint="eastAsia" w:eastAsia="仿宋_GB2312"/>
          <w:color w:val="000000"/>
          <w:szCs w:val="32"/>
        </w:rPr>
        <w:t>应说明申报产品的型号</w:t>
      </w:r>
      <w:r>
        <w:rPr>
          <w:rFonts w:eastAsia="仿宋_GB2312"/>
          <w:color w:val="000000"/>
          <w:szCs w:val="32"/>
        </w:rPr>
        <w:t>/</w:t>
      </w:r>
      <w:r>
        <w:rPr>
          <w:rFonts w:hint="eastAsia" w:eastAsia="仿宋_GB2312"/>
          <w:color w:val="000000"/>
          <w:szCs w:val="32"/>
        </w:rPr>
        <w:t>规格，明确产品型号</w:t>
      </w:r>
      <w:r>
        <w:rPr>
          <w:rFonts w:eastAsia="仿宋_GB2312"/>
          <w:color w:val="000000"/>
          <w:szCs w:val="32"/>
        </w:rPr>
        <w:t>/</w:t>
      </w:r>
      <w:r>
        <w:rPr>
          <w:rFonts w:hint="eastAsia" w:eastAsia="仿宋_GB2312"/>
          <w:color w:val="000000"/>
          <w:szCs w:val="32"/>
        </w:rPr>
        <w:t>规格的划分说明。</w:t>
      </w:r>
    </w:p>
    <w:p>
      <w:pPr>
        <w:spacing w:line="520" w:lineRule="exact"/>
        <w:ind w:firstLine="640" w:firstLineChars="200"/>
        <w:rPr>
          <w:rFonts w:eastAsia="仿宋_GB2312"/>
          <w:color w:val="000000"/>
          <w:szCs w:val="32"/>
        </w:rPr>
      </w:pPr>
      <w:r>
        <w:rPr>
          <w:rFonts w:eastAsia="仿宋_GB2312"/>
          <w:color w:val="000000"/>
          <w:szCs w:val="32"/>
        </w:rPr>
        <w:t>3.1.2</w:t>
      </w:r>
      <w:r>
        <w:rPr>
          <w:rFonts w:hint="eastAsia" w:eastAsia="仿宋_GB2312"/>
          <w:color w:val="000000"/>
          <w:szCs w:val="32"/>
        </w:rPr>
        <w:t>性能指标</w:t>
      </w:r>
    </w:p>
    <w:p>
      <w:pPr>
        <w:spacing w:line="520" w:lineRule="exact"/>
        <w:ind w:firstLine="640" w:firstLineChars="200"/>
        <w:rPr>
          <w:rFonts w:eastAsia="仿宋_GB2312"/>
          <w:color w:val="000000"/>
          <w:szCs w:val="32"/>
        </w:rPr>
      </w:pPr>
      <w:r>
        <w:rPr>
          <w:rFonts w:hint="eastAsia" w:eastAsia="仿宋_GB2312"/>
          <w:color w:val="000000"/>
          <w:szCs w:val="32"/>
        </w:rPr>
        <w:t>申报产品的性能指标建议包含以下几点（包括但不限于此）：外观、装量、氯化钠含量、化学性能（如酸碱度、重金属、砷盐等）、渗透压摩尔浓度、微生物指标（或无菌），配合使用的喷瓶（如密封性、每喷量、总喷次数等）及其它附件应制定相应要求等。</w:t>
      </w:r>
    </w:p>
    <w:p>
      <w:pPr>
        <w:spacing w:line="520" w:lineRule="exact"/>
        <w:ind w:firstLine="640" w:firstLineChars="200"/>
        <w:rPr>
          <w:rFonts w:eastAsia="仿宋_GB2312"/>
          <w:color w:val="000000"/>
          <w:szCs w:val="32"/>
        </w:rPr>
      </w:pPr>
      <w:r>
        <w:rPr>
          <w:rFonts w:hint="eastAsia" w:eastAsia="仿宋_GB2312"/>
          <w:color w:val="000000"/>
          <w:szCs w:val="32"/>
        </w:rPr>
        <w:t>注册申请人如宣称其他技术参数和功能，应在产品技术要求中予以规定，符合《医疗器械产品技术要求编写指导原则》的相关法规要求。</w:t>
      </w:r>
    </w:p>
    <w:p>
      <w:pPr>
        <w:spacing w:line="520" w:lineRule="exact"/>
        <w:ind w:firstLine="640" w:firstLineChars="200"/>
        <w:rPr>
          <w:rFonts w:eastAsia="仿宋_GB2312"/>
          <w:color w:val="000000"/>
          <w:szCs w:val="32"/>
        </w:rPr>
      </w:pPr>
      <w:r>
        <w:rPr>
          <w:rFonts w:eastAsia="仿宋_GB2312"/>
          <w:color w:val="000000"/>
          <w:szCs w:val="32"/>
        </w:rPr>
        <w:t>3.1.3</w:t>
      </w:r>
      <w:r>
        <w:rPr>
          <w:rFonts w:hint="eastAsia" w:eastAsia="仿宋_GB2312"/>
          <w:color w:val="000000"/>
          <w:szCs w:val="32"/>
        </w:rPr>
        <w:t>检验方法</w:t>
      </w:r>
    </w:p>
    <w:p>
      <w:pPr>
        <w:spacing w:line="520" w:lineRule="exact"/>
        <w:ind w:firstLine="640" w:firstLineChars="200"/>
        <w:rPr>
          <w:rFonts w:eastAsia="仿宋_GB2312"/>
          <w:color w:val="000000"/>
          <w:szCs w:val="32"/>
        </w:rPr>
      </w:pPr>
      <w:r>
        <w:rPr>
          <w:rFonts w:hint="eastAsia" w:eastAsia="仿宋_GB2312"/>
          <w:color w:val="000000"/>
          <w:szCs w:val="32"/>
        </w:rPr>
        <w:t>申报产品的检验方法应根据性能指标制定，优先采用已颁布的标准或公认的检验方法。考虑到产品的成分、配比可能对检验结果产生影响，因此产品技术要求中采用的具体检验方法应经过验证，以保证检验结果的可靠性。</w:t>
      </w:r>
    </w:p>
    <w:p>
      <w:pPr>
        <w:spacing w:line="520" w:lineRule="exact"/>
        <w:ind w:firstLine="640" w:firstLineChars="200"/>
        <w:rPr>
          <w:rFonts w:eastAsia="仿宋_GB2312"/>
          <w:color w:val="000000"/>
          <w:szCs w:val="32"/>
        </w:rPr>
      </w:pPr>
      <w:r>
        <w:rPr>
          <w:rFonts w:eastAsia="仿宋_GB2312"/>
          <w:color w:val="000000"/>
          <w:szCs w:val="32"/>
        </w:rPr>
        <w:t>3.2</w:t>
      </w:r>
      <w:r>
        <w:rPr>
          <w:rFonts w:hint="eastAsia" w:eastAsia="仿宋_GB2312"/>
          <w:color w:val="000000"/>
          <w:szCs w:val="32"/>
        </w:rPr>
        <w:t>产品检验报告</w:t>
      </w:r>
    </w:p>
    <w:p>
      <w:pPr>
        <w:spacing w:line="520" w:lineRule="exact"/>
        <w:ind w:firstLine="640" w:firstLineChars="200"/>
        <w:rPr>
          <w:rFonts w:eastAsia="仿宋_GB2312"/>
          <w:color w:val="000000"/>
          <w:szCs w:val="32"/>
        </w:rPr>
      </w:pPr>
      <w:r>
        <w:rPr>
          <w:rFonts w:hint="eastAsia" w:eastAsia="仿宋_GB2312"/>
          <w:color w:val="000000"/>
          <w:szCs w:val="32"/>
        </w:rPr>
        <w:t>申请人应当按照产品技术要求进行检验，并提交自检报告或委托有资质的医疗器械检验机构出具的检验报告。若提交自检报告，应按照《医疗器械注册自检管理规定》（</w:t>
      </w:r>
      <w:r>
        <w:rPr>
          <w:rFonts w:eastAsia="仿宋_GB2312"/>
          <w:color w:val="000000"/>
          <w:szCs w:val="32"/>
        </w:rPr>
        <w:t>2021</w:t>
      </w:r>
      <w:r>
        <w:rPr>
          <w:rFonts w:hint="eastAsia" w:eastAsia="仿宋_GB2312"/>
          <w:color w:val="000000"/>
          <w:szCs w:val="32"/>
        </w:rPr>
        <w:t>年第</w:t>
      </w:r>
      <w:r>
        <w:rPr>
          <w:rFonts w:eastAsia="仿宋_GB2312"/>
          <w:color w:val="000000"/>
          <w:szCs w:val="32"/>
        </w:rPr>
        <w:t>126</w:t>
      </w:r>
      <w:r>
        <w:rPr>
          <w:rFonts w:hint="eastAsia" w:eastAsia="仿宋_GB2312"/>
          <w:color w:val="000000"/>
          <w:szCs w:val="32"/>
        </w:rPr>
        <w:t>号）的要求提供相关资料。</w:t>
      </w:r>
    </w:p>
    <w:p>
      <w:pPr>
        <w:pStyle w:val="15"/>
        <w:spacing w:line="520" w:lineRule="exact"/>
        <w:ind w:firstLine="640"/>
        <w:rPr>
          <w:color w:val="000000"/>
        </w:rPr>
      </w:pPr>
      <w:r>
        <w:rPr>
          <w:rFonts w:hint="eastAsia"/>
          <w:color w:val="000000"/>
        </w:rPr>
        <w:t>3.3</w:t>
      </w:r>
      <w:r>
        <w:rPr>
          <w:color w:val="000000"/>
        </w:rPr>
        <w:t>同一注册单元内检验典型性产品确定原则</w:t>
      </w:r>
    </w:p>
    <w:p>
      <w:pPr>
        <w:spacing w:line="520" w:lineRule="exact"/>
        <w:ind w:firstLine="640" w:firstLineChars="200"/>
        <w:rPr>
          <w:rFonts w:eastAsia="仿宋_GB2312"/>
          <w:color w:val="000000"/>
          <w:szCs w:val="32"/>
        </w:rPr>
      </w:pPr>
      <w:r>
        <w:rPr>
          <w:rFonts w:hint="eastAsia" w:eastAsia="仿宋_GB2312"/>
          <w:color w:val="000000"/>
          <w:szCs w:val="32"/>
        </w:rPr>
        <w:t>申报产品包括多个型号的，产品检验选取的典型性型号应当能代表本注册单元内其它产品的安全性和有效性，并说明典型性型号选择的依据。应对典型性型号规格产品进行全性能检验，具有差异的产品应进行差异性检测。</w:t>
      </w:r>
    </w:p>
    <w:p>
      <w:pPr>
        <w:spacing w:line="520" w:lineRule="exact"/>
        <w:ind w:firstLine="640" w:firstLineChars="200"/>
        <w:rPr>
          <w:rFonts w:eastAsia="仿宋_GB2312"/>
          <w:color w:val="000000"/>
          <w:szCs w:val="32"/>
        </w:rPr>
      </w:pPr>
      <w:r>
        <w:rPr>
          <w:rFonts w:eastAsia="仿宋_GB2312"/>
          <w:color w:val="000000"/>
          <w:szCs w:val="32"/>
        </w:rPr>
        <w:t>4.研究资料</w:t>
      </w:r>
    </w:p>
    <w:p>
      <w:pPr>
        <w:spacing w:line="520" w:lineRule="exact"/>
        <w:ind w:firstLine="640" w:firstLineChars="200"/>
        <w:rPr>
          <w:rFonts w:eastAsia="仿宋_GB2312"/>
          <w:bCs/>
          <w:szCs w:val="32"/>
        </w:rPr>
      </w:pPr>
      <w:r>
        <w:rPr>
          <w:rFonts w:eastAsia="仿宋_GB2312"/>
          <w:bCs/>
          <w:szCs w:val="32"/>
        </w:rPr>
        <w:t>根据申报产品适用范围和技术特征，提供非临床研究综述，逐项描述所开展的研究，概述研究方法和研究结论。根据非临床研究综述，提供相应的研究资料，各项研究可通过实验室研究、文献研究等方式开展，一般应当包含研究方案、研究报告。</w:t>
      </w:r>
    </w:p>
    <w:p>
      <w:pPr>
        <w:pStyle w:val="24"/>
        <w:spacing w:line="520" w:lineRule="exact"/>
        <w:ind w:firstLine="640" w:firstLineChars="200"/>
        <w:rPr>
          <w:rFonts w:eastAsia="仿宋_GB2312"/>
          <w:bCs/>
          <w:snapToGrid w:val="0"/>
          <w:kern w:val="0"/>
          <w:sz w:val="32"/>
          <w:szCs w:val="32"/>
        </w:rPr>
      </w:pPr>
      <w:r>
        <w:rPr>
          <w:rFonts w:eastAsia="仿宋_GB2312"/>
          <w:bCs/>
          <w:snapToGrid w:val="0"/>
          <w:kern w:val="0"/>
          <w:sz w:val="32"/>
          <w:szCs w:val="32"/>
        </w:rPr>
        <w:t>4.1原材料控制</w:t>
      </w:r>
    </w:p>
    <w:p>
      <w:pPr>
        <w:spacing w:line="520" w:lineRule="exact"/>
        <w:ind w:firstLine="640" w:firstLineChars="200"/>
        <w:rPr>
          <w:rFonts w:eastAsia="仿宋_GB2312"/>
          <w:bCs/>
          <w:szCs w:val="32"/>
        </w:rPr>
      </w:pPr>
      <w:r>
        <w:rPr>
          <w:rFonts w:eastAsia="仿宋_GB2312"/>
          <w:bCs/>
          <w:szCs w:val="32"/>
        </w:rPr>
        <w:t>应明确原材料</w:t>
      </w:r>
      <w:r>
        <w:rPr>
          <w:rFonts w:eastAsia="仿宋_GB2312"/>
          <w:snapToGrid w:val="0"/>
          <w:szCs w:val="32"/>
        </w:rPr>
        <w:t>供应商、生产商、符合的标准或</w:t>
      </w:r>
      <w:r>
        <w:rPr>
          <w:rFonts w:eastAsia="仿宋_GB2312"/>
          <w:bCs/>
          <w:szCs w:val="32"/>
        </w:rPr>
        <w:t>质量控制指标及要求，</w:t>
      </w:r>
      <w:r>
        <w:rPr>
          <w:rFonts w:eastAsia="仿宋_GB2312"/>
          <w:snapToGrid w:val="0"/>
          <w:szCs w:val="32"/>
        </w:rPr>
        <w:t>原材料应具有稳定的供货渠道以保证产品质量。</w:t>
      </w:r>
    </w:p>
    <w:p>
      <w:pPr>
        <w:widowControl/>
        <w:spacing w:line="520" w:lineRule="exact"/>
        <w:ind w:firstLine="640" w:firstLineChars="200"/>
        <w:rPr>
          <w:rFonts w:eastAsia="仿宋_GB2312"/>
          <w:bCs/>
          <w:szCs w:val="32"/>
        </w:rPr>
      </w:pPr>
      <w:r>
        <w:rPr>
          <w:rFonts w:eastAsia="仿宋_GB2312"/>
          <w:bCs/>
          <w:szCs w:val="32"/>
        </w:rPr>
        <w:t>4.2性能研究</w:t>
      </w:r>
    </w:p>
    <w:p>
      <w:pPr>
        <w:widowControl/>
        <w:spacing w:line="520" w:lineRule="exact"/>
        <w:ind w:firstLine="640" w:firstLineChars="200"/>
        <w:rPr>
          <w:rFonts w:eastAsia="仿宋_GB2312"/>
          <w:bCs/>
          <w:szCs w:val="32"/>
        </w:rPr>
      </w:pPr>
      <w:r>
        <w:rPr>
          <w:rFonts w:eastAsia="仿宋_GB2312"/>
          <w:bCs/>
          <w:szCs w:val="32"/>
        </w:rPr>
        <w:t>应当提供产品化学/材料表征、物理、性能指标及检验方法的确定依据、设计输入来源以及临床意义，所采用的标准或方法、采用的原因及理论基础。</w:t>
      </w:r>
    </w:p>
    <w:p>
      <w:pPr>
        <w:spacing w:line="520" w:lineRule="exact"/>
        <w:ind w:firstLine="640" w:firstLineChars="200"/>
        <w:jc w:val="left"/>
        <w:rPr>
          <w:rFonts w:eastAsia="仿宋_GB2312"/>
          <w:color w:val="000000"/>
          <w:szCs w:val="32"/>
        </w:rPr>
      </w:pPr>
      <w:r>
        <w:rPr>
          <w:rFonts w:hint="eastAsia" w:eastAsia="仿宋_GB2312"/>
          <w:color w:val="000000"/>
          <w:szCs w:val="32"/>
        </w:rPr>
        <w:t>4.3生物学特性研究</w:t>
      </w:r>
    </w:p>
    <w:p>
      <w:pPr>
        <w:spacing w:line="520" w:lineRule="exact"/>
        <w:ind w:firstLine="640" w:firstLineChars="200"/>
        <w:jc w:val="left"/>
        <w:rPr>
          <w:rFonts w:eastAsia="仿宋_GB2312"/>
          <w:color w:val="FF0000"/>
          <w:szCs w:val="32"/>
        </w:rPr>
      </w:pPr>
      <w:r>
        <w:rPr>
          <w:rFonts w:hint="eastAsia" w:eastAsia="仿宋_GB2312"/>
          <w:color w:val="FF0000"/>
          <w:szCs w:val="32"/>
        </w:rPr>
        <w:t>按照</w:t>
      </w:r>
      <w:r>
        <w:rPr>
          <w:rFonts w:eastAsia="仿宋_GB2312"/>
          <w:color w:val="FF0000"/>
          <w:szCs w:val="32"/>
        </w:rPr>
        <w:t>GB/T 16886.1</w:t>
      </w:r>
      <w:r>
        <w:rPr>
          <w:rFonts w:hint="eastAsia" w:eastAsia="仿宋_GB2312"/>
          <w:color w:val="FF0000"/>
          <w:szCs w:val="32"/>
        </w:rPr>
        <w:t>《医疗器械生物学评价</w:t>
      </w:r>
      <w:r>
        <w:rPr>
          <w:rFonts w:eastAsia="仿宋_GB2312"/>
          <w:color w:val="FF0000"/>
          <w:szCs w:val="32"/>
        </w:rPr>
        <w:t xml:space="preserve"> </w:t>
      </w:r>
      <w:r>
        <w:rPr>
          <w:rFonts w:hint="eastAsia" w:eastAsia="仿宋_GB2312"/>
          <w:color w:val="FF0000"/>
          <w:szCs w:val="32"/>
        </w:rPr>
        <w:t>第</w:t>
      </w:r>
      <w:r>
        <w:rPr>
          <w:rFonts w:eastAsia="仿宋_GB2312"/>
          <w:color w:val="FF0000"/>
          <w:szCs w:val="32"/>
        </w:rPr>
        <w:t>1</w:t>
      </w:r>
      <w:r>
        <w:rPr>
          <w:rFonts w:hint="eastAsia" w:eastAsia="仿宋_GB2312"/>
          <w:color w:val="FF0000"/>
          <w:szCs w:val="32"/>
        </w:rPr>
        <w:t>部分：风险管理过程中的评价与试验》《关于印发医疗器械生物学评价和审查指南的通知》要求开展生物相容性评价，资料应当包括：</w:t>
      </w:r>
    </w:p>
    <w:p>
      <w:pPr>
        <w:spacing w:line="520" w:lineRule="exact"/>
        <w:ind w:firstLine="640" w:firstLineChars="200"/>
        <w:jc w:val="left"/>
        <w:rPr>
          <w:rFonts w:eastAsia="仿宋_GB2312"/>
          <w:color w:val="FF0000"/>
          <w:szCs w:val="32"/>
        </w:rPr>
      </w:pPr>
      <w:r>
        <w:rPr>
          <w:rFonts w:hint="eastAsia" w:eastAsia="仿宋_GB2312"/>
          <w:color w:val="FF0000"/>
          <w:szCs w:val="32"/>
        </w:rPr>
        <w:t>4.3.1生物相容性评价的依据、项目和方法。</w:t>
      </w:r>
    </w:p>
    <w:p>
      <w:pPr>
        <w:spacing w:line="520" w:lineRule="exact"/>
        <w:ind w:firstLine="640" w:firstLineChars="200"/>
        <w:jc w:val="left"/>
        <w:rPr>
          <w:rFonts w:eastAsia="仿宋_GB2312"/>
          <w:color w:val="FF0000"/>
          <w:szCs w:val="32"/>
        </w:rPr>
      </w:pPr>
      <w:r>
        <w:rPr>
          <w:rFonts w:hint="eastAsia" w:eastAsia="仿宋_GB2312"/>
          <w:color w:val="FF0000"/>
          <w:szCs w:val="32"/>
        </w:rPr>
        <w:t>4.3.</w:t>
      </w:r>
      <w:r>
        <w:rPr>
          <w:rFonts w:eastAsia="仿宋_GB2312"/>
          <w:color w:val="FF0000"/>
          <w:szCs w:val="32"/>
        </w:rPr>
        <w:t>2</w:t>
      </w:r>
      <w:r>
        <w:rPr>
          <w:rFonts w:hint="eastAsia" w:eastAsia="仿宋_GB2312"/>
          <w:color w:val="FF0000"/>
          <w:szCs w:val="32"/>
        </w:rPr>
        <w:t>产品所用材料的描述及与人体接触的性质和时间。</w:t>
      </w:r>
    </w:p>
    <w:p>
      <w:pPr>
        <w:spacing w:line="520" w:lineRule="exact"/>
        <w:ind w:firstLine="640" w:firstLineChars="200"/>
        <w:jc w:val="left"/>
        <w:rPr>
          <w:rFonts w:eastAsia="仿宋_GB2312"/>
          <w:color w:val="FF0000"/>
          <w:szCs w:val="32"/>
        </w:rPr>
      </w:pPr>
      <w:r>
        <w:rPr>
          <w:rFonts w:hint="eastAsia" w:eastAsia="仿宋_GB2312"/>
          <w:color w:val="FF0000"/>
          <w:szCs w:val="32"/>
        </w:rPr>
        <w:t>4.3.</w:t>
      </w:r>
      <w:r>
        <w:rPr>
          <w:rFonts w:eastAsia="仿宋_GB2312"/>
          <w:color w:val="FF0000"/>
          <w:szCs w:val="32"/>
        </w:rPr>
        <w:t>3</w:t>
      </w:r>
      <w:r>
        <w:rPr>
          <w:rFonts w:hint="eastAsia" w:eastAsia="仿宋_GB2312"/>
          <w:color w:val="FF0000"/>
          <w:szCs w:val="32"/>
        </w:rPr>
        <w:t>实施或豁免生物学试验的理由和论证。</w:t>
      </w:r>
    </w:p>
    <w:p>
      <w:pPr>
        <w:spacing w:line="520" w:lineRule="exact"/>
        <w:ind w:firstLine="640" w:firstLineChars="200"/>
        <w:jc w:val="left"/>
        <w:rPr>
          <w:rFonts w:eastAsia="仿宋_GB2312"/>
          <w:color w:val="FF0000"/>
          <w:szCs w:val="32"/>
        </w:rPr>
      </w:pPr>
      <w:r>
        <w:rPr>
          <w:rFonts w:hint="eastAsia" w:eastAsia="仿宋_GB2312"/>
          <w:color w:val="FF0000"/>
          <w:szCs w:val="32"/>
        </w:rPr>
        <w:t>4.3.</w:t>
      </w:r>
      <w:r>
        <w:rPr>
          <w:rFonts w:eastAsia="仿宋_GB2312"/>
          <w:color w:val="FF0000"/>
          <w:szCs w:val="32"/>
        </w:rPr>
        <w:t>4</w:t>
      </w:r>
      <w:r>
        <w:rPr>
          <w:rFonts w:hint="eastAsia" w:eastAsia="仿宋_GB2312"/>
          <w:color w:val="FF0000"/>
          <w:szCs w:val="32"/>
        </w:rPr>
        <w:t>对于现有数据或试验结果的评价。</w:t>
      </w:r>
    </w:p>
    <w:p>
      <w:pPr>
        <w:spacing w:line="520" w:lineRule="exact"/>
        <w:ind w:firstLine="640" w:firstLineChars="200"/>
        <w:jc w:val="left"/>
        <w:rPr>
          <w:rFonts w:eastAsia="仿宋_GB2312"/>
          <w:color w:val="000000"/>
          <w:szCs w:val="32"/>
        </w:rPr>
      </w:pPr>
      <w:r>
        <w:rPr>
          <w:rFonts w:hint="eastAsia" w:eastAsia="仿宋_GB2312"/>
          <w:color w:val="000000"/>
          <w:szCs w:val="32"/>
        </w:rPr>
        <w:t>申请人如进行生物学试验，应按</w:t>
      </w:r>
      <w:r>
        <w:rPr>
          <w:rFonts w:eastAsia="仿宋_GB2312"/>
          <w:color w:val="000000"/>
          <w:szCs w:val="32"/>
        </w:rPr>
        <w:t>GB/T 16886.1</w:t>
      </w:r>
      <w:r>
        <w:rPr>
          <w:rFonts w:hint="eastAsia" w:eastAsia="仿宋_GB2312"/>
          <w:color w:val="000000"/>
          <w:szCs w:val="32"/>
        </w:rPr>
        <w:t>选择适用的试验项目，试验项目的选择应结合产品预期接触的部位以及产品累积使用的接触时间，根据现行版</w:t>
      </w:r>
      <w:r>
        <w:rPr>
          <w:rFonts w:eastAsia="仿宋_GB2312"/>
          <w:color w:val="000000"/>
          <w:szCs w:val="32"/>
        </w:rPr>
        <w:t>GB/T 16886.1</w:t>
      </w:r>
      <w:r>
        <w:rPr>
          <w:rFonts w:hint="eastAsia" w:eastAsia="仿宋_GB2312"/>
          <w:color w:val="000000"/>
          <w:szCs w:val="32"/>
        </w:rPr>
        <w:t>，若适用于急慢性鼻炎、过敏性鼻炎、鼻息肉、鼻窦炎等鼻腔疾病患者的鼻腔清洗，建议至少考虑细胞毒性、致敏反应、刺激或皮内反应；若适用于鼻炎手术后及化疗后的鼻腔清洗，建议至少考虑细胞毒性、致敏反应、刺激或皮内反应、材料介导的致热性、急性全身毒性。</w:t>
      </w:r>
    </w:p>
    <w:p>
      <w:pPr>
        <w:spacing w:line="520" w:lineRule="exact"/>
        <w:ind w:firstLine="640" w:firstLineChars="200"/>
        <w:jc w:val="left"/>
        <w:rPr>
          <w:rFonts w:eastAsia="仿宋_GB2312"/>
          <w:color w:val="000000"/>
          <w:szCs w:val="32"/>
        </w:rPr>
      </w:pPr>
      <w:r>
        <w:rPr>
          <w:rFonts w:hint="eastAsia" w:eastAsia="仿宋_GB2312"/>
          <w:color w:val="000000"/>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pPr>
        <w:spacing w:line="520" w:lineRule="exact"/>
        <w:ind w:firstLine="640" w:firstLineChars="200"/>
        <w:jc w:val="left"/>
        <w:rPr>
          <w:rFonts w:eastAsia="仿宋_GB2312"/>
          <w:color w:val="000000"/>
          <w:szCs w:val="32"/>
        </w:rPr>
      </w:pPr>
      <w:r>
        <w:rPr>
          <w:rFonts w:hint="eastAsia" w:eastAsia="仿宋_GB2312"/>
          <w:color w:val="000000"/>
          <w:szCs w:val="32"/>
        </w:rPr>
        <w:t>若无法证明申报产品与已上市产品的等同性，需按照</w:t>
      </w:r>
      <w:r>
        <w:rPr>
          <w:rFonts w:eastAsia="仿宋_GB2312"/>
          <w:color w:val="000000"/>
          <w:szCs w:val="32"/>
        </w:rPr>
        <w:t>GB/T 16886.1</w:t>
      </w:r>
      <w:r>
        <w:rPr>
          <w:rFonts w:hint="eastAsia" w:eastAsia="仿宋_GB2312"/>
          <w:color w:val="000000"/>
          <w:szCs w:val="32"/>
        </w:rPr>
        <w:t>的要求开展申报产品生物相容性试验予以评价。</w:t>
      </w:r>
    </w:p>
    <w:p>
      <w:pPr>
        <w:spacing w:line="520" w:lineRule="exact"/>
        <w:ind w:firstLine="640" w:firstLineChars="200"/>
        <w:jc w:val="left"/>
        <w:rPr>
          <w:rFonts w:eastAsia="仿宋_GB2312"/>
          <w:color w:val="000000"/>
          <w:szCs w:val="32"/>
        </w:rPr>
      </w:pPr>
      <w:r>
        <w:rPr>
          <w:rFonts w:hint="eastAsia" w:eastAsia="仿宋_GB2312"/>
          <w:color w:val="000000"/>
          <w:szCs w:val="32"/>
        </w:rPr>
        <w:t>4.4</w:t>
      </w:r>
      <w:r>
        <w:rPr>
          <w:rFonts w:eastAsia="仿宋_GB2312"/>
          <w:bCs/>
          <w:szCs w:val="32"/>
        </w:rPr>
        <w:t>灭菌（除菌）工艺研究（</w:t>
      </w:r>
      <w:r>
        <w:rPr>
          <w:rFonts w:eastAsia="仿宋_GB2312"/>
          <w:bCs/>
          <w:kern w:val="0"/>
          <w:szCs w:val="32"/>
        </w:rPr>
        <w:t>如适用</w:t>
      </w:r>
      <w:r>
        <w:rPr>
          <w:rFonts w:eastAsia="仿宋_GB2312"/>
          <w:bCs/>
          <w:szCs w:val="32"/>
        </w:rPr>
        <w:t>）</w:t>
      </w:r>
    </w:p>
    <w:p>
      <w:pPr>
        <w:spacing w:line="520" w:lineRule="exact"/>
        <w:ind w:firstLine="640" w:firstLineChars="200"/>
        <w:rPr>
          <w:rFonts w:eastAsia="仿宋_GB2312"/>
          <w:bCs/>
          <w:kern w:val="0"/>
          <w:szCs w:val="32"/>
        </w:rPr>
      </w:pPr>
      <w:r>
        <w:rPr>
          <w:rFonts w:eastAsia="仿宋_GB2312"/>
          <w:bCs/>
          <w:szCs w:val="32"/>
        </w:rPr>
        <w:t>以无菌形式提供的产品，应</w:t>
      </w:r>
      <w:r>
        <w:rPr>
          <w:rFonts w:eastAsia="仿宋_GB2312"/>
          <w:bCs/>
          <w:kern w:val="0"/>
          <w:szCs w:val="32"/>
        </w:rPr>
        <w:t>提交产品包装及灭菌</w:t>
      </w:r>
      <w:bookmarkStart w:id="0" w:name="_Hlk122364191"/>
      <w:r>
        <w:rPr>
          <w:rFonts w:eastAsia="仿宋_GB2312"/>
          <w:bCs/>
          <w:szCs w:val="32"/>
        </w:rPr>
        <w:t>（除菌）</w:t>
      </w:r>
      <w:bookmarkEnd w:id="0"/>
      <w:r>
        <w:rPr>
          <w:rFonts w:eastAsia="仿宋_GB2312"/>
          <w:bCs/>
          <w:kern w:val="0"/>
          <w:szCs w:val="32"/>
        </w:rPr>
        <w:t>方法选择的依据，经过确认并进行常规控制。</w:t>
      </w:r>
      <w:r>
        <w:rPr>
          <w:rFonts w:eastAsia="仿宋_GB2312"/>
          <w:bCs/>
          <w:spacing w:val="-6"/>
          <w:szCs w:val="32"/>
        </w:rPr>
        <w:t>注册申请人应</w:t>
      </w:r>
      <w:r>
        <w:rPr>
          <w:rFonts w:eastAsia="仿宋_GB2312"/>
          <w:bCs/>
          <w:kern w:val="0"/>
          <w:szCs w:val="32"/>
        </w:rPr>
        <w:t>开展以下方面的研究：</w:t>
      </w:r>
    </w:p>
    <w:p>
      <w:pPr>
        <w:pStyle w:val="5"/>
        <w:spacing w:line="520" w:lineRule="exact"/>
        <w:ind w:firstLine="640" w:firstLineChars="200"/>
        <w:jc w:val="both"/>
        <w:rPr>
          <w:rFonts w:ascii="Times New Roman" w:hAnsi="Times New Roman"/>
          <w:bCs/>
          <w:sz w:val="32"/>
          <w:szCs w:val="32"/>
        </w:rPr>
      </w:pPr>
      <w:r>
        <w:rPr>
          <w:rFonts w:ascii="Times New Roman" w:hAnsi="Times New Roman"/>
          <w:bCs/>
          <w:sz w:val="32"/>
          <w:szCs w:val="32"/>
        </w:rPr>
        <w:t>4.</w:t>
      </w:r>
      <w:r>
        <w:rPr>
          <w:rFonts w:hint="eastAsia" w:ascii="Times New Roman" w:hAnsi="Times New Roman"/>
          <w:bCs/>
          <w:sz w:val="32"/>
          <w:szCs w:val="32"/>
        </w:rPr>
        <w:t>4</w:t>
      </w:r>
      <w:r>
        <w:rPr>
          <w:rFonts w:ascii="Times New Roman" w:hAnsi="Times New Roman"/>
          <w:bCs/>
          <w:sz w:val="32"/>
          <w:szCs w:val="32"/>
        </w:rPr>
        <w:t>.1产品与灭菌（除菌）过程的适应性</w:t>
      </w:r>
      <w:r>
        <w:rPr>
          <w:rFonts w:hint="eastAsia" w:ascii="Times New Roman" w:hAnsi="Times New Roman"/>
          <w:bCs/>
          <w:sz w:val="32"/>
          <w:szCs w:val="32"/>
        </w:rPr>
        <w:t>，</w:t>
      </w:r>
      <w:r>
        <w:rPr>
          <w:rFonts w:ascii="Times New Roman" w:hAnsi="Times New Roman"/>
          <w:bCs/>
          <w:sz w:val="32"/>
          <w:szCs w:val="32"/>
        </w:rPr>
        <w:t>应考察灭菌（除菌）方法等工艺过程对于产品的影响</w:t>
      </w:r>
      <w:r>
        <w:rPr>
          <w:rFonts w:hint="eastAsia" w:ascii="Times New Roman" w:hAnsi="Times New Roman"/>
          <w:bCs/>
          <w:sz w:val="32"/>
          <w:szCs w:val="32"/>
        </w:rPr>
        <w:t>。</w:t>
      </w:r>
      <w:r>
        <w:rPr>
          <w:bCs/>
          <w:sz w:val="32"/>
          <w:szCs w:val="32"/>
        </w:rPr>
        <w:t>因环氧乙烷遇水后可形成有毒的乙二醇，影响产品性能，该方法不适用于</w:t>
      </w:r>
      <w:r>
        <w:rPr>
          <w:rFonts w:hint="eastAsia"/>
          <w:bCs/>
          <w:sz w:val="32"/>
          <w:szCs w:val="32"/>
        </w:rPr>
        <w:t>海水鼻腔清洗液</w:t>
      </w:r>
      <w:r>
        <w:rPr>
          <w:bCs/>
          <w:sz w:val="32"/>
          <w:szCs w:val="32"/>
        </w:rPr>
        <w:t>产品灭菌</w:t>
      </w:r>
      <w:r>
        <w:rPr>
          <w:rFonts w:hint="eastAsia" w:ascii="Times New Roman" w:hAnsi="Times New Roman"/>
          <w:bCs/>
          <w:sz w:val="32"/>
          <w:szCs w:val="32"/>
        </w:rPr>
        <w:t>。</w:t>
      </w:r>
    </w:p>
    <w:p>
      <w:pPr>
        <w:pStyle w:val="5"/>
        <w:spacing w:line="520" w:lineRule="exact"/>
        <w:ind w:firstLine="640" w:firstLineChars="200"/>
        <w:jc w:val="both"/>
        <w:rPr>
          <w:rFonts w:ascii="Times New Roman" w:hAnsi="Times New Roman"/>
          <w:bCs/>
          <w:sz w:val="32"/>
          <w:szCs w:val="32"/>
        </w:rPr>
      </w:pPr>
      <w:r>
        <w:rPr>
          <w:rFonts w:ascii="Times New Roman" w:hAnsi="Times New Roman"/>
          <w:bCs/>
          <w:sz w:val="32"/>
          <w:szCs w:val="32"/>
        </w:rPr>
        <w:t>4.</w:t>
      </w:r>
      <w:r>
        <w:rPr>
          <w:rFonts w:hint="eastAsia" w:ascii="Times New Roman" w:hAnsi="Times New Roman"/>
          <w:bCs/>
          <w:sz w:val="32"/>
          <w:szCs w:val="32"/>
        </w:rPr>
        <w:t>4</w:t>
      </w:r>
      <w:r>
        <w:rPr>
          <w:rFonts w:ascii="Times New Roman" w:hAnsi="Times New Roman"/>
          <w:bCs/>
          <w:sz w:val="32"/>
          <w:szCs w:val="32"/>
        </w:rPr>
        <w:t>.2包装与灭菌过程的适应性，</w:t>
      </w:r>
      <w:r>
        <w:rPr>
          <w:bCs/>
          <w:sz w:val="32"/>
          <w:szCs w:val="32"/>
        </w:rPr>
        <w:t>应根据产品及包装情况选择适宜的灭菌方式。</w:t>
      </w:r>
      <w:r>
        <w:rPr>
          <w:rFonts w:ascii="Times New Roman" w:hAnsi="Times New Roman"/>
          <w:bCs/>
          <w:sz w:val="32"/>
          <w:szCs w:val="32"/>
        </w:rPr>
        <w:t>如所选灭菌方法是否会导致包装物的外观发生</w:t>
      </w:r>
      <w:r>
        <w:rPr>
          <w:rFonts w:hint="eastAsia" w:ascii="Times New Roman" w:hAnsi="Times New Roman"/>
          <w:bCs/>
          <w:sz w:val="32"/>
          <w:szCs w:val="32"/>
        </w:rPr>
        <w:t>改</w:t>
      </w:r>
      <w:r>
        <w:rPr>
          <w:rFonts w:ascii="Times New Roman" w:hAnsi="Times New Roman"/>
          <w:bCs/>
          <w:sz w:val="32"/>
          <w:szCs w:val="32"/>
        </w:rPr>
        <w:t>变。</w:t>
      </w:r>
    </w:p>
    <w:p>
      <w:pPr>
        <w:spacing w:line="520" w:lineRule="exact"/>
        <w:ind w:firstLine="640" w:firstLineChars="200"/>
        <w:rPr>
          <w:rFonts w:eastAsia="仿宋_GB2312"/>
          <w:bCs/>
          <w:kern w:val="0"/>
          <w:szCs w:val="32"/>
        </w:rPr>
      </w:pPr>
      <w:r>
        <w:rPr>
          <w:rFonts w:eastAsia="仿宋_GB2312"/>
          <w:bCs/>
          <w:kern w:val="0"/>
          <w:szCs w:val="32"/>
        </w:rPr>
        <w:t>4.</w:t>
      </w:r>
      <w:r>
        <w:rPr>
          <w:rFonts w:hint="eastAsia" w:eastAsia="仿宋_GB2312"/>
          <w:bCs/>
          <w:kern w:val="0"/>
          <w:szCs w:val="32"/>
        </w:rPr>
        <w:t>4</w:t>
      </w:r>
      <w:r>
        <w:rPr>
          <w:rFonts w:eastAsia="仿宋_GB2312"/>
          <w:bCs/>
          <w:kern w:val="0"/>
          <w:szCs w:val="32"/>
        </w:rPr>
        <w:t>.3应明确灭菌工艺（方法和参数）和无菌保证水平（SAL），无菌保证水平（SAL）应达到10</w:t>
      </w:r>
      <w:r>
        <w:rPr>
          <w:rFonts w:eastAsia="仿宋_GB2312"/>
          <w:bCs/>
          <w:kern w:val="0"/>
          <w:szCs w:val="32"/>
          <w:vertAlign w:val="superscript"/>
        </w:rPr>
        <w:t>-6</w:t>
      </w:r>
      <w:r>
        <w:rPr>
          <w:rFonts w:eastAsia="仿宋_GB2312"/>
          <w:bCs/>
          <w:kern w:val="0"/>
          <w:szCs w:val="32"/>
        </w:rPr>
        <w:t>，提供灭菌确认报告。</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_GB2312"/>
          <w:color w:val="000000"/>
          <w:szCs w:val="32"/>
        </w:rPr>
        <w:t>5</w:t>
      </w:r>
      <w:r>
        <w:rPr>
          <w:rFonts w:eastAsia="仿宋_GB2312"/>
          <w:color w:val="000000"/>
          <w:szCs w:val="32"/>
        </w:rPr>
        <w:t>稳定性研究</w:t>
      </w:r>
    </w:p>
    <w:p>
      <w:pPr>
        <w:spacing w:line="520" w:lineRule="exact"/>
        <w:ind w:firstLine="640" w:firstLineChars="200"/>
        <w:rPr>
          <w:rFonts w:eastAsia="仿宋_GB2312"/>
          <w:color w:val="000000"/>
          <w:szCs w:val="32"/>
        </w:rPr>
      </w:pPr>
      <w:r>
        <w:rPr>
          <w:rFonts w:hint="eastAsia" w:eastAsia="仿宋_GB2312"/>
          <w:color w:val="000000"/>
          <w:szCs w:val="32"/>
        </w:rPr>
        <w:t>4.5.1货架有效期</w:t>
      </w:r>
    </w:p>
    <w:p>
      <w:pPr>
        <w:spacing w:line="520" w:lineRule="exact"/>
        <w:ind w:firstLine="640" w:firstLineChars="200"/>
        <w:rPr>
          <w:rFonts w:eastAsia="仿宋_GB2312"/>
          <w:color w:val="000000"/>
          <w:szCs w:val="32"/>
        </w:rPr>
      </w:pPr>
      <w:r>
        <w:rPr>
          <w:rFonts w:hint="eastAsia" w:eastAsia="仿宋_GB2312"/>
          <w:color w:val="000000"/>
          <w:szCs w:val="32"/>
        </w:rPr>
        <w:t>应提供货架有效期研究资料，证明在货架有效期内，产品性能满足使用要求。注册申请人需在试验方案中设定检测项目、检测方法及判定标准。检测项目包括产品自身性能检测和包装系统性能检测两方面。实时稳定性试验结果是验证产品货架有效期的直接证据。当加速稳定性试验结果与其不一致时，应以实时稳定性试验结果为准。</w:t>
      </w:r>
    </w:p>
    <w:p>
      <w:pPr>
        <w:spacing w:line="520" w:lineRule="exact"/>
        <w:ind w:firstLine="640" w:firstLineChars="200"/>
        <w:rPr>
          <w:rFonts w:eastAsia="仿宋_GB2312"/>
          <w:color w:val="000000"/>
          <w:szCs w:val="32"/>
        </w:rPr>
      </w:pPr>
      <w:r>
        <w:rPr>
          <w:rFonts w:hint="eastAsia" w:eastAsia="仿宋_GB2312"/>
          <w:color w:val="000000"/>
          <w:szCs w:val="32"/>
        </w:rPr>
        <w:t>对于非无菌形式提供的产品，开封后可以多次使用的，应对其开封后稳定性进行研究，以确认产品开封后，在实际使用条件下能够满足使用要求的最长存放时间，提供研究报告。</w:t>
      </w:r>
    </w:p>
    <w:p>
      <w:pPr>
        <w:spacing w:line="520" w:lineRule="exact"/>
        <w:ind w:firstLine="640" w:firstLineChars="200"/>
        <w:rPr>
          <w:rFonts w:eastAsia="仿宋_GB2312"/>
          <w:color w:val="000000"/>
          <w:szCs w:val="32"/>
        </w:rPr>
      </w:pPr>
      <w:r>
        <w:rPr>
          <w:rFonts w:hint="eastAsia" w:eastAsia="仿宋_GB2312"/>
          <w:color w:val="000000"/>
          <w:szCs w:val="32"/>
        </w:rPr>
        <w:t>产品以无菌和非无菌两种形式提供时，应分别进行有效期研究。对于同一注册单元内不同型号产品包装存在差异的（如同时包含PET瓶和铝瓶包装），还应考虑微生物屏障的差异，对于可能存在差异的，应分别验证。</w:t>
      </w:r>
    </w:p>
    <w:p>
      <w:pPr>
        <w:spacing w:line="520" w:lineRule="exact"/>
        <w:ind w:firstLine="640" w:firstLineChars="200"/>
        <w:rPr>
          <w:rFonts w:eastAsia="仿宋_GB2312"/>
          <w:color w:val="000000"/>
          <w:szCs w:val="32"/>
        </w:rPr>
      </w:pPr>
      <w:r>
        <w:rPr>
          <w:rFonts w:hint="eastAsia" w:eastAsia="仿宋_GB2312"/>
          <w:color w:val="000000"/>
          <w:szCs w:val="32"/>
        </w:rPr>
        <w:t>4.5.2包装研究</w:t>
      </w:r>
    </w:p>
    <w:p>
      <w:pPr>
        <w:spacing w:line="520" w:lineRule="exact"/>
        <w:ind w:firstLine="640" w:firstLineChars="200"/>
        <w:rPr>
          <w:rFonts w:eastAsia="仿宋_GB2312"/>
          <w:color w:val="000000"/>
          <w:szCs w:val="32"/>
        </w:rPr>
      </w:pPr>
      <w:r>
        <w:rPr>
          <w:rFonts w:hint="eastAsia" w:eastAsia="仿宋_GB2312"/>
          <w:color w:val="000000"/>
          <w:szCs w:val="32"/>
        </w:rPr>
        <w:t>应提供包装研究资料，证明在生产企业规定的运输贮存条件下，运输和贮存过程中的环境条件（例如：震动、振动、温度、湿度、光线的波动）不会对产品的性能造成不利影响。</w:t>
      </w:r>
    </w:p>
    <w:p>
      <w:pPr>
        <w:spacing w:line="520" w:lineRule="exact"/>
        <w:ind w:firstLine="640" w:firstLineChars="200"/>
        <w:rPr>
          <w:rFonts w:eastAsia="仿宋_GB2312"/>
          <w:color w:val="000000"/>
          <w:szCs w:val="32"/>
        </w:rPr>
      </w:pPr>
      <w:r>
        <w:rPr>
          <w:rFonts w:hint="eastAsia" w:eastAsia="仿宋_GB2312"/>
          <w:color w:val="000000"/>
          <w:szCs w:val="32"/>
        </w:rPr>
        <w:t>注册申请人应提交最终成品包装的初始完整性和维持完整性的验证资料。对于在加速稳定性试验中可能导致产品变性而不适于选择加速稳定性试验研究其包装的情况，应以实时稳定性试验进行验证。</w:t>
      </w:r>
    </w:p>
    <w:p>
      <w:pPr>
        <w:spacing w:line="520" w:lineRule="exact"/>
        <w:ind w:firstLine="640" w:firstLineChars="200"/>
        <w:rPr>
          <w:rFonts w:eastAsia="仿宋_GB2312"/>
          <w:color w:val="000000"/>
          <w:szCs w:val="32"/>
        </w:rPr>
      </w:pPr>
      <w:r>
        <w:rPr>
          <w:rFonts w:hint="eastAsia" w:eastAsia="仿宋_GB2312"/>
          <w:color w:val="000000"/>
          <w:szCs w:val="32"/>
        </w:rPr>
        <w:t>包装研究资料应包括封口试验以及包装材料对灭菌的适应性研究。可依据GB/T 19633系列标准对包装进行分析研究和评价。</w:t>
      </w:r>
    </w:p>
    <w:p>
      <w:pPr>
        <w:spacing w:line="520" w:lineRule="exact"/>
        <w:ind w:firstLine="640" w:firstLineChars="200"/>
        <w:rPr>
          <w:rFonts w:eastAsia="仿宋_GB2312"/>
          <w:color w:val="000000"/>
          <w:szCs w:val="32"/>
        </w:rPr>
      </w:pPr>
      <w:r>
        <w:rPr>
          <w:rFonts w:hint="eastAsia" w:eastAsia="仿宋_GB2312"/>
          <w:color w:val="000000"/>
          <w:szCs w:val="32"/>
        </w:rPr>
        <w:t>4.6其他资料</w:t>
      </w:r>
    </w:p>
    <w:p>
      <w:pPr>
        <w:spacing w:line="520" w:lineRule="exact"/>
        <w:ind w:firstLine="640" w:firstLineChars="200"/>
        <w:rPr>
          <w:rFonts w:eastAsia="仿宋_GB2312"/>
          <w:color w:val="000000"/>
          <w:szCs w:val="32"/>
        </w:rPr>
      </w:pPr>
      <w:r>
        <w:rPr>
          <w:rFonts w:hint="eastAsia" w:eastAsia="仿宋_GB2312"/>
          <w:color w:val="000000"/>
          <w:szCs w:val="32"/>
        </w:rPr>
        <w:t>注册申请人应基于申报产品的分类编码、适用范围等判定申报产品与《免于临床评价医疗器械目录》产品的等同性，经判定属于免于进行临床评价的产品的，应按照《列入免于临床评价医疗器械目录产品对比说明技术指导原则》提供相应资料，从基本原理、结构组成、性能、安全性、适用范围等方面，证明产品的安全有效性。</w:t>
      </w:r>
    </w:p>
    <w:p>
      <w:pPr>
        <w:spacing w:line="520" w:lineRule="exact"/>
        <w:ind w:firstLine="640" w:firstLineChars="200"/>
        <w:rPr>
          <w:rFonts w:eastAsia="楷体_GB2312"/>
          <w:color w:val="000000"/>
          <w:szCs w:val="32"/>
        </w:rPr>
      </w:pPr>
      <w:r>
        <w:rPr>
          <w:rFonts w:hint="eastAsia" w:eastAsia="楷体_GB2312"/>
          <w:color w:val="000000"/>
          <w:szCs w:val="32"/>
        </w:rPr>
        <w:t>（四）临床评价资料</w:t>
      </w:r>
    </w:p>
    <w:p>
      <w:pPr>
        <w:spacing w:line="520" w:lineRule="exact"/>
        <w:ind w:firstLine="640" w:firstLineChars="200"/>
        <w:rPr>
          <w:rFonts w:eastAsia="仿宋_GB2312"/>
          <w:color w:val="000000"/>
          <w:szCs w:val="32"/>
        </w:rPr>
      </w:pPr>
      <w:r>
        <w:rPr>
          <w:rFonts w:hint="eastAsia" w:eastAsia="仿宋_GB2312"/>
          <w:color w:val="000000"/>
          <w:szCs w:val="32"/>
        </w:rPr>
        <w:t>对于符合《免临床目录》条件的海水鼻腔清洗液，注册申请人无需提交临床评价资料。若无法证明申报产品与《免临床目录》产品具有等同性，则应按照《医疗器械临床评价技术指导原则》提交临床评价资料。</w:t>
      </w:r>
    </w:p>
    <w:p>
      <w:pPr>
        <w:spacing w:line="520" w:lineRule="exact"/>
        <w:ind w:firstLine="640" w:firstLineChars="200"/>
        <w:rPr>
          <w:rFonts w:eastAsia="楷体_GB2312"/>
          <w:color w:val="000000"/>
          <w:szCs w:val="32"/>
        </w:rPr>
      </w:pPr>
      <w:r>
        <w:rPr>
          <w:rFonts w:eastAsia="楷体_GB2312"/>
          <w:color w:val="000000"/>
          <w:szCs w:val="32"/>
        </w:rPr>
        <w:t>（五）产品说明书和标签样稿</w:t>
      </w:r>
    </w:p>
    <w:p>
      <w:pPr>
        <w:spacing w:line="520" w:lineRule="exact"/>
        <w:ind w:firstLine="640" w:firstLineChars="200"/>
        <w:rPr>
          <w:rFonts w:eastAsia="仿宋_GB2312"/>
          <w:color w:val="000000"/>
          <w:szCs w:val="32"/>
        </w:rPr>
      </w:pPr>
      <w:r>
        <w:rPr>
          <w:rFonts w:hint="eastAsia" w:eastAsia="仿宋_GB2312"/>
          <w:color w:val="000000"/>
          <w:szCs w:val="32"/>
        </w:rPr>
        <w:t>产品说明书、标签和包装标识应符合《医疗器械说明书和标签管理规定》，建议参照YY/T 0466.1《医疗器械 用于医疗器械标签、标记和提供信息的符号 第1部分：通用要求》等相关标准制定说明书及标签内容，同时还应注意以下几点（不限于此）：</w:t>
      </w:r>
    </w:p>
    <w:p>
      <w:pPr>
        <w:spacing w:line="520" w:lineRule="exact"/>
        <w:ind w:firstLine="640" w:firstLineChars="200"/>
        <w:rPr>
          <w:rFonts w:eastAsia="仿宋_GB2312"/>
          <w:color w:val="000000"/>
          <w:szCs w:val="32"/>
        </w:rPr>
      </w:pPr>
      <w:r>
        <w:rPr>
          <w:rFonts w:hint="eastAsia" w:eastAsia="仿宋_GB2312"/>
          <w:color w:val="000000"/>
          <w:szCs w:val="32"/>
        </w:rPr>
        <w:t>1.说明书中关于产品性能特征的描述不应超出研究资料及产品技术要求，不得含有未经验证的夸大宣传的相关描述；储存和运输条件不应超出产品货架有效期和运输验证范围。</w:t>
      </w:r>
    </w:p>
    <w:p>
      <w:pPr>
        <w:spacing w:line="520" w:lineRule="exact"/>
        <w:ind w:firstLine="640" w:firstLineChars="200"/>
        <w:rPr>
          <w:rFonts w:eastAsia="仿宋_GB2312"/>
          <w:color w:val="000000"/>
          <w:szCs w:val="32"/>
        </w:rPr>
      </w:pPr>
      <w:r>
        <w:rPr>
          <w:rFonts w:hint="eastAsia" w:eastAsia="仿宋_GB2312"/>
          <w:color w:val="000000"/>
          <w:szCs w:val="32"/>
        </w:rPr>
        <w:t>2.非无菌形式提供的产品应当注明微生物指标、“非无菌”字样或符号；无菌形式提供的产品应当注明灭菌方式或除菌工艺、“无菌”等字样或符号。</w:t>
      </w:r>
    </w:p>
    <w:p>
      <w:pPr>
        <w:spacing w:line="520" w:lineRule="exact"/>
        <w:ind w:firstLine="640" w:firstLineChars="200"/>
        <w:rPr>
          <w:rFonts w:eastAsia="仿宋_GB2312"/>
          <w:color w:val="000000"/>
          <w:szCs w:val="32"/>
        </w:rPr>
      </w:pPr>
      <w:r>
        <w:rPr>
          <w:rFonts w:hint="eastAsia" w:eastAsia="仿宋_GB2312"/>
          <w:color w:val="000000"/>
          <w:szCs w:val="32"/>
        </w:rPr>
        <w:t>3.注明产品主要原材料，应有对材料过敏者禁止使用的提示，应注明。</w:t>
      </w:r>
    </w:p>
    <w:p>
      <w:pPr>
        <w:spacing w:line="520" w:lineRule="exact"/>
        <w:ind w:firstLine="640" w:firstLineChars="200"/>
        <w:rPr>
          <w:rFonts w:eastAsia="仿宋_GB2312"/>
          <w:color w:val="000000"/>
          <w:szCs w:val="32"/>
        </w:rPr>
      </w:pPr>
      <w:r>
        <w:rPr>
          <w:rFonts w:hint="eastAsia" w:eastAsia="仿宋_GB2312"/>
          <w:color w:val="000000"/>
          <w:szCs w:val="32"/>
        </w:rPr>
        <w:t>4.使用前检查包装是否完好，如有破损，禁止使用。</w:t>
      </w:r>
    </w:p>
    <w:p>
      <w:pPr>
        <w:spacing w:line="520" w:lineRule="exact"/>
        <w:ind w:firstLine="640" w:firstLineChars="200"/>
        <w:rPr>
          <w:rFonts w:eastAsia="仿宋_GB2312"/>
          <w:color w:val="000000"/>
          <w:szCs w:val="32"/>
        </w:rPr>
      </w:pPr>
      <w:r>
        <w:rPr>
          <w:rFonts w:hint="eastAsia" w:eastAsia="仿宋_GB2312"/>
          <w:color w:val="000000"/>
          <w:szCs w:val="32"/>
        </w:rPr>
        <w:t>5.应标明产品的货架有效期，严禁使用超过货架有效期的产品；明确产品存储条件，如避光、温湿度要求等。</w:t>
      </w:r>
    </w:p>
    <w:p>
      <w:pPr>
        <w:spacing w:line="520" w:lineRule="exact"/>
        <w:ind w:firstLine="640" w:firstLineChars="200"/>
        <w:rPr>
          <w:rFonts w:eastAsia="仿宋_GB2312"/>
          <w:color w:val="000000"/>
          <w:szCs w:val="32"/>
        </w:rPr>
      </w:pPr>
      <w:r>
        <w:rPr>
          <w:rFonts w:hint="eastAsia" w:eastAsia="仿宋_GB2312"/>
          <w:color w:val="000000"/>
          <w:szCs w:val="32"/>
        </w:rPr>
        <w:t>6.产品应遵医嘱使用，注明建议使用周期、使用方法和用量。若产品可多次使用，应当明确提示使用者该产品开封后应如何保存以及限定时间内使用完毕。</w:t>
      </w:r>
    </w:p>
    <w:p>
      <w:pPr>
        <w:spacing w:line="520" w:lineRule="exact"/>
        <w:ind w:firstLine="640" w:firstLineChars="200"/>
        <w:rPr>
          <w:rFonts w:eastAsia="仿宋_GB2312"/>
          <w:color w:val="000000"/>
          <w:szCs w:val="32"/>
        </w:rPr>
      </w:pPr>
      <w:r>
        <w:rPr>
          <w:rFonts w:hint="eastAsia" w:eastAsia="仿宋_GB2312"/>
          <w:color w:val="000000"/>
          <w:szCs w:val="32"/>
        </w:rPr>
        <w:t>7.使用中若出现粘膜组织不适反应、不慎喷入眼内等，请立即停止使用并清洗干净，必要时及时就医。</w:t>
      </w:r>
    </w:p>
    <w:p>
      <w:pPr>
        <w:spacing w:line="520" w:lineRule="exact"/>
        <w:ind w:firstLine="640" w:firstLineChars="200"/>
        <w:rPr>
          <w:rFonts w:eastAsia="仿宋_GB2312"/>
          <w:color w:val="000000"/>
          <w:szCs w:val="32"/>
        </w:rPr>
      </w:pPr>
      <w:r>
        <w:rPr>
          <w:rFonts w:hint="eastAsia" w:eastAsia="仿宋_GB2312"/>
          <w:color w:val="000000"/>
          <w:szCs w:val="32"/>
        </w:rPr>
        <w:t>8.明确针对产品特点的特殊注意事项、警示信息、可能的不良事件及处理措施等。</w:t>
      </w:r>
    </w:p>
    <w:p>
      <w:pPr>
        <w:spacing w:line="520" w:lineRule="exact"/>
        <w:ind w:firstLine="640" w:firstLineChars="200"/>
        <w:rPr>
          <w:rFonts w:eastAsia="仿宋_GB2312"/>
          <w:color w:val="000000"/>
          <w:szCs w:val="32"/>
        </w:rPr>
      </w:pPr>
      <w:r>
        <w:rPr>
          <w:rFonts w:hint="eastAsia" w:eastAsia="仿宋_GB2312"/>
          <w:color w:val="000000"/>
          <w:szCs w:val="32"/>
        </w:rPr>
        <w:t>9.其它应载明的内容。</w:t>
      </w:r>
    </w:p>
    <w:p>
      <w:pPr>
        <w:spacing w:line="520" w:lineRule="exact"/>
        <w:ind w:firstLine="640" w:firstLineChars="200"/>
        <w:rPr>
          <w:rFonts w:eastAsia="楷体_GB2312"/>
          <w:color w:val="000000"/>
          <w:szCs w:val="32"/>
        </w:rPr>
      </w:pPr>
      <w:r>
        <w:rPr>
          <w:rFonts w:eastAsia="楷体_GB2312"/>
          <w:color w:val="000000"/>
          <w:szCs w:val="32"/>
        </w:rPr>
        <w:t>（六）质量管理体系文件</w:t>
      </w:r>
    </w:p>
    <w:p>
      <w:pPr>
        <w:spacing w:line="520" w:lineRule="exact"/>
        <w:ind w:firstLine="640" w:firstLineChars="200"/>
        <w:rPr>
          <w:rFonts w:eastAsia="仿宋_GB2312"/>
          <w:color w:val="000000"/>
          <w:szCs w:val="32"/>
        </w:rPr>
      </w:pPr>
      <w:r>
        <w:rPr>
          <w:rFonts w:hint="eastAsia" w:eastAsia="仿宋_GB2312"/>
          <w:color w:val="000000"/>
          <w:szCs w:val="32"/>
        </w:rPr>
        <w:t>提供确保产品和质量管理体系符合相关要求文件。说明生产工艺和步骤，列出工艺图表，对生产工艺的可控性、稳定性应进行确认。应提供产品加工过程中以及终产品的质量控制要求。</w:t>
      </w:r>
    </w:p>
    <w:p>
      <w:pPr>
        <w:spacing w:line="520" w:lineRule="exact"/>
        <w:ind w:firstLine="640" w:firstLineChars="200"/>
        <w:rPr>
          <w:rFonts w:eastAsia="仿宋_GB2312"/>
          <w:color w:val="000000"/>
          <w:szCs w:val="32"/>
        </w:rPr>
      </w:pPr>
      <w:r>
        <w:rPr>
          <w:rFonts w:hint="eastAsia" w:eastAsia="仿宋_GB2312"/>
          <w:color w:val="000000"/>
          <w:szCs w:val="32"/>
        </w:rPr>
        <w:t>若产品有多个研制、生产场地，应当概述每个研制、生产场地的实际情况。</w:t>
      </w:r>
    </w:p>
    <w:p>
      <w:pPr>
        <w:pStyle w:val="15"/>
        <w:spacing w:line="520" w:lineRule="exact"/>
        <w:ind w:firstLine="640"/>
        <w:jc w:val="left"/>
        <w:outlineLvl w:val="0"/>
        <w:rPr>
          <w:rFonts w:eastAsia="黑体"/>
        </w:rPr>
      </w:pPr>
      <w:bookmarkStart w:id="1" w:name="_Toc265839389"/>
      <w:r>
        <w:rPr>
          <w:rFonts w:hint="eastAsia" w:eastAsia="黑体"/>
        </w:rPr>
        <w:t>三、</w:t>
      </w:r>
      <w:r>
        <w:rPr>
          <w:rFonts w:eastAsia="黑体"/>
        </w:rPr>
        <w:t>参考文献</w:t>
      </w:r>
      <w:bookmarkEnd w:id="1"/>
    </w:p>
    <w:p>
      <w:pPr>
        <w:spacing w:line="520" w:lineRule="exact"/>
        <w:ind w:right="-102" w:rightChars="-32" w:firstLine="640" w:firstLineChars="200"/>
        <w:rPr>
          <w:rFonts w:eastAsia="仿宋_GB2312"/>
          <w:color w:val="000000"/>
          <w:szCs w:val="32"/>
        </w:rPr>
      </w:pPr>
      <w:r>
        <w:rPr>
          <w:rFonts w:eastAsia="仿宋_GB2312"/>
          <w:color w:val="000000"/>
          <w:szCs w:val="32"/>
        </w:rPr>
        <w:t>[1]</w:t>
      </w:r>
      <w:r>
        <w:rPr>
          <w:rFonts w:eastAsia="仿宋_GB2312"/>
          <w:szCs w:val="32"/>
          <w:lang w:val="en"/>
        </w:rPr>
        <w:t>中华人民共和国国务院</w:t>
      </w:r>
      <w:r>
        <w:rPr>
          <w:rFonts w:hint="eastAsia" w:eastAsia="仿宋_GB2312"/>
          <w:szCs w:val="32"/>
          <w:lang w:val="en"/>
        </w:rPr>
        <w:t>.</w:t>
      </w:r>
      <w:r>
        <w:rPr>
          <w:rFonts w:eastAsia="仿宋_GB2312"/>
          <w:szCs w:val="32"/>
        </w:rPr>
        <w:t>医疗器械监督管理条例</w:t>
      </w:r>
      <w:r>
        <w:rPr>
          <w:rFonts w:hint="eastAsia" w:eastAsia="仿宋_GB2312"/>
          <w:szCs w:val="32"/>
        </w:rPr>
        <w:t>:</w:t>
      </w:r>
      <w:r>
        <w:rPr>
          <w:rFonts w:eastAsia="仿宋_GB2312"/>
          <w:szCs w:val="32"/>
          <w:lang w:val="en"/>
        </w:rPr>
        <w:t>中华人民共和国国务院令第739号</w:t>
      </w:r>
      <w:r>
        <w:rPr>
          <w:rFonts w:eastAsia="仿宋_GB2312"/>
          <w:szCs w:val="32"/>
        </w:rPr>
        <w:t>[Z].</w:t>
      </w:r>
    </w:p>
    <w:p>
      <w:pPr>
        <w:spacing w:line="520" w:lineRule="exact"/>
        <w:ind w:firstLine="640" w:firstLineChars="200"/>
        <w:rPr>
          <w:rFonts w:eastAsia="仿宋_GB2312"/>
          <w:szCs w:val="32"/>
        </w:rPr>
      </w:pPr>
      <w:r>
        <w:rPr>
          <w:rFonts w:eastAsia="仿宋_GB2312"/>
          <w:color w:val="000000"/>
          <w:szCs w:val="32"/>
        </w:rPr>
        <w:t>[2]</w:t>
      </w:r>
      <w:r>
        <w:rPr>
          <w:rFonts w:eastAsia="仿宋_GB2312"/>
          <w:szCs w:val="32"/>
        </w:rPr>
        <w:t>国家市场监督管理总局</w:t>
      </w:r>
      <w:r>
        <w:rPr>
          <w:rFonts w:hint="eastAsia" w:eastAsia="仿宋_GB2312"/>
          <w:szCs w:val="32"/>
        </w:rPr>
        <w:t>.</w:t>
      </w:r>
      <w:r>
        <w:rPr>
          <w:rFonts w:eastAsia="仿宋_GB2312"/>
          <w:szCs w:val="32"/>
        </w:rPr>
        <w:t>医疗器械注册与备案管理办法:国家市场监督管理总局令第47号[Z].</w:t>
      </w:r>
    </w:p>
    <w:p>
      <w:pPr>
        <w:spacing w:line="520" w:lineRule="exact"/>
        <w:ind w:firstLine="640" w:firstLineChars="200"/>
        <w:rPr>
          <w:rFonts w:eastAsia="仿宋_GB2312"/>
          <w:color w:val="000000"/>
          <w:szCs w:val="32"/>
        </w:rPr>
      </w:pPr>
      <w:r>
        <w:rPr>
          <w:rFonts w:eastAsia="仿宋_GB2312"/>
          <w:color w:val="000000"/>
          <w:szCs w:val="32"/>
        </w:rPr>
        <w:t>[3]国家食品药品监督管理局</w:t>
      </w:r>
      <w:r>
        <w:rPr>
          <w:rFonts w:hint="eastAsia" w:eastAsia="仿宋_GB2312"/>
          <w:color w:val="000000"/>
          <w:szCs w:val="32"/>
        </w:rPr>
        <w:t>.</w:t>
      </w:r>
      <w:r>
        <w:rPr>
          <w:rFonts w:eastAsia="仿宋_GB2312"/>
          <w:color w:val="000000"/>
          <w:szCs w:val="32"/>
        </w:rPr>
        <w:t>医疗器械生产质量管理规范</w:t>
      </w:r>
      <w:r>
        <w:rPr>
          <w:rFonts w:hint="eastAsia" w:eastAsia="仿宋_GB2312"/>
          <w:color w:val="000000"/>
          <w:szCs w:val="32"/>
        </w:rPr>
        <w:t>:</w:t>
      </w:r>
      <w:r>
        <w:rPr>
          <w:rFonts w:eastAsia="仿宋_GB2312"/>
          <w:color w:val="000000"/>
          <w:szCs w:val="32"/>
        </w:rPr>
        <w:t>国家食品药品监督管理总局201</w:t>
      </w:r>
      <w:r>
        <w:rPr>
          <w:rFonts w:hint="eastAsia" w:eastAsia="仿宋_GB2312"/>
          <w:color w:val="000000"/>
          <w:szCs w:val="32"/>
        </w:rPr>
        <w:t>5</w:t>
      </w:r>
      <w:r>
        <w:rPr>
          <w:rFonts w:eastAsia="仿宋_GB2312"/>
          <w:color w:val="000000"/>
          <w:szCs w:val="32"/>
        </w:rPr>
        <w:t>年第</w:t>
      </w:r>
      <w:r>
        <w:rPr>
          <w:rFonts w:hint="eastAsia" w:eastAsia="仿宋_GB2312"/>
          <w:color w:val="000000"/>
          <w:szCs w:val="32"/>
        </w:rPr>
        <w:t>107</w:t>
      </w:r>
      <w:r>
        <w:rPr>
          <w:rFonts w:eastAsia="仿宋_GB2312"/>
          <w:color w:val="000000"/>
          <w:szCs w:val="32"/>
        </w:rPr>
        <w:t>号[Z].</w:t>
      </w:r>
    </w:p>
    <w:p>
      <w:pPr>
        <w:spacing w:line="520" w:lineRule="exact"/>
        <w:ind w:firstLine="640" w:firstLineChars="200"/>
        <w:rPr>
          <w:rFonts w:eastAsia="仿宋_GB2312"/>
          <w:szCs w:val="32"/>
        </w:rPr>
      </w:pPr>
      <w:r>
        <w:rPr>
          <w:rFonts w:eastAsia="仿宋_GB2312"/>
          <w:color w:val="000000"/>
          <w:szCs w:val="32"/>
        </w:rPr>
        <w:t>[4]</w:t>
      </w:r>
      <w:r>
        <w:rPr>
          <w:rFonts w:hint="eastAsia" w:eastAsia="仿宋_GB2312"/>
          <w:szCs w:val="32"/>
        </w:rPr>
        <w:t>国家药品监督管理局.</w:t>
      </w:r>
      <w:r>
        <w:rPr>
          <w:rFonts w:eastAsia="仿宋_GB2312"/>
          <w:szCs w:val="32"/>
        </w:rPr>
        <w:t>医疗器械注册申报资料要求和批准证明文件格式</w:t>
      </w:r>
      <w:r>
        <w:rPr>
          <w:rFonts w:hint="eastAsia" w:eastAsia="仿宋_GB2312"/>
          <w:szCs w:val="32"/>
        </w:rPr>
        <w:t>:国家药监局公告2021年第121号[Z].</w:t>
      </w:r>
    </w:p>
    <w:p>
      <w:pPr>
        <w:spacing w:line="520" w:lineRule="exact"/>
        <w:ind w:firstLine="640" w:firstLineChars="200"/>
        <w:rPr>
          <w:rFonts w:eastAsia="仿宋_GB2312"/>
          <w:color w:val="000000"/>
          <w:szCs w:val="32"/>
        </w:rPr>
      </w:pPr>
      <w:r>
        <w:rPr>
          <w:rFonts w:hint="eastAsia" w:eastAsia="仿宋_GB2312"/>
          <w:szCs w:val="32"/>
        </w:rPr>
        <w:t>[5]</w:t>
      </w:r>
      <w:r>
        <w:rPr>
          <w:rFonts w:hint="eastAsia" w:eastAsia="仿宋_GB2312"/>
          <w:color w:val="000000"/>
          <w:szCs w:val="32"/>
        </w:rPr>
        <w:t>国家食品药品监督管理局.</w:t>
      </w:r>
      <w:r>
        <w:rPr>
          <w:rFonts w:hint="eastAsia" w:eastAsia="仿宋_GB2312"/>
          <w:szCs w:val="32"/>
        </w:rPr>
        <w:t>医疗器械说明书和标签管理规定:国家食品药品监督管理总局令第6号[Z].</w:t>
      </w:r>
    </w:p>
    <w:p>
      <w:pPr>
        <w:spacing w:line="520" w:lineRule="exact"/>
        <w:ind w:firstLine="640" w:firstLineChars="200"/>
        <w:rPr>
          <w:rFonts w:eastAsia="仿宋_GB2312"/>
          <w:szCs w:val="32"/>
        </w:rPr>
      </w:pPr>
      <w:r>
        <w:rPr>
          <w:rFonts w:eastAsia="仿宋_GB2312"/>
          <w:color w:val="000000"/>
          <w:szCs w:val="32"/>
        </w:rPr>
        <w:t>[6]</w:t>
      </w:r>
      <w:r>
        <w:rPr>
          <w:rFonts w:hint="eastAsia" w:eastAsia="仿宋_GB2312"/>
          <w:szCs w:val="32"/>
        </w:rPr>
        <w:t>国家食品药品监督管理局.</w:t>
      </w:r>
      <w:r>
        <w:rPr>
          <w:rFonts w:eastAsia="仿宋_GB2312"/>
          <w:szCs w:val="32"/>
        </w:rPr>
        <w:t>医疗器械分类规则</w:t>
      </w:r>
      <w:r>
        <w:rPr>
          <w:rFonts w:hint="eastAsia" w:eastAsia="仿宋_GB2312"/>
          <w:szCs w:val="32"/>
        </w:rPr>
        <w:t>:</w:t>
      </w:r>
      <w:r>
        <w:rPr>
          <w:rFonts w:eastAsia="仿宋_GB2312"/>
          <w:szCs w:val="32"/>
          <w:lang w:val="en"/>
        </w:rPr>
        <w:t>国家食品药品监督管理总局令第15号</w:t>
      </w:r>
      <w:r>
        <w:rPr>
          <w:rFonts w:eastAsia="仿宋_GB2312"/>
          <w:szCs w:val="32"/>
        </w:rPr>
        <w:t>[Z].</w:t>
      </w:r>
    </w:p>
    <w:p>
      <w:pPr>
        <w:spacing w:line="520" w:lineRule="exact"/>
        <w:ind w:right="-102" w:rightChars="-32" w:firstLine="640" w:firstLineChars="200"/>
        <w:rPr>
          <w:rFonts w:eastAsia="仿宋_GB2312"/>
          <w:color w:val="000000"/>
          <w:szCs w:val="32"/>
        </w:rPr>
      </w:pPr>
      <w:r>
        <w:rPr>
          <w:rFonts w:eastAsia="仿宋_GB2312"/>
          <w:color w:val="000000"/>
          <w:szCs w:val="32"/>
        </w:rPr>
        <w:t>[7]</w:t>
      </w:r>
      <w:r>
        <w:rPr>
          <w:rFonts w:eastAsia="仿宋_GB2312"/>
          <w:szCs w:val="28"/>
        </w:rPr>
        <w:t>国家食品药品监督管理局</w:t>
      </w:r>
      <w:r>
        <w:rPr>
          <w:rFonts w:hint="eastAsia" w:eastAsia="仿宋_GB2312"/>
          <w:szCs w:val="32"/>
        </w:rPr>
        <w:t>.</w:t>
      </w:r>
      <w:r>
        <w:rPr>
          <w:rFonts w:eastAsia="仿宋_GB2312"/>
          <w:szCs w:val="32"/>
        </w:rPr>
        <w:t>医疗器械通用名称命名规则</w:t>
      </w:r>
      <w:r>
        <w:rPr>
          <w:rFonts w:hint="eastAsia" w:eastAsia="仿宋_GB2312"/>
          <w:szCs w:val="32"/>
        </w:rPr>
        <w:t>：</w:t>
      </w:r>
      <w:r>
        <w:rPr>
          <w:rFonts w:eastAsia="仿宋_GB2312"/>
          <w:szCs w:val="28"/>
        </w:rPr>
        <w:t>国家食品药品监督管理总局令第19号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[8]</w:t>
      </w:r>
      <w:r>
        <w:rPr>
          <w:rFonts w:eastAsia="仿宋_GB2312"/>
          <w:szCs w:val="32"/>
          <w:lang w:val="en"/>
        </w:rPr>
        <w:t>国家食品药品监督管理局</w:t>
      </w:r>
      <w:r>
        <w:rPr>
          <w:rFonts w:eastAsia="仿宋_GB2312"/>
          <w:szCs w:val="32"/>
        </w:rPr>
        <w:t>.医疗器械分类目录</w:t>
      </w:r>
      <w:r>
        <w:rPr>
          <w:rFonts w:hint="eastAsia" w:eastAsia="仿宋_GB2312"/>
          <w:szCs w:val="32"/>
        </w:rPr>
        <w:t>:</w:t>
      </w:r>
      <w:r>
        <w:rPr>
          <w:rFonts w:eastAsia="仿宋_GB2312"/>
          <w:szCs w:val="32"/>
          <w:lang w:val="en"/>
        </w:rPr>
        <w:t>国家食品药品监督管理总局</w:t>
      </w:r>
      <w:r>
        <w:rPr>
          <w:rFonts w:hint="eastAsia" w:eastAsia="仿宋_GB2312"/>
          <w:szCs w:val="32"/>
          <w:lang w:val="en"/>
        </w:rPr>
        <w:t>公告</w:t>
      </w:r>
      <w:r>
        <w:rPr>
          <w:rFonts w:eastAsia="仿宋_GB2312"/>
          <w:szCs w:val="32"/>
          <w:lang w:val="en"/>
        </w:rPr>
        <w:t>2017年第104号</w:t>
      </w:r>
      <w:r>
        <w:rPr>
          <w:rFonts w:eastAsia="仿宋_GB2312"/>
          <w:szCs w:val="32"/>
        </w:rPr>
        <w:t>[Z].</w:t>
      </w:r>
    </w:p>
    <w:p>
      <w:pPr>
        <w:spacing w:line="520" w:lineRule="exact"/>
        <w:ind w:right="-102" w:rightChars="-32" w:firstLine="640" w:firstLineChars="200"/>
      </w:pPr>
      <w:r>
        <w:rPr>
          <w:rFonts w:eastAsia="仿宋_GB2312"/>
          <w:color w:val="000000"/>
          <w:szCs w:val="32"/>
        </w:rPr>
        <w:t>[9]</w:t>
      </w:r>
      <w:r>
        <w:rPr>
          <w:rFonts w:hint="eastAsia"/>
        </w:rPr>
        <w:t>国家药品监督管理局</w:t>
      </w:r>
      <w:r>
        <w:t>.</w:t>
      </w:r>
      <w:r>
        <w:rPr>
          <w:rFonts w:hint="eastAsia"/>
        </w:rPr>
        <w:t>医疗器械注册自检管理规定</w:t>
      </w:r>
      <w:r>
        <w:t>:</w:t>
      </w:r>
      <w:r>
        <w:rPr>
          <w:rFonts w:hint="eastAsia"/>
        </w:rPr>
        <w:t>国家药监局公告</w:t>
      </w:r>
      <w:r>
        <w:t>2021</w:t>
      </w:r>
      <w:r>
        <w:rPr>
          <w:rFonts w:hint="eastAsia"/>
        </w:rPr>
        <w:t>年第126号[Z].</w:t>
      </w:r>
    </w:p>
    <w:p>
      <w:pPr>
        <w:spacing w:line="520" w:lineRule="exact"/>
        <w:ind w:right="-102" w:rightChars="-32" w:firstLine="640" w:firstLineChars="200"/>
      </w:pPr>
      <w:r>
        <w:rPr>
          <w:rFonts w:eastAsia="仿宋_GB2312"/>
          <w:szCs w:val="32"/>
          <w:lang w:val="en"/>
        </w:rPr>
        <w:t>[10]</w:t>
      </w:r>
      <w:r>
        <w:rPr>
          <w:rFonts w:hint="eastAsia"/>
        </w:rPr>
        <w:t>国家药品监督管理局.免于临床评价医疗器械目录：</w:t>
      </w:r>
      <w:r>
        <w:rPr>
          <w:rFonts w:hint="eastAsia"/>
          <w:lang w:val="en"/>
        </w:rPr>
        <w:t>国家药监局通告202</w:t>
      </w:r>
      <w:r>
        <w:rPr>
          <w:rFonts w:hint="eastAsia"/>
        </w:rPr>
        <w:t>5</w:t>
      </w:r>
      <w:r>
        <w:rPr>
          <w:rFonts w:hint="eastAsia"/>
          <w:lang w:val="en"/>
        </w:rPr>
        <w:t>年第</w:t>
      </w:r>
      <w:r>
        <w:rPr>
          <w:rFonts w:hint="eastAsia"/>
        </w:rPr>
        <w:t>19</w:t>
      </w:r>
      <w:r>
        <w:rPr>
          <w:rFonts w:hint="eastAsia"/>
          <w:lang w:val="en"/>
        </w:rPr>
        <w:t>号</w:t>
      </w:r>
      <w:r>
        <w:rPr>
          <w:rFonts w:hint="eastAsia"/>
        </w:rPr>
        <w:t>[Z].</w:t>
      </w:r>
    </w:p>
    <w:p>
      <w:pPr>
        <w:spacing w:line="520" w:lineRule="exact"/>
        <w:ind w:right="-102" w:rightChars="-32" w:firstLine="640" w:firstLineChars="200"/>
        <w:rPr>
          <w:lang w:val="en"/>
        </w:rPr>
      </w:pPr>
      <w:r>
        <w:rPr>
          <w:rFonts w:eastAsia="仿宋_GB2312"/>
          <w:color w:val="000000"/>
          <w:szCs w:val="32"/>
        </w:rPr>
        <w:t>[11]</w:t>
      </w:r>
      <w:r>
        <w:rPr>
          <w:rFonts w:hint="eastAsia"/>
          <w:lang w:val="en"/>
        </w:rPr>
        <w:t>国家食品药品监</w:t>
      </w:r>
      <w:r>
        <w:rPr>
          <w:rFonts w:eastAsia="仿宋_GB2312"/>
          <w:szCs w:val="32"/>
          <w:lang w:val="en"/>
        </w:rPr>
        <w:t>督管理局.医疗器械注册单元划分指导原则</w:t>
      </w:r>
      <w:r>
        <w:rPr>
          <w:rFonts w:hint="eastAsia" w:eastAsia="仿宋_GB2312"/>
          <w:szCs w:val="32"/>
          <w:lang w:val="en"/>
        </w:rPr>
        <w:t>:总局通</w:t>
      </w:r>
      <w:r>
        <w:rPr>
          <w:rFonts w:eastAsia="仿宋_GB2312"/>
          <w:szCs w:val="32"/>
          <w:lang w:val="en"/>
        </w:rPr>
        <w:t>告2017年第187号[Z].</w:t>
      </w:r>
    </w:p>
    <w:p>
      <w:pPr>
        <w:spacing w:line="520" w:lineRule="exact"/>
        <w:ind w:right="-102" w:rightChars="-32" w:firstLine="640" w:firstLineChars="200"/>
        <w:rPr>
          <w:rFonts w:eastAsia="仿宋_GB2312"/>
          <w:szCs w:val="32"/>
          <w:lang w:val="en"/>
        </w:rPr>
      </w:pPr>
      <w:r>
        <w:rPr>
          <w:rFonts w:eastAsia="仿宋_GB2312"/>
          <w:color w:val="000000"/>
          <w:szCs w:val="32"/>
        </w:rPr>
        <w:t>[12]</w:t>
      </w:r>
      <w:r>
        <w:rPr>
          <w:rFonts w:hint="eastAsia" w:eastAsia="仿宋_GB2312"/>
          <w:szCs w:val="32"/>
          <w:lang w:val="en"/>
        </w:rPr>
        <w:t>国家药品监督管理局.医疗器械产品技术要求编写指导原则:国家药监局公告2022年第8号[Z].</w:t>
      </w:r>
    </w:p>
    <w:p>
      <w:pPr>
        <w:spacing w:line="520" w:lineRule="exact"/>
        <w:ind w:right="-102" w:rightChars="-32" w:firstLine="640" w:firstLineChars="200"/>
        <w:rPr>
          <w:rFonts w:eastAsia="仿宋_GB2312"/>
          <w:szCs w:val="32"/>
        </w:rPr>
      </w:pPr>
      <w:r>
        <w:rPr>
          <w:rFonts w:eastAsia="仿宋_GB2312"/>
          <w:color w:val="000000"/>
          <w:szCs w:val="32"/>
        </w:rPr>
        <w:t>[13]</w:t>
      </w:r>
      <w:r>
        <w:rPr>
          <w:rFonts w:hint="eastAsia" w:eastAsia="仿宋_GB2312"/>
          <w:szCs w:val="32"/>
          <w:lang w:val="en"/>
        </w:rPr>
        <w:t>国家药品监督管</w:t>
      </w:r>
      <w:r>
        <w:rPr>
          <w:rFonts w:hint="eastAsia" w:eastAsia="仿宋_GB2312"/>
          <w:szCs w:val="32"/>
        </w:rPr>
        <w:t>理局.</w:t>
      </w:r>
      <w:r>
        <w:rPr>
          <w:rFonts w:eastAsia="仿宋_GB2312"/>
          <w:szCs w:val="32"/>
        </w:rPr>
        <w:t>医疗器械临床评价技术指导原则</w:t>
      </w:r>
      <w:r>
        <w:rPr>
          <w:rFonts w:hint="eastAsia" w:eastAsia="仿宋_GB2312"/>
          <w:szCs w:val="32"/>
        </w:rPr>
        <w:t>:国家药监局通告2021年第73号</w:t>
      </w:r>
      <w:r>
        <w:rPr>
          <w:rFonts w:eastAsia="仿宋_GB2312"/>
          <w:szCs w:val="32"/>
        </w:rPr>
        <w:t>[Z].</w:t>
      </w:r>
    </w:p>
    <w:p>
      <w:pPr>
        <w:spacing w:line="520" w:lineRule="exact"/>
        <w:ind w:firstLine="640" w:firstLineChars="200"/>
        <w:rPr>
          <w:rFonts w:eastAsia="仿宋_GB2312"/>
          <w:color w:val="000000"/>
          <w:szCs w:val="32"/>
        </w:rPr>
      </w:pPr>
      <w:r>
        <w:rPr>
          <w:rFonts w:eastAsia="仿宋_GB2312"/>
          <w:color w:val="000000"/>
          <w:szCs w:val="32"/>
        </w:rPr>
        <w:t>[14]</w:t>
      </w:r>
      <w:r>
        <w:rPr>
          <w:rFonts w:hint="eastAsia" w:eastAsia="仿宋_GB2312"/>
          <w:szCs w:val="32"/>
        </w:rPr>
        <w:t>国家药品监督管理局.</w:t>
      </w:r>
      <w:r>
        <w:rPr>
          <w:rFonts w:eastAsia="仿宋_GB2312"/>
          <w:color w:val="000000"/>
          <w:szCs w:val="32"/>
        </w:rPr>
        <w:t>医疗器械临床评价等同性论证技术指导原则</w:t>
      </w:r>
      <w:r>
        <w:rPr>
          <w:rFonts w:hint="eastAsia" w:eastAsia="仿宋_GB2312"/>
          <w:color w:val="000000"/>
          <w:szCs w:val="32"/>
        </w:rPr>
        <w:t>:</w:t>
      </w:r>
      <w:r>
        <w:rPr>
          <w:rFonts w:hint="eastAsia" w:eastAsia="仿宋_GB2312"/>
          <w:szCs w:val="32"/>
        </w:rPr>
        <w:t>国家药监局通告2021年第73号</w:t>
      </w:r>
      <w:r>
        <w:rPr>
          <w:rFonts w:eastAsia="仿宋_GB2312"/>
          <w:color w:val="000000"/>
          <w:szCs w:val="32"/>
        </w:rPr>
        <w:t>[Z].</w:t>
      </w:r>
    </w:p>
    <w:p>
      <w:pPr>
        <w:spacing w:line="520" w:lineRule="exact"/>
        <w:ind w:firstLine="640" w:firstLineChars="200"/>
        <w:rPr>
          <w:rFonts w:eastAsia="仿宋_GB2312"/>
          <w:color w:val="000000"/>
          <w:szCs w:val="32"/>
        </w:rPr>
      </w:pPr>
      <w:r>
        <w:rPr>
          <w:rFonts w:eastAsia="仿宋_GB2312"/>
          <w:color w:val="000000"/>
          <w:szCs w:val="32"/>
        </w:rPr>
        <w:t>[15]</w:t>
      </w:r>
      <w:r>
        <w:rPr>
          <w:rFonts w:hint="eastAsia" w:eastAsia="仿宋_GB2312"/>
          <w:szCs w:val="32"/>
        </w:rPr>
        <w:t>国家药品监督管理局.</w:t>
      </w:r>
      <w:r>
        <w:rPr>
          <w:rFonts w:eastAsia="仿宋_GB2312"/>
          <w:color w:val="000000"/>
          <w:szCs w:val="32"/>
        </w:rPr>
        <w:t>医疗器械注册申报临床评价报告技术指导原则</w:t>
      </w:r>
      <w:r>
        <w:rPr>
          <w:rFonts w:hint="eastAsia" w:eastAsia="仿宋_GB2312"/>
          <w:color w:val="000000"/>
          <w:szCs w:val="32"/>
        </w:rPr>
        <w:t>:</w:t>
      </w:r>
      <w:r>
        <w:rPr>
          <w:rFonts w:hint="eastAsia" w:eastAsia="仿宋_GB2312"/>
          <w:szCs w:val="32"/>
        </w:rPr>
        <w:t>国家药监局通告2021年第73号</w:t>
      </w:r>
      <w:r>
        <w:rPr>
          <w:rFonts w:eastAsia="仿宋_GB2312"/>
          <w:color w:val="000000"/>
          <w:szCs w:val="32"/>
        </w:rPr>
        <w:t>[Z].</w:t>
      </w:r>
    </w:p>
    <w:p>
      <w:pPr>
        <w:spacing w:line="520" w:lineRule="exact"/>
        <w:ind w:right="-102" w:rightChars="-32" w:firstLine="640" w:firstLineChars="200"/>
        <w:rPr>
          <w:rFonts w:eastAsia="仿宋_GB2312"/>
          <w:szCs w:val="32"/>
          <w:lang w:val="en"/>
        </w:rPr>
      </w:pPr>
      <w:r>
        <w:rPr>
          <w:rFonts w:eastAsia="仿宋_GB2312"/>
          <w:color w:val="000000"/>
          <w:szCs w:val="32"/>
        </w:rPr>
        <w:t>[16]</w:t>
      </w:r>
      <w:r>
        <w:rPr>
          <w:rFonts w:hint="eastAsia" w:eastAsia="仿宋_GB2312"/>
          <w:szCs w:val="32"/>
          <w:lang w:val="en"/>
        </w:rPr>
        <w:t>国家药品监督管理局.列入免于临床评价医疗器械目录产品对比说明技术指导原则:国家药监局通告2021年第73号 [Z].</w:t>
      </w:r>
    </w:p>
    <w:p>
      <w:pPr>
        <w:spacing w:line="520" w:lineRule="exact"/>
        <w:ind w:firstLine="640" w:firstLineChars="200"/>
        <w:rPr>
          <w:rFonts w:eastAsia="仿宋_GB2312"/>
          <w:color w:val="000000"/>
          <w:szCs w:val="32"/>
        </w:rPr>
      </w:pPr>
      <w:r>
        <w:rPr>
          <w:rFonts w:eastAsia="仿宋_GB2312"/>
          <w:color w:val="000000"/>
          <w:szCs w:val="32"/>
        </w:rPr>
        <w:t>[17]</w:t>
      </w:r>
      <w:r>
        <w:rPr>
          <w:rFonts w:hint="eastAsia" w:eastAsia="仿宋_GB2312"/>
          <w:color w:val="000000"/>
          <w:szCs w:val="32"/>
        </w:rPr>
        <w:t>GB/T 16886,医疗器械生物学评价系列标准[S].</w:t>
      </w:r>
    </w:p>
    <w:p>
      <w:pPr>
        <w:spacing w:line="520" w:lineRule="exact"/>
        <w:ind w:firstLine="640" w:firstLineChars="200"/>
        <w:rPr>
          <w:rFonts w:eastAsia="仿宋_GB2312"/>
          <w:color w:val="000000"/>
          <w:szCs w:val="32"/>
        </w:rPr>
      </w:pPr>
      <w:r>
        <w:rPr>
          <w:rFonts w:hint="eastAsia" w:eastAsia="仿宋_GB2312"/>
          <w:color w:val="000000"/>
          <w:szCs w:val="32"/>
        </w:rPr>
        <w:t>[18]YY/T 0567.1,医疗保健产品的无菌加工　第1部分：通用要求[S].</w:t>
      </w:r>
    </w:p>
    <w:p>
      <w:pPr>
        <w:spacing w:line="520" w:lineRule="exact"/>
        <w:ind w:firstLine="640" w:firstLineChars="200"/>
        <w:rPr>
          <w:rFonts w:eastAsia="仿宋_GB2312"/>
          <w:color w:val="000000"/>
          <w:szCs w:val="32"/>
        </w:rPr>
      </w:pPr>
      <w:r>
        <w:rPr>
          <w:rFonts w:hint="eastAsia" w:eastAsia="仿宋_GB2312"/>
          <w:color w:val="000000"/>
          <w:szCs w:val="32"/>
        </w:rPr>
        <w:t>[19]GB 18280.1,医疗保健产品灭菌 辐射 第1部分医疗器械灭菌过程的开发、确认和常规控制要求[S].</w:t>
      </w:r>
    </w:p>
    <w:p>
      <w:pPr>
        <w:spacing w:line="520" w:lineRule="exact"/>
        <w:ind w:firstLine="640" w:firstLineChars="200"/>
        <w:rPr>
          <w:rFonts w:eastAsia="仿宋_GB2312"/>
          <w:color w:val="000000"/>
          <w:szCs w:val="32"/>
        </w:rPr>
      </w:pPr>
      <w:r>
        <w:rPr>
          <w:rFonts w:hint="eastAsia" w:eastAsia="仿宋_GB2312"/>
          <w:color w:val="000000"/>
          <w:szCs w:val="32"/>
        </w:rPr>
        <w:t>[20]YY/T 0681,无菌医疗器械包装试验方法系列标准[S].</w:t>
      </w:r>
    </w:p>
    <w:p>
      <w:pPr>
        <w:spacing w:line="520" w:lineRule="exact"/>
        <w:ind w:firstLine="640" w:firstLineChars="200"/>
        <w:rPr>
          <w:rFonts w:eastAsia="仿宋_GB2312"/>
          <w:color w:val="000000"/>
          <w:szCs w:val="32"/>
        </w:rPr>
      </w:pPr>
      <w:r>
        <w:rPr>
          <w:rFonts w:hint="eastAsia" w:eastAsia="仿宋_GB2312"/>
          <w:color w:val="000000"/>
          <w:szCs w:val="32"/>
        </w:rPr>
        <w:t>[21]GB/T 4857,包装 包装运输件系列标准[S].</w:t>
      </w:r>
    </w:p>
    <w:p>
      <w:pPr>
        <w:spacing w:line="520" w:lineRule="exact"/>
        <w:ind w:firstLine="640" w:firstLineChars="200"/>
        <w:rPr>
          <w:rFonts w:eastAsia="仿宋_GB2312"/>
          <w:color w:val="000000"/>
          <w:szCs w:val="32"/>
        </w:rPr>
      </w:pPr>
      <w:r>
        <w:rPr>
          <w:rFonts w:hint="eastAsia" w:eastAsia="仿宋_GB2312"/>
          <w:color w:val="000000"/>
          <w:szCs w:val="32"/>
        </w:rPr>
        <w:t>[22]YY/T 0698,最终灭菌医疗器械包装材料系列标准[S].</w:t>
      </w:r>
    </w:p>
    <w:p>
      <w:pPr>
        <w:spacing w:line="520" w:lineRule="exact"/>
        <w:ind w:firstLine="640" w:firstLineChars="200"/>
        <w:rPr>
          <w:rFonts w:eastAsia="仿宋_GB2312"/>
          <w:color w:val="000000"/>
          <w:szCs w:val="32"/>
        </w:rPr>
      </w:pPr>
      <w:r>
        <w:rPr>
          <w:rFonts w:hint="eastAsia" w:eastAsia="仿宋_GB2312"/>
          <w:color w:val="000000"/>
          <w:szCs w:val="32"/>
        </w:rPr>
        <w:t>[23]GB/T 19633,最终灭菌医疗器械包装系列标准[S].</w:t>
      </w:r>
    </w:p>
    <w:p>
      <w:pPr>
        <w:spacing w:line="520" w:lineRule="exact"/>
        <w:ind w:firstLine="640" w:firstLineChars="200"/>
        <w:rPr>
          <w:rFonts w:eastAsia="仿宋_GB2312"/>
          <w:color w:val="000000"/>
          <w:szCs w:val="32"/>
        </w:rPr>
      </w:pPr>
      <w:r>
        <w:rPr>
          <w:rFonts w:hint="eastAsia" w:eastAsia="仿宋_GB2312"/>
          <w:color w:val="000000"/>
          <w:szCs w:val="32"/>
        </w:rPr>
        <w:t>[24]GB/T 42062,医疗器械风险管理对医疗器械的应用[S].</w:t>
      </w:r>
    </w:p>
    <w:p>
      <w:pPr>
        <w:spacing w:line="520" w:lineRule="exact"/>
        <w:ind w:firstLine="640" w:firstLineChars="200"/>
        <w:rPr>
          <w:rFonts w:eastAsia="仿宋_GB2312"/>
          <w:color w:val="000000"/>
          <w:szCs w:val="32"/>
        </w:rPr>
      </w:pPr>
      <w:r>
        <w:rPr>
          <w:rFonts w:hint="eastAsia" w:eastAsia="仿宋_GB2312"/>
          <w:color w:val="000000"/>
          <w:szCs w:val="32"/>
        </w:rPr>
        <w:t>[25]YY/T 1437,医疗器械 GB/T 42062应用指南[S].</w:t>
      </w:r>
    </w:p>
    <w:p>
      <w:pPr>
        <w:spacing w:line="520" w:lineRule="exact"/>
        <w:ind w:firstLine="640" w:firstLineChars="200"/>
        <w:rPr>
          <w:rFonts w:eastAsia="仿宋_GB2312"/>
          <w:color w:val="000000"/>
          <w:szCs w:val="32"/>
        </w:rPr>
      </w:pPr>
      <w:r>
        <w:rPr>
          <w:rFonts w:hint="eastAsia" w:eastAsia="仿宋_GB2312"/>
          <w:color w:val="000000"/>
          <w:szCs w:val="32"/>
        </w:rPr>
        <w:t>[26]YY/T 0466.1,医疗器械用于医疗器械标签、标记和提供信息的符号 第1部分: 通用要求[S].</w:t>
      </w:r>
    </w:p>
    <w:p>
      <w:pPr>
        <w:spacing w:line="520" w:lineRule="exact"/>
        <w:ind w:firstLine="640" w:firstLineChars="200"/>
        <w:rPr>
          <w:rFonts w:eastAsia="仿宋_GB2312"/>
          <w:color w:val="000000"/>
          <w:szCs w:val="32"/>
        </w:rPr>
      </w:pPr>
      <w:r>
        <w:rPr>
          <w:rFonts w:hint="eastAsia" w:eastAsia="仿宋_GB2312"/>
          <w:color w:val="000000"/>
          <w:szCs w:val="32"/>
        </w:rPr>
        <w:t>[27]国家药品监督管理局,国家卫生健康委员会.中华人民共和国药典:国家药监局 国家卫生健康委公告2025年第29号[S].</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widowControl/>
        <w:spacing w:line="520" w:lineRule="exact"/>
        <w:rPr>
          <w:rFonts w:eastAsia="黑体"/>
          <w:bCs/>
          <w:szCs w:val="32"/>
        </w:rPr>
      </w:pPr>
    </w:p>
    <w:p>
      <w:pPr>
        <w:widowControl/>
        <w:spacing w:line="520" w:lineRule="exact"/>
        <w:rPr>
          <w:rFonts w:eastAsia="黑体"/>
          <w:bCs/>
          <w:szCs w:val="32"/>
        </w:rPr>
      </w:pPr>
    </w:p>
    <w:p>
      <w:pPr>
        <w:widowControl/>
        <w:spacing w:line="520" w:lineRule="exact"/>
        <w:rPr>
          <w:rFonts w:eastAsia="黑体"/>
          <w:bCs/>
          <w:szCs w:val="32"/>
        </w:rPr>
      </w:pPr>
    </w:p>
    <w:p>
      <w:pPr>
        <w:widowControl/>
        <w:spacing w:line="520" w:lineRule="exact"/>
        <w:rPr>
          <w:rFonts w:eastAsia="黑体"/>
          <w:bCs/>
          <w:szCs w:val="32"/>
        </w:rPr>
      </w:pPr>
      <w:r>
        <w:rPr>
          <w:rFonts w:eastAsia="黑体"/>
          <w:bCs/>
          <w:szCs w:val="32"/>
        </w:rPr>
        <w:t>附</w:t>
      </w:r>
      <w:r>
        <w:rPr>
          <w:rFonts w:hint="eastAsia" w:eastAsia="黑体"/>
          <w:bCs/>
          <w:szCs w:val="32"/>
        </w:rPr>
        <w:t>件</w:t>
      </w:r>
    </w:p>
    <w:p>
      <w:pPr>
        <w:spacing w:line="520" w:lineRule="exact"/>
        <w:ind w:firstLine="880" w:firstLineChars="200"/>
        <w:jc w:val="center"/>
        <w:rPr>
          <w:rFonts w:hint="eastAsia" w:ascii="方正小标宋简体" w:hAnsi="黑体" w:eastAsia="方正小标宋简体" w:cs="黑体"/>
          <w:bCs/>
          <w:sz w:val="44"/>
          <w:szCs w:val="44"/>
        </w:rPr>
      </w:pPr>
      <w:r>
        <w:rPr>
          <w:rFonts w:hint="eastAsia" w:ascii="方正小标宋简体" w:hAnsi="黑体" w:eastAsia="方正小标宋简体" w:cs="黑体"/>
          <w:bCs/>
          <w:sz w:val="44"/>
          <w:szCs w:val="44"/>
        </w:rPr>
        <w:t>产品主要危险（源）</w:t>
      </w:r>
    </w:p>
    <w:tbl>
      <w:tblPr>
        <w:tblStyle w:val="11"/>
        <w:tblpPr w:leftFromText="180" w:rightFromText="180" w:vertAnchor="text" w:horzAnchor="page" w:tblpX="1152" w:tblpY="100"/>
        <w:tblOverlap w:val="never"/>
        <w:tblW w:w="9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2019"/>
        <w:gridCol w:w="4379"/>
        <w:gridCol w:w="2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281" w:type="dxa"/>
            <w:vAlign w:val="center"/>
          </w:tcPr>
          <w:p>
            <w:pPr>
              <w:spacing w:line="520" w:lineRule="exact"/>
              <w:jc w:val="center"/>
              <w:rPr>
                <w:rFonts w:hint="eastAsia" w:ascii="黑体" w:hAnsi="黑体" w:eastAsia="黑体" w:cs="仿宋_GB2312"/>
                <w:bCs/>
                <w:sz w:val="28"/>
                <w:szCs w:val="28"/>
              </w:rPr>
            </w:pPr>
            <w:r>
              <w:rPr>
                <w:rFonts w:hint="eastAsia" w:ascii="黑体" w:hAnsi="黑体" w:eastAsia="黑体" w:cs="仿宋_GB2312"/>
                <w:bCs/>
                <w:sz w:val="28"/>
                <w:szCs w:val="28"/>
              </w:rPr>
              <w:t>危险（源）</w:t>
            </w:r>
          </w:p>
        </w:tc>
        <w:tc>
          <w:tcPr>
            <w:tcW w:w="2019" w:type="dxa"/>
            <w:vAlign w:val="center"/>
          </w:tcPr>
          <w:p>
            <w:pPr>
              <w:spacing w:line="520" w:lineRule="exact"/>
              <w:jc w:val="center"/>
              <w:rPr>
                <w:rFonts w:hint="eastAsia" w:ascii="黑体" w:hAnsi="黑体" w:eastAsia="黑体" w:cs="仿宋_GB2312"/>
                <w:bCs/>
                <w:sz w:val="28"/>
                <w:szCs w:val="28"/>
              </w:rPr>
            </w:pPr>
            <w:r>
              <w:rPr>
                <w:rFonts w:hint="eastAsia" w:ascii="黑体" w:hAnsi="黑体" w:eastAsia="黑体" w:cs="仿宋_GB2312"/>
                <w:bCs/>
                <w:sz w:val="28"/>
                <w:szCs w:val="28"/>
              </w:rPr>
              <w:t>可预见的事件序列</w:t>
            </w:r>
          </w:p>
        </w:tc>
        <w:tc>
          <w:tcPr>
            <w:tcW w:w="4379" w:type="dxa"/>
            <w:vAlign w:val="center"/>
          </w:tcPr>
          <w:p>
            <w:pPr>
              <w:spacing w:line="520" w:lineRule="exact"/>
              <w:jc w:val="center"/>
              <w:rPr>
                <w:rFonts w:hint="eastAsia" w:ascii="黑体" w:hAnsi="黑体" w:eastAsia="黑体" w:cs="仿宋_GB2312"/>
                <w:bCs/>
                <w:sz w:val="28"/>
                <w:szCs w:val="28"/>
              </w:rPr>
            </w:pPr>
            <w:r>
              <w:rPr>
                <w:rFonts w:hint="eastAsia" w:ascii="黑体" w:hAnsi="黑体" w:eastAsia="黑体" w:cs="仿宋_GB2312"/>
                <w:bCs/>
                <w:sz w:val="28"/>
                <w:szCs w:val="28"/>
              </w:rPr>
              <w:t>危险（源）的形成因素</w:t>
            </w:r>
          </w:p>
        </w:tc>
        <w:tc>
          <w:tcPr>
            <w:tcW w:w="2106" w:type="dxa"/>
            <w:vAlign w:val="center"/>
          </w:tcPr>
          <w:p>
            <w:pPr>
              <w:spacing w:line="520" w:lineRule="exact"/>
              <w:jc w:val="center"/>
              <w:rPr>
                <w:rFonts w:hint="eastAsia" w:ascii="黑体" w:hAnsi="黑体" w:eastAsia="黑体" w:cs="仿宋_GB2312"/>
                <w:bCs/>
                <w:sz w:val="28"/>
                <w:szCs w:val="28"/>
              </w:rPr>
            </w:pPr>
            <w:r>
              <w:rPr>
                <w:rFonts w:hint="eastAsia" w:ascii="黑体" w:hAnsi="黑体" w:eastAsia="黑体" w:cs="仿宋_GB2312"/>
                <w:bCs/>
                <w:sz w:val="28"/>
                <w:szCs w:val="28"/>
              </w:rPr>
              <w:t>可能的后果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restart"/>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生物学危</w:t>
            </w:r>
            <w:r>
              <w:rPr>
                <w:rFonts w:hint="eastAsia" w:ascii="仿宋_GB2312" w:hAnsi="仿宋_GB2312" w:eastAsia="仿宋_GB2312" w:cs="仿宋_GB2312"/>
                <w:bCs/>
                <w:snapToGrid w:val="0"/>
                <w:kern w:val="0"/>
                <w:sz w:val="28"/>
                <w:szCs w:val="28"/>
                <w:lang w:val="zh-CN"/>
              </w:rPr>
              <w:t>险（源）</w:t>
            </w:r>
          </w:p>
        </w:tc>
        <w:tc>
          <w:tcPr>
            <w:tcW w:w="2019" w:type="dxa"/>
            <w:vAlign w:val="center"/>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生物污染</w:t>
            </w:r>
          </w:p>
        </w:tc>
        <w:tc>
          <w:tcPr>
            <w:tcW w:w="4379" w:type="dxa"/>
            <w:vAlign w:val="center"/>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生产环境控制不好。包装破损或使用时不规范造成生物污染；产品没有达到无菌或微生物指标的要求；开封后多次使用的产品未按开封后稳定性要求使用。</w:t>
            </w:r>
          </w:p>
        </w:tc>
        <w:tc>
          <w:tcPr>
            <w:tcW w:w="2106" w:type="dxa"/>
            <w:vAlign w:val="center"/>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不正确的配方（化学成分）</w:t>
            </w:r>
          </w:p>
        </w:tc>
        <w:tc>
          <w:tcPr>
            <w:tcW w:w="4379" w:type="dxa"/>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未按照工艺要求配料。</w:t>
            </w:r>
          </w:p>
        </w:tc>
        <w:tc>
          <w:tcPr>
            <w:tcW w:w="2106" w:type="dxa"/>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造成毒性危害。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加工工艺</w:t>
            </w:r>
          </w:p>
        </w:tc>
        <w:tc>
          <w:tcPr>
            <w:tcW w:w="4379" w:type="dxa"/>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加工工艺控制不严格，后处理工艺控制不严格。</w:t>
            </w:r>
          </w:p>
        </w:tc>
        <w:tc>
          <w:tcPr>
            <w:tcW w:w="2106" w:type="dxa"/>
          </w:tcPr>
          <w:p>
            <w:pPr>
              <w:spacing w:line="52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引入有害物质，引起患者感染或造成毒性危害。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Merge w:val="restart"/>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环境污染</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生产环境污染产品，如外来的粉尘、微生物、其他杂质等。</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Merge w:val="continue"/>
            <w:vAlign w:val="center"/>
          </w:tcPr>
          <w:p>
            <w:pPr>
              <w:spacing w:line="520" w:lineRule="exact"/>
              <w:rPr>
                <w:rFonts w:hint="eastAsia" w:ascii="仿宋_GB2312" w:hAnsi="仿宋_GB2312" w:eastAsia="仿宋_GB2312" w:cs="仿宋_GB2312"/>
                <w:bCs/>
                <w:sz w:val="28"/>
                <w:szCs w:val="28"/>
              </w:rPr>
            </w:pPr>
          </w:p>
        </w:tc>
        <w:tc>
          <w:tcPr>
            <w:tcW w:w="4379"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储存（如温度、湿度）或运行偏离预定的环境条件。</w:t>
            </w:r>
          </w:p>
        </w:tc>
        <w:tc>
          <w:tcPr>
            <w:tcW w:w="2106" w:type="dxa"/>
            <w:vAlign w:val="center"/>
          </w:tcPr>
          <w:p>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产品老化、无菌有效期缩短或开封后性能不能达到使用要求。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生物相容性</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采用不合格原辅材料。</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引起使用者接触部位的过敏或刺激。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restart"/>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操作危</w:t>
            </w:r>
            <w:r>
              <w:rPr>
                <w:rFonts w:hint="eastAsia" w:ascii="仿宋_GB2312" w:hAnsi="仿宋_GB2312" w:eastAsia="仿宋_GB2312" w:cs="仿宋_GB2312"/>
                <w:bCs/>
                <w:snapToGrid w:val="0"/>
                <w:kern w:val="0"/>
                <w:sz w:val="28"/>
                <w:szCs w:val="28"/>
                <w:lang w:val="zh-CN"/>
              </w:rPr>
              <w:t>险（源）</w:t>
            </w: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由不熟练/未经培训的人员使用</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操作不熟练、操作失误。</w:t>
            </w:r>
          </w:p>
        </w:tc>
        <w:tc>
          <w:tcPr>
            <w:tcW w:w="2106"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无法保证使用的安全性，导致无法达到满意的使用效果。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使用产品时未按照说明书中操作方法使用</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错误操作过程中未全覆盖粘膜组织。</w:t>
            </w:r>
          </w:p>
        </w:tc>
        <w:tc>
          <w:tcPr>
            <w:tcW w:w="2106"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无法保证使用的安全性，导致无法达到满意的使用效果。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Merge w:val="restart"/>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忽视说明书中禁忌证、警示信息等内容</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使用过程中出现过敏或刺激；超出产品的最长使用时间；开封后多次使用的产品再次使用前，未经过充分有效的验证、未按开封后稳定性要求使用、未在规定时间内使用。</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引起使用者接触部位的过敏或刺激。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Merge w:val="continue"/>
            <w:vAlign w:val="center"/>
          </w:tcPr>
          <w:p>
            <w:pPr>
              <w:spacing w:line="520" w:lineRule="exact"/>
              <w:rPr>
                <w:rFonts w:hint="eastAsia" w:ascii="仿宋_GB2312" w:hAnsi="仿宋_GB2312" w:eastAsia="仿宋_GB2312" w:cs="仿宋_GB2312"/>
                <w:bCs/>
                <w:sz w:val="28"/>
                <w:szCs w:val="28"/>
              </w:rPr>
            </w:pP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在限定环境下未正确选用合适的产品。</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restart"/>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信息危</w:t>
            </w:r>
            <w:r>
              <w:rPr>
                <w:rFonts w:hint="eastAsia" w:ascii="仿宋_GB2312" w:hAnsi="仿宋_GB2312" w:eastAsia="仿宋_GB2312" w:cs="仿宋_GB2312"/>
                <w:bCs/>
                <w:snapToGrid w:val="0"/>
                <w:kern w:val="0"/>
                <w:sz w:val="28"/>
                <w:szCs w:val="28"/>
                <w:lang w:val="zh-CN"/>
              </w:rPr>
              <w:t>险（源）</w:t>
            </w:r>
          </w:p>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不正确的标签</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标记错误或不清晰、不全面，没有按照要求标记。</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错误使用；储存错误；产品辨别错误。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不正确的说明书；说明书上的注意事项、禁忌证不全</w:t>
            </w:r>
          </w:p>
        </w:tc>
        <w:tc>
          <w:tcPr>
            <w:tcW w:w="4379" w:type="dxa"/>
            <w:vAlign w:val="center"/>
          </w:tcPr>
          <w:p>
            <w:pPr>
              <w:spacing w:line="520" w:lineRule="exact"/>
              <w:textAlignment w:val="baseline"/>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缺少详细的使用方法、必要的警告说明；使用前未检查产品及其包装状态；未标示使用后的处理方法（如一次性使用产品用后按医疗废物处理、开封后多次使用的产品应注明推荐开封后储存条件或使用时间、使用要求）；未正确区分一次性使用产品和开封后多次使用产品。</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错误操作；无法保证使用安全有效性。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对医疗器械寿命终止缺少适当的决定</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未标识产品有效期或开封后效期（如适用）。</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使用超出有效期的产品或超出最长开封稳定性时间的产品，或因成分性能变化而导致无法达到满意的使用效果；或引起交叉感染。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不适当的产品包装（产品污染和／或降低性能）</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生产、运输和储存过程中导致包装破损；包装封口不严密；包装材料选择不适当；使用前未检查产品包装密封状态。</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产品使用效果和有效期无法得到保证。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一次性使用产品重复使用时危害性警告不适当</w:t>
            </w:r>
          </w:p>
        </w:tc>
        <w:tc>
          <w:tcPr>
            <w:tcW w:w="4379"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一次性使用产品的标识不全或不易识别。</w:t>
            </w:r>
          </w:p>
        </w:tc>
        <w:tc>
          <w:tcPr>
            <w:tcW w:w="2106"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开封后多次使用产品使用时危害性警告不适当</w:t>
            </w:r>
          </w:p>
        </w:tc>
        <w:tc>
          <w:tcPr>
            <w:tcW w:w="4379"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开封后多次使用产品，未说明保证产品开封稳定性的储存条件、没有标识推荐再次使用的操作方法和要求；开封后多次使用产品的标识不全或不易识别。</w:t>
            </w:r>
          </w:p>
        </w:tc>
        <w:tc>
          <w:tcPr>
            <w:tcW w:w="2106" w:type="dxa"/>
            <w:vAlign w:val="center"/>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达不到使用效果使用效果，引起交叉感染。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1" w:type="dxa"/>
            <w:vMerge w:val="continue"/>
            <w:vAlign w:val="center"/>
          </w:tcPr>
          <w:p>
            <w:pPr>
              <w:spacing w:line="520" w:lineRule="exact"/>
              <w:rPr>
                <w:rFonts w:hint="eastAsia" w:ascii="仿宋_GB2312" w:hAnsi="仿宋_GB2312" w:eastAsia="仿宋_GB2312" w:cs="仿宋_GB2312"/>
                <w:bCs/>
                <w:sz w:val="28"/>
                <w:szCs w:val="28"/>
              </w:rPr>
            </w:pPr>
          </w:p>
        </w:tc>
        <w:tc>
          <w:tcPr>
            <w:tcW w:w="2019"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由于废物和/或医疗器械处置的污染</w:t>
            </w:r>
          </w:p>
        </w:tc>
        <w:tc>
          <w:tcPr>
            <w:tcW w:w="4379"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使用后的产品没有按照要求销毁。</w:t>
            </w:r>
          </w:p>
        </w:tc>
        <w:tc>
          <w:tcPr>
            <w:tcW w:w="2106" w:type="dxa"/>
          </w:tcPr>
          <w:p>
            <w:pPr>
              <w:spacing w:line="520" w:lineRule="exac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造成环境污染或者细菌的交叉感染。</w:t>
            </w:r>
          </w:p>
        </w:tc>
      </w:tr>
    </w:tbl>
    <w:p>
      <w:pPr>
        <w:spacing w:line="520" w:lineRule="exact"/>
        <w:rPr>
          <w:rFonts w:eastAsia="仿宋_GB2312"/>
          <w:color w:val="000000"/>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lnNumType w:countBy="1" w:restart="continuous"/>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dobe 仿宋 Std R">
    <w:altName w:val="方正仿宋_GBK"/>
    <w:panose1 w:val="00000000000000000000"/>
    <w:charset w:val="86"/>
    <w:family w:val="roman"/>
    <w:pitch w:val="default"/>
    <w:sig w:usb0="00000000" w:usb1="00000000" w:usb2="00000016" w:usb3="00000000" w:csb0="00060007" w:csb1="00000000"/>
  </w:font>
  <w:font w:name="Tahoma">
    <w:altName w:val="DejaVu Sans"/>
    <w:panose1 w:val="020B0604030504040204"/>
    <w:charset w:val="00"/>
    <w:family w:val="swiss"/>
    <w:pitch w:val="default"/>
    <w:sig w:usb0="00000000" w:usb1="00000000" w:usb2="00000029" w:usb3="00000000" w:csb0="000101FF" w:csb1="00000000"/>
  </w:font>
  <w:font w:name="微软雅黑">
    <w:altName w:val="方正黑体_GBK"/>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noPro-Regular">
    <w:altName w:val="思源宋体"/>
    <w:panose1 w:val="00000000000000000000"/>
    <w:charset w:val="00"/>
    <w:family w:val="roman"/>
    <w:pitch w:val="default"/>
    <w:sig w:usb0="00000000" w:usb1="0000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思源宋体">
    <w:panose1 w:val="02020500000000000000"/>
    <w:charset w:val="86"/>
    <w:family w:val="auto"/>
    <w:pitch w:val="default"/>
    <w:sig w:usb0="30000083" w:usb1="2BDF3C10" w:usb2="00000016" w:usb3="00000000" w:csb0="602E0107" w:csb1="0000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7</w:t>
    </w:r>
    <w:r>
      <w:rPr>
        <w:sz w:val="28"/>
        <w:szCs w:val="28"/>
      </w:rPr>
      <w:fldChar w:fldCharType="end"/>
    </w:r>
    <w:r>
      <w:rPr>
        <w:sz w:val="28"/>
        <w:szCs w:val="28"/>
      </w:rPr>
      <w:t xml:space="preserve"> —</w:t>
    </w:r>
  </w:p>
  <w:p>
    <w:pPr>
      <w:pStyle w:val="7"/>
    </w:pPr>
    <w: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57785" cy="131445"/>
              <wp:effectExtent l="0" t="0" r="3810" b="0"/>
              <wp:wrapNone/>
              <wp:docPr id="1"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57785" cy="131445"/>
                      </a:xfrm>
                      <a:prstGeom prst="rect">
                        <a:avLst/>
                      </a:prstGeom>
                      <a:noFill/>
                      <a:ln>
                        <a:noFill/>
                      </a:ln>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wps:txbx>
                    <wps:bodyPr rot="0" vert="horz" wrap="none" lIns="0" tIns="0" rIns="0" bIns="0" anchor="t" anchorCtr="false" upright="true">
                      <a:spAutoFit/>
                    </wps:bodyPr>
                  </wps:wsp>
                </a:graphicData>
              </a:graphic>
            </wp:anchor>
          </w:drawing>
        </mc:Choice>
        <mc:Fallback>
          <w:pict>
            <v:shape id="Text Box 2" o:spid="_x0000_s1026" o:spt="202" type="#_x0000_t202" style="position:absolute;left:0pt;margin-left:205.95pt;margin-top:0pt;height:10.35pt;width:4.55pt;mso-position-horizontal-relative:margin;mso-wrap-style:none;z-index:251659264;mso-width-relative:page;mso-height-relative:page;" filled="f" stroked="f" coordsize="21600,21600" o:gfxdata="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fGZfE1AAAAAcBAAAPAAAAAAAAAAEAIAAAADgAAABkcnMvZG93bnJldi54bWxQ&#10;SwECFAAUAAAACACHTuJAhFP6K+UBAAC/AwAADgAAAAAAAAABACAAAAA5AQAAZHJzL2Uyb0RvYy54&#10;bWxQSwUGAAAAAAYABgBZAQAAkAUAAAAA&#10;">
              <v:fill on="f" focussize="0,0"/>
              <v:stroke on="f"/>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true"/>
  <w:bordersDoNotSurroundFooter w:val="true"/>
  <w:documentProtection w:enforcement="0"/>
  <w:defaultTabStop w:val="420"/>
  <w:drawingGridHorizontalSpacing w:val="160"/>
  <w:drawingGridVerticalSpacing w:val="435"/>
  <w:displayHorizontalDrawingGridEvery w:val="2"/>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00036BDD"/>
    <w:rsid w:val="00037EB1"/>
    <w:rsid w:val="00056841"/>
    <w:rsid w:val="00074625"/>
    <w:rsid w:val="0007686E"/>
    <w:rsid w:val="000940C0"/>
    <w:rsid w:val="000C6CA4"/>
    <w:rsid w:val="000E5335"/>
    <w:rsid w:val="00134C1A"/>
    <w:rsid w:val="00145167"/>
    <w:rsid w:val="0015622E"/>
    <w:rsid w:val="00187060"/>
    <w:rsid w:val="001C3A87"/>
    <w:rsid w:val="001E0961"/>
    <w:rsid w:val="001E456B"/>
    <w:rsid w:val="00227C77"/>
    <w:rsid w:val="00242375"/>
    <w:rsid w:val="00244DF7"/>
    <w:rsid w:val="00260D56"/>
    <w:rsid w:val="00267BBA"/>
    <w:rsid w:val="00277473"/>
    <w:rsid w:val="00291759"/>
    <w:rsid w:val="0029295D"/>
    <w:rsid w:val="00294D2B"/>
    <w:rsid w:val="002B24A0"/>
    <w:rsid w:val="002E3948"/>
    <w:rsid w:val="002F2978"/>
    <w:rsid w:val="0030368E"/>
    <w:rsid w:val="003137C1"/>
    <w:rsid w:val="00332DE8"/>
    <w:rsid w:val="003450A4"/>
    <w:rsid w:val="00355421"/>
    <w:rsid w:val="00365AB2"/>
    <w:rsid w:val="00391F37"/>
    <w:rsid w:val="003B3F8E"/>
    <w:rsid w:val="003C04B8"/>
    <w:rsid w:val="003E0984"/>
    <w:rsid w:val="00410598"/>
    <w:rsid w:val="00435AC6"/>
    <w:rsid w:val="00440708"/>
    <w:rsid w:val="004410B9"/>
    <w:rsid w:val="004575E8"/>
    <w:rsid w:val="004C4DBC"/>
    <w:rsid w:val="004E39ED"/>
    <w:rsid w:val="004F37DC"/>
    <w:rsid w:val="005041BA"/>
    <w:rsid w:val="00534F4C"/>
    <w:rsid w:val="00546114"/>
    <w:rsid w:val="00571831"/>
    <w:rsid w:val="00586FD1"/>
    <w:rsid w:val="005A1410"/>
    <w:rsid w:val="005A204F"/>
    <w:rsid w:val="005E3CD6"/>
    <w:rsid w:val="005E78F1"/>
    <w:rsid w:val="0060059C"/>
    <w:rsid w:val="00626A77"/>
    <w:rsid w:val="006432E1"/>
    <w:rsid w:val="006823E4"/>
    <w:rsid w:val="006845D2"/>
    <w:rsid w:val="006A1165"/>
    <w:rsid w:val="006C00CB"/>
    <w:rsid w:val="006E68A9"/>
    <w:rsid w:val="006E7148"/>
    <w:rsid w:val="00716619"/>
    <w:rsid w:val="00745098"/>
    <w:rsid w:val="007646FC"/>
    <w:rsid w:val="00787F7E"/>
    <w:rsid w:val="007904F6"/>
    <w:rsid w:val="007D341A"/>
    <w:rsid w:val="007F07EE"/>
    <w:rsid w:val="00815364"/>
    <w:rsid w:val="00821079"/>
    <w:rsid w:val="00845C30"/>
    <w:rsid w:val="00883F0A"/>
    <w:rsid w:val="008B0C60"/>
    <w:rsid w:val="008D3D2B"/>
    <w:rsid w:val="008E1020"/>
    <w:rsid w:val="00933041"/>
    <w:rsid w:val="00937F0E"/>
    <w:rsid w:val="00993EA8"/>
    <w:rsid w:val="009A32FC"/>
    <w:rsid w:val="009E2514"/>
    <w:rsid w:val="009E2BE7"/>
    <w:rsid w:val="009F209D"/>
    <w:rsid w:val="009F38A0"/>
    <w:rsid w:val="00A23EC2"/>
    <w:rsid w:val="00A25C1A"/>
    <w:rsid w:val="00A40254"/>
    <w:rsid w:val="00A448DC"/>
    <w:rsid w:val="00A50AD1"/>
    <w:rsid w:val="00A73BFE"/>
    <w:rsid w:val="00B31FBF"/>
    <w:rsid w:val="00B41578"/>
    <w:rsid w:val="00B66355"/>
    <w:rsid w:val="00B9118A"/>
    <w:rsid w:val="00BC2983"/>
    <w:rsid w:val="00BC7C84"/>
    <w:rsid w:val="00BD300F"/>
    <w:rsid w:val="00BE669C"/>
    <w:rsid w:val="00BF5A52"/>
    <w:rsid w:val="00C0562D"/>
    <w:rsid w:val="00C25F69"/>
    <w:rsid w:val="00C40950"/>
    <w:rsid w:val="00C6107E"/>
    <w:rsid w:val="00C74CE1"/>
    <w:rsid w:val="00CA6C41"/>
    <w:rsid w:val="00CB4CCD"/>
    <w:rsid w:val="00D1027F"/>
    <w:rsid w:val="00D3214F"/>
    <w:rsid w:val="00D32614"/>
    <w:rsid w:val="00D36B74"/>
    <w:rsid w:val="00D36F91"/>
    <w:rsid w:val="00D4450D"/>
    <w:rsid w:val="00D733C1"/>
    <w:rsid w:val="00D736C0"/>
    <w:rsid w:val="00DA6AD7"/>
    <w:rsid w:val="00DD740E"/>
    <w:rsid w:val="00DF6977"/>
    <w:rsid w:val="00E07E6A"/>
    <w:rsid w:val="00E11D78"/>
    <w:rsid w:val="00E72EF4"/>
    <w:rsid w:val="00EA18BD"/>
    <w:rsid w:val="00EA27C3"/>
    <w:rsid w:val="00EB1A04"/>
    <w:rsid w:val="00EC523A"/>
    <w:rsid w:val="00ED0226"/>
    <w:rsid w:val="00EE261B"/>
    <w:rsid w:val="00EE4EBB"/>
    <w:rsid w:val="00F040A9"/>
    <w:rsid w:val="00F15EB4"/>
    <w:rsid w:val="00F271D4"/>
    <w:rsid w:val="00F31CB3"/>
    <w:rsid w:val="00F367F0"/>
    <w:rsid w:val="00F81D1A"/>
    <w:rsid w:val="00F9573D"/>
    <w:rsid w:val="00FB46B2"/>
    <w:rsid w:val="00FD5A03"/>
    <w:rsid w:val="00FF0F38"/>
    <w:rsid w:val="1ED1D353"/>
    <w:rsid w:val="29D238DE"/>
    <w:rsid w:val="3EE30952"/>
    <w:rsid w:val="5B746366"/>
    <w:rsid w:val="5EFA786A"/>
    <w:rsid w:val="5FC678A1"/>
    <w:rsid w:val="69FFB780"/>
    <w:rsid w:val="6B737129"/>
    <w:rsid w:val="707C3028"/>
    <w:rsid w:val="72FFF014"/>
    <w:rsid w:val="783907CD"/>
    <w:rsid w:val="7BDB17E9"/>
    <w:rsid w:val="7EBB0F78"/>
    <w:rsid w:val="7EFA21A9"/>
    <w:rsid w:val="DEF70035"/>
    <w:rsid w:val="DFFFE17D"/>
    <w:rsid w:val="E73D230E"/>
    <w:rsid w:val="E7EDB56E"/>
    <w:rsid w:val="ED776AC6"/>
    <w:rsid w:val="EDFF52AE"/>
    <w:rsid w:val="EF9F915E"/>
    <w:rsid w:val="FBB7C68F"/>
    <w:rsid w:val="FDF752B8"/>
    <w:rsid w:val="FF5FF34E"/>
    <w:rsid w:val="FF7F9E8F"/>
    <w:rsid w:val="FFD73971"/>
    <w:rsid w:val="FFFEE7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Adobe 仿宋 Std R" w:cs="Times New Roman"/>
      <w:kern w:val="2"/>
      <w:sz w:val="32"/>
      <w:szCs w:val="24"/>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eastAsia="宋体"/>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4">
    <w:name w:val="annotation text"/>
    <w:basedOn w:val="1"/>
    <w:link w:val="19"/>
    <w:unhideWhenUsed/>
    <w:qFormat/>
    <w:uiPriority w:val="99"/>
    <w:pPr>
      <w:jc w:val="left"/>
    </w:pPr>
  </w:style>
  <w:style w:type="paragraph" w:styleId="5">
    <w:name w:val="Plain Text"/>
    <w:basedOn w:val="1"/>
    <w:link w:val="25"/>
    <w:unhideWhenUsed/>
    <w:qFormat/>
    <w:uiPriority w:val="99"/>
    <w:pPr>
      <w:autoSpaceDE w:val="0"/>
      <w:autoSpaceDN w:val="0"/>
      <w:jc w:val="left"/>
    </w:pPr>
    <w:rPr>
      <w:rFonts w:ascii="宋体" w:hAnsi="宋体" w:eastAsia="仿宋_GB2312"/>
      <w:kern w:val="0"/>
      <w:sz w:val="28"/>
      <w:szCs w:val="21"/>
    </w:rPr>
  </w:style>
  <w:style w:type="paragraph" w:styleId="6">
    <w:name w:val="Balloon Text"/>
    <w:basedOn w:val="1"/>
    <w:link w:val="17"/>
    <w:semiHidden/>
    <w:unhideWhenUsed/>
    <w:qFormat/>
    <w:uiPriority w:val="99"/>
    <w:rPr>
      <w:sz w:val="18"/>
      <w:szCs w:val="18"/>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9">
    <w:name w:val="Normal (Web)"/>
    <w:basedOn w:val="1"/>
    <w:semiHidden/>
    <w:unhideWhenUsed/>
    <w:qFormat/>
    <w:uiPriority w:val="99"/>
    <w:pPr>
      <w:spacing w:beforeAutospacing="1" w:afterAutospacing="1"/>
      <w:jc w:val="left"/>
    </w:pPr>
    <w:rPr>
      <w:kern w:val="0"/>
      <w:sz w:val="24"/>
    </w:rPr>
  </w:style>
  <w:style w:type="paragraph" w:styleId="10">
    <w:name w:val="annotation subject"/>
    <w:basedOn w:val="4"/>
    <w:next w:val="4"/>
    <w:link w:val="20"/>
    <w:semiHidden/>
    <w:unhideWhenUsed/>
    <w:qFormat/>
    <w:uiPriority w:val="99"/>
    <w:rPr>
      <w:b/>
      <w:bCs/>
    </w:rPr>
  </w:style>
  <w:style w:type="character" w:styleId="13">
    <w:name w:val="line number"/>
    <w:basedOn w:val="12"/>
    <w:semiHidden/>
    <w:unhideWhenUsed/>
    <w:qFormat/>
    <w:uiPriority w:val="99"/>
  </w:style>
  <w:style w:type="character" w:styleId="14">
    <w:name w:val="annotation reference"/>
    <w:basedOn w:val="12"/>
    <w:semiHidden/>
    <w:unhideWhenUsed/>
    <w:qFormat/>
    <w:uiPriority w:val="99"/>
    <w:rPr>
      <w:sz w:val="21"/>
      <w:szCs w:val="21"/>
    </w:rPr>
  </w:style>
  <w:style w:type="paragraph" w:customStyle="1" w:styleId="15">
    <w:name w:val="列出段落1"/>
    <w:basedOn w:val="1"/>
    <w:link w:val="16"/>
    <w:qFormat/>
    <w:uiPriority w:val="34"/>
    <w:pPr>
      <w:ind w:firstLine="420" w:firstLineChars="200"/>
    </w:pPr>
    <w:rPr>
      <w:rFonts w:eastAsia="仿宋_GB2312"/>
      <w:szCs w:val="32"/>
    </w:rPr>
  </w:style>
  <w:style w:type="character" w:customStyle="1" w:styleId="16">
    <w:name w:val="列出段落 Char"/>
    <w:basedOn w:val="12"/>
    <w:link w:val="15"/>
    <w:qFormat/>
    <w:uiPriority w:val="34"/>
    <w:rPr>
      <w:rFonts w:ascii="Times New Roman" w:hAnsi="Times New Roman" w:eastAsia="仿宋_GB2312" w:cs="Times New Roman"/>
      <w:sz w:val="32"/>
      <w:szCs w:val="32"/>
    </w:rPr>
  </w:style>
  <w:style w:type="character" w:customStyle="1" w:styleId="17">
    <w:name w:val="批注框文本 字符"/>
    <w:basedOn w:val="12"/>
    <w:link w:val="6"/>
    <w:semiHidden/>
    <w:qFormat/>
    <w:uiPriority w:val="99"/>
    <w:rPr>
      <w:rFonts w:ascii="Times New Roman" w:hAnsi="Times New Roman" w:eastAsia="Adobe 仿宋 Std R" w:cs="Times New Roman"/>
      <w:kern w:val="2"/>
      <w:sz w:val="18"/>
      <w:szCs w:val="18"/>
    </w:rPr>
  </w:style>
  <w:style w:type="paragraph" w:styleId="18">
    <w:name w:val="List Paragraph"/>
    <w:basedOn w:val="1"/>
    <w:unhideWhenUsed/>
    <w:qFormat/>
    <w:uiPriority w:val="99"/>
    <w:pPr>
      <w:ind w:firstLine="420" w:firstLineChars="200"/>
    </w:pPr>
  </w:style>
  <w:style w:type="character" w:customStyle="1" w:styleId="19">
    <w:name w:val="批注文字 字符"/>
    <w:basedOn w:val="12"/>
    <w:link w:val="4"/>
    <w:qFormat/>
    <w:uiPriority w:val="99"/>
    <w:rPr>
      <w:rFonts w:ascii="Times New Roman" w:hAnsi="Times New Roman" w:eastAsia="Adobe 仿宋 Std R" w:cs="Times New Roman"/>
      <w:kern w:val="2"/>
      <w:sz w:val="32"/>
      <w:szCs w:val="24"/>
    </w:rPr>
  </w:style>
  <w:style w:type="character" w:customStyle="1" w:styleId="20">
    <w:name w:val="批注主题 字符"/>
    <w:basedOn w:val="19"/>
    <w:link w:val="10"/>
    <w:semiHidden/>
    <w:qFormat/>
    <w:uiPriority w:val="99"/>
    <w:rPr>
      <w:rFonts w:ascii="Times New Roman" w:hAnsi="Times New Roman" w:eastAsia="Adobe 仿宋 Std R" w:cs="Times New Roman"/>
      <w:b/>
      <w:bCs/>
      <w:kern w:val="2"/>
      <w:sz w:val="32"/>
      <w:szCs w:val="24"/>
    </w:rPr>
  </w:style>
  <w:style w:type="paragraph" w:customStyle="1" w:styleId="21">
    <w:name w:val="纯文本1"/>
    <w:basedOn w:val="1"/>
    <w:qFormat/>
    <w:uiPriority w:val="0"/>
    <w:rPr>
      <w:rFonts w:ascii="宋体" w:hAnsi="宋体" w:eastAsia="仿宋_GB2312"/>
      <w:kern w:val="0"/>
      <w:sz w:val="28"/>
      <w:szCs w:val="21"/>
    </w:rPr>
  </w:style>
  <w:style w:type="character" w:customStyle="1" w:styleId="22">
    <w:name w:val="标题 1 字符"/>
    <w:basedOn w:val="12"/>
    <w:link w:val="3"/>
    <w:qFormat/>
    <w:uiPriority w:val="9"/>
    <w:rPr>
      <w:rFonts w:ascii="Times New Roman" w:hAnsi="Times New Roman" w:eastAsia="宋体" w:cs="Times New Roman"/>
      <w:b/>
      <w:bCs/>
      <w:kern w:val="44"/>
      <w:sz w:val="44"/>
      <w:szCs w:val="44"/>
    </w:rPr>
  </w:style>
  <w:style w:type="character" w:customStyle="1" w:styleId="23">
    <w:name w:val="fontstyle01"/>
    <w:qFormat/>
    <w:uiPriority w:val="0"/>
    <w:rPr>
      <w:rFonts w:hint="default" w:ascii="ArnoPro-Regular" w:hAnsi="ArnoPro-Regular"/>
      <w:color w:val="231916"/>
      <w:sz w:val="16"/>
      <w:szCs w:val="16"/>
    </w:rPr>
  </w:style>
  <w:style w:type="paragraph" w:customStyle="1" w:styleId="24">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纯文本 字符"/>
    <w:basedOn w:val="12"/>
    <w:link w:val="5"/>
    <w:qFormat/>
    <w:uiPriority w:val="99"/>
    <w:rPr>
      <w:rFonts w:ascii="宋体" w:hAnsi="宋体" w:eastAsia="仿宋_GB2312" w:cs="Times New Roman"/>
      <w:sz w:val="28"/>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7422</Words>
  <Characters>790</Characters>
  <Lines>52</Lines>
  <Paragraphs>205</Paragraphs>
  <TotalTime>219</TotalTime>
  <ScaleCrop>false</ScaleCrop>
  <LinksUpToDate>false</LinksUpToDate>
  <CharactersWithSpaces>8007</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2026-04-27T10:07:00Z</dcterms:created>
  <dc:creator>董利华</dc:creator>
  <cp:lastModifiedBy>赵小君</cp:lastModifiedBy>
  <cp:lastPrinted>2026-05-12T18:13:00Z</cp:lastPrinted>
  <dcterms:modified xsi:type="dcterms:W3CDTF">2026-07-31T15:07:21Z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25397A7799374A239ED8ABD794CD5010_13</vt:lpwstr>
  </property>
  <property fmtid="{D5CDD505-2E9C-101B-9397-08002B2CF9AE}" pid="4" name="KSOTemplateDocerSaveRecord">
    <vt:lpwstr>eyJoZGlkIjoiYzdlNzIzZmFlMzViNDY2YjgyN2RkNWIxMDY3NzQ3OGIiLCJ1c2VySWQiOiI2NjMzODk2MjAifQ==</vt:lpwstr>
  </property>
</Properties>
</file>