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124E4">
      <w:pPr>
        <w:spacing w:line="520" w:lineRule="exact"/>
        <w:ind w:right="-102" w:rightChars="-32"/>
        <w:jc w:val="center"/>
        <w:rPr>
          <w:rFonts w:eastAsia="方正小标宋简体"/>
          <w:color w:val="000000"/>
          <w:sz w:val="44"/>
        </w:rPr>
      </w:pPr>
      <w:r>
        <w:rPr>
          <w:rFonts w:hint="eastAsia" w:eastAsia="方正小标宋简体"/>
          <w:color w:val="000000"/>
          <w:sz w:val="44"/>
        </w:rPr>
        <w:t>一次性使用无菌皮肤滚针</w:t>
      </w:r>
    </w:p>
    <w:p w14:paraId="126EFEAC">
      <w:pPr>
        <w:spacing w:line="520" w:lineRule="exact"/>
        <w:ind w:right="-102" w:rightChars="-32"/>
        <w:jc w:val="center"/>
        <w:rPr>
          <w:rFonts w:hint="eastAsia" w:eastAsia="方正小标宋简体"/>
          <w:bCs/>
          <w:color w:val="000000"/>
          <w:sz w:val="44"/>
          <w:szCs w:val="44"/>
          <w:lang w:eastAsia="zh-CN"/>
        </w:rPr>
      </w:pP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r>
        <w:rPr>
          <w:rFonts w:hint="eastAsia" w:eastAsia="方正小标宋简体"/>
          <w:bCs/>
          <w:color w:val="000000"/>
          <w:sz w:val="44"/>
          <w:szCs w:val="44"/>
          <w:lang w:eastAsia="zh-CN"/>
        </w:rPr>
        <w:t>（征求意见稿）</w:t>
      </w:r>
    </w:p>
    <w:p w14:paraId="63A80C87">
      <w:pPr>
        <w:spacing w:line="520" w:lineRule="exact"/>
        <w:ind w:right="-102" w:rightChars="-32"/>
        <w:jc w:val="center"/>
        <w:rPr>
          <w:rFonts w:eastAsia="方正小标宋简体"/>
          <w:color w:val="000000"/>
          <w:szCs w:val="44"/>
        </w:rPr>
      </w:pPr>
    </w:p>
    <w:p w14:paraId="349283E5">
      <w:pPr>
        <w:spacing w:line="520" w:lineRule="exact"/>
        <w:ind w:firstLine="640" w:firstLineChars="200"/>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rPr>
        <w:t>一次性使用无菌皮肤滚针</w:t>
      </w:r>
      <w:r>
        <w:rPr>
          <w:rFonts w:eastAsia="仿宋_GB2312"/>
          <w:color w:val="000000"/>
          <w:szCs w:val="32"/>
        </w:rPr>
        <w:t>产品</w:t>
      </w:r>
      <w:r>
        <w:rPr>
          <w:rFonts w:hint="eastAsia" w:eastAsia="仿宋_GB2312"/>
          <w:color w:val="000000"/>
          <w:szCs w:val="32"/>
        </w:rPr>
        <w:t>（以下简称滚针）</w:t>
      </w:r>
      <w:r>
        <w:rPr>
          <w:rFonts w:eastAsia="仿宋_GB2312"/>
          <w:color w:val="000000"/>
          <w:szCs w:val="32"/>
        </w:rPr>
        <w:t>注册申报资料的准备及撰写，同时也为技术审评部门对注册申报资料的审评提供技术参考。</w:t>
      </w:r>
    </w:p>
    <w:p w14:paraId="678A48C1">
      <w:pPr>
        <w:spacing w:line="520" w:lineRule="exact"/>
        <w:ind w:firstLine="640" w:firstLineChars="200"/>
        <w:rPr>
          <w:rFonts w:eastAsia="仿宋_GB2312"/>
          <w:color w:val="000000"/>
          <w:szCs w:val="32"/>
        </w:rPr>
      </w:pPr>
      <w:r>
        <w:rPr>
          <w:rFonts w:eastAsia="仿宋_GB2312"/>
          <w:color w:val="000000"/>
          <w:szCs w:val="32"/>
        </w:rPr>
        <w:t>本指导原则是对</w:t>
      </w:r>
      <w:r>
        <w:rPr>
          <w:rFonts w:hint="eastAsia" w:eastAsia="仿宋_GB2312"/>
          <w:color w:val="000000"/>
          <w:szCs w:val="32"/>
        </w:rPr>
        <w:t>滚针产品</w:t>
      </w:r>
      <w:r>
        <w:rPr>
          <w:rFonts w:eastAsia="仿宋_GB2312"/>
          <w:color w:val="000000"/>
          <w:szCs w:val="32"/>
        </w:rPr>
        <w:t>注册申报资料的一般要求，注册申请人需依据产品的具体特性确定其中内容是否</w:t>
      </w:r>
      <w:r>
        <w:rPr>
          <w:rFonts w:hint="eastAsia" w:eastAsia="仿宋_GB2312"/>
          <w:color w:val="000000"/>
          <w:szCs w:val="32"/>
          <w:lang w:eastAsia="zh-CN"/>
        </w:rPr>
        <w:t>适用</w:t>
      </w:r>
      <w:r>
        <w:rPr>
          <w:rFonts w:eastAsia="仿宋_GB2312"/>
          <w:color w:val="000000"/>
          <w:szCs w:val="32"/>
        </w:rPr>
        <w:t>。若不适用，需具体阐述理由及相应的科学依据，并依据产品的具体特性对注册申报资料的内容进行充实和细化。</w:t>
      </w:r>
    </w:p>
    <w:p w14:paraId="22DA3855">
      <w:pPr>
        <w:spacing w:line="520" w:lineRule="exact"/>
        <w:ind w:firstLine="640" w:firstLineChars="200"/>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12C6B059">
      <w:pPr>
        <w:spacing w:line="520" w:lineRule="exact"/>
        <w:ind w:firstLine="640" w:firstLineChars="20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14:paraId="5327C851">
      <w:pPr>
        <w:spacing w:line="520" w:lineRule="exact"/>
        <w:ind w:firstLine="640" w:firstLineChars="200"/>
        <w:rPr>
          <w:rFonts w:eastAsia="黑体"/>
          <w:color w:val="000000"/>
          <w:szCs w:val="32"/>
        </w:rPr>
      </w:pPr>
      <w:r>
        <w:rPr>
          <w:rFonts w:eastAsia="黑体"/>
          <w:color w:val="000000"/>
          <w:szCs w:val="32"/>
        </w:rPr>
        <w:t>一、适用范围</w:t>
      </w:r>
    </w:p>
    <w:p w14:paraId="66946CA9">
      <w:pPr>
        <w:spacing w:line="520" w:lineRule="exact"/>
        <w:ind w:firstLine="640" w:firstLineChars="200"/>
        <w:rPr>
          <w:rFonts w:eastAsia="仿宋_GB2312"/>
          <w:color w:val="000000"/>
          <w:szCs w:val="32"/>
        </w:rPr>
      </w:pPr>
      <w:r>
        <w:rPr>
          <w:rFonts w:eastAsia="仿宋_GB2312"/>
          <w:color w:val="000000"/>
          <w:szCs w:val="32"/>
        </w:rPr>
        <w:t>本指导原则适用于</w:t>
      </w:r>
      <w:r>
        <w:rPr>
          <w:rFonts w:eastAsia="仿宋_GB2312"/>
          <w:szCs w:val="32"/>
        </w:rPr>
        <w:t>产品分类编码为</w:t>
      </w:r>
      <w:r>
        <w:rPr>
          <w:rFonts w:eastAsia="仿宋_GB2312"/>
          <w:color w:val="000000"/>
          <w:szCs w:val="28"/>
        </w:rPr>
        <w:t>20中医器械-03中医器具-0</w:t>
      </w:r>
      <w:r>
        <w:rPr>
          <w:rFonts w:hint="eastAsia" w:eastAsia="仿宋_GB2312"/>
          <w:color w:val="000000"/>
          <w:szCs w:val="28"/>
        </w:rPr>
        <w:t>5一次性使用皮肤滚针</w:t>
      </w:r>
      <w:r>
        <w:rPr>
          <w:rFonts w:eastAsia="仿宋_GB2312"/>
          <w:color w:val="000000"/>
          <w:szCs w:val="28"/>
        </w:rPr>
        <w:t>产品，</w:t>
      </w:r>
      <w:r>
        <w:rPr>
          <w:rFonts w:eastAsia="仿宋_GB2312"/>
          <w:szCs w:val="32"/>
        </w:rPr>
        <w:t>管理类别为Ⅱ类</w:t>
      </w:r>
      <w:bookmarkStart w:id="0" w:name="_Hlk78033404"/>
      <w:r>
        <w:rPr>
          <w:rFonts w:eastAsia="仿宋_GB2312"/>
          <w:color w:val="000000"/>
          <w:szCs w:val="28"/>
        </w:rPr>
        <w:t>。</w:t>
      </w:r>
      <w:bookmarkEnd w:id="0"/>
      <w:r>
        <w:rPr>
          <w:rFonts w:hint="eastAsia" w:eastAsia="仿宋_GB2312"/>
          <w:color w:val="000000"/>
          <w:szCs w:val="28"/>
        </w:rPr>
        <w:t>一次性使用无菌皮肤滚针</w:t>
      </w:r>
      <w:r>
        <w:rPr>
          <w:rFonts w:hint="eastAsia" w:eastAsia="仿宋_GB2312"/>
          <w:color w:val="000000"/>
          <w:szCs w:val="28"/>
          <w:lang w:eastAsia="zh-CN"/>
        </w:rPr>
        <w:t>是由多根短针均匀镶嵌在滚轮或滚轮片上，滚轮固定在手柄前端支架，</w:t>
      </w:r>
      <w:r>
        <w:rPr>
          <w:rFonts w:hint="eastAsia" w:eastAsia="仿宋_GB2312"/>
          <w:color w:val="000000"/>
          <w:szCs w:val="32"/>
        </w:rPr>
        <w:t>用于体表特定部位的局部刺激，实施滚针疗法。</w:t>
      </w:r>
      <w:r>
        <w:rPr>
          <w:rFonts w:hint="eastAsia" w:eastAsia="仿宋_GB2312"/>
          <w:color w:val="000000"/>
          <w:szCs w:val="28"/>
        </w:rPr>
        <w:t>通常</w:t>
      </w:r>
      <w:r>
        <w:rPr>
          <w:rFonts w:hint="eastAsia" w:eastAsia="仿宋_GB2312"/>
          <w:color w:val="000000"/>
          <w:szCs w:val="32"/>
        </w:rPr>
        <w:t>由支架、滚轮、不锈钢针、手柄等组成</w:t>
      </w:r>
      <w:r>
        <w:rPr>
          <w:rFonts w:hint="eastAsia" w:eastAsia="仿宋_GB2312"/>
          <w:color w:val="000000"/>
          <w:szCs w:val="32"/>
          <w:lang w:eastAsia="zh-CN"/>
        </w:rPr>
        <w:t>，</w:t>
      </w:r>
      <w:r>
        <w:rPr>
          <w:rFonts w:hint="eastAsia" w:eastAsia="仿宋_GB2312"/>
          <w:color w:val="000000"/>
          <w:szCs w:val="32"/>
        </w:rPr>
        <w:t>无菌提供。</w:t>
      </w:r>
    </w:p>
    <w:p w14:paraId="6E66B905">
      <w:pPr>
        <w:spacing w:line="520" w:lineRule="exact"/>
        <w:ind w:firstLine="640" w:firstLineChars="200"/>
        <w:rPr>
          <w:rFonts w:eastAsia="黑体"/>
          <w:color w:val="000000"/>
          <w:szCs w:val="32"/>
        </w:rPr>
      </w:pPr>
      <w:r>
        <w:rPr>
          <w:rFonts w:eastAsia="黑体"/>
          <w:color w:val="000000"/>
          <w:szCs w:val="32"/>
        </w:rPr>
        <w:t>二、注册审查要点</w:t>
      </w:r>
    </w:p>
    <w:p w14:paraId="6957D78C">
      <w:pPr>
        <w:spacing w:line="520" w:lineRule="exact"/>
        <w:ind w:firstLine="640" w:firstLineChars="200"/>
        <w:rPr>
          <w:rFonts w:eastAsia="楷体_GB2312"/>
          <w:color w:val="000000"/>
          <w:szCs w:val="32"/>
        </w:rPr>
      </w:pPr>
      <w:r>
        <w:rPr>
          <w:rFonts w:eastAsia="楷体_GB2312"/>
          <w:color w:val="000000"/>
          <w:szCs w:val="32"/>
        </w:rPr>
        <w:t>（一）监管信息</w:t>
      </w:r>
    </w:p>
    <w:p w14:paraId="0CDDA4E4">
      <w:pPr>
        <w:spacing w:line="520" w:lineRule="exact"/>
        <w:ind w:firstLine="640" w:firstLineChars="200"/>
        <w:rPr>
          <w:rFonts w:eastAsia="仿宋_GB2312"/>
          <w:color w:val="000000"/>
          <w:szCs w:val="32"/>
        </w:rPr>
      </w:pPr>
      <w:r>
        <w:rPr>
          <w:rFonts w:eastAsia="仿宋_GB2312"/>
          <w:color w:val="000000"/>
          <w:szCs w:val="32"/>
        </w:rPr>
        <w:t>1.产品名称</w:t>
      </w:r>
    </w:p>
    <w:p w14:paraId="0B66F927">
      <w:pPr>
        <w:spacing w:line="520" w:lineRule="exact"/>
        <w:ind w:firstLine="640" w:firstLineChars="200"/>
        <w:rPr>
          <w:rFonts w:eastAsia="仿宋_GB2312"/>
          <w:color w:val="000000"/>
          <w:szCs w:val="32"/>
        </w:rPr>
      </w:pPr>
      <w:r>
        <w:rPr>
          <w:rFonts w:hint="eastAsia" w:eastAsia="仿宋_GB2312"/>
          <w:color w:val="000000"/>
          <w:szCs w:val="32"/>
        </w:rPr>
        <w:t>一次性使用无菌皮肤滚针</w:t>
      </w:r>
      <w:r>
        <w:rPr>
          <w:rFonts w:eastAsia="仿宋_GB2312"/>
          <w:color w:val="000000"/>
          <w:szCs w:val="32"/>
        </w:rPr>
        <w:t>产品的命名需采用《医疗器械分类目录》或国家标准、行业标准中的通用名称，或以产品结构和预期目的为依据命名，需符合《医疗器械通用名称命名规则》《中医器械通用名称命名指导原则》等相关规范性文件的要求。本产品特征词可包括“</w:t>
      </w:r>
      <w:r>
        <w:rPr>
          <w:rFonts w:hint="eastAsia" w:eastAsia="仿宋_GB2312"/>
          <w:color w:val="000000"/>
          <w:szCs w:val="32"/>
        </w:rPr>
        <w:t>一次性使用</w:t>
      </w:r>
      <w:r>
        <w:rPr>
          <w:rFonts w:eastAsia="仿宋_GB2312"/>
          <w:color w:val="000000"/>
          <w:szCs w:val="32"/>
        </w:rPr>
        <w:t>”“</w:t>
      </w:r>
      <w:r>
        <w:rPr>
          <w:rFonts w:hint="eastAsia" w:eastAsia="仿宋_GB2312"/>
          <w:color w:val="000000"/>
          <w:szCs w:val="32"/>
        </w:rPr>
        <w:t>无菌</w:t>
      </w:r>
      <w:r>
        <w:rPr>
          <w:rFonts w:eastAsia="仿宋_GB2312"/>
          <w:color w:val="000000"/>
          <w:szCs w:val="32"/>
        </w:rPr>
        <w:t>”。</w:t>
      </w:r>
    </w:p>
    <w:p w14:paraId="028DE169">
      <w:pPr>
        <w:spacing w:line="520" w:lineRule="exact"/>
        <w:ind w:firstLine="640" w:firstLineChars="200"/>
        <w:rPr>
          <w:rFonts w:eastAsia="仿宋_GB2312"/>
          <w:color w:val="000000"/>
          <w:szCs w:val="32"/>
        </w:rPr>
      </w:pPr>
      <w:r>
        <w:rPr>
          <w:rFonts w:eastAsia="仿宋_GB2312"/>
          <w:color w:val="000000"/>
          <w:szCs w:val="32"/>
        </w:rPr>
        <w:t>2.分类编码</w:t>
      </w:r>
    </w:p>
    <w:p w14:paraId="62DFF9A1">
      <w:pPr>
        <w:spacing w:line="520" w:lineRule="exact"/>
        <w:ind w:firstLine="640" w:firstLineChars="200"/>
        <w:rPr>
          <w:rFonts w:eastAsia="仿宋_GB2312"/>
          <w:color w:val="000000"/>
          <w:szCs w:val="32"/>
        </w:rPr>
      </w:pPr>
      <w:r>
        <w:rPr>
          <w:rFonts w:eastAsia="仿宋_GB2312"/>
          <w:color w:val="000000"/>
          <w:szCs w:val="32"/>
        </w:rPr>
        <w:t>根据《医疗器械分类目录》，分类编码为</w:t>
      </w:r>
      <w:r>
        <w:rPr>
          <w:rFonts w:hint="eastAsia" w:eastAsia="仿宋_GB2312"/>
          <w:color w:val="000000"/>
          <w:szCs w:val="32"/>
        </w:rPr>
        <w:t>20-03-05，</w:t>
      </w:r>
      <w:r>
        <w:rPr>
          <w:rFonts w:eastAsia="仿宋_GB2312"/>
          <w:color w:val="000000"/>
          <w:szCs w:val="32"/>
        </w:rPr>
        <w:t>管理类别为</w:t>
      </w:r>
      <w:r>
        <w:rPr>
          <w:rFonts w:hint="eastAsia" w:eastAsia="仿宋_GB2312"/>
          <w:color w:val="000000"/>
          <w:szCs w:val="32"/>
        </w:rPr>
        <w:t>II</w:t>
      </w:r>
      <w:r>
        <w:rPr>
          <w:rFonts w:eastAsia="仿宋_GB2312"/>
          <w:color w:val="000000"/>
          <w:szCs w:val="32"/>
        </w:rPr>
        <w:t>类。</w:t>
      </w:r>
    </w:p>
    <w:p w14:paraId="736645E2">
      <w:pPr>
        <w:spacing w:line="520" w:lineRule="exact"/>
        <w:ind w:firstLine="640" w:firstLineChars="200"/>
        <w:rPr>
          <w:rFonts w:eastAsia="仿宋_GB2312"/>
          <w:color w:val="000000"/>
          <w:szCs w:val="32"/>
        </w:rPr>
      </w:pPr>
      <w:r>
        <w:rPr>
          <w:rFonts w:eastAsia="仿宋_GB2312"/>
          <w:color w:val="000000"/>
          <w:szCs w:val="32"/>
        </w:rPr>
        <w:t>3.注册单元划分的原则和实例</w:t>
      </w:r>
    </w:p>
    <w:p w14:paraId="2F508607">
      <w:pPr>
        <w:spacing w:line="520" w:lineRule="exact"/>
        <w:ind w:firstLine="640" w:firstLineChars="200"/>
        <w:rPr>
          <w:rFonts w:eastAsia="仿宋_GB2312"/>
          <w:color w:val="000000"/>
          <w:szCs w:val="28"/>
        </w:rPr>
      </w:pPr>
      <w:r>
        <w:rPr>
          <w:rFonts w:eastAsia="仿宋_GB2312"/>
          <w:color w:val="000000"/>
          <w:szCs w:val="32"/>
        </w:rPr>
        <w:t>产品注册单元的划分需符合《医疗器械注册单元划分指导原则》的要求。</w:t>
      </w:r>
      <w:r>
        <w:rPr>
          <w:rFonts w:eastAsia="仿宋_GB2312"/>
          <w:color w:val="000000"/>
          <w:szCs w:val="28"/>
        </w:rPr>
        <w:t>应根据产品的技术原理、结构组成、性能指标、适用范围等进行综合判定。</w:t>
      </w:r>
    </w:p>
    <w:p w14:paraId="348B3A48">
      <w:pPr>
        <w:pStyle w:val="13"/>
        <w:rPr>
          <w:rFonts w:hint="default" w:ascii="Times New Roman" w:hAnsi="Times New Roman" w:eastAsia="仿宋_GB2312" w:cs="Times New Roman"/>
          <w:color w:val="000000"/>
          <w:kern w:val="2"/>
          <w:sz w:val="32"/>
          <w:szCs w:val="32"/>
          <w:lang w:val="en-US" w:eastAsia="zh-CN" w:bidi="ar-SA"/>
        </w:rPr>
      </w:pPr>
      <w:r>
        <w:rPr>
          <w:rFonts w:hint="eastAsia" w:eastAsia="仿宋_GB2312"/>
          <w:color w:val="000000"/>
          <w:szCs w:val="28"/>
          <w:lang w:val="en-US" w:eastAsia="zh-CN"/>
        </w:rPr>
        <w:t xml:space="preserve">      </w:t>
      </w:r>
      <w:r>
        <w:rPr>
          <w:rFonts w:hint="eastAsia" w:ascii="Times New Roman" w:hAnsi="Times New Roman" w:eastAsia="仿宋_GB2312" w:cs="Times New Roman"/>
          <w:color w:val="000000"/>
          <w:kern w:val="2"/>
          <w:sz w:val="32"/>
          <w:szCs w:val="32"/>
          <w:lang w:val="en-US" w:eastAsia="zh-CN" w:bidi="ar-SA"/>
        </w:rPr>
        <w:t>如：针体镶嵌在滚轮上和针体镶嵌在滚轮片上的滚针，结构型式有一定差异，但工作原理、性能要求和适用范围基本一致，不影响产品安全有效，可以作为一个注册单元。</w:t>
      </w:r>
    </w:p>
    <w:p w14:paraId="5735FB30">
      <w:pPr>
        <w:spacing w:line="520" w:lineRule="exact"/>
        <w:ind w:firstLine="640" w:firstLineChars="200"/>
        <w:rPr>
          <w:rFonts w:eastAsia="仿宋_GB2312"/>
          <w:color w:val="000000"/>
          <w:szCs w:val="32"/>
        </w:rPr>
      </w:pPr>
      <w:r>
        <w:rPr>
          <w:rFonts w:eastAsia="仿宋_GB2312"/>
          <w:color w:val="000000"/>
          <w:szCs w:val="32"/>
        </w:rPr>
        <w:t>4.型号规格</w:t>
      </w:r>
    </w:p>
    <w:p w14:paraId="4EAE4908">
      <w:pPr>
        <w:spacing w:line="520" w:lineRule="exact"/>
        <w:ind w:firstLine="640" w:firstLineChars="200"/>
        <w:rPr>
          <w:rFonts w:eastAsia="仿宋_GB2312"/>
          <w:color w:val="000000"/>
          <w:szCs w:val="32"/>
        </w:rPr>
      </w:pPr>
      <w:r>
        <w:rPr>
          <w:rFonts w:eastAsia="仿宋_GB2312"/>
          <w:color w:val="000000"/>
          <w:szCs w:val="32"/>
        </w:rPr>
        <w:t>需提供产品各型号规格的划分原则。对于存在多种型号、规格的产品，需明确各型号、规格的区别。需采用对比表及带有说明性文字的图片、图表，对各种型号、规格的结构组成、功能、产品特征、性能指标等方面加以描述。</w:t>
      </w:r>
    </w:p>
    <w:p w14:paraId="7B24771C">
      <w:pPr>
        <w:spacing w:line="520" w:lineRule="exact"/>
        <w:ind w:firstLine="640" w:firstLineChars="200"/>
        <w:rPr>
          <w:rFonts w:eastAsia="仿宋_GB2312"/>
          <w:color w:val="000000"/>
          <w:szCs w:val="32"/>
        </w:rPr>
      </w:pPr>
      <w:r>
        <w:rPr>
          <w:rFonts w:eastAsia="仿宋_GB2312"/>
          <w:color w:val="000000"/>
          <w:szCs w:val="32"/>
        </w:rPr>
        <w:t>5.结构组成</w:t>
      </w:r>
    </w:p>
    <w:p w14:paraId="6F7CA17D">
      <w:pPr>
        <w:spacing w:line="520" w:lineRule="exact"/>
        <w:ind w:firstLine="640" w:firstLineChars="200"/>
        <w:rPr>
          <w:rFonts w:eastAsia="仿宋_GB2312"/>
          <w:color w:val="000000"/>
          <w:szCs w:val="32"/>
        </w:rPr>
      </w:pPr>
      <w:r>
        <w:rPr>
          <w:rFonts w:eastAsia="仿宋_GB2312"/>
          <w:color w:val="000000"/>
          <w:szCs w:val="32"/>
        </w:rPr>
        <w:t>需提供所含组件描述、选用材料及符合标准、材料牌号信息、表面处理方式、交付状态及有效期信息。</w:t>
      </w:r>
    </w:p>
    <w:p w14:paraId="628D3330">
      <w:pPr>
        <w:spacing w:line="520" w:lineRule="exact"/>
        <w:ind w:firstLine="640" w:firstLineChars="200"/>
        <w:rPr>
          <w:rFonts w:eastAsia="楷体_GB2312"/>
          <w:color w:val="000000"/>
          <w:szCs w:val="32"/>
        </w:rPr>
      </w:pPr>
      <w:r>
        <w:rPr>
          <w:rFonts w:eastAsia="楷体_GB2312"/>
          <w:color w:val="000000"/>
          <w:szCs w:val="32"/>
        </w:rPr>
        <w:t>（二）综述资料</w:t>
      </w:r>
    </w:p>
    <w:p w14:paraId="52852930">
      <w:pPr>
        <w:spacing w:line="520" w:lineRule="exact"/>
        <w:ind w:firstLine="640" w:firstLineChars="200"/>
        <w:rPr>
          <w:rFonts w:eastAsia="仿宋_GB2312"/>
          <w:color w:val="000000"/>
          <w:szCs w:val="32"/>
        </w:rPr>
      </w:pPr>
      <w:r>
        <w:rPr>
          <w:rFonts w:eastAsia="仿宋_GB2312"/>
          <w:color w:val="000000"/>
          <w:szCs w:val="32"/>
        </w:rPr>
        <w:t>1.器械及操作原理描述</w:t>
      </w:r>
    </w:p>
    <w:p w14:paraId="111971CA">
      <w:pPr>
        <w:spacing w:line="520" w:lineRule="exact"/>
        <w:ind w:right="-102" w:rightChars="-32"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1</w:t>
      </w:r>
      <w:r>
        <w:rPr>
          <w:rFonts w:eastAsia="仿宋_GB2312"/>
          <w:color w:val="000000"/>
          <w:szCs w:val="32"/>
        </w:rPr>
        <w:t>产品的结构和组成</w:t>
      </w:r>
    </w:p>
    <w:p w14:paraId="276EFB49">
      <w:pPr>
        <w:spacing w:line="520" w:lineRule="exact"/>
        <w:ind w:firstLine="640" w:firstLineChars="200"/>
        <w:rPr>
          <w:rFonts w:eastAsia="仿宋_GB2312"/>
          <w:color w:val="000000"/>
          <w:szCs w:val="28"/>
        </w:rPr>
      </w:pPr>
      <w:r>
        <w:rPr>
          <w:rFonts w:hint="eastAsia" w:eastAsia="仿宋_GB2312"/>
          <w:color w:val="000000"/>
          <w:szCs w:val="28"/>
        </w:rPr>
        <w:t>一次使用皮肤滚</w:t>
      </w:r>
      <w:r>
        <w:rPr>
          <w:rFonts w:eastAsia="仿宋_GB2312"/>
          <w:color w:val="000000"/>
          <w:szCs w:val="28"/>
        </w:rPr>
        <w:t>针通常由手柄、支架、</w:t>
      </w:r>
      <w:r>
        <w:rPr>
          <w:rFonts w:hint="eastAsia" w:eastAsia="仿宋_GB2312"/>
          <w:color w:val="000000"/>
          <w:szCs w:val="28"/>
        </w:rPr>
        <w:t>保护套、</w:t>
      </w:r>
      <w:r>
        <w:rPr>
          <w:rFonts w:eastAsia="仿宋_GB2312"/>
          <w:color w:val="000000"/>
          <w:szCs w:val="28"/>
        </w:rPr>
        <w:t>轴、针</w:t>
      </w:r>
      <w:r>
        <w:rPr>
          <w:rFonts w:hint="eastAsia" w:eastAsia="仿宋_GB2312"/>
          <w:color w:val="000000"/>
          <w:szCs w:val="28"/>
          <w:lang w:eastAsia="zh-CN"/>
        </w:rPr>
        <w:t>体</w:t>
      </w:r>
      <w:r>
        <w:rPr>
          <w:rFonts w:eastAsia="仿宋_GB2312"/>
          <w:color w:val="000000"/>
          <w:szCs w:val="28"/>
        </w:rPr>
        <w:t>、滚轮片</w:t>
      </w:r>
      <w:r>
        <w:rPr>
          <w:rFonts w:hint="eastAsia" w:eastAsia="仿宋_GB2312"/>
          <w:color w:val="000000"/>
          <w:szCs w:val="28"/>
          <w:lang w:eastAsia="zh-CN"/>
        </w:rPr>
        <w:t>或</w:t>
      </w:r>
      <w:r>
        <w:rPr>
          <w:rFonts w:eastAsia="仿宋_GB2312"/>
          <w:color w:val="000000"/>
          <w:szCs w:val="28"/>
        </w:rPr>
        <w:t>滚轮组成。</w:t>
      </w:r>
      <w:r>
        <w:rPr>
          <w:rFonts w:hint="eastAsia" w:eastAsia="仿宋_GB2312"/>
          <w:color w:val="000000"/>
          <w:szCs w:val="28"/>
        </w:rPr>
        <w:t>滚</w:t>
      </w:r>
      <w:r>
        <w:rPr>
          <w:rFonts w:eastAsia="仿宋_GB2312"/>
          <w:color w:val="000000"/>
          <w:szCs w:val="28"/>
        </w:rPr>
        <w:t>针的典型结构如图1所示。</w:t>
      </w:r>
    </w:p>
    <w:p w14:paraId="60584E29">
      <w:pPr>
        <w:spacing w:line="520" w:lineRule="exact"/>
        <w:ind w:firstLine="640" w:firstLineChars="200"/>
        <w:rPr>
          <w:rFonts w:hint="eastAsia" w:eastAsia="仿宋_GB2312"/>
          <w:color w:val="000000"/>
          <w:szCs w:val="28"/>
          <w:highlight w:val="yellow"/>
          <w:lang w:eastAsia="zh-CN"/>
        </w:rPr>
      </w:pPr>
      <w:r>
        <w:rPr>
          <w:rFonts w:eastAsia="仿宋_GB2312"/>
          <w:color w:val="000000"/>
          <w:szCs w:val="28"/>
        </w:rPr>
        <w:t>产品针体</w:t>
      </w:r>
      <w:r>
        <w:rPr>
          <w:rFonts w:hint="eastAsia" w:eastAsia="仿宋_GB2312"/>
          <w:color w:val="000000"/>
          <w:szCs w:val="28"/>
          <w:lang w:eastAsia="zh-CN"/>
        </w:rPr>
        <w:t>常</w:t>
      </w:r>
      <w:r>
        <w:rPr>
          <w:rFonts w:eastAsia="仿宋_GB2312"/>
          <w:color w:val="000000"/>
          <w:szCs w:val="28"/>
        </w:rPr>
        <w:t>采用GB/T 4240所规定的06Cr19Ni10（SUS304）</w:t>
      </w:r>
      <w:r>
        <w:rPr>
          <w:rFonts w:hint="eastAsia" w:eastAsia="仿宋_GB2312"/>
          <w:color w:val="000000"/>
          <w:szCs w:val="28"/>
          <w:lang w:eastAsia="zh-CN"/>
        </w:rPr>
        <w:t>或其他</w:t>
      </w:r>
      <w:r>
        <w:rPr>
          <w:rFonts w:eastAsia="仿宋_GB2312"/>
          <w:color w:val="000000"/>
          <w:szCs w:val="28"/>
        </w:rPr>
        <w:t>奥氏体不锈钢制成</w:t>
      </w:r>
      <w:r>
        <w:rPr>
          <w:rFonts w:hint="eastAsia" w:eastAsia="仿宋_GB2312"/>
          <w:color w:val="000000"/>
          <w:szCs w:val="28"/>
          <w:lang w:eastAsia="zh-CN"/>
        </w:rPr>
        <w:t>。</w:t>
      </w:r>
    </w:p>
    <w:p w14:paraId="4DF1F2DC">
      <w:pPr>
        <w:spacing w:line="520" w:lineRule="exact"/>
        <w:ind w:firstLine="640" w:firstLineChars="200"/>
        <w:rPr>
          <w:rFonts w:eastAsia="仿宋_GB2312"/>
          <w:color w:val="000000"/>
          <w:szCs w:val="28"/>
        </w:rPr>
      </w:pPr>
      <w:r>
        <w:rPr>
          <w:rFonts w:hint="eastAsia" w:eastAsia="仿宋_GB2312"/>
          <w:color w:val="000000"/>
          <w:szCs w:val="28"/>
        </w:rPr>
        <w:t>支架、滚轮、手柄等</w:t>
      </w:r>
      <w:r>
        <w:rPr>
          <w:rFonts w:eastAsia="仿宋_GB2312"/>
          <w:color w:val="000000"/>
          <w:szCs w:val="28"/>
        </w:rPr>
        <w:t>根据不同型式常采用</w:t>
      </w:r>
      <w:r>
        <w:rPr>
          <w:rFonts w:hint="eastAsia" w:eastAsia="仿宋_GB2312"/>
          <w:color w:val="000000"/>
          <w:szCs w:val="28"/>
        </w:rPr>
        <w:t>高分子材料如聚甲基丙烯酸甲酯、聚碳酸酯、聚丙烯树脂</w:t>
      </w:r>
      <w:r>
        <w:rPr>
          <w:rFonts w:eastAsia="仿宋_GB2312"/>
          <w:color w:val="000000"/>
          <w:szCs w:val="28"/>
        </w:rPr>
        <w:t>等制成。</w:t>
      </w:r>
    </w:p>
    <w:p w14:paraId="04564E77">
      <w:pPr>
        <w:spacing w:line="520" w:lineRule="exact"/>
        <w:ind w:firstLine="640" w:firstLineChars="200"/>
        <w:rPr>
          <w:rFonts w:eastAsia="仿宋_GB2312"/>
          <w:color w:val="000000"/>
          <w:szCs w:val="28"/>
        </w:rPr>
      </w:pPr>
    </w:p>
    <w:p w14:paraId="14C80E66">
      <w:pPr>
        <w:spacing w:line="520" w:lineRule="exact"/>
        <w:ind w:firstLine="640" w:firstLineChars="200"/>
        <w:rPr>
          <w:rFonts w:hint="eastAsia" w:eastAsia="仿宋_GB2312"/>
          <w:color w:val="000000"/>
          <w:szCs w:val="28"/>
          <w:lang w:eastAsia="zh-CN"/>
        </w:rPr>
      </w:pPr>
      <w:r>
        <w:rPr>
          <w:rFonts w:hint="eastAsia" w:eastAsia="仿宋_GB2312"/>
          <w:color w:val="000000"/>
          <w:szCs w:val="28"/>
          <w:lang w:eastAsia="zh-CN"/>
        </w:rPr>
        <w:drawing>
          <wp:anchor distT="0" distB="0" distL="114300" distR="114300" simplePos="0" relativeHeight="251659264" behindDoc="0" locked="0" layoutInCell="1" allowOverlap="1">
            <wp:simplePos x="0" y="0"/>
            <wp:positionH relativeFrom="column">
              <wp:posOffset>697230</wp:posOffset>
            </wp:positionH>
            <wp:positionV relativeFrom="paragraph">
              <wp:posOffset>2540</wp:posOffset>
            </wp:positionV>
            <wp:extent cx="4206875" cy="3174365"/>
            <wp:effectExtent l="0" t="0" r="3175" b="6985"/>
            <wp:wrapNone/>
            <wp:docPr id="2" name="图片 2" descr="a72590b7-1601-490d-a14b-65b5d03034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72590b7-1601-490d-a14b-65b5d03034fb"/>
                    <pic:cNvPicPr>
                      <a:picLocks noChangeAspect="1"/>
                    </pic:cNvPicPr>
                  </pic:nvPicPr>
                  <pic:blipFill>
                    <a:blip r:embed="rId5"/>
                    <a:srcRect/>
                    <a:stretch>
                      <a:fillRect/>
                    </a:stretch>
                  </pic:blipFill>
                  <pic:spPr>
                    <a:xfrm>
                      <a:off x="0" y="0"/>
                      <a:ext cx="4206875" cy="3174365"/>
                    </a:xfrm>
                    <a:prstGeom prst="rect">
                      <a:avLst/>
                    </a:prstGeom>
                  </pic:spPr>
                </pic:pic>
              </a:graphicData>
            </a:graphic>
          </wp:anchor>
        </w:drawing>
      </w:r>
    </w:p>
    <w:p w14:paraId="7D84B9E0">
      <w:pPr>
        <w:spacing w:line="520" w:lineRule="exact"/>
        <w:ind w:firstLine="640" w:firstLineChars="200"/>
        <w:rPr>
          <w:rFonts w:eastAsia="仿宋_GB2312"/>
          <w:color w:val="000000"/>
          <w:szCs w:val="28"/>
        </w:rPr>
      </w:pPr>
    </w:p>
    <w:p w14:paraId="0A8F0C22">
      <w:pPr>
        <w:spacing w:line="520" w:lineRule="exact"/>
        <w:ind w:firstLine="640" w:firstLineChars="200"/>
        <w:rPr>
          <w:rFonts w:eastAsia="仿宋_GB2312"/>
          <w:color w:val="000000"/>
          <w:szCs w:val="28"/>
        </w:rPr>
      </w:pPr>
    </w:p>
    <w:p w14:paraId="04978BCD">
      <w:pPr>
        <w:spacing w:line="520" w:lineRule="exact"/>
        <w:ind w:firstLine="640" w:firstLineChars="200"/>
        <w:rPr>
          <w:rFonts w:eastAsia="仿宋_GB2312"/>
          <w:color w:val="000000"/>
          <w:szCs w:val="28"/>
        </w:rPr>
      </w:pPr>
    </w:p>
    <w:p w14:paraId="665AD445">
      <w:pPr>
        <w:spacing w:line="520" w:lineRule="exact"/>
        <w:ind w:firstLine="640" w:firstLineChars="200"/>
        <w:rPr>
          <w:rFonts w:eastAsia="仿宋_GB2312"/>
          <w:color w:val="000000"/>
          <w:szCs w:val="28"/>
        </w:rPr>
      </w:pPr>
    </w:p>
    <w:p w14:paraId="22E3E1B4">
      <w:pPr>
        <w:spacing w:line="520" w:lineRule="exact"/>
        <w:ind w:firstLine="640" w:firstLineChars="200"/>
        <w:rPr>
          <w:rFonts w:eastAsia="仿宋_GB2312"/>
          <w:color w:val="000000"/>
          <w:szCs w:val="28"/>
        </w:rPr>
      </w:pPr>
    </w:p>
    <w:p w14:paraId="0175A6D5">
      <w:pPr>
        <w:spacing w:line="520" w:lineRule="exact"/>
        <w:jc w:val="center"/>
        <w:rPr>
          <w:rFonts w:eastAsia="黑体"/>
          <w:color w:val="000000"/>
          <w:sz w:val="28"/>
          <w:szCs w:val="28"/>
        </w:rPr>
      </w:pPr>
    </w:p>
    <w:p w14:paraId="7408B070">
      <w:pPr>
        <w:spacing w:line="520" w:lineRule="exact"/>
        <w:jc w:val="center"/>
        <w:rPr>
          <w:rFonts w:eastAsia="黑体"/>
          <w:color w:val="000000"/>
          <w:sz w:val="28"/>
          <w:szCs w:val="28"/>
        </w:rPr>
      </w:pPr>
    </w:p>
    <w:p w14:paraId="7DA86FBA">
      <w:pPr>
        <w:spacing w:line="520" w:lineRule="exact"/>
        <w:jc w:val="center"/>
        <w:rPr>
          <w:rFonts w:eastAsia="黑体"/>
          <w:color w:val="000000"/>
          <w:sz w:val="28"/>
          <w:szCs w:val="28"/>
        </w:rPr>
      </w:pPr>
    </w:p>
    <w:p w14:paraId="3D458153">
      <w:pPr>
        <w:pStyle w:val="13"/>
        <w:rPr>
          <w:rFonts w:eastAsia="黑体"/>
          <w:color w:val="000000"/>
          <w:sz w:val="28"/>
          <w:szCs w:val="28"/>
        </w:rPr>
      </w:pPr>
    </w:p>
    <w:p w14:paraId="3AFF9739">
      <w:pPr>
        <w:pStyle w:val="13"/>
        <w:rPr>
          <w:rFonts w:eastAsia="黑体"/>
          <w:color w:val="000000"/>
          <w:sz w:val="28"/>
          <w:szCs w:val="28"/>
        </w:rPr>
      </w:pPr>
    </w:p>
    <w:p w14:paraId="7D49BC44">
      <w:pPr>
        <w:spacing w:line="520" w:lineRule="exact"/>
        <w:jc w:val="center"/>
        <w:rPr>
          <w:rFonts w:eastAsia="黑体"/>
          <w:color w:val="000000"/>
          <w:sz w:val="28"/>
          <w:szCs w:val="28"/>
        </w:rPr>
      </w:pPr>
      <w:bookmarkStart w:id="2" w:name="_GoBack"/>
      <w:bookmarkEnd w:id="2"/>
      <w:r>
        <w:rPr>
          <w:rFonts w:eastAsia="黑体"/>
          <w:color w:val="000000"/>
          <w:sz w:val="28"/>
          <w:szCs w:val="28"/>
        </w:rPr>
        <w:t>图1</w:t>
      </w:r>
      <w:r>
        <w:rPr>
          <w:rFonts w:hint="eastAsia" w:eastAsia="黑体"/>
          <w:color w:val="000000"/>
          <w:sz w:val="28"/>
          <w:szCs w:val="28"/>
        </w:rPr>
        <w:t>滚</w:t>
      </w:r>
      <w:r>
        <w:rPr>
          <w:rFonts w:eastAsia="黑体"/>
          <w:color w:val="000000"/>
          <w:sz w:val="28"/>
          <w:szCs w:val="28"/>
        </w:rPr>
        <w:t>针典型结构</w:t>
      </w:r>
      <w:r>
        <w:rPr>
          <w:rFonts w:hint="eastAsia" w:eastAsia="黑体"/>
          <w:color w:val="000000"/>
          <w:sz w:val="28"/>
          <w:szCs w:val="28"/>
          <w:lang w:eastAsia="zh-CN"/>
        </w:rPr>
        <w:t>和测量尺寸位置</w:t>
      </w:r>
      <w:r>
        <w:rPr>
          <w:rFonts w:hint="eastAsia" w:eastAsia="黑体"/>
          <w:color w:val="000000"/>
          <w:sz w:val="28"/>
          <w:szCs w:val="28"/>
        </w:rPr>
        <w:t>示意</w:t>
      </w:r>
      <w:r>
        <w:rPr>
          <w:rFonts w:eastAsia="黑体"/>
          <w:color w:val="000000"/>
          <w:sz w:val="28"/>
          <w:szCs w:val="28"/>
        </w:rPr>
        <w:t>图</w:t>
      </w:r>
    </w:p>
    <w:p w14:paraId="195AA6BB">
      <w:pPr>
        <w:spacing w:line="520" w:lineRule="exact"/>
        <w:ind w:firstLine="640" w:firstLineChars="200"/>
        <w:rPr>
          <w:rFonts w:eastAsia="仿宋_GB2312"/>
          <w:bCs/>
          <w:color w:val="000000"/>
          <w:szCs w:val="28"/>
        </w:rPr>
      </w:pPr>
      <w:r>
        <w:rPr>
          <w:rFonts w:hint="eastAsia" w:eastAsia="仿宋_GB2312"/>
          <w:bCs/>
          <w:color w:val="000000"/>
          <w:szCs w:val="28"/>
        </w:rPr>
        <w:t>1.2产品工作原理</w:t>
      </w:r>
    </w:p>
    <w:p w14:paraId="0FE46C26">
      <w:pPr>
        <w:spacing w:line="520" w:lineRule="exact"/>
        <w:ind w:firstLine="640" w:firstLineChars="200"/>
        <w:rPr>
          <w:rFonts w:eastAsia="仿宋_GB2312"/>
          <w:bCs/>
          <w:color w:val="000000"/>
          <w:szCs w:val="28"/>
        </w:rPr>
      </w:pPr>
      <w:r>
        <w:rPr>
          <w:rFonts w:hint="eastAsia" w:eastAsia="仿宋_GB2312"/>
          <w:bCs/>
          <w:color w:val="000000"/>
          <w:szCs w:val="28"/>
        </w:rPr>
        <w:t>滚</w:t>
      </w:r>
      <w:r>
        <w:rPr>
          <w:rFonts w:eastAsia="仿宋_GB2312"/>
          <w:bCs/>
          <w:color w:val="000000"/>
          <w:szCs w:val="28"/>
        </w:rPr>
        <w:t>针作为中医</w:t>
      </w:r>
      <w:r>
        <w:rPr>
          <w:rFonts w:hint="eastAsia" w:eastAsia="仿宋_GB2312"/>
          <w:bCs/>
          <w:color w:val="000000"/>
          <w:szCs w:val="28"/>
        </w:rPr>
        <w:t>滚针疗法</w:t>
      </w:r>
      <w:r>
        <w:rPr>
          <w:rFonts w:eastAsia="仿宋_GB2312"/>
          <w:bCs/>
          <w:color w:val="000000"/>
          <w:szCs w:val="28"/>
        </w:rPr>
        <w:t>的工具</w:t>
      </w:r>
      <w:r>
        <w:rPr>
          <w:rFonts w:hint="eastAsia" w:eastAsia="仿宋_GB2312"/>
          <w:bCs/>
          <w:color w:val="000000"/>
          <w:szCs w:val="28"/>
        </w:rPr>
        <w:t>，通过在皮肤表面匀速滚动，利用实心微针与皮肤发生的短暂、周期性、点状的物理接触和垂直施压，进行局部刺激，实施滚针疗法。</w:t>
      </w:r>
    </w:p>
    <w:p w14:paraId="558BF69C">
      <w:pPr>
        <w:spacing w:line="520" w:lineRule="exact"/>
        <w:ind w:firstLine="640" w:firstLineChars="200"/>
        <w:rPr>
          <w:rFonts w:eastAsia="仿宋_GB2312"/>
          <w:color w:val="000000"/>
          <w:szCs w:val="32"/>
        </w:rPr>
      </w:pPr>
      <w:r>
        <w:rPr>
          <w:rFonts w:eastAsia="仿宋_GB2312"/>
          <w:color w:val="000000"/>
          <w:szCs w:val="32"/>
        </w:rPr>
        <w:t>2.产品的适用范围、适用人群、禁忌证</w:t>
      </w:r>
    </w:p>
    <w:p w14:paraId="2A457E58">
      <w:pPr>
        <w:spacing w:line="520" w:lineRule="exact"/>
        <w:ind w:firstLine="640" w:firstLineChars="200"/>
        <w:rPr>
          <w:rFonts w:eastAsia="仿宋_GB2312"/>
          <w:color w:val="000000"/>
          <w:szCs w:val="28"/>
        </w:rPr>
      </w:pPr>
      <w:r>
        <w:rPr>
          <w:rFonts w:hint="eastAsia" w:eastAsia="仿宋_GB2312"/>
          <w:color w:val="000000"/>
          <w:szCs w:val="28"/>
        </w:rPr>
        <w:t>2.1适用范围</w:t>
      </w:r>
    </w:p>
    <w:p w14:paraId="6B637B4A">
      <w:pPr>
        <w:spacing w:line="520" w:lineRule="exact"/>
        <w:ind w:firstLine="640" w:firstLineChars="200"/>
        <w:rPr>
          <w:rFonts w:eastAsia="仿宋_GB2312"/>
          <w:color w:val="000000"/>
          <w:szCs w:val="28"/>
        </w:rPr>
      </w:pPr>
      <w:r>
        <w:rPr>
          <w:rFonts w:hint="eastAsia" w:eastAsia="仿宋_GB2312"/>
          <w:color w:val="000000"/>
          <w:szCs w:val="28"/>
        </w:rPr>
        <w:t>滚</w:t>
      </w:r>
      <w:r>
        <w:rPr>
          <w:rFonts w:eastAsia="仿宋_GB2312"/>
          <w:color w:val="000000"/>
          <w:szCs w:val="28"/>
        </w:rPr>
        <w:t>针</w:t>
      </w:r>
      <w:r>
        <w:rPr>
          <w:rFonts w:hint="eastAsia" w:eastAsia="仿宋_GB2312"/>
          <w:color w:val="000000"/>
          <w:szCs w:val="28"/>
        </w:rPr>
        <w:t>用于体表特定部位的局部刺激，实施滚针疗法。</w:t>
      </w:r>
    </w:p>
    <w:p w14:paraId="5409DC0B">
      <w:pPr>
        <w:spacing w:line="520" w:lineRule="exact"/>
        <w:ind w:firstLine="640" w:firstLineChars="200"/>
        <w:rPr>
          <w:rFonts w:eastAsia="仿宋_GB2312"/>
          <w:color w:val="000000"/>
          <w:szCs w:val="28"/>
        </w:rPr>
      </w:pPr>
      <w:r>
        <w:rPr>
          <w:rFonts w:eastAsia="仿宋_GB2312"/>
          <w:color w:val="000000"/>
          <w:szCs w:val="28"/>
        </w:rPr>
        <w:t>应说明操作者应具有的技能/知识，明确产品是否为一次性使用。</w:t>
      </w:r>
    </w:p>
    <w:p w14:paraId="7F177577">
      <w:pPr>
        <w:spacing w:line="520" w:lineRule="exact"/>
        <w:ind w:right="-102" w:rightChars="-32" w:firstLine="640" w:firstLineChars="200"/>
        <w:rPr>
          <w:rFonts w:eastAsia="仿宋_GB2312"/>
          <w:color w:val="000000"/>
          <w:spacing w:val="-1"/>
          <w:szCs w:val="32"/>
        </w:rPr>
      </w:pPr>
      <w:r>
        <w:rPr>
          <w:rFonts w:hint="eastAsia" w:eastAsia="仿宋_GB2312"/>
          <w:color w:val="000000"/>
          <w:szCs w:val="32"/>
        </w:rPr>
        <w:t>2</w:t>
      </w:r>
      <w:r>
        <w:rPr>
          <w:rFonts w:eastAsia="仿宋_GB2312"/>
          <w:color w:val="000000"/>
          <w:szCs w:val="32"/>
        </w:rPr>
        <w:t>.2</w:t>
      </w:r>
      <w:r>
        <w:rPr>
          <w:rFonts w:eastAsia="仿宋_GB2312"/>
          <w:color w:val="000000"/>
          <w:spacing w:val="-1"/>
          <w:szCs w:val="32"/>
        </w:rPr>
        <w:t>预期使用环境</w:t>
      </w:r>
    </w:p>
    <w:p w14:paraId="57BC8A82">
      <w:pPr>
        <w:spacing w:line="520" w:lineRule="exact"/>
        <w:ind w:right="-102" w:rightChars="-32" w:firstLine="636" w:firstLineChars="200"/>
        <w:rPr>
          <w:rFonts w:eastAsia="仿宋_GB2312"/>
          <w:color w:val="000000"/>
          <w:spacing w:val="-1"/>
          <w:szCs w:val="32"/>
        </w:rPr>
      </w:pPr>
      <w:r>
        <w:rPr>
          <w:rFonts w:eastAsia="仿宋_GB2312"/>
          <w:color w:val="000000"/>
          <w:spacing w:val="-1"/>
          <w:szCs w:val="32"/>
        </w:rPr>
        <w:t>该产品预期使用环境应为医疗机构。</w:t>
      </w:r>
    </w:p>
    <w:p w14:paraId="4C331BE1">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.3适用人群</w:t>
      </w:r>
    </w:p>
    <w:p w14:paraId="215F9F8B">
      <w:pPr>
        <w:spacing w:line="520" w:lineRule="exact"/>
        <w:ind w:firstLine="640" w:firstLineChars="200"/>
        <w:rPr>
          <w:rFonts w:eastAsia="仿宋_GB2312"/>
          <w:bCs/>
          <w:color w:val="000000"/>
          <w:szCs w:val="32"/>
        </w:rPr>
      </w:pPr>
      <w:r>
        <w:rPr>
          <w:rFonts w:eastAsia="仿宋_GB2312"/>
          <w:bCs/>
          <w:color w:val="000000"/>
          <w:szCs w:val="32"/>
        </w:rPr>
        <w:t>应明确目标患者人群的信息（如成人、小儿或者儿童）或提供无预期治疗特定人群的声明。</w:t>
      </w:r>
    </w:p>
    <w:p w14:paraId="48E8FD80">
      <w:pPr>
        <w:spacing w:line="520" w:lineRule="exact"/>
        <w:ind w:right="-102" w:rightChars="-32" w:firstLine="640" w:firstLineChars="200"/>
        <w:rPr>
          <w:rFonts w:eastAsia="仿宋_GB2312"/>
          <w:color w:val="000000"/>
          <w:szCs w:val="32"/>
        </w:rPr>
      </w:pPr>
      <w:r>
        <w:rPr>
          <w:rFonts w:hint="eastAsia" w:eastAsia="仿宋_GB2312"/>
          <w:color w:val="000000"/>
          <w:szCs w:val="32"/>
        </w:rPr>
        <w:t>2</w:t>
      </w:r>
      <w:r>
        <w:rPr>
          <w:rFonts w:eastAsia="仿宋_GB2312"/>
          <w:color w:val="000000"/>
          <w:szCs w:val="32"/>
        </w:rPr>
        <w:t>.4禁忌证</w:t>
      </w:r>
    </w:p>
    <w:p w14:paraId="30E5DF74">
      <w:pPr>
        <w:overflowPunct w:val="0"/>
        <w:spacing w:line="520" w:lineRule="exact"/>
        <w:ind w:firstLine="672" w:firstLineChars="210"/>
        <w:rPr>
          <w:rFonts w:eastAsia="仿宋_GB2312"/>
          <w:iCs/>
          <w:color w:val="000000"/>
          <w:szCs w:val="28"/>
        </w:rPr>
      </w:pPr>
      <w:r>
        <w:rPr>
          <w:rFonts w:hint="eastAsia" w:eastAsia="仿宋_GB2312"/>
          <w:color w:val="000000"/>
          <w:szCs w:val="32"/>
        </w:rPr>
        <w:t>2</w:t>
      </w:r>
      <w:r>
        <w:rPr>
          <w:rFonts w:eastAsia="仿宋_GB2312"/>
          <w:color w:val="000000"/>
          <w:szCs w:val="32"/>
        </w:rPr>
        <w:t>.4.1</w:t>
      </w:r>
      <w:r>
        <w:rPr>
          <w:rFonts w:eastAsia="仿宋_GB2312"/>
          <w:iCs/>
          <w:color w:val="000000"/>
          <w:szCs w:val="28"/>
        </w:rPr>
        <w:t xml:space="preserve"> </w:t>
      </w:r>
      <w:r>
        <w:rPr>
          <w:rFonts w:hint="eastAsia" w:eastAsia="仿宋_GB2312"/>
          <w:iCs/>
          <w:color w:val="000000"/>
          <w:szCs w:val="28"/>
        </w:rPr>
        <w:t>针刺部位有溃疡、有接触性传染病(癣疥类等），破损皮肤、肿瘤或皮下不明包块者。</w:t>
      </w:r>
    </w:p>
    <w:p w14:paraId="46F87B4A">
      <w:pPr>
        <w:overflowPunct w:val="0"/>
        <w:spacing w:line="520" w:lineRule="exact"/>
        <w:ind w:firstLine="672" w:firstLineChars="210"/>
        <w:rPr>
          <w:rFonts w:eastAsia="仿宋_GB2312"/>
          <w:iCs/>
          <w:color w:val="000000"/>
          <w:szCs w:val="28"/>
        </w:rPr>
      </w:pPr>
      <w:r>
        <w:rPr>
          <w:rFonts w:hint="eastAsia" w:eastAsia="仿宋_GB2312"/>
          <w:iCs/>
          <w:color w:val="000000"/>
          <w:szCs w:val="28"/>
        </w:rPr>
        <w:t>2.4.2有出血倾向疾病，（血小板减少、白血病等）毛细血管脆性试验阳性者。</w:t>
      </w:r>
    </w:p>
    <w:p w14:paraId="69C32BFE">
      <w:pPr>
        <w:overflowPunct w:val="0"/>
        <w:spacing w:line="520" w:lineRule="exact"/>
        <w:ind w:firstLine="672" w:firstLineChars="210"/>
        <w:rPr>
          <w:rFonts w:eastAsia="仿宋_GB2312"/>
          <w:iCs/>
          <w:color w:val="000000"/>
          <w:szCs w:val="28"/>
        </w:rPr>
      </w:pPr>
      <w:r>
        <w:rPr>
          <w:rFonts w:hint="eastAsia" w:eastAsia="仿宋_GB2312"/>
          <w:color w:val="000000"/>
          <w:szCs w:val="32"/>
        </w:rPr>
        <w:t>2</w:t>
      </w:r>
      <w:r>
        <w:rPr>
          <w:rFonts w:eastAsia="仿宋_GB2312"/>
          <w:color w:val="000000"/>
          <w:szCs w:val="32"/>
        </w:rPr>
        <w:t>.4.</w:t>
      </w:r>
      <w:r>
        <w:rPr>
          <w:rFonts w:hint="eastAsia" w:eastAsia="仿宋_GB2312"/>
          <w:color w:val="000000"/>
          <w:szCs w:val="32"/>
        </w:rPr>
        <w:t>3</w:t>
      </w:r>
      <w:r>
        <w:rPr>
          <w:rFonts w:eastAsia="仿宋_GB2312"/>
          <w:iCs/>
          <w:color w:val="000000"/>
          <w:szCs w:val="28"/>
        </w:rPr>
        <w:t>有凝血机制障碍的患者，应禁用针刺。</w:t>
      </w:r>
    </w:p>
    <w:p w14:paraId="53457B76">
      <w:pPr>
        <w:overflowPunct w:val="0"/>
        <w:spacing w:line="520" w:lineRule="exact"/>
        <w:ind w:firstLine="672" w:firstLineChars="210"/>
        <w:rPr>
          <w:rFonts w:eastAsia="仿宋_GB2312"/>
          <w:color w:val="000000"/>
          <w:szCs w:val="32"/>
        </w:rPr>
      </w:pPr>
      <w:r>
        <w:rPr>
          <w:rFonts w:hint="eastAsia" w:eastAsia="仿宋_GB2312"/>
          <w:color w:val="000000"/>
          <w:szCs w:val="32"/>
        </w:rPr>
        <w:t>2</w:t>
      </w:r>
      <w:r>
        <w:rPr>
          <w:rFonts w:eastAsia="仿宋_GB2312"/>
          <w:color w:val="000000"/>
          <w:szCs w:val="32"/>
        </w:rPr>
        <w:t>.4.</w:t>
      </w:r>
      <w:r>
        <w:rPr>
          <w:rFonts w:hint="eastAsia" w:eastAsia="仿宋_GB2312"/>
          <w:color w:val="000000"/>
          <w:szCs w:val="32"/>
        </w:rPr>
        <w:t>4</w:t>
      </w:r>
      <w:r>
        <w:rPr>
          <w:rFonts w:eastAsia="仿宋_GB2312"/>
          <w:color w:val="000000"/>
          <w:szCs w:val="32"/>
        </w:rPr>
        <w:t>对</w:t>
      </w:r>
      <w:r>
        <w:rPr>
          <w:rFonts w:hint="eastAsia" w:eastAsia="仿宋_GB2312"/>
          <w:color w:val="000000"/>
          <w:szCs w:val="32"/>
        </w:rPr>
        <w:t>滚</w:t>
      </w:r>
      <w:r>
        <w:rPr>
          <w:rFonts w:eastAsia="仿宋_GB2312"/>
          <w:color w:val="000000"/>
          <w:szCs w:val="32"/>
        </w:rPr>
        <w:t>针针体原材料过敏者禁用。</w:t>
      </w:r>
    </w:p>
    <w:p w14:paraId="44C02769">
      <w:pPr>
        <w:spacing w:line="520" w:lineRule="exact"/>
        <w:ind w:firstLine="640" w:firstLineChars="200"/>
        <w:rPr>
          <w:rFonts w:eastAsia="仿宋_GB2312"/>
          <w:color w:val="000000"/>
          <w:szCs w:val="32"/>
        </w:rPr>
      </w:pPr>
      <w:r>
        <w:rPr>
          <w:rFonts w:eastAsia="仿宋_GB2312"/>
          <w:color w:val="000000"/>
          <w:szCs w:val="32"/>
        </w:rPr>
        <w:t>3.包装说明</w:t>
      </w:r>
    </w:p>
    <w:p w14:paraId="34FB6EC2">
      <w:pPr>
        <w:spacing w:line="520" w:lineRule="exact"/>
        <w:ind w:firstLine="640" w:firstLineChars="200"/>
        <w:rPr>
          <w:rFonts w:eastAsia="仿宋_GB2312"/>
          <w:color w:val="000000"/>
          <w:szCs w:val="32"/>
        </w:rPr>
      </w:pPr>
      <w:r>
        <w:rPr>
          <w:rFonts w:eastAsia="仿宋_GB2312"/>
          <w:color w:val="000000"/>
          <w:szCs w:val="32"/>
        </w:rPr>
        <w:t>提供产品的包装信息，可包括包装形式、包装材料、包装工艺以及无菌屏障系统等信息</w:t>
      </w:r>
      <w:r>
        <w:rPr>
          <w:rFonts w:hint="eastAsia" w:eastAsia="仿宋_GB2312"/>
          <w:color w:val="000000"/>
          <w:szCs w:val="32"/>
          <w:lang w:eastAsia="zh-CN"/>
        </w:rPr>
        <w:t>，</w:t>
      </w:r>
      <w:r>
        <w:rPr>
          <w:rFonts w:hint="eastAsia" w:eastAsia="仿宋_GB2312"/>
          <w:color w:val="000000"/>
          <w:szCs w:val="32"/>
        </w:rPr>
        <w:t>说明产品的包装层次，写明产品各层次包装（初包装、中包装、大包装）的信息</w:t>
      </w:r>
      <w:r>
        <w:rPr>
          <w:rFonts w:eastAsia="仿宋_GB2312"/>
          <w:color w:val="000000"/>
          <w:szCs w:val="32"/>
        </w:rPr>
        <w:t>。</w:t>
      </w:r>
    </w:p>
    <w:p w14:paraId="66737D91">
      <w:pPr>
        <w:spacing w:line="520" w:lineRule="exact"/>
        <w:ind w:firstLine="640" w:firstLineChars="200"/>
        <w:rPr>
          <w:rFonts w:eastAsia="楷体_GB2312"/>
          <w:b/>
          <w:color w:val="000000"/>
          <w:szCs w:val="32"/>
        </w:rPr>
      </w:pPr>
      <w:r>
        <w:rPr>
          <w:rFonts w:eastAsia="楷体_GB2312"/>
          <w:color w:val="000000"/>
          <w:szCs w:val="32"/>
        </w:rPr>
        <w:t>（三）非临床资料</w:t>
      </w:r>
    </w:p>
    <w:p w14:paraId="07BB71C3">
      <w:pPr>
        <w:spacing w:line="520" w:lineRule="exact"/>
        <w:ind w:firstLine="640" w:firstLineChars="200"/>
        <w:rPr>
          <w:rFonts w:eastAsia="仿宋_GB2312"/>
          <w:color w:val="000000"/>
          <w:szCs w:val="32"/>
        </w:rPr>
      </w:pPr>
      <w:r>
        <w:rPr>
          <w:rFonts w:eastAsia="仿宋_GB2312"/>
          <w:color w:val="000000"/>
          <w:szCs w:val="32"/>
        </w:rPr>
        <w:t>1.产品风险管理资料</w:t>
      </w:r>
    </w:p>
    <w:p w14:paraId="1DA94A7F">
      <w:pPr>
        <w:spacing w:line="520" w:lineRule="exact"/>
        <w:ind w:firstLine="640" w:firstLineChars="200"/>
        <w:rPr>
          <w:rFonts w:eastAsia="仿宋_GB2312"/>
          <w:color w:val="000000"/>
          <w:szCs w:val="32"/>
        </w:rPr>
      </w:pPr>
      <w:r>
        <w:rPr>
          <w:rFonts w:hint="eastAsia" w:eastAsia="仿宋_GB2312"/>
          <w:color w:val="000000"/>
          <w:szCs w:val="32"/>
        </w:rPr>
        <w:t>应按照GB/T 42062《医疗器械 风险管理对医疗器械的应用》的要求，对产品生命周期全过程实施风险管理。产品风险管理过程包括风险分析、风险评价、风险控制、生产和生产后活动。产品风险分析应包含产品原材料选择、设计开发、生产加工过程、产品包装、灭菌、运输存储、使用和最终处置等产品生命周期的各个环节。</w:t>
      </w:r>
    </w:p>
    <w:p w14:paraId="6DE08BDA">
      <w:pPr>
        <w:spacing w:line="520" w:lineRule="exact"/>
        <w:ind w:firstLine="640" w:firstLineChars="200"/>
        <w:rPr>
          <w:rFonts w:eastAsia="仿宋_GB2312"/>
          <w:color w:val="000000"/>
          <w:szCs w:val="32"/>
        </w:rPr>
      </w:pPr>
      <w:r>
        <w:rPr>
          <w:rFonts w:hint="eastAsia" w:eastAsia="仿宋_GB2312"/>
          <w:color w:val="000000"/>
          <w:szCs w:val="32"/>
        </w:rPr>
        <w:t>注册申请人在进行风险分析时，至少应考虑附录表1中主要危险，企业还应根据自身产品特点确定其他危险，详述危险发生的原因、危害水平、采取的降低危险的措施以及剩余危害可接受性评定。确保风险降低到可接受的程度，或经风险分析，</w:t>
      </w:r>
      <w:r>
        <w:rPr>
          <w:rFonts w:hint="eastAsia" w:eastAsia="仿宋_GB2312"/>
          <w:color w:val="000000"/>
          <w:szCs w:val="32"/>
          <w:lang w:eastAsia="zh-CN"/>
        </w:rPr>
        <w:t>收益</w:t>
      </w:r>
      <w:r>
        <w:rPr>
          <w:rFonts w:hint="eastAsia" w:eastAsia="仿宋_GB2312"/>
          <w:color w:val="000000"/>
          <w:szCs w:val="32"/>
        </w:rPr>
        <w:t>大于风险。</w:t>
      </w:r>
    </w:p>
    <w:p w14:paraId="7C490B92">
      <w:pPr>
        <w:spacing w:line="520" w:lineRule="exact"/>
        <w:ind w:firstLine="640" w:firstLineChars="200"/>
        <w:rPr>
          <w:rFonts w:eastAsia="仿宋_GB2312"/>
          <w:color w:val="000000"/>
          <w:szCs w:val="32"/>
        </w:rPr>
      </w:pPr>
      <w:r>
        <w:rPr>
          <w:rFonts w:eastAsia="仿宋_GB2312"/>
          <w:color w:val="000000"/>
          <w:szCs w:val="32"/>
        </w:rPr>
        <w:t>2.产品技术要求的主要性能指标</w:t>
      </w:r>
    </w:p>
    <w:p w14:paraId="54347038">
      <w:pPr>
        <w:spacing w:line="520" w:lineRule="exact"/>
        <w:ind w:firstLine="640" w:firstLineChars="200"/>
        <w:rPr>
          <w:rFonts w:eastAsia="仿宋_GB2312"/>
          <w:color w:val="000000"/>
          <w:szCs w:val="32"/>
        </w:rPr>
      </w:pPr>
      <w:r>
        <w:rPr>
          <w:rFonts w:eastAsia="仿宋_GB2312"/>
          <w:color w:val="000000"/>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14:paraId="51CD25A9">
      <w:pPr>
        <w:spacing w:line="520" w:lineRule="exact"/>
        <w:ind w:firstLine="640" w:firstLineChars="200"/>
        <w:rPr>
          <w:rFonts w:eastAsia="仿宋_GB2312"/>
          <w:color w:val="000000"/>
          <w:szCs w:val="32"/>
        </w:rPr>
      </w:pPr>
      <w:r>
        <w:rPr>
          <w:rFonts w:eastAsia="仿宋_GB2312"/>
          <w:color w:val="000000"/>
          <w:szCs w:val="32"/>
        </w:rPr>
        <w:t>2.1产品型号/规格及其划分的说明</w:t>
      </w:r>
    </w:p>
    <w:p w14:paraId="4DEA868B">
      <w:pPr>
        <w:spacing w:line="520" w:lineRule="exact"/>
        <w:ind w:firstLine="640" w:firstLineChars="200"/>
        <w:rPr>
          <w:rFonts w:eastAsia="仿宋_GB2312"/>
          <w:color w:val="000000"/>
          <w:szCs w:val="32"/>
        </w:rPr>
      </w:pPr>
      <w:r>
        <w:rPr>
          <w:rFonts w:eastAsia="仿宋_GB2312"/>
          <w:color w:val="000000"/>
          <w:szCs w:val="32"/>
        </w:rPr>
        <w:t>列表说明产品的型号、规格，明确产品型号、规格的划分说明。需包含以下产品相关信息：</w:t>
      </w:r>
    </w:p>
    <w:p w14:paraId="1A2E2D4D">
      <w:pPr>
        <w:spacing w:line="520" w:lineRule="exact"/>
        <w:ind w:firstLine="640" w:firstLineChars="200"/>
        <w:jc w:val="left"/>
        <w:rPr>
          <w:rFonts w:eastAsia="仿宋_GB2312"/>
          <w:color w:val="000000"/>
          <w:szCs w:val="32"/>
        </w:rPr>
      </w:pPr>
      <w:r>
        <w:rPr>
          <w:rFonts w:eastAsia="仿宋_GB2312"/>
          <w:color w:val="000000"/>
          <w:szCs w:val="32"/>
        </w:rPr>
        <w:t>2.1.1明示产品的组成、各组成部分的材料牌号/商品名及符合的国家标准、行业标准、国际标准。</w:t>
      </w:r>
    </w:p>
    <w:p w14:paraId="1E6E7592">
      <w:pPr>
        <w:spacing w:line="520" w:lineRule="exact"/>
        <w:ind w:firstLine="640" w:firstLineChars="200"/>
        <w:rPr>
          <w:rFonts w:eastAsia="仿宋_GB2312"/>
          <w:color w:val="000000"/>
          <w:szCs w:val="32"/>
        </w:rPr>
      </w:pPr>
      <w:r>
        <w:rPr>
          <w:rFonts w:eastAsia="仿宋_GB2312"/>
          <w:color w:val="000000"/>
          <w:szCs w:val="32"/>
        </w:rPr>
        <w:t>2.1.2提供各型号产品的结构图并标识关键尺寸。</w:t>
      </w:r>
    </w:p>
    <w:p w14:paraId="1B0AF749">
      <w:pPr>
        <w:spacing w:line="520" w:lineRule="exact"/>
        <w:ind w:firstLine="640" w:firstLineChars="200"/>
        <w:rPr>
          <w:rFonts w:eastAsia="仿宋_GB2312"/>
          <w:color w:val="000000"/>
          <w:szCs w:val="32"/>
        </w:rPr>
      </w:pPr>
      <w:r>
        <w:rPr>
          <w:rFonts w:eastAsia="仿宋_GB2312"/>
          <w:color w:val="000000"/>
          <w:szCs w:val="32"/>
        </w:rPr>
        <w:t>2.1.3提供产品关键尺寸信息，如</w:t>
      </w:r>
      <w:r>
        <w:rPr>
          <w:rFonts w:hint="eastAsia" w:eastAsia="仿宋_GB2312"/>
          <w:color w:val="000000"/>
          <w:szCs w:val="32"/>
        </w:rPr>
        <w:t>针体外露</w:t>
      </w:r>
      <w:r>
        <w:rPr>
          <w:rFonts w:eastAsia="仿宋_GB2312"/>
          <w:color w:val="000000"/>
          <w:szCs w:val="32"/>
        </w:rPr>
        <w:t>长度、</w:t>
      </w:r>
      <w:r>
        <w:rPr>
          <w:rFonts w:hint="eastAsia" w:eastAsia="仿宋_GB2312"/>
          <w:color w:val="000000"/>
          <w:szCs w:val="32"/>
        </w:rPr>
        <w:t>针体直径</w:t>
      </w:r>
      <w:r>
        <w:rPr>
          <w:rFonts w:eastAsia="仿宋_GB2312"/>
          <w:color w:val="000000"/>
          <w:szCs w:val="32"/>
        </w:rPr>
        <w:t>、</w:t>
      </w:r>
      <w:r>
        <w:rPr>
          <w:rFonts w:hint="eastAsia" w:eastAsia="仿宋_GB2312"/>
          <w:color w:val="000000"/>
          <w:szCs w:val="32"/>
        </w:rPr>
        <w:t>滚轮</w:t>
      </w:r>
      <w:r>
        <w:rPr>
          <w:rFonts w:hint="eastAsia" w:eastAsia="仿宋_GB2312"/>
          <w:color w:val="000000"/>
          <w:szCs w:val="32"/>
          <w:lang w:eastAsia="zh-CN"/>
        </w:rPr>
        <w:t>直径</w:t>
      </w:r>
      <w:r>
        <w:rPr>
          <w:rFonts w:eastAsia="仿宋_GB2312"/>
          <w:color w:val="000000"/>
          <w:szCs w:val="32"/>
        </w:rPr>
        <w:t>等。</w:t>
      </w:r>
    </w:p>
    <w:p w14:paraId="3DB51E5A">
      <w:pPr>
        <w:spacing w:line="520" w:lineRule="exact"/>
        <w:ind w:firstLine="640" w:firstLineChars="200"/>
        <w:rPr>
          <w:rFonts w:eastAsia="仿宋_GB2312"/>
          <w:color w:val="000000"/>
          <w:szCs w:val="32"/>
        </w:rPr>
      </w:pPr>
      <w:r>
        <w:rPr>
          <w:rFonts w:eastAsia="仿宋_GB2312"/>
          <w:color w:val="000000"/>
          <w:szCs w:val="32"/>
        </w:rPr>
        <w:t>2.2性能指标</w:t>
      </w:r>
    </w:p>
    <w:p w14:paraId="7F7083EF">
      <w:pPr>
        <w:spacing w:line="520" w:lineRule="exact"/>
        <w:ind w:firstLine="640" w:firstLineChars="200"/>
        <w:rPr>
          <w:rFonts w:eastAsia="仿宋_GB2312"/>
          <w:color w:val="000000"/>
          <w:szCs w:val="32"/>
        </w:rPr>
      </w:pPr>
      <w:r>
        <w:rPr>
          <w:rFonts w:eastAsia="仿宋_GB2312"/>
          <w:color w:val="000000"/>
          <w:szCs w:val="32"/>
        </w:rPr>
        <w:t>产品技术要求的主要性能指标需包括以下适用内容：</w:t>
      </w:r>
    </w:p>
    <w:p w14:paraId="5545E995">
      <w:pPr>
        <w:spacing w:line="520" w:lineRule="exact"/>
        <w:ind w:firstLine="640" w:firstLineChars="200"/>
        <w:rPr>
          <w:rFonts w:eastAsia="仿宋_GB2312"/>
          <w:color w:val="000000"/>
          <w:szCs w:val="32"/>
        </w:rPr>
      </w:pPr>
      <w:r>
        <w:rPr>
          <w:rFonts w:hint="eastAsia" w:eastAsia="仿宋_GB2312"/>
          <w:color w:val="000000"/>
          <w:szCs w:val="32"/>
        </w:rPr>
        <w:t>外观、尺寸</w:t>
      </w:r>
      <w:r>
        <w:rPr>
          <w:rFonts w:hint="eastAsia" w:eastAsia="仿宋_GB2312"/>
          <w:color w:val="000000"/>
          <w:szCs w:val="32"/>
          <w:lang w:eastAsia="zh-CN"/>
        </w:rPr>
        <w:t>（针体、</w:t>
      </w:r>
      <w:r>
        <w:rPr>
          <w:rFonts w:hint="eastAsia" w:eastAsia="仿宋_GB2312"/>
          <w:color w:val="000000"/>
          <w:szCs w:val="32"/>
          <w:lang w:val="en-US" w:eastAsia="zh-CN"/>
        </w:rPr>
        <w:t>滚轮、手柄尺寸）</w:t>
      </w:r>
      <w:r>
        <w:rPr>
          <w:rFonts w:hint="eastAsia" w:eastAsia="仿宋_GB2312"/>
          <w:color w:val="000000"/>
          <w:szCs w:val="32"/>
        </w:rPr>
        <w:t>、</w:t>
      </w:r>
      <w:r>
        <w:rPr>
          <w:rFonts w:hint="eastAsia" w:eastAsia="仿宋_GB2312"/>
          <w:color w:val="000000"/>
          <w:szCs w:val="32"/>
          <w:lang w:val="en-US" w:eastAsia="zh-CN"/>
        </w:rPr>
        <w:t>针体密度</w:t>
      </w:r>
      <w:r>
        <w:rPr>
          <w:rFonts w:hint="eastAsia"/>
          <w:lang w:val="en-US" w:eastAsia="zh-CN"/>
        </w:rPr>
        <w:t>、</w:t>
      </w:r>
      <w:r>
        <w:rPr>
          <w:rFonts w:hint="eastAsia" w:eastAsia="仿宋_GB2312"/>
          <w:color w:val="000000"/>
          <w:szCs w:val="32"/>
          <w:lang w:eastAsia="zh-CN"/>
        </w:rPr>
        <w:t>滚轮</w:t>
      </w:r>
      <w:r>
        <w:rPr>
          <w:rFonts w:hint="eastAsia" w:eastAsia="仿宋_GB2312"/>
          <w:color w:val="000000"/>
          <w:szCs w:val="32"/>
          <w:lang w:val="en-US" w:eastAsia="zh-CN"/>
        </w:rPr>
        <w:t>灵活性</w:t>
      </w:r>
      <w:r>
        <w:rPr>
          <w:rFonts w:hint="eastAsia" w:eastAsia="仿宋_GB2312"/>
          <w:color w:val="000000"/>
          <w:szCs w:val="32"/>
        </w:rPr>
        <w:t>、耐腐蚀</w:t>
      </w:r>
      <w:r>
        <w:rPr>
          <w:rFonts w:hint="eastAsia" w:eastAsia="仿宋_GB2312"/>
          <w:color w:val="000000"/>
          <w:szCs w:val="32"/>
          <w:lang w:eastAsia="zh-CN"/>
        </w:rPr>
        <w:t>性</w:t>
      </w:r>
      <w:r>
        <w:rPr>
          <w:rFonts w:hint="eastAsia" w:eastAsia="仿宋_GB2312"/>
          <w:color w:val="000000"/>
          <w:szCs w:val="32"/>
        </w:rPr>
        <w:t>、</w:t>
      </w:r>
      <w:r>
        <w:rPr>
          <w:rFonts w:hint="eastAsia" w:eastAsia="仿宋_GB2312"/>
          <w:color w:val="000000"/>
          <w:szCs w:val="32"/>
          <w:lang w:eastAsia="zh-CN"/>
        </w:rPr>
        <w:t>针尖</w:t>
      </w:r>
      <w:r>
        <w:rPr>
          <w:rFonts w:hint="eastAsia" w:eastAsia="仿宋_GB2312"/>
          <w:color w:val="000000"/>
          <w:szCs w:val="32"/>
          <w:lang w:val="en-US" w:eastAsia="zh-CN"/>
        </w:rPr>
        <w:t>强度和锋利度</w:t>
      </w:r>
      <w:r>
        <w:rPr>
          <w:rFonts w:hint="eastAsia" w:eastAsia="仿宋_GB2312"/>
          <w:color w:val="000000"/>
          <w:szCs w:val="32"/>
        </w:rPr>
        <w:t>、针体硬度、针体表面</w:t>
      </w:r>
      <w:r>
        <w:rPr>
          <w:rFonts w:hint="eastAsia" w:eastAsia="仿宋_GB2312"/>
          <w:color w:val="000000"/>
          <w:szCs w:val="32"/>
          <w:lang w:eastAsia="zh-CN"/>
        </w:rPr>
        <w:t>处理（无润滑剂积聚）</w:t>
      </w:r>
      <w:r>
        <w:rPr>
          <w:rFonts w:hint="eastAsia" w:eastAsia="仿宋_GB2312"/>
          <w:color w:val="000000"/>
          <w:szCs w:val="32"/>
        </w:rPr>
        <w:t>、</w:t>
      </w:r>
      <w:r>
        <w:rPr>
          <w:rFonts w:hint="eastAsia" w:eastAsia="仿宋_GB2312"/>
          <w:color w:val="000000"/>
          <w:szCs w:val="32"/>
          <w:lang w:eastAsia="zh-CN"/>
        </w:rPr>
        <w:t>针尖牢固度</w:t>
      </w:r>
      <w:r>
        <w:rPr>
          <w:rFonts w:hint="eastAsia" w:eastAsia="仿宋_GB2312"/>
          <w:color w:val="000000"/>
          <w:szCs w:val="32"/>
        </w:rPr>
        <w:t>、无菌、环氧乙烷残留量。</w:t>
      </w:r>
    </w:p>
    <w:p w14:paraId="173EAD78">
      <w:pPr>
        <w:spacing w:line="520" w:lineRule="exact"/>
        <w:ind w:firstLine="640" w:firstLineChars="200"/>
        <w:rPr>
          <w:rFonts w:eastAsia="仿宋_GB2312"/>
          <w:color w:val="000000"/>
          <w:szCs w:val="32"/>
        </w:rPr>
      </w:pPr>
      <w:r>
        <w:rPr>
          <w:rFonts w:eastAsia="仿宋_GB2312"/>
          <w:color w:val="000000"/>
          <w:szCs w:val="32"/>
        </w:rPr>
        <w:t>2.3检验方法</w:t>
      </w:r>
    </w:p>
    <w:p w14:paraId="48FF9310">
      <w:pPr>
        <w:spacing w:line="520" w:lineRule="exact"/>
        <w:ind w:firstLine="640" w:firstLineChars="20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1D6C07C2">
      <w:pPr>
        <w:pStyle w:val="14"/>
        <w:spacing w:line="520" w:lineRule="exact"/>
        <w:ind w:firstLine="640"/>
        <w:rPr>
          <w:color w:val="000000"/>
        </w:rPr>
      </w:pPr>
      <w:r>
        <w:rPr>
          <w:color w:val="000000"/>
        </w:rPr>
        <w:t>3.同一注册单元内检验典型性产品确定原则</w:t>
      </w:r>
    </w:p>
    <w:p w14:paraId="6155F0A3">
      <w:pPr>
        <w:spacing w:line="520" w:lineRule="exact"/>
        <w:ind w:firstLine="640" w:firstLineChars="200"/>
        <w:rPr>
          <w:rFonts w:eastAsia="仿宋_GB2312"/>
          <w:color w:val="000000"/>
          <w:szCs w:val="32"/>
        </w:rPr>
      </w:pPr>
      <w:r>
        <w:rPr>
          <w:rFonts w:eastAsia="仿宋_GB2312"/>
          <w:color w:val="000000"/>
          <w:szCs w:val="32"/>
        </w:rPr>
        <w:t>同一注册单元内所检验的产品应当能够代表本注册单元内其他产品的安全性和有效性，并提供典型性检验样品的确定依据。</w:t>
      </w:r>
      <w:r>
        <w:rPr>
          <w:rFonts w:eastAsia="仿宋_GB2312"/>
          <w:bCs/>
          <w:color w:val="000000"/>
          <w:szCs w:val="32"/>
        </w:rPr>
        <w:t>如所检型号规格部分性能指标不足以覆盖其他型号规格时，应针对差异部分进行检验。</w:t>
      </w:r>
    </w:p>
    <w:p w14:paraId="606FF611">
      <w:pPr>
        <w:spacing w:line="520" w:lineRule="exact"/>
        <w:ind w:firstLine="640" w:firstLineChars="200"/>
        <w:rPr>
          <w:rFonts w:eastAsia="仿宋_GB2312"/>
          <w:color w:val="000000"/>
          <w:szCs w:val="32"/>
        </w:rPr>
      </w:pPr>
      <w:r>
        <w:rPr>
          <w:rFonts w:eastAsia="仿宋_GB2312"/>
          <w:color w:val="000000"/>
          <w:szCs w:val="32"/>
        </w:rPr>
        <w:t>4.研究资料</w:t>
      </w:r>
    </w:p>
    <w:p w14:paraId="6F6735A9">
      <w:pPr>
        <w:spacing w:line="520" w:lineRule="exact"/>
        <w:ind w:firstLine="640" w:firstLineChars="200"/>
        <w:jc w:val="left"/>
        <w:rPr>
          <w:rFonts w:eastAsia="仿宋_GB2312"/>
          <w:color w:val="000000"/>
          <w:szCs w:val="32"/>
        </w:rPr>
      </w:pPr>
      <w:r>
        <w:rPr>
          <w:rFonts w:eastAsia="仿宋_GB2312"/>
          <w:color w:val="000000"/>
          <w:szCs w:val="32"/>
        </w:rPr>
        <w:t>4.1</w:t>
      </w:r>
      <w:r>
        <w:rPr>
          <w:rFonts w:hint="eastAsia" w:eastAsia="仿宋_GB2312"/>
          <w:color w:val="000000"/>
          <w:szCs w:val="32"/>
        </w:rPr>
        <w:t>化学和物理</w:t>
      </w:r>
      <w:r>
        <w:rPr>
          <w:rFonts w:eastAsia="仿宋_GB2312"/>
          <w:color w:val="000000"/>
          <w:szCs w:val="32"/>
        </w:rPr>
        <w:t>性能研究</w:t>
      </w:r>
    </w:p>
    <w:p w14:paraId="0964D96F">
      <w:pPr>
        <w:spacing w:line="520" w:lineRule="exact"/>
        <w:ind w:firstLine="640" w:firstLineChars="200"/>
        <w:rPr>
          <w:rFonts w:eastAsia="仿宋_GB2312"/>
          <w:szCs w:val="32"/>
        </w:rPr>
      </w:pPr>
      <w:r>
        <w:rPr>
          <w:rFonts w:eastAsia="仿宋_GB2312"/>
          <w:szCs w:val="32"/>
        </w:rPr>
        <w:t>应当说明产品化学、物理和/或机械性能指标的确定依据，所采用的的标准或方法。</w:t>
      </w:r>
    </w:p>
    <w:p w14:paraId="11BB295C">
      <w:pPr>
        <w:spacing w:line="520" w:lineRule="exact"/>
        <w:ind w:firstLine="640" w:firstLineChars="200"/>
        <w:rPr>
          <w:rFonts w:eastAsia="仿宋_GB2312"/>
          <w:color w:val="000000"/>
          <w:szCs w:val="32"/>
        </w:rPr>
      </w:pPr>
      <w:r>
        <w:rPr>
          <w:rFonts w:eastAsia="仿宋_GB2312"/>
          <w:color w:val="000000"/>
          <w:szCs w:val="32"/>
        </w:rPr>
        <w:t>4.2生物学特性研究</w:t>
      </w:r>
    </w:p>
    <w:p w14:paraId="217E275B">
      <w:pPr>
        <w:snapToGrid w:val="0"/>
        <w:spacing w:line="520" w:lineRule="exact"/>
        <w:ind w:firstLine="640" w:firstLineChars="200"/>
        <w:rPr>
          <w:rFonts w:eastAsia="仿宋_GB2312"/>
          <w:sz w:val="32"/>
          <w:szCs w:val="32"/>
        </w:rPr>
      </w:pPr>
      <w:r>
        <w:rPr>
          <w:rFonts w:hint="eastAsia" w:eastAsia="仿宋_GB2312"/>
          <w:sz w:val="32"/>
          <w:szCs w:val="32"/>
        </w:rPr>
        <w:t>生物相容性评价研究资料应当包括：生物相容性评价的依据和方法；产品所用材料的描述及与人体接触的性质；实施或豁免生物学试验的理由和论证；对于现有数据或试验结果的评价。</w:t>
      </w:r>
    </w:p>
    <w:p w14:paraId="0CB1F8C2">
      <w:pPr>
        <w:spacing w:line="520" w:lineRule="exact"/>
        <w:ind w:firstLine="640" w:firstLineChars="200"/>
        <w:rPr>
          <w:rFonts w:hint="eastAsia" w:eastAsia="仿宋_GB2312"/>
          <w:sz w:val="32"/>
          <w:szCs w:val="32"/>
          <w:lang w:eastAsia="zh-CN"/>
        </w:rPr>
      </w:pPr>
      <w:r>
        <w:rPr>
          <w:rFonts w:eastAsia="仿宋_GB2312"/>
          <w:sz w:val="32"/>
          <w:szCs w:val="32"/>
        </w:rPr>
        <w:t>产品注册时应根据产品所用材料及与人体的接触</w:t>
      </w:r>
      <w:r>
        <w:rPr>
          <w:rFonts w:hint="eastAsia" w:eastAsia="仿宋_GB2312"/>
          <w:sz w:val="32"/>
          <w:szCs w:val="32"/>
        </w:rPr>
        <w:t>性质、接触时间</w:t>
      </w:r>
      <w:r>
        <w:rPr>
          <w:rFonts w:eastAsia="仿宋_GB2312"/>
          <w:sz w:val="32"/>
          <w:szCs w:val="32"/>
        </w:rPr>
        <w:t>，</w:t>
      </w:r>
      <w:r>
        <w:rPr>
          <w:rFonts w:hint="eastAsia" w:eastAsia="仿宋_GB2312"/>
          <w:sz w:val="32"/>
          <w:szCs w:val="32"/>
        </w:rPr>
        <w:t>参照</w:t>
      </w:r>
      <w:r>
        <w:rPr>
          <w:rFonts w:eastAsia="仿宋_GB2312"/>
          <w:sz w:val="32"/>
          <w:szCs w:val="32"/>
        </w:rPr>
        <w:t>GB/T</w:t>
      </w:r>
      <w:r>
        <w:rPr>
          <w:rFonts w:hint="eastAsia" w:eastAsia="仿宋_GB2312"/>
          <w:sz w:val="32"/>
          <w:szCs w:val="32"/>
        </w:rPr>
        <w:t xml:space="preserve"> </w:t>
      </w:r>
      <w:r>
        <w:rPr>
          <w:rFonts w:eastAsia="仿宋_GB2312"/>
          <w:sz w:val="32"/>
          <w:szCs w:val="32"/>
        </w:rPr>
        <w:t>16886.1《医疗器械生物学评价 第1部分：风险管理过程中的评价与试验》进行</w:t>
      </w:r>
      <w:r>
        <w:rPr>
          <w:rFonts w:hint="eastAsia" w:eastAsia="仿宋_GB2312"/>
          <w:sz w:val="32"/>
          <w:szCs w:val="32"/>
        </w:rPr>
        <w:t>生物学评价</w:t>
      </w:r>
      <w:r>
        <w:rPr>
          <w:rFonts w:hint="eastAsia" w:eastAsia="仿宋_GB2312"/>
          <w:sz w:val="32"/>
          <w:szCs w:val="32"/>
          <w:lang w:eastAsia="zh-CN"/>
        </w:rPr>
        <w:t>。</w:t>
      </w:r>
    </w:p>
    <w:p w14:paraId="6B7CD8D6">
      <w:pPr>
        <w:spacing w:line="520" w:lineRule="exact"/>
        <w:ind w:firstLine="640" w:firstLineChars="200"/>
        <w:rPr>
          <w:rFonts w:hint="eastAsia" w:eastAsia="仿宋_GB2312"/>
          <w:color w:val="000000"/>
          <w:szCs w:val="32"/>
          <w:lang w:eastAsia="zh-CN"/>
        </w:rPr>
      </w:pPr>
      <w:r>
        <w:rPr>
          <w:rFonts w:hint="eastAsia" w:eastAsia="仿宋_GB2312" w:cs="仿宋_GB2312"/>
          <w:snapToGrid w:val="0"/>
          <w:sz w:val="32"/>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14:paraId="2F842C5A">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rPr>
        <w:t>3</w:t>
      </w:r>
      <w:r>
        <w:rPr>
          <w:rFonts w:eastAsia="仿宋_GB2312"/>
          <w:color w:val="000000"/>
          <w:szCs w:val="32"/>
        </w:rPr>
        <w:t>清洁、灭菌研究</w:t>
      </w:r>
    </w:p>
    <w:p w14:paraId="23394C58">
      <w:pPr>
        <w:spacing w:line="520" w:lineRule="exact"/>
        <w:ind w:firstLine="640" w:firstLineChars="200"/>
        <w:rPr>
          <w:rFonts w:eastAsia="仿宋_GB2312"/>
          <w:color w:val="000000"/>
          <w:szCs w:val="32"/>
        </w:rPr>
      </w:pPr>
      <w:r>
        <w:rPr>
          <w:rFonts w:eastAsia="仿宋_GB2312"/>
          <w:color w:val="000000"/>
          <w:szCs w:val="32"/>
        </w:rPr>
        <w:t>描述用于保证产品无菌的质量保证体系，明确灭菌工艺（方法和参数）和无菌保证水平（SAL）。</w:t>
      </w:r>
      <w:r>
        <w:rPr>
          <w:rFonts w:hint="eastAsia" w:eastAsia="仿宋_GB2312"/>
          <w:color w:val="000000"/>
          <w:szCs w:val="32"/>
        </w:rPr>
        <w:t>一次性使用无菌皮肤滚针</w:t>
      </w:r>
      <w:r>
        <w:rPr>
          <w:rFonts w:eastAsia="仿宋_GB2312"/>
          <w:color w:val="000000"/>
          <w:szCs w:val="32"/>
        </w:rPr>
        <w:t>的无菌保证水平（SAL）需达到10</w:t>
      </w:r>
      <w:r>
        <w:rPr>
          <w:rFonts w:eastAsia="仿宋_GB2312"/>
          <w:color w:val="000000"/>
          <w:szCs w:val="32"/>
          <w:vertAlign w:val="superscript"/>
        </w:rPr>
        <w:t>-6</w:t>
      </w:r>
      <w:r>
        <w:rPr>
          <w:rFonts w:eastAsia="仿宋_GB2312"/>
          <w:color w:val="000000"/>
          <w:szCs w:val="32"/>
        </w:rPr>
        <w:t>。</w:t>
      </w:r>
    </w:p>
    <w:p w14:paraId="64279B14">
      <w:pPr>
        <w:spacing w:line="520" w:lineRule="exact"/>
        <w:ind w:firstLine="640" w:firstLineChars="200"/>
        <w:rPr>
          <w:rFonts w:eastAsia="仿宋_GB2312"/>
          <w:color w:val="000000"/>
          <w:szCs w:val="32"/>
        </w:rPr>
      </w:pPr>
      <w:r>
        <w:rPr>
          <w:rFonts w:eastAsia="仿宋_GB2312"/>
          <w:color w:val="000000"/>
          <w:szCs w:val="32"/>
        </w:rPr>
        <w:t>对于灭菌包装交付产品，需提供灭菌工艺验证报告。对于经辐照灭菌的产品，需明确射线种类、辐照剂量及相关的验证报告</w:t>
      </w:r>
      <w:r>
        <w:rPr>
          <w:rFonts w:hint="eastAsia" w:eastAsia="仿宋_GB2312"/>
          <w:color w:val="000000"/>
          <w:szCs w:val="32"/>
        </w:rPr>
        <w:t>，</w:t>
      </w:r>
      <w:r>
        <w:rPr>
          <w:rFonts w:eastAsia="仿宋_GB2312"/>
          <w:color w:val="000000"/>
          <w:szCs w:val="32"/>
        </w:rPr>
        <w:t>其中具体的剂量确定依据可参照GB 18280系列标准。对于经环氧乙烷灭菌的产品，需提供灭菌结果确认和过程控制报告</w:t>
      </w:r>
      <w:r>
        <w:rPr>
          <w:rFonts w:hint="eastAsia" w:eastAsia="仿宋_GB2312"/>
          <w:color w:val="000000"/>
          <w:szCs w:val="32"/>
        </w:rPr>
        <w:t>，</w:t>
      </w:r>
      <w:r>
        <w:rPr>
          <w:rFonts w:eastAsia="仿宋_GB2312"/>
          <w:color w:val="000000"/>
          <w:szCs w:val="32"/>
        </w:rPr>
        <w:t>具体可参照GB 18279系列标准。</w:t>
      </w:r>
    </w:p>
    <w:p w14:paraId="1E743833">
      <w:pPr>
        <w:spacing w:line="520" w:lineRule="exact"/>
        <w:ind w:firstLine="640" w:firstLineChars="200"/>
        <w:rPr>
          <w:rFonts w:eastAsia="仿宋_GB2312"/>
          <w:color w:val="000000"/>
          <w:szCs w:val="32"/>
        </w:rPr>
      </w:pPr>
      <w:r>
        <w:rPr>
          <w:rFonts w:eastAsia="仿宋_GB2312"/>
          <w:color w:val="000000"/>
          <w:szCs w:val="32"/>
        </w:rPr>
        <w:t>需评价灭菌方法（包括不同辐照源）对于产品性能的影响，并提供验证性能的确定依据、验证方案及报告以及接受指标的确定依据。</w:t>
      </w:r>
    </w:p>
    <w:p w14:paraId="72FCF926">
      <w:pPr>
        <w:spacing w:line="520" w:lineRule="exact"/>
        <w:ind w:firstLine="640" w:firstLineChars="200"/>
        <w:rPr>
          <w:rFonts w:eastAsia="仿宋_GB2312"/>
          <w:color w:val="000000"/>
          <w:szCs w:val="32"/>
        </w:rPr>
      </w:pPr>
      <w:r>
        <w:rPr>
          <w:rFonts w:eastAsia="仿宋_GB2312"/>
          <w:color w:val="000000"/>
          <w:szCs w:val="32"/>
        </w:rPr>
        <w:t>若使用的灭菌方法涉及残留物，需明确残留物信息、控制指标及应采取的具体处理方法和条件，论述可接受性并提供研究资料。</w:t>
      </w:r>
    </w:p>
    <w:p w14:paraId="4D9B5B8C">
      <w:pPr>
        <w:spacing w:line="520" w:lineRule="exact"/>
        <w:ind w:firstLine="640" w:firstLineChars="200"/>
        <w:rPr>
          <w:rFonts w:eastAsia="仿宋_GB2312"/>
          <w:color w:val="000000"/>
          <w:szCs w:val="32"/>
        </w:rPr>
      </w:pPr>
      <w:r>
        <w:rPr>
          <w:rFonts w:hint="eastAsia" w:eastAsia="仿宋_GB2312"/>
          <w:color w:val="000000"/>
          <w:szCs w:val="32"/>
        </w:rPr>
        <w:t>4.4</w:t>
      </w:r>
      <w:r>
        <w:rPr>
          <w:rFonts w:eastAsia="仿宋_GB2312"/>
          <w:color w:val="000000"/>
          <w:szCs w:val="32"/>
        </w:rPr>
        <w:t>稳定性研究</w:t>
      </w:r>
    </w:p>
    <w:p w14:paraId="0972923C">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rPr>
        <w:t>4</w:t>
      </w:r>
      <w:r>
        <w:rPr>
          <w:rFonts w:eastAsia="仿宋_GB2312"/>
          <w:color w:val="000000"/>
          <w:szCs w:val="32"/>
        </w:rPr>
        <w:t>.1货架有效期</w:t>
      </w:r>
    </w:p>
    <w:p w14:paraId="1C523626">
      <w:pPr>
        <w:spacing w:line="520" w:lineRule="exact"/>
        <w:ind w:firstLine="640" w:firstLineChars="200"/>
        <w:rPr>
          <w:rFonts w:eastAsia="仿宋_GB2312"/>
          <w:color w:val="000000"/>
          <w:szCs w:val="32"/>
        </w:rPr>
      </w:pPr>
      <w:r>
        <w:rPr>
          <w:rFonts w:eastAsia="仿宋_GB2312"/>
          <w:bCs/>
          <w:szCs w:val="32"/>
        </w:rPr>
        <w:t>注册申请人应提供产品货架有效期的验证资料。</w:t>
      </w:r>
      <w:r>
        <w:rPr>
          <w:rFonts w:eastAsia="仿宋_GB2312"/>
          <w:color w:val="000000"/>
          <w:szCs w:val="32"/>
        </w:rPr>
        <w:t>产品有效期验证可采用实时稳定性或加速稳定性的研究。实时稳定性的研究是唯一能够反映产品在规定储存条件下实际稳定性要求的方法，应遵循极限试验和过载试验原则。加速老化研究试验的具体要求可参考YY/T 0681系列标准。</w:t>
      </w:r>
    </w:p>
    <w:p w14:paraId="2146D55E">
      <w:pPr>
        <w:spacing w:line="520" w:lineRule="exact"/>
        <w:ind w:firstLine="640" w:firstLineChars="200"/>
        <w:rPr>
          <w:rFonts w:eastAsia="仿宋_GB2312"/>
          <w:color w:val="000000"/>
          <w:szCs w:val="32"/>
        </w:rPr>
      </w:pPr>
      <w:r>
        <w:rPr>
          <w:rFonts w:eastAsia="仿宋_GB2312"/>
          <w:color w:val="000000"/>
          <w:szCs w:val="32"/>
        </w:rPr>
        <w:t xml:space="preserve">对于包装的有效期验证，建议选择恰当的材料和包装结构确定最终成品包装，提供该包装初始完整性和维持完整性的检测结果，检验项目应包括包装完整性、包装密封性和微生物屏障性能。不同包装、不同灭菌方式的产品需分别提供验证资料。在进行加速老化试验研究时应注意：产品选择的环境条件的老化机制应与宣称的真实运输储存条件下发生产品老化的机制相匹配。 </w:t>
      </w:r>
    </w:p>
    <w:p w14:paraId="4D72EE88">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rPr>
        <w:t>4</w:t>
      </w:r>
      <w:r>
        <w:rPr>
          <w:rFonts w:eastAsia="仿宋_GB2312"/>
          <w:color w:val="000000"/>
          <w:szCs w:val="32"/>
        </w:rPr>
        <w:t>.2运输稳定性</w:t>
      </w:r>
    </w:p>
    <w:p w14:paraId="10F2ADFD">
      <w:pPr>
        <w:spacing w:line="520" w:lineRule="exact"/>
        <w:ind w:firstLine="640" w:firstLineChars="200"/>
        <w:rPr>
          <w:rFonts w:eastAsia="仿宋_GB2312"/>
          <w:bCs/>
          <w:szCs w:val="32"/>
        </w:rPr>
      </w:pPr>
      <w:r>
        <w:rPr>
          <w:rFonts w:eastAsia="仿宋_GB2312"/>
          <w:bCs/>
          <w:szCs w:val="32"/>
        </w:rPr>
        <w:t>提供在宣称的有效期内以及运输储存条件（例如：震动、振动、温度和湿度的波动）下，保持包装完整性的依据，可采用模拟运输的方式进行验证。</w:t>
      </w:r>
    </w:p>
    <w:p w14:paraId="6A73C642">
      <w:pPr>
        <w:adjustRightInd w:val="0"/>
        <w:snapToGrid w:val="0"/>
        <w:spacing w:line="520" w:lineRule="exact"/>
        <w:ind w:firstLine="640" w:firstLineChars="200"/>
        <w:rPr>
          <w:rFonts w:eastAsia="仿宋_GB2312"/>
          <w:bCs/>
          <w:szCs w:val="32"/>
        </w:rPr>
      </w:pPr>
      <w:r>
        <w:rPr>
          <w:rFonts w:hint="eastAsia" w:eastAsia="仿宋_GB2312"/>
          <w:bCs/>
          <w:szCs w:val="32"/>
        </w:rPr>
        <w:t>4</w:t>
      </w:r>
      <w:r>
        <w:rPr>
          <w:rFonts w:eastAsia="仿宋_GB2312"/>
          <w:bCs/>
          <w:szCs w:val="32"/>
        </w:rPr>
        <w:t>.5其他资料</w:t>
      </w:r>
    </w:p>
    <w:p w14:paraId="1CDE5301">
      <w:pPr>
        <w:spacing w:line="520" w:lineRule="exact"/>
        <w:ind w:firstLine="624" w:firstLineChars="200"/>
        <w:rPr>
          <w:rFonts w:eastAsia="仿宋_GB2312"/>
          <w:color w:val="000000"/>
          <w:szCs w:val="32"/>
        </w:rPr>
      </w:pPr>
      <w:r>
        <w:rPr>
          <w:rFonts w:eastAsia="仿宋_GB2312"/>
          <w:color w:val="000000"/>
          <w:spacing w:val="-4"/>
          <w:kern w:val="0"/>
          <w:szCs w:val="32"/>
        </w:rPr>
        <w:t>对于符合《免于</w:t>
      </w:r>
      <w:r>
        <w:rPr>
          <w:rFonts w:hint="eastAsia" w:eastAsia="仿宋_GB2312"/>
          <w:color w:val="000000"/>
          <w:spacing w:val="-4"/>
          <w:kern w:val="0"/>
          <w:szCs w:val="32"/>
          <w:lang w:eastAsia="zh-CN"/>
        </w:rPr>
        <w:t>进行</w:t>
      </w:r>
      <w:r>
        <w:rPr>
          <w:rFonts w:eastAsia="仿宋_GB2312"/>
          <w:color w:val="000000"/>
          <w:spacing w:val="-4"/>
          <w:kern w:val="0"/>
          <w:szCs w:val="32"/>
        </w:rPr>
        <w:t>临床评价医疗器械目录》下分类编码为20-03-0</w:t>
      </w:r>
      <w:r>
        <w:rPr>
          <w:rFonts w:hint="eastAsia" w:eastAsia="仿宋_GB2312"/>
          <w:color w:val="000000"/>
          <w:spacing w:val="-4"/>
          <w:kern w:val="0"/>
          <w:szCs w:val="32"/>
        </w:rPr>
        <w:t>5</w:t>
      </w:r>
      <w:r>
        <w:rPr>
          <w:rFonts w:eastAsia="仿宋_GB2312"/>
          <w:color w:val="000000"/>
          <w:spacing w:val="-4"/>
          <w:kern w:val="0"/>
          <w:szCs w:val="32"/>
        </w:rPr>
        <w:t>的</w:t>
      </w:r>
      <w:r>
        <w:rPr>
          <w:rFonts w:hint="eastAsia" w:eastAsia="仿宋_GB2312"/>
          <w:color w:val="000000"/>
          <w:spacing w:val="-4"/>
          <w:kern w:val="0"/>
          <w:szCs w:val="32"/>
        </w:rPr>
        <w:t>滚</w:t>
      </w:r>
      <w:r>
        <w:rPr>
          <w:rFonts w:eastAsia="仿宋_GB2312"/>
          <w:color w:val="000000"/>
          <w:spacing w:val="-4"/>
          <w:kern w:val="0"/>
          <w:szCs w:val="32"/>
        </w:rPr>
        <w:t>针，</w:t>
      </w:r>
      <w:r>
        <w:rPr>
          <w:rFonts w:eastAsia="仿宋_GB2312"/>
          <w:color w:val="000000"/>
          <w:szCs w:val="32"/>
        </w:rPr>
        <w:t>申请人应当按照《列入免于进行临床评价医疗器械目录产品对比说明技术指导原则》，从基本原理、结构组成、性能、安全性、适用范围等方面，证明产品的安全有效性。</w:t>
      </w:r>
    </w:p>
    <w:p w14:paraId="391EA82E">
      <w:pPr>
        <w:adjustRightInd w:val="0"/>
        <w:snapToGrid w:val="0"/>
        <w:spacing w:line="520" w:lineRule="exact"/>
        <w:ind w:firstLine="640" w:firstLineChars="200"/>
        <w:rPr>
          <w:rFonts w:hint="eastAsia" w:eastAsia="仿宋_GB2312"/>
          <w:bCs/>
          <w:szCs w:val="32"/>
        </w:rPr>
      </w:pPr>
      <w:r>
        <w:rPr>
          <w:rFonts w:hint="eastAsia" w:eastAsia="仿宋_GB2312"/>
          <w:bCs/>
          <w:szCs w:val="32"/>
        </w:rPr>
        <w:t>4.6可用性研究</w:t>
      </w:r>
    </w:p>
    <w:p w14:paraId="1C882B71">
      <w:pPr>
        <w:adjustRightInd w:val="0"/>
        <w:snapToGrid w:val="0"/>
        <w:spacing w:line="520" w:lineRule="exact"/>
        <w:ind w:firstLine="640" w:firstLineChars="200"/>
        <w:rPr>
          <w:rFonts w:eastAsia="仿宋_GB2312"/>
          <w:bCs/>
          <w:szCs w:val="32"/>
        </w:rPr>
      </w:pPr>
      <w:r>
        <w:rPr>
          <w:rFonts w:hint="eastAsia" w:eastAsia="仿宋_GB2312"/>
          <w:bCs/>
          <w:szCs w:val="32"/>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21D0CE14">
      <w:pPr>
        <w:spacing w:line="520" w:lineRule="exact"/>
        <w:ind w:firstLine="640" w:firstLineChars="200"/>
        <w:rPr>
          <w:rFonts w:eastAsia="楷体_GB2312"/>
          <w:color w:val="000000"/>
          <w:szCs w:val="32"/>
        </w:rPr>
      </w:pPr>
      <w:r>
        <w:rPr>
          <w:rFonts w:eastAsia="楷体_GB2312"/>
          <w:color w:val="000000"/>
          <w:szCs w:val="32"/>
        </w:rPr>
        <w:t>（四）临床评价资料</w:t>
      </w:r>
    </w:p>
    <w:p w14:paraId="40979B15">
      <w:pPr>
        <w:spacing w:line="520" w:lineRule="exact"/>
        <w:ind w:firstLine="640" w:firstLineChars="200"/>
        <w:rPr>
          <w:rFonts w:eastAsia="仿宋_GB2312"/>
          <w:color w:val="000000"/>
          <w:szCs w:val="32"/>
        </w:rPr>
      </w:pPr>
      <w:r>
        <w:rPr>
          <w:rFonts w:hint="eastAsia" w:eastAsia="仿宋_GB2312"/>
          <w:color w:val="000000"/>
          <w:szCs w:val="32"/>
        </w:rPr>
        <w:t>对于不属于《免于进行临床评价医疗器械目录》描述范围的产品，或不能证明申报产品与《目录》所述的产品具有基本等同性时，申请人应按照《医疗器械临床评价技术指导原则》的要求提交临床评价资料。</w:t>
      </w:r>
    </w:p>
    <w:p w14:paraId="1CCC04AB">
      <w:pPr>
        <w:spacing w:line="520" w:lineRule="exact"/>
        <w:ind w:firstLine="640" w:firstLineChars="200"/>
        <w:rPr>
          <w:rFonts w:eastAsia="楷体_GB2312"/>
          <w:color w:val="000000"/>
          <w:szCs w:val="32"/>
        </w:rPr>
      </w:pPr>
      <w:r>
        <w:rPr>
          <w:rFonts w:eastAsia="楷体_GB2312"/>
          <w:color w:val="000000"/>
          <w:szCs w:val="32"/>
        </w:rPr>
        <w:t>（五）产品说明书和标签样稿</w:t>
      </w:r>
    </w:p>
    <w:p w14:paraId="1614215E">
      <w:pPr>
        <w:pStyle w:val="14"/>
        <w:spacing w:line="520" w:lineRule="exact"/>
        <w:ind w:firstLine="640"/>
      </w:pPr>
      <w:r>
        <w:t>产品说明书和标签样稿的编写应符合《医疗器械说明书和标签管理规定》和相关标准的要求，同时还应注意以下几点（不限于此）：</w:t>
      </w:r>
    </w:p>
    <w:p w14:paraId="279D61BA">
      <w:pPr>
        <w:overflowPunct w:val="0"/>
        <w:spacing w:line="520" w:lineRule="exact"/>
        <w:ind w:firstLine="640" w:firstLineChars="200"/>
        <w:rPr>
          <w:rFonts w:eastAsia="仿宋_GB2312"/>
          <w:szCs w:val="32"/>
        </w:rPr>
      </w:pPr>
      <w:r>
        <w:rPr>
          <w:rFonts w:eastAsia="仿宋_GB2312"/>
          <w:szCs w:val="32"/>
        </w:rPr>
        <w:t>注意事项应至少包括以下内容：</w:t>
      </w:r>
    </w:p>
    <w:p w14:paraId="4241C433">
      <w:pPr>
        <w:overflowPunct w:val="0"/>
        <w:spacing w:line="520" w:lineRule="exact"/>
        <w:ind w:firstLine="640" w:firstLineChars="200"/>
        <w:rPr>
          <w:rFonts w:eastAsia="仿宋_GB2312"/>
          <w:szCs w:val="32"/>
        </w:rPr>
      </w:pPr>
      <w:r>
        <w:rPr>
          <w:rFonts w:eastAsia="仿宋_GB2312"/>
          <w:color w:val="000000"/>
          <w:szCs w:val="32"/>
        </w:rPr>
        <w:t>（1）</w:t>
      </w:r>
      <w:r>
        <w:rPr>
          <w:rFonts w:eastAsia="仿宋_GB2312"/>
          <w:szCs w:val="32"/>
        </w:rPr>
        <w:t>产品应由专业医生或经过</w:t>
      </w:r>
      <w:r>
        <w:rPr>
          <w:rFonts w:hint="eastAsia" w:eastAsia="仿宋_GB2312"/>
          <w:szCs w:val="32"/>
        </w:rPr>
        <w:t>专业</w:t>
      </w:r>
      <w:r>
        <w:rPr>
          <w:rFonts w:eastAsia="仿宋_GB2312"/>
          <w:szCs w:val="32"/>
        </w:rPr>
        <w:t>技能培训合格的有资质的专业医疗工作人员使用。</w:t>
      </w:r>
    </w:p>
    <w:p w14:paraId="0838F0F8">
      <w:pPr>
        <w:overflowPunct w:val="0"/>
        <w:spacing w:line="520" w:lineRule="exact"/>
        <w:ind w:firstLine="672" w:firstLineChars="210"/>
        <w:rPr>
          <w:rFonts w:eastAsia="仿宋_GB2312"/>
          <w:szCs w:val="32"/>
        </w:rPr>
      </w:pPr>
      <w:r>
        <w:rPr>
          <w:rFonts w:eastAsia="仿宋_GB2312"/>
          <w:szCs w:val="32"/>
        </w:rPr>
        <w:t>（2）</w:t>
      </w:r>
      <w:r>
        <w:rPr>
          <w:rFonts w:hint="eastAsia" w:eastAsia="仿宋_GB2312"/>
          <w:szCs w:val="32"/>
        </w:rPr>
        <w:t>产品为无菌提供的一次性使用产品</w:t>
      </w:r>
      <w:r>
        <w:rPr>
          <w:rFonts w:eastAsia="仿宋_GB2312"/>
          <w:szCs w:val="32"/>
        </w:rPr>
        <w:t>，应注明“一次性使用”字样</w:t>
      </w:r>
      <w:r>
        <w:rPr>
          <w:rFonts w:hint="eastAsia" w:eastAsia="仿宋_GB2312"/>
          <w:szCs w:val="32"/>
        </w:rPr>
        <w:t>，并提示内包装破损严禁使用。</w:t>
      </w:r>
    </w:p>
    <w:p w14:paraId="6874F9D3">
      <w:pPr>
        <w:overflowPunct w:val="0"/>
        <w:spacing w:line="520" w:lineRule="exact"/>
        <w:ind w:firstLine="640" w:firstLineChars="200"/>
        <w:rPr>
          <w:rFonts w:eastAsia="仿宋_GB2312"/>
          <w:bCs/>
          <w:szCs w:val="28"/>
        </w:rPr>
      </w:pPr>
      <w:r>
        <w:rPr>
          <w:rFonts w:eastAsia="仿宋_GB2312"/>
          <w:szCs w:val="32"/>
        </w:rPr>
        <w:t>（3）</w:t>
      </w:r>
      <w:r>
        <w:rPr>
          <w:rFonts w:hint="eastAsia" w:eastAsia="仿宋_GB2312"/>
          <w:szCs w:val="32"/>
        </w:rPr>
        <w:t>使用前应对</w:t>
      </w:r>
      <w:r>
        <w:rPr>
          <w:rFonts w:eastAsia="仿宋_GB2312"/>
          <w:bCs/>
          <w:szCs w:val="28"/>
        </w:rPr>
        <w:t>针刺部位皮肤</w:t>
      </w:r>
      <w:r>
        <w:rPr>
          <w:rFonts w:hint="eastAsia" w:eastAsia="仿宋_GB2312"/>
          <w:bCs/>
          <w:szCs w:val="28"/>
        </w:rPr>
        <w:t>进行</w:t>
      </w:r>
      <w:r>
        <w:rPr>
          <w:rFonts w:eastAsia="仿宋_GB2312"/>
          <w:bCs/>
          <w:szCs w:val="28"/>
        </w:rPr>
        <w:t>消毒，施针完成后提醒患者注意针眼处卫生，避免感染。</w:t>
      </w:r>
    </w:p>
    <w:p w14:paraId="73F54544">
      <w:pPr>
        <w:overflowPunct w:val="0"/>
        <w:spacing w:line="520" w:lineRule="exact"/>
        <w:ind w:firstLine="640" w:firstLineChars="200"/>
        <w:rPr>
          <w:rFonts w:hint="default" w:eastAsia="楷体_GB2312"/>
          <w:color w:val="000000"/>
          <w:szCs w:val="32"/>
          <w:lang w:val="en-US" w:eastAsia="zh-CN"/>
        </w:rPr>
      </w:pPr>
      <w:r>
        <w:rPr>
          <w:rFonts w:hint="eastAsia" w:eastAsia="仿宋_GB2312"/>
          <w:bCs/>
          <w:szCs w:val="28"/>
          <w:lang w:eastAsia="zh-CN"/>
        </w:rPr>
        <w:t>（</w:t>
      </w:r>
      <w:r>
        <w:rPr>
          <w:rFonts w:hint="eastAsia" w:eastAsia="仿宋_GB2312"/>
          <w:bCs/>
          <w:szCs w:val="28"/>
          <w:lang w:val="en-US" w:eastAsia="zh-CN"/>
        </w:rPr>
        <w:t>4）应明确产品使用时间间隔。</w:t>
      </w:r>
    </w:p>
    <w:p w14:paraId="3E9FB308">
      <w:pPr>
        <w:spacing w:line="520" w:lineRule="exact"/>
        <w:ind w:firstLine="640" w:firstLineChars="200"/>
        <w:rPr>
          <w:rFonts w:eastAsia="楷体_GB2312"/>
          <w:color w:val="000000"/>
          <w:szCs w:val="32"/>
        </w:rPr>
      </w:pPr>
      <w:r>
        <w:rPr>
          <w:rFonts w:eastAsia="楷体_GB2312"/>
          <w:color w:val="000000"/>
          <w:szCs w:val="32"/>
        </w:rPr>
        <w:t>（六）质量管理体系文件</w:t>
      </w:r>
    </w:p>
    <w:p w14:paraId="1D8B743D">
      <w:pPr>
        <w:spacing w:line="520" w:lineRule="exact"/>
        <w:ind w:firstLine="640" w:firstLineChars="200"/>
        <w:rPr>
          <w:rFonts w:eastAsia="仿宋_GB2312"/>
          <w:color w:val="000000"/>
          <w:szCs w:val="32"/>
        </w:rPr>
      </w:pPr>
      <w:r>
        <w:rPr>
          <w:rFonts w:eastAsia="仿宋_GB2312"/>
          <w:color w:val="000000"/>
          <w:szCs w:val="32"/>
        </w:rPr>
        <w:t>1.详述产品的生产工艺和步骤，提供生产工艺流程图。提交产品生产工艺概述、生产工艺过程中需要进行控制和测试的环节及相关证明性资料。确认关键工艺点，并对生产工艺的可控性、稳定性进行确认。</w:t>
      </w:r>
    </w:p>
    <w:p w14:paraId="258671F7">
      <w:pPr>
        <w:spacing w:line="520" w:lineRule="exact"/>
        <w:ind w:firstLine="640" w:firstLineChars="200"/>
        <w:rPr>
          <w:rFonts w:eastAsia="仿宋_GB2312"/>
          <w:color w:val="000000"/>
          <w:szCs w:val="32"/>
        </w:rPr>
      </w:pPr>
      <w:r>
        <w:rPr>
          <w:rFonts w:eastAsia="仿宋_GB2312"/>
          <w:color w:val="000000"/>
          <w:szCs w:val="32"/>
        </w:rPr>
        <w:t>2.明确特殊过程和关键工序，提供特殊过程的确认资料以及关键工序的验证资料。对于可能影响终产品性能的内容，如打印工艺，后处理工艺，清洗工艺等，需提供详细的工艺验证资料。</w:t>
      </w:r>
    </w:p>
    <w:p w14:paraId="2FA44933">
      <w:pPr>
        <w:spacing w:line="520" w:lineRule="exact"/>
        <w:ind w:firstLine="640" w:firstLineChars="200"/>
        <w:rPr>
          <w:rFonts w:eastAsia="仿宋_GB2312"/>
          <w:color w:val="000000"/>
          <w:szCs w:val="32"/>
        </w:rPr>
      </w:pPr>
      <w:r>
        <w:rPr>
          <w:rFonts w:eastAsia="仿宋_GB2312"/>
          <w:color w:val="000000"/>
          <w:szCs w:val="32"/>
        </w:rPr>
        <w:t>3.明确原材料及生产工艺中涉及的各种加工助剂的质量控制标准。</w:t>
      </w:r>
    </w:p>
    <w:p w14:paraId="616B8BA7">
      <w:pPr>
        <w:pStyle w:val="14"/>
        <w:spacing w:line="520" w:lineRule="exact"/>
        <w:ind w:firstLine="640"/>
        <w:jc w:val="left"/>
        <w:outlineLvl w:val="0"/>
        <w:rPr>
          <w:rFonts w:eastAsia="黑体"/>
        </w:rPr>
      </w:pPr>
      <w:bookmarkStart w:id="1" w:name="_Toc265839389"/>
      <w:r>
        <w:rPr>
          <w:rFonts w:hint="eastAsia" w:eastAsia="黑体"/>
        </w:rPr>
        <w:t>三、</w:t>
      </w:r>
      <w:r>
        <w:rPr>
          <w:rFonts w:eastAsia="黑体"/>
        </w:rPr>
        <w:t>参考文献</w:t>
      </w:r>
      <w:bookmarkEnd w:id="1"/>
    </w:p>
    <w:p w14:paraId="743E2FB8">
      <w:pPr>
        <w:spacing w:line="520" w:lineRule="exact"/>
        <w:ind w:right="-102" w:rightChars="-32" w:firstLine="640" w:firstLineChars="200"/>
        <w:rPr>
          <w:rFonts w:eastAsia="仿宋_GB2312"/>
          <w:color w:val="000000"/>
          <w:szCs w:val="32"/>
        </w:rPr>
      </w:pPr>
      <w:r>
        <w:rPr>
          <w:rFonts w:eastAsia="仿宋_GB2312"/>
          <w:color w:val="000000"/>
          <w:szCs w:val="32"/>
        </w:rPr>
        <w:t>[1]</w:t>
      </w:r>
      <w:r>
        <w:rPr>
          <w:rFonts w:eastAsia="仿宋_GB2312"/>
          <w:szCs w:val="32"/>
          <w:lang w:val="en"/>
        </w:rPr>
        <w:t>中华人民共和国国务院</w:t>
      </w:r>
      <w:r>
        <w:rPr>
          <w:rFonts w:hint="eastAsia" w:eastAsia="仿宋_GB2312"/>
          <w:szCs w:val="32"/>
          <w:lang w:val="en"/>
        </w:rPr>
        <w:t>.</w:t>
      </w:r>
      <w:r>
        <w:rPr>
          <w:rFonts w:eastAsia="仿宋_GB2312"/>
          <w:szCs w:val="32"/>
        </w:rPr>
        <w:t>医疗器械监督管理条例</w:t>
      </w:r>
      <w:r>
        <w:rPr>
          <w:rFonts w:hint="eastAsia" w:eastAsia="仿宋_GB2312"/>
          <w:szCs w:val="32"/>
        </w:rPr>
        <w:t>:</w:t>
      </w:r>
      <w:r>
        <w:rPr>
          <w:rFonts w:eastAsia="仿宋_GB2312"/>
          <w:szCs w:val="32"/>
          <w:lang w:val="en"/>
        </w:rPr>
        <w:t>中华人民共和国国务院令第739号</w:t>
      </w:r>
      <w:r>
        <w:rPr>
          <w:rFonts w:eastAsia="仿宋_GB2312"/>
          <w:szCs w:val="32"/>
        </w:rPr>
        <w:t>[Z].</w:t>
      </w:r>
    </w:p>
    <w:p w14:paraId="27702B2E">
      <w:pPr>
        <w:spacing w:line="520" w:lineRule="exact"/>
        <w:ind w:firstLine="640" w:firstLineChars="200"/>
        <w:rPr>
          <w:rFonts w:eastAsia="仿宋_GB2312"/>
          <w:szCs w:val="32"/>
        </w:rPr>
      </w:pPr>
      <w:r>
        <w:rPr>
          <w:rFonts w:eastAsia="仿宋_GB2312"/>
          <w:color w:val="000000"/>
          <w:szCs w:val="32"/>
        </w:rPr>
        <w:t>[2]</w:t>
      </w:r>
      <w:r>
        <w:rPr>
          <w:rFonts w:eastAsia="仿宋_GB2312"/>
          <w:szCs w:val="32"/>
        </w:rPr>
        <w:t>国家市场监督管理总局</w:t>
      </w:r>
      <w:r>
        <w:rPr>
          <w:rFonts w:hint="eastAsia" w:eastAsia="仿宋_GB2312"/>
          <w:szCs w:val="32"/>
        </w:rPr>
        <w:t>.</w:t>
      </w:r>
      <w:r>
        <w:rPr>
          <w:rFonts w:eastAsia="仿宋_GB2312"/>
          <w:szCs w:val="32"/>
        </w:rPr>
        <w:t>医疗器械注册与备案管理办法:国家市场监督管理总局令第47号[Z].</w:t>
      </w:r>
    </w:p>
    <w:p w14:paraId="507A7F1B">
      <w:pPr>
        <w:spacing w:line="520" w:lineRule="exact"/>
        <w:ind w:firstLine="640" w:firstLineChars="200"/>
        <w:rPr>
          <w:rFonts w:eastAsia="仿宋_GB2312"/>
          <w:color w:val="000000"/>
          <w:szCs w:val="32"/>
        </w:rPr>
      </w:pPr>
      <w:r>
        <w:rPr>
          <w:rFonts w:eastAsia="仿宋_GB2312"/>
          <w:color w:val="000000"/>
          <w:szCs w:val="32"/>
        </w:rPr>
        <w:t>[3]国家食品药品监督管理局</w:t>
      </w:r>
      <w:r>
        <w:rPr>
          <w:rFonts w:hint="eastAsia" w:eastAsia="仿宋_GB2312"/>
          <w:color w:val="000000"/>
          <w:szCs w:val="32"/>
        </w:rPr>
        <w:t>.</w:t>
      </w:r>
      <w:r>
        <w:rPr>
          <w:rFonts w:eastAsia="仿宋_GB2312"/>
          <w:color w:val="000000"/>
          <w:szCs w:val="32"/>
        </w:rPr>
        <w:t>医疗器械生产质量管理规范</w:t>
      </w:r>
      <w:r>
        <w:rPr>
          <w:rFonts w:hint="eastAsia" w:eastAsia="仿宋_GB2312"/>
          <w:color w:val="000000"/>
          <w:szCs w:val="32"/>
        </w:rPr>
        <w:t>:</w:t>
      </w:r>
      <w:r>
        <w:rPr>
          <w:rFonts w:eastAsia="仿宋_GB2312"/>
          <w:color w:val="000000"/>
          <w:szCs w:val="32"/>
        </w:rPr>
        <w:t>国家食品药品监督管理总局2014年第64号[Z].</w:t>
      </w:r>
    </w:p>
    <w:p w14:paraId="611A8952">
      <w:pPr>
        <w:spacing w:line="520" w:lineRule="exact"/>
        <w:ind w:firstLine="640" w:firstLineChars="200"/>
        <w:rPr>
          <w:rFonts w:eastAsia="仿宋_GB2312"/>
          <w:color w:val="000000"/>
          <w:szCs w:val="32"/>
        </w:rPr>
      </w:pPr>
      <w:r>
        <w:rPr>
          <w:rFonts w:eastAsia="仿宋_GB2312"/>
          <w:color w:val="000000"/>
          <w:szCs w:val="32"/>
        </w:rPr>
        <w:t>[4]国家药品监督管理局中华人民共和国国家卫生</w:t>
      </w:r>
      <w:r>
        <w:rPr>
          <w:rFonts w:hint="eastAsia" w:eastAsia="仿宋_GB2312"/>
          <w:color w:val="000000"/>
          <w:szCs w:val="32"/>
        </w:rPr>
        <w:t>健康委员会.</w:t>
      </w:r>
      <w:r>
        <w:rPr>
          <w:rFonts w:eastAsia="仿宋_GB2312"/>
          <w:color w:val="000000"/>
          <w:szCs w:val="32"/>
        </w:rPr>
        <w:t>医疗器械临床试验质量管理规范</w:t>
      </w:r>
      <w:r>
        <w:rPr>
          <w:rFonts w:hint="eastAsia" w:eastAsia="仿宋_GB2312"/>
          <w:color w:val="000000"/>
          <w:szCs w:val="32"/>
        </w:rPr>
        <w:t>:国家药监局 国家卫生健康委公告2022年第28号</w:t>
      </w:r>
      <w:r>
        <w:rPr>
          <w:rFonts w:eastAsia="仿宋_GB2312"/>
          <w:color w:val="000000"/>
          <w:szCs w:val="32"/>
        </w:rPr>
        <w:t>[Z].</w:t>
      </w:r>
    </w:p>
    <w:p w14:paraId="7A558D46">
      <w:pPr>
        <w:spacing w:line="520" w:lineRule="exact"/>
        <w:ind w:firstLine="640" w:firstLineChars="200"/>
        <w:rPr>
          <w:rFonts w:eastAsia="仿宋_GB2312"/>
          <w:color w:val="000000"/>
          <w:szCs w:val="32"/>
        </w:rPr>
      </w:pPr>
      <w:r>
        <w:rPr>
          <w:rFonts w:eastAsia="仿宋_GB2312"/>
          <w:color w:val="000000"/>
          <w:szCs w:val="32"/>
        </w:rPr>
        <w:t>[5]国家药品监督管理局中华人民共和国国家卫生</w:t>
      </w:r>
      <w:r>
        <w:rPr>
          <w:rFonts w:hint="eastAsia" w:eastAsia="仿宋_GB2312"/>
          <w:color w:val="000000"/>
          <w:szCs w:val="32"/>
        </w:rPr>
        <w:t>健康委员会.</w:t>
      </w:r>
      <w:r>
        <w:rPr>
          <w:rFonts w:eastAsia="仿宋_GB2312"/>
          <w:color w:val="000000"/>
          <w:szCs w:val="32"/>
        </w:rPr>
        <w:t>定制式医疗器械监督管理规定（试行）</w:t>
      </w:r>
      <w:r>
        <w:rPr>
          <w:rFonts w:hint="eastAsia" w:eastAsia="仿宋_GB2312"/>
          <w:color w:val="000000"/>
          <w:szCs w:val="32"/>
        </w:rPr>
        <w:t>:</w:t>
      </w:r>
      <w:r>
        <w:rPr>
          <w:rFonts w:eastAsia="仿宋_GB2312"/>
          <w:color w:val="000000"/>
          <w:szCs w:val="32"/>
        </w:rPr>
        <w:t>国家药品监督管理局国家卫生健康委2019年第53号[Z].</w:t>
      </w:r>
    </w:p>
    <w:p w14:paraId="6A671366">
      <w:pPr>
        <w:spacing w:line="520" w:lineRule="exact"/>
        <w:ind w:right="-102" w:rightChars="-32" w:firstLine="640" w:firstLineChars="200"/>
        <w:rPr>
          <w:rFonts w:eastAsia="仿宋_GB2312"/>
          <w:color w:val="000000"/>
          <w:szCs w:val="32"/>
        </w:rPr>
      </w:pPr>
      <w:r>
        <w:rPr>
          <w:rFonts w:eastAsia="仿宋_GB2312"/>
          <w:color w:val="000000"/>
          <w:szCs w:val="32"/>
        </w:rPr>
        <w:t>[6]</w:t>
      </w:r>
      <w:r>
        <w:rPr>
          <w:rFonts w:hint="eastAsia" w:eastAsia="仿宋_GB2312"/>
          <w:szCs w:val="32"/>
        </w:rPr>
        <w:t>国家药品监督管理局.</w:t>
      </w:r>
      <w:r>
        <w:rPr>
          <w:rFonts w:eastAsia="仿宋_GB2312"/>
          <w:szCs w:val="32"/>
        </w:rPr>
        <w:t>医疗器械注册申报资料要求和批准证明文件格式</w:t>
      </w:r>
      <w:r>
        <w:rPr>
          <w:rFonts w:hint="eastAsia" w:eastAsia="仿宋_GB2312"/>
          <w:szCs w:val="32"/>
        </w:rPr>
        <w:t>:国家药监局公告2021年第121号</w:t>
      </w:r>
      <w:r>
        <w:rPr>
          <w:rFonts w:eastAsia="仿宋_GB2312"/>
          <w:szCs w:val="32"/>
        </w:rPr>
        <w:t>[Z].</w:t>
      </w:r>
    </w:p>
    <w:p w14:paraId="5847140E">
      <w:pPr>
        <w:spacing w:line="520" w:lineRule="exact"/>
        <w:ind w:firstLine="640" w:firstLineChars="200"/>
        <w:rPr>
          <w:rFonts w:eastAsia="仿宋_GB2312"/>
          <w:color w:val="000000"/>
          <w:szCs w:val="32"/>
        </w:rPr>
      </w:pPr>
      <w:r>
        <w:rPr>
          <w:rFonts w:eastAsia="仿宋_GB2312"/>
          <w:color w:val="000000"/>
          <w:szCs w:val="32"/>
        </w:rPr>
        <w:t>[7]</w:t>
      </w:r>
      <w:r>
        <w:rPr>
          <w:rFonts w:hint="eastAsia" w:eastAsia="仿宋_GB2312"/>
          <w:color w:val="000000"/>
          <w:szCs w:val="32"/>
        </w:rPr>
        <w:t>国家食品药品监督管理局.</w:t>
      </w:r>
      <w:r>
        <w:rPr>
          <w:rFonts w:hint="eastAsia" w:eastAsia="仿宋_GB2312"/>
          <w:szCs w:val="32"/>
        </w:rPr>
        <w:t>医疗器械说明书和标签管理规定:国家食品药品监督管理总局令第6号[Z].</w:t>
      </w:r>
    </w:p>
    <w:p w14:paraId="40716794">
      <w:pPr>
        <w:spacing w:line="520" w:lineRule="exact"/>
        <w:ind w:firstLine="640" w:firstLineChars="200"/>
        <w:rPr>
          <w:rFonts w:eastAsia="仿宋_GB2312"/>
          <w:szCs w:val="32"/>
        </w:rPr>
      </w:pPr>
      <w:r>
        <w:rPr>
          <w:rFonts w:eastAsia="仿宋_GB2312"/>
          <w:color w:val="000000"/>
          <w:szCs w:val="32"/>
        </w:rPr>
        <w:t>[</w:t>
      </w:r>
      <w:r>
        <w:rPr>
          <w:rFonts w:hint="eastAsia" w:eastAsia="仿宋_GB2312"/>
          <w:color w:val="000000"/>
          <w:szCs w:val="32"/>
        </w:rPr>
        <w:t>8</w:t>
      </w:r>
      <w:r>
        <w:rPr>
          <w:rFonts w:eastAsia="仿宋_GB2312"/>
          <w:color w:val="000000"/>
          <w:szCs w:val="32"/>
        </w:rPr>
        <w:t>]</w:t>
      </w:r>
      <w:r>
        <w:rPr>
          <w:rFonts w:hint="eastAsia" w:eastAsia="仿宋_GB2312"/>
          <w:szCs w:val="32"/>
        </w:rPr>
        <w:t>国家食品药品监督管理局.</w:t>
      </w:r>
      <w:r>
        <w:rPr>
          <w:rFonts w:eastAsia="仿宋_GB2312"/>
          <w:szCs w:val="32"/>
        </w:rPr>
        <w:t>医疗器械分类规则</w:t>
      </w:r>
      <w:r>
        <w:rPr>
          <w:rFonts w:hint="eastAsia" w:eastAsia="仿宋_GB2312"/>
          <w:szCs w:val="32"/>
        </w:rPr>
        <w:t>:</w:t>
      </w:r>
      <w:r>
        <w:rPr>
          <w:rFonts w:eastAsia="仿宋_GB2312"/>
          <w:szCs w:val="32"/>
          <w:lang w:val="en"/>
        </w:rPr>
        <w:t>国家食品药品监督管理总局令第15号</w:t>
      </w:r>
      <w:r>
        <w:rPr>
          <w:rFonts w:eastAsia="仿宋_GB2312"/>
          <w:szCs w:val="32"/>
        </w:rPr>
        <w:t>[Z].</w:t>
      </w:r>
    </w:p>
    <w:p w14:paraId="41EA32A9">
      <w:pPr>
        <w:spacing w:line="520" w:lineRule="exact"/>
        <w:ind w:right="-102" w:rightChars="-32"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9</w:t>
      </w:r>
      <w:r>
        <w:rPr>
          <w:rFonts w:eastAsia="仿宋_GB2312"/>
          <w:color w:val="000000"/>
          <w:szCs w:val="32"/>
        </w:rPr>
        <w:t>]</w:t>
      </w:r>
      <w:r>
        <w:rPr>
          <w:rFonts w:eastAsia="仿宋_GB2312"/>
          <w:szCs w:val="28"/>
        </w:rPr>
        <w:t>国家食品药品监督管理局</w:t>
      </w:r>
      <w:r>
        <w:rPr>
          <w:rFonts w:hint="eastAsia" w:eastAsia="仿宋_GB2312"/>
          <w:szCs w:val="32"/>
        </w:rPr>
        <w:t>.</w:t>
      </w:r>
      <w:r>
        <w:rPr>
          <w:rFonts w:eastAsia="仿宋_GB2312"/>
          <w:szCs w:val="32"/>
        </w:rPr>
        <w:t>医疗器械通用名称命名规则</w:t>
      </w:r>
      <w:r>
        <w:rPr>
          <w:rFonts w:hint="eastAsia" w:eastAsia="仿宋_GB2312"/>
          <w:szCs w:val="32"/>
        </w:rPr>
        <w:t>：</w:t>
      </w:r>
      <w:r>
        <w:rPr>
          <w:rFonts w:eastAsia="仿宋_GB2312"/>
          <w:szCs w:val="28"/>
        </w:rPr>
        <w:t>国家食品药品监督管理总局令第19号</w:t>
      </w:r>
      <w:r>
        <w:rPr>
          <w:rFonts w:eastAsia="仿宋_GB2312"/>
          <w:szCs w:val="32"/>
        </w:rPr>
        <w:t>[Z].</w:t>
      </w:r>
    </w:p>
    <w:p w14:paraId="7016F4EA">
      <w:pPr>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0</w:t>
      </w:r>
      <w:r>
        <w:rPr>
          <w:rFonts w:eastAsia="仿宋_GB2312"/>
          <w:color w:val="000000"/>
          <w:szCs w:val="32"/>
        </w:rPr>
        <w:t>]</w:t>
      </w:r>
      <w:r>
        <w:rPr>
          <w:rFonts w:eastAsia="仿宋_GB2312"/>
          <w:szCs w:val="32"/>
          <w:lang w:val="en"/>
        </w:rPr>
        <w:t>国家食品药品监督管理局</w:t>
      </w:r>
      <w:r>
        <w:rPr>
          <w:rFonts w:eastAsia="仿宋_GB2312"/>
          <w:szCs w:val="32"/>
        </w:rPr>
        <w:t>.医疗器械分类目录</w:t>
      </w:r>
      <w:r>
        <w:rPr>
          <w:rFonts w:hint="eastAsia" w:eastAsia="仿宋_GB2312"/>
          <w:szCs w:val="32"/>
        </w:rPr>
        <w:t>:</w:t>
      </w:r>
      <w:r>
        <w:rPr>
          <w:rFonts w:eastAsia="仿宋_GB2312"/>
          <w:szCs w:val="32"/>
          <w:lang w:val="en"/>
        </w:rPr>
        <w:t>国家食品药品监督管理总局</w:t>
      </w:r>
      <w:r>
        <w:rPr>
          <w:rFonts w:hint="eastAsia" w:eastAsia="仿宋_GB2312"/>
          <w:szCs w:val="32"/>
          <w:lang w:val="en"/>
        </w:rPr>
        <w:t>公告</w:t>
      </w:r>
      <w:r>
        <w:rPr>
          <w:rFonts w:eastAsia="仿宋_GB2312"/>
          <w:szCs w:val="32"/>
          <w:lang w:val="en"/>
        </w:rPr>
        <w:t>2017年第104号</w:t>
      </w:r>
      <w:r>
        <w:rPr>
          <w:rFonts w:eastAsia="仿宋_GB2312"/>
          <w:szCs w:val="32"/>
        </w:rPr>
        <w:t>[Z].</w:t>
      </w:r>
    </w:p>
    <w:p w14:paraId="3AD436BE">
      <w:pPr>
        <w:spacing w:line="520" w:lineRule="exact"/>
        <w:ind w:right="-102" w:rightChars="-32"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1</w:t>
      </w:r>
      <w:r>
        <w:rPr>
          <w:rFonts w:eastAsia="仿宋_GB2312"/>
          <w:color w:val="000000"/>
          <w:szCs w:val="32"/>
        </w:rPr>
        <w:t>]</w:t>
      </w:r>
      <w:r>
        <w:rPr>
          <w:rFonts w:eastAsia="仿宋_GB2312"/>
          <w:szCs w:val="32"/>
          <w:lang w:val="en"/>
        </w:rPr>
        <w:t>国家食品药品监督管理局</w:t>
      </w:r>
      <w:r>
        <w:rPr>
          <w:rFonts w:eastAsia="仿宋_GB2312"/>
          <w:szCs w:val="32"/>
        </w:rPr>
        <w:t>.医疗器械注册单元划分指导原则</w:t>
      </w:r>
      <w:r>
        <w:rPr>
          <w:rFonts w:hint="eastAsia" w:eastAsia="仿宋_GB2312"/>
          <w:szCs w:val="32"/>
        </w:rPr>
        <w:t>:总局通</w:t>
      </w:r>
      <w:r>
        <w:rPr>
          <w:rFonts w:eastAsia="仿宋_GB2312"/>
          <w:szCs w:val="32"/>
          <w:lang w:val="en"/>
        </w:rPr>
        <w:t>告2017年第187号</w:t>
      </w:r>
      <w:r>
        <w:rPr>
          <w:rFonts w:eastAsia="仿宋_GB2312"/>
          <w:szCs w:val="32"/>
        </w:rPr>
        <w:t>[Z].</w:t>
      </w:r>
    </w:p>
    <w:p w14:paraId="0E6DDEA0">
      <w:pPr>
        <w:widowControl/>
        <w:adjustRightInd w:val="0"/>
        <w:snapToGrid w:val="0"/>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2</w:t>
      </w:r>
      <w:r>
        <w:rPr>
          <w:rFonts w:eastAsia="仿宋_GB2312"/>
          <w:color w:val="000000"/>
          <w:szCs w:val="32"/>
        </w:rPr>
        <w:t>]</w:t>
      </w:r>
      <w:r>
        <w:t xml:space="preserve"> </w:t>
      </w:r>
      <w:r>
        <w:rPr>
          <w:rFonts w:eastAsia="仿宋"/>
          <w:szCs w:val="32"/>
        </w:rPr>
        <w:t>GB/T 16886.1</w:t>
      </w:r>
      <w:r>
        <w:rPr>
          <w:rFonts w:hint="eastAsia" w:eastAsia="仿宋"/>
          <w:szCs w:val="32"/>
        </w:rPr>
        <w:t>,</w:t>
      </w:r>
      <w:r>
        <w:rPr>
          <w:rFonts w:eastAsia="仿宋"/>
          <w:szCs w:val="32"/>
        </w:rPr>
        <w:t>医疗器械生物学评价 第1部分：风险管理过程中的评价与试验[S].</w:t>
      </w:r>
    </w:p>
    <w:p w14:paraId="0A31F189">
      <w:pPr>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3</w:t>
      </w:r>
      <w:r>
        <w:rPr>
          <w:rFonts w:eastAsia="仿宋_GB2312"/>
          <w:color w:val="000000"/>
          <w:szCs w:val="32"/>
        </w:rPr>
        <w:t>]国家食品药品监督管理总局</w:t>
      </w:r>
      <w:r>
        <w:rPr>
          <w:rFonts w:hint="eastAsia" w:eastAsia="仿宋_GB2312"/>
          <w:color w:val="000000"/>
          <w:szCs w:val="32"/>
        </w:rPr>
        <w:t>:</w:t>
      </w:r>
      <w:r>
        <w:rPr>
          <w:rFonts w:eastAsia="仿宋_GB2312"/>
          <w:color w:val="000000"/>
          <w:szCs w:val="32"/>
        </w:rPr>
        <w:t>无源植入性医疗器械货架有效期注册申报资料指导原则（2017年修订版）</w:t>
      </w:r>
      <w:r>
        <w:rPr>
          <w:rFonts w:hint="eastAsia" w:eastAsia="仿宋_GB2312"/>
          <w:color w:val="000000"/>
          <w:szCs w:val="32"/>
        </w:rPr>
        <w:t>:</w:t>
      </w:r>
      <w:r>
        <w:rPr>
          <w:rFonts w:eastAsia="仿宋_GB2312"/>
          <w:color w:val="000000"/>
          <w:szCs w:val="32"/>
        </w:rPr>
        <w:t>国家食品药品监督管理总局通告2017年第75号[Z].</w:t>
      </w:r>
    </w:p>
    <w:p w14:paraId="05D53028">
      <w:pPr>
        <w:pStyle w:val="17"/>
        <w:overflowPunct w:val="0"/>
        <w:autoSpaceDE w:val="0"/>
        <w:autoSpaceDN w:val="0"/>
        <w:spacing w:line="520" w:lineRule="exact"/>
        <w:ind w:firstLine="640"/>
        <w:outlineLvl w:val="2"/>
        <w:rPr>
          <w:rFonts w:eastAsia="仿宋_GB2312"/>
          <w:szCs w:val="32"/>
        </w:rPr>
      </w:pPr>
      <w:r>
        <w:rPr>
          <w:rFonts w:eastAsia="仿宋_GB2312"/>
          <w:color w:val="000000"/>
          <w:szCs w:val="32"/>
        </w:rPr>
        <w:t>[</w:t>
      </w:r>
      <w:r>
        <w:rPr>
          <w:rFonts w:hint="eastAsia" w:eastAsia="仿宋_GB2312"/>
          <w:color w:val="000000"/>
          <w:szCs w:val="32"/>
        </w:rPr>
        <w:t>14</w:t>
      </w:r>
      <w:r>
        <w:rPr>
          <w:rFonts w:eastAsia="仿宋_GB2312"/>
          <w:color w:val="000000"/>
          <w:szCs w:val="32"/>
        </w:rPr>
        <w:t>]</w:t>
      </w:r>
      <w:r>
        <w:rPr>
          <w:rFonts w:hint="eastAsia" w:eastAsia="仿宋_GB2312"/>
          <w:szCs w:val="32"/>
        </w:rPr>
        <w:t>国家药品监督管理局.</w:t>
      </w:r>
      <w:r>
        <w:rPr>
          <w:rFonts w:eastAsia="仿宋_GB2312"/>
          <w:szCs w:val="32"/>
        </w:rPr>
        <w:t>医疗器械临床评价技术指导原则</w:t>
      </w:r>
      <w:r>
        <w:rPr>
          <w:rFonts w:hint="eastAsia" w:eastAsia="仿宋_GB2312"/>
          <w:szCs w:val="32"/>
        </w:rPr>
        <w:t>:国家药监局通告2021年第73号</w:t>
      </w:r>
      <w:r>
        <w:rPr>
          <w:rFonts w:eastAsia="仿宋_GB2312"/>
          <w:szCs w:val="32"/>
        </w:rPr>
        <w:t>[Z].</w:t>
      </w:r>
    </w:p>
    <w:p w14:paraId="61A6FB8D">
      <w:pPr>
        <w:spacing w:line="520" w:lineRule="exact"/>
        <w:ind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15</w:t>
      </w:r>
      <w:r>
        <w:rPr>
          <w:rFonts w:eastAsia="仿宋_GB2312"/>
          <w:color w:val="000000"/>
          <w:szCs w:val="32"/>
        </w:rPr>
        <w:t>]</w:t>
      </w:r>
      <w:r>
        <w:rPr>
          <w:rFonts w:hint="eastAsia" w:eastAsia="仿宋_GB2312"/>
          <w:szCs w:val="32"/>
        </w:rPr>
        <w:t>国家药品监督管理局.</w:t>
      </w:r>
      <w:r>
        <w:rPr>
          <w:rFonts w:eastAsia="仿宋_GB2312"/>
          <w:color w:val="000000"/>
          <w:szCs w:val="32"/>
        </w:rPr>
        <w:t>决策是否开展医疗器械临床试验技术指导原则</w:t>
      </w:r>
      <w:r>
        <w:rPr>
          <w:rFonts w:hint="eastAsia" w:eastAsia="仿宋_GB2312"/>
          <w:color w:val="000000"/>
          <w:szCs w:val="32"/>
        </w:rPr>
        <w:t>:</w:t>
      </w:r>
      <w:r>
        <w:rPr>
          <w:rFonts w:hint="eastAsia" w:eastAsia="仿宋_GB2312"/>
          <w:szCs w:val="32"/>
        </w:rPr>
        <w:t>国家药监局通告2021年第73号</w:t>
      </w:r>
      <w:r>
        <w:rPr>
          <w:rFonts w:eastAsia="仿宋_GB2312"/>
          <w:color w:val="000000"/>
          <w:szCs w:val="32"/>
        </w:rPr>
        <w:t>[Z].</w:t>
      </w:r>
    </w:p>
    <w:p w14:paraId="660379DE">
      <w:pPr>
        <w:spacing w:line="520" w:lineRule="exact"/>
        <w:ind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16</w:t>
      </w:r>
      <w:r>
        <w:rPr>
          <w:rFonts w:eastAsia="仿宋_GB2312"/>
          <w:color w:val="000000"/>
          <w:szCs w:val="32"/>
        </w:rPr>
        <w:t>]</w:t>
      </w:r>
      <w:r>
        <w:rPr>
          <w:rFonts w:hint="eastAsia" w:eastAsia="仿宋_GB2312"/>
          <w:szCs w:val="32"/>
        </w:rPr>
        <w:t>国家药品监督管理局.</w:t>
      </w:r>
      <w:r>
        <w:rPr>
          <w:rFonts w:eastAsia="仿宋_GB2312"/>
          <w:color w:val="000000"/>
          <w:szCs w:val="32"/>
        </w:rPr>
        <w:t>医疗器械临床评价等同性论证技术指导原则</w:t>
      </w:r>
      <w:r>
        <w:rPr>
          <w:rFonts w:hint="eastAsia" w:eastAsia="仿宋_GB2312"/>
          <w:color w:val="000000"/>
          <w:szCs w:val="32"/>
        </w:rPr>
        <w:t>:</w:t>
      </w:r>
      <w:r>
        <w:rPr>
          <w:rFonts w:hint="eastAsia" w:eastAsia="仿宋_GB2312"/>
          <w:szCs w:val="32"/>
        </w:rPr>
        <w:t>国家药监局通告2021年第73号</w:t>
      </w:r>
      <w:r>
        <w:rPr>
          <w:rFonts w:eastAsia="仿宋_GB2312"/>
          <w:color w:val="000000"/>
          <w:szCs w:val="32"/>
        </w:rPr>
        <w:t>[Z].</w:t>
      </w:r>
    </w:p>
    <w:p w14:paraId="2D975B99">
      <w:pPr>
        <w:spacing w:line="520" w:lineRule="exact"/>
        <w:ind w:firstLine="640" w:firstLineChars="200"/>
        <w:rPr>
          <w:rFonts w:eastAsia="仿宋_GB2312"/>
          <w:color w:val="000000"/>
          <w:szCs w:val="32"/>
        </w:rPr>
      </w:pPr>
      <w:r>
        <w:rPr>
          <w:rFonts w:eastAsia="仿宋_GB2312"/>
          <w:color w:val="000000"/>
          <w:szCs w:val="32"/>
        </w:rPr>
        <w:t>[</w:t>
      </w:r>
      <w:r>
        <w:rPr>
          <w:rFonts w:hint="eastAsia" w:eastAsia="仿宋_GB2312"/>
          <w:color w:val="000000"/>
          <w:szCs w:val="32"/>
        </w:rPr>
        <w:t>17</w:t>
      </w:r>
      <w:r>
        <w:rPr>
          <w:rFonts w:eastAsia="仿宋_GB2312"/>
          <w:color w:val="000000"/>
          <w:szCs w:val="32"/>
        </w:rPr>
        <w:t>]</w:t>
      </w:r>
      <w:r>
        <w:rPr>
          <w:rFonts w:hint="eastAsia" w:eastAsia="仿宋_GB2312"/>
          <w:szCs w:val="32"/>
        </w:rPr>
        <w:t>国家药品监督管理局.</w:t>
      </w:r>
      <w:r>
        <w:rPr>
          <w:rFonts w:eastAsia="仿宋_GB2312"/>
          <w:color w:val="000000"/>
          <w:szCs w:val="32"/>
        </w:rPr>
        <w:t>医疗器械注册申报临床评价报告技术指导原则</w:t>
      </w:r>
      <w:r>
        <w:rPr>
          <w:rFonts w:hint="eastAsia" w:eastAsia="仿宋_GB2312"/>
          <w:color w:val="000000"/>
          <w:szCs w:val="32"/>
        </w:rPr>
        <w:t>:</w:t>
      </w:r>
      <w:r>
        <w:rPr>
          <w:rFonts w:hint="eastAsia" w:eastAsia="仿宋_GB2312"/>
          <w:szCs w:val="32"/>
        </w:rPr>
        <w:t>国家药监局通告2021年第73号</w:t>
      </w:r>
      <w:r>
        <w:rPr>
          <w:rFonts w:eastAsia="仿宋_GB2312"/>
          <w:color w:val="000000"/>
          <w:szCs w:val="32"/>
        </w:rPr>
        <w:t>[Z].</w:t>
      </w:r>
    </w:p>
    <w:p w14:paraId="078D0DB4">
      <w:pPr>
        <w:spacing w:line="520" w:lineRule="exact"/>
        <w:ind w:firstLine="640" w:firstLineChars="200"/>
        <w:rPr>
          <w:rFonts w:eastAsia="仿宋_GB2312"/>
          <w:szCs w:val="32"/>
        </w:rPr>
      </w:pPr>
      <w:r>
        <w:rPr>
          <w:rFonts w:eastAsia="仿宋_GB2312"/>
          <w:color w:val="000000"/>
          <w:szCs w:val="32"/>
        </w:rPr>
        <w:t>[</w:t>
      </w:r>
      <w:r>
        <w:rPr>
          <w:rFonts w:hint="eastAsia" w:eastAsia="仿宋_GB2312"/>
          <w:color w:val="000000"/>
          <w:szCs w:val="32"/>
        </w:rPr>
        <w:t>18</w:t>
      </w:r>
      <w:r>
        <w:rPr>
          <w:rFonts w:eastAsia="仿宋_GB2312"/>
          <w:color w:val="000000"/>
          <w:szCs w:val="32"/>
        </w:rPr>
        <w:t>]GB/T 42062</w:t>
      </w:r>
      <w:r>
        <w:rPr>
          <w:rFonts w:hint="eastAsia" w:eastAsia="仿宋_GB2312"/>
          <w:color w:val="000000"/>
          <w:szCs w:val="32"/>
        </w:rPr>
        <w:t>,</w:t>
      </w:r>
      <w:r>
        <w:rPr>
          <w:rFonts w:eastAsia="仿宋_GB2312"/>
          <w:color w:val="000000"/>
          <w:szCs w:val="32"/>
        </w:rPr>
        <w:t>医疗器械风险管理对医疗器械的应用</w:t>
      </w:r>
      <w:r>
        <w:rPr>
          <w:rFonts w:hint="eastAsia" w:eastAsia="仿宋_GB2312"/>
          <w:szCs w:val="32"/>
        </w:rPr>
        <w:t>[S].</w:t>
      </w:r>
    </w:p>
    <w:p w14:paraId="0DF841D0">
      <w:pPr>
        <w:spacing w:line="520" w:lineRule="exact"/>
        <w:ind w:firstLine="200"/>
        <w:rPr>
          <w:rFonts w:eastAsia="仿宋_GB2312"/>
          <w:color w:val="000000"/>
          <w:szCs w:val="32"/>
        </w:rPr>
      </w:pPr>
    </w:p>
    <w:p w14:paraId="336142AD">
      <w:pPr>
        <w:spacing w:line="520" w:lineRule="exact"/>
        <w:ind w:firstLine="640" w:firstLineChars="200"/>
        <w:rPr>
          <w:rFonts w:eastAsia="仿宋_GB2312"/>
          <w:color w:val="000000"/>
          <w:szCs w:val="32"/>
        </w:rPr>
      </w:pPr>
    </w:p>
    <w:p w14:paraId="4102D37F">
      <w:pPr>
        <w:spacing w:line="520" w:lineRule="exact"/>
        <w:ind w:firstLine="640" w:firstLineChars="200"/>
        <w:rPr>
          <w:rFonts w:eastAsia="仿宋_GB2312"/>
          <w:color w:val="000000"/>
          <w:szCs w:val="32"/>
        </w:rPr>
      </w:pPr>
    </w:p>
    <w:p w14:paraId="2F3FC0E7">
      <w:pPr>
        <w:spacing w:line="520" w:lineRule="exact"/>
        <w:ind w:firstLine="640" w:firstLineChars="200"/>
        <w:rPr>
          <w:rFonts w:eastAsia="仿宋_GB2312"/>
          <w:color w:val="000000"/>
          <w:szCs w:val="32"/>
        </w:rPr>
      </w:pPr>
    </w:p>
    <w:p w14:paraId="6D97544B">
      <w:pPr>
        <w:spacing w:line="520" w:lineRule="exact"/>
        <w:ind w:firstLine="640" w:firstLineChars="200"/>
        <w:rPr>
          <w:rFonts w:eastAsia="仿宋_GB2312"/>
          <w:color w:val="000000"/>
          <w:szCs w:val="32"/>
        </w:rPr>
      </w:pPr>
    </w:p>
    <w:p w14:paraId="1870F730">
      <w:pPr>
        <w:spacing w:line="520" w:lineRule="exact"/>
        <w:ind w:firstLine="640" w:firstLineChars="200"/>
        <w:rPr>
          <w:rFonts w:eastAsia="仿宋_GB2312"/>
          <w:color w:val="000000"/>
          <w:szCs w:val="32"/>
        </w:rPr>
      </w:pPr>
    </w:p>
    <w:p w14:paraId="7B81B269">
      <w:pPr>
        <w:spacing w:line="520" w:lineRule="exact"/>
        <w:ind w:firstLine="640" w:firstLineChars="200"/>
        <w:rPr>
          <w:rFonts w:eastAsia="仿宋_GB2312"/>
          <w:color w:val="000000"/>
          <w:szCs w:val="32"/>
        </w:rPr>
      </w:pPr>
    </w:p>
    <w:p w14:paraId="6234A400">
      <w:pPr>
        <w:spacing w:line="520" w:lineRule="exact"/>
        <w:ind w:firstLine="640" w:firstLineChars="200"/>
        <w:rPr>
          <w:rFonts w:eastAsia="仿宋_GB2312"/>
          <w:color w:val="000000"/>
          <w:szCs w:val="32"/>
        </w:rPr>
      </w:pPr>
    </w:p>
    <w:p w14:paraId="42102FFD">
      <w:pPr>
        <w:spacing w:line="520" w:lineRule="exact"/>
        <w:ind w:firstLine="640" w:firstLineChars="200"/>
        <w:rPr>
          <w:rFonts w:eastAsia="仿宋_GB2312"/>
          <w:color w:val="000000"/>
          <w:szCs w:val="32"/>
        </w:rPr>
      </w:pPr>
    </w:p>
    <w:p w14:paraId="1CDADC4F">
      <w:pPr>
        <w:pStyle w:val="13"/>
        <w:rPr>
          <w:rFonts w:eastAsia="仿宋_GB2312"/>
          <w:color w:val="000000"/>
          <w:szCs w:val="32"/>
        </w:rPr>
      </w:pPr>
    </w:p>
    <w:p w14:paraId="2EB90EBF">
      <w:pPr>
        <w:pStyle w:val="13"/>
        <w:rPr>
          <w:rFonts w:eastAsia="仿宋_GB2312"/>
          <w:color w:val="000000"/>
          <w:szCs w:val="32"/>
        </w:rPr>
      </w:pPr>
    </w:p>
    <w:p w14:paraId="21F90197">
      <w:pPr>
        <w:pStyle w:val="13"/>
        <w:rPr>
          <w:rFonts w:eastAsia="仿宋_GB2312"/>
          <w:color w:val="000000"/>
          <w:szCs w:val="32"/>
        </w:rPr>
      </w:pPr>
    </w:p>
    <w:p w14:paraId="51F58D24">
      <w:pPr>
        <w:pStyle w:val="13"/>
        <w:rPr>
          <w:rFonts w:eastAsia="仿宋_GB2312"/>
          <w:color w:val="000000"/>
          <w:szCs w:val="32"/>
        </w:rPr>
      </w:pPr>
    </w:p>
    <w:p w14:paraId="057AB6C9">
      <w:pPr>
        <w:pStyle w:val="13"/>
        <w:rPr>
          <w:rFonts w:eastAsia="仿宋_GB2312"/>
          <w:color w:val="000000"/>
          <w:szCs w:val="32"/>
        </w:rPr>
      </w:pPr>
    </w:p>
    <w:p w14:paraId="23B38F11">
      <w:pPr>
        <w:pStyle w:val="13"/>
        <w:rPr>
          <w:rFonts w:eastAsia="仿宋_GB2312"/>
          <w:color w:val="000000"/>
          <w:szCs w:val="32"/>
        </w:rPr>
      </w:pPr>
    </w:p>
    <w:p w14:paraId="0CE50E9F">
      <w:pPr>
        <w:pStyle w:val="13"/>
        <w:rPr>
          <w:rFonts w:eastAsia="仿宋_GB2312"/>
          <w:color w:val="000000"/>
          <w:szCs w:val="32"/>
        </w:rPr>
      </w:pPr>
    </w:p>
    <w:p w14:paraId="539D19AB">
      <w:pPr>
        <w:pStyle w:val="13"/>
        <w:rPr>
          <w:rFonts w:eastAsia="仿宋_GB2312"/>
          <w:color w:val="000000"/>
          <w:szCs w:val="32"/>
        </w:rPr>
      </w:pPr>
    </w:p>
    <w:p w14:paraId="70B21FCA">
      <w:pPr>
        <w:pStyle w:val="13"/>
        <w:rPr>
          <w:rFonts w:eastAsia="仿宋_GB2312"/>
          <w:color w:val="000000"/>
          <w:szCs w:val="32"/>
        </w:rPr>
      </w:pPr>
    </w:p>
    <w:p w14:paraId="7BB35F7A">
      <w:pPr>
        <w:pStyle w:val="13"/>
        <w:rPr>
          <w:rFonts w:eastAsia="仿宋_GB2312"/>
          <w:color w:val="000000"/>
          <w:szCs w:val="32"/>
        </w:rPr>
      </w:pPr>
    </w:p>
    <w:p w14:paraId="7C9454DC">
      <w:pPr>
        <w:pStyle w:val="13"/>
        <w:rPr>
          <w:rFonts w:eastAsia="仿宋_GB2312"/>
          <w:color w:val="000000"/>
          <w:szCs w:val="32"/>
        </w:rPr>
      </w:pPr>
    </w:p>
    <w:p w14:paraId="55626AE7">
      <w:pPr>
        <w:pStyle w:val="13"/>
        <w:rPr>
          <w:rFonts w:eastAsia="仿宋_GB2312"/>
          <w:color w:val="000000"/>
          <w:szCs w:val="32"/>
        </w:rPr>
      </w:pPr>
    </w:p>
    <w:p w14:paraId="3A7014C2">
      <w:pPr>
        <w:spacing w:line="600" w:lineRule="exact"/>
        <w:rPr>
          <w:rStyle w:val="21"/>
          <w:rFonts w:eastAsia="黑体"/>
          <w:bCs/>
          <w:sz w:val="32"/>
          <w:szCs w:val="32"/>
        </w:rPr>
      </w:pPr>
    </w:p>
    <w:p w14:paraId="1D58B8BF">
      <w:pPr>
        <w:spacing w:line="600" w:lineRule="exact"/>
        <w:rPr>
          <w:rFonts w:eastAsia="方正小标宋简体"/>
          <w:sz w:val="44"/>
          <w:szCs w:val="44"/>
        </w:rPr>
      </w:pPr>
      <w:r>
        <w:rPr>
          <w:rStyle w:val="21"/>
          <w:rFonts w:hint="eastAsia" w:eastAsia="黑体"/>
          <w:bCs/>
          <w:sz w:val="32"/>
          <w:szCs w:val="32"/>
        </w:rPr>
        <w:t xml:space="preserve">附录 </w:t>
      </w:r>
    </w:p>
    <w:p w14:paraId="66D111AA">
      <w:pPr>
        <w:spacing w:line="600" w:lineRule="exact"/>
        <w:jc w:val="center"/>
        <w:rPr>
          <w:rStyle w:val="21"/>
          <w:rFonts w:eastAsia="黑体"/>
          <w:bCs/>
          <w:sz w:val="28"/>
          <w:szCs w:val="28"/>
        </w:rPr>
      </w:pPr>
      <w:r>
        <w:rPr>
          <w:rFonts w:hint="eastAsia" w:eastAsia="方正小标宋简体"/>
          <w:sz w:val="44"/>
          <w:szCs w:val="44"/>
        </w:rPr>
        <w:t>产品主要危险（举例）</w:t>
      </w:r>
    </w:p>
    <w:tbl>
      <w:tblPr>
        <w:tblStyle w:val="9"/>
        <w:tblW w:w="9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836"/>
        <w:gridCol w:w="3421"/>
        <w:gridCol w:w="2711"/>
      </w:tblGrid>
      <w:tr w14:paraId="7BB2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3" w:type="dxa"/>
            <w:gridSpan w:val="2"/>
            <w:vAlign w:val="center"/>
          </w:tcPr>
          <w:p w14:paraId="26886AB8">
            <w:pPr>
              <w:spacing w:line="400" w:lineRule="exact"/>
              <w:jc w:val="center"/>
              <w:rPr>
                <w:rFonts w:eastAsia="仿宋_GB2312"/>
                <w:sz w:val="28"/>
                <w:szCs w:val="28"/>
              </w:rPr>
            </w:pPr>
            <w:r>
              <w:rPr>
                <w:rFonts w:eastAsia="黑体"/>
                <w:sz w:val="28"/>
                <w:szCs w:val="28"/>
              </w:rPr>
              <w:t>危险的分类</w:t>
            </w:r>
          </w:p>
        </w:tc>
        <w:tc>
          <w:tcPr>
            <w:tcW w:w="3398" w:type="dxa"/>
            <w:vAlign w:val="center"/>
          </w:tcPr>
          <w:p w14:paraId="0FB99945">
            <w:pPr>
              <w:spacing w:line="400" w:lineRule="exact"/>
              <w:jc w:val="center"/>
              <w:rPr>
                <w:rFonts w:eastAsia="仿宋_GB2312"/>
                <w:sz w:val="28"/>
                <w:szCs w:val="28"/>
              </w:rPr>
            </w:pPr>
            <w:r>
              <w:rPr>
                <w:rFonts w:eastAsia="黑体"/>
                <w:sz w:val="28"/>
                <w:szCs w:val="28"/>
              </w:rPr>
              <w:t>危险的形成因素</w:t>
            </w:r>
          </w:p>
        </w:tc>
        <w:tc>
          <w:tcPr>
            <w:tcW w:w="2693" w:type="dxa"/>
            <w:vAlign w:val="center"/>
          </w:tcPr>
          <w:p w14:paraId="4E7C417D">
            <w:pPr>
              <w:spacing w:line="400" w:lineRule="exact"/>
              <w:jc w:val="center"/>
              <w:rPr>
                <w:rFonts w:eastAsia="仿宋_GB2312"/>
                <w:sz w:val="28"/>
                <w:szCs w:val="28"/>
              </w:rPr>
            </w:pPr>
            <w:r>
              <w:rPr>
                <w:rFonts w:eastAsia="黑体"/>
                <w:sz w:val="28"/>
                <w:szCs w:val="28"/>
              </w:rPr>
              <w:t>可能的后果</w:t>
            </w:r>
          </w:p>
        </w:tc>
      </w:tr>
      <w:tr w14:paraId="5FEA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2CABC2D7">
            <w:pPr>
              <w:spacing w:line="520" w:lineRule="exact"/>
              <w:ind w:firstLine="640" w:firstLineChars="200"/>
              <w:rPr>
                <w:rFonts w:eastAsia="仿宋_GB2312"/>
                <w:color w:val="000000"/>
                <w:szCs w:val="32"/>
              </w:rPr>
            </w:pPr>
            <w:r>
              <w:rPr>
                <w:rFonts w:hint="eastAsia" w:eastAsia="仿宋_GB2312"/>
                <w:color w:val="000000"/>
                <w:szCs w:val="32"/>
              </w:rPr>
              <w:t>生物学危险</w:t>
            </w:r>
          </w:p>
        </w:tc>
        <w:tc>
          <w:tcPr>
            <w:tcW w:w="1824" w:type="dxa"/>
            <w:vAlign w:val="center"/>
          </w:tcPr>
          <w:p w14:paraId="791D0ADB">
            <w:pPr>
              <w:spacing w:line="520" w:lineRule="exact"/>
              <w:ind w:firstLine="640" w:firstLineChars="200"/>
              <w:rPr>
                <w:rFonts w:eastAsia="仿宋_GB2312"/>
                <w:color w:val="000000"/>
                <w:szCs w:val="32"/>
              </w:rPr>
            </w:pPr>
            <w:r>
              <w:rPr>
                <w:rFonts w:hint="eastAsia" w:eastAsia="仿宋_GB2312"/>
                <w:color w:val="000000"/>
                <w:szCs w:val="32"/>
              </w:rPr>
              <w:t>生物污染</w:t>
            </w:r>
          </w:p>
        </w:tc>
        <w:tc>
          <w:tcPr>
            <w:tcW w:w="3398" w:type="dxa"/>
            <w:vAlign w:val="center"/>
          </w:tcPr>
          <w:p w14:paraId="2A2C624E">
            <w:pPr>
              <w:spacing w:line="520" w:lineRule="exact"/>
              <w:ind w:firstLine="640" w:firstLineChars="200"/>
              <w:rPr>
                <w:rFonts w:eastAsia="仿宋_GB2312"/>
                <w:color w:val="000000"/>
                <w:szCs w:val="32"/>
              </w:rPr>
            </w:pPr>
            <w:r>
              <w:rPr>
                <w:rFonts w:hint="eastAsia" w:eastAsia="仿宋_GB2312"/>
                <w:color w:val="000000"/>
                <w:szCs w:val="32"/>
              </w:rPr>
              <w:t>包装破损或使用时操作不规范造成生物污染</w:t>
            </w:r>
          </w:p>
        </w:tc>
        <w:tc>
          <w:tcPr>
            <w:tcW w:w="2693" w:type="dxa"/>
            <w:vAlign w:val="center"/>
          </w:tcPr>
          <w:p w14:paraId="5490ECCF">
            <w:pPr>
              <w:spacing w:line="520" w:lineRule="exact"/>
              <w:ind w:firstLine="640" w:firstLineChars="200"/>
              <w:rPr>
                <w:rFonts w:eastAsia="仿宋_GB2312"/>
                <w:color w:val="000000"/>
                <w:szCs w:val="32"/>
              </w:rPr>
            </w:pPr>
            <w:r>
              <w:rPr>
                <w:rFonts w:hint="eastAsia" w:eastAsia="仿宋_GB2312"/>
                <w:color w:val="000000"/>
                <w:szCs w:val="32"/>
              </w:rPr>
              <w:t>产品携带致病菌，引起患者身体不适或感染</w:t>
            </w:r>
          </w:p>
        </w:tc>
      </w:tr>
      <w:tr w14:paraId="0612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079" w:type="dxa"/>
            <w:vMerge w:val="continue"/>
            <w:vAlign w:val="center"/>
          </w:tcPr>
          <w:p w14:paraId="2C8409EA">
            <w:pPr>
              <w:spacing w:line="520" w:lineRule="exact"/>
              <w:ind w:firstLine="640" w:firstLineChars="200"/>
              <w:rPr>
                <w:rFonts w:eastAsia="仿宋_GB2312"/>
                <w:color w:val="000000"/>
                <w:szCs w:val="32"/>
              </w:rPr>
            </w:pPr>
          </w:p>
        </w:tc>
        <w:tc>
          <w:tcPr>
            <w:tcW w:w="1824" w:type="dxa"/>
            <w:vAlign w:val="center"/>
          </w:tcPr>
          <w:p w14:paraId="34FFB3FC">
            <w:pPr>
              <w:spacing w:line="520" w:lineRule="exact"/>
              <w:ind w:firstLine="640" w:firstLineChars="200"/>
              <w:rPr>
                <w:rFonts w:eastAsia="仿宋_GB2312"/>
                <w:color w:val="000000"/>
                <w:szCs w:val="32"/>
              </w:rPr>
            </w:pPr>
            <w:r>
              <w:rPr>
                <w:rFonts w:hint="eastAsia" w:eastAsia="仿宋_GB2312"/>
                <w:color w:val="000000"/>
                <w:szCs w:val="32"/>
              </w:rPr>
              <w:t>生物不相容性</w:t>
            </w:r>
          </w:p>
        </w:tc>
        <w:tc>
          <w:tcPr>
            <w:tcW w:w="3398" w:type="dxa"/>
            <w:vAlign w:val="center"/>
          </w:tcPr>
          <w:p w14:paraId="521C6399">
            <w:pPr>
              <w:spacing w:line="520" w:lineRule="exact"/>
              <w:ind w:firstLine="640" w:firstLineChars="200"/>
              <w:rPr>
                <w:rFonts w:eastAsia="仿宋_GB2312"/>
                <w:color w:val="000000"/>
                <w:szCs w:val="32"/>
              </w:rPr>
            </w:pPr>
            <w:r>
              <w:rPr>
                <w:rFonts w:hint="eastAsia" w:eastAsia="仿宋_GB2312"/>
                <w:color w:val="000000"/>
                <w:szCs w:val="32"/>
              </w:rPr>
              <w:t>采用了不合格原辅材料；生产引入了外来物质，成品环氧乙烷残留</w:t>
            </w:r>
          </w:p>
        </w:tc>
        <w:tc>
          <w:tcPr>
            <w:tcW w:w="2693" w:type="dxa"/>
            <w:vAlign w:val="center"/>
          </w:tcPr>
          <w:p w14:paraId="059B93EF">
            <w:pPr>
              <w:spacing w:line="520" w:lineRule="exact"/>
              <w:ind w:firstLine="640" w:firstLineChars="200"/>
              <w:rPr>
                <w:rFonts w:eastAsia="仿宋_GB2312"/>
                <w:color w:val="000000"/>
                <w:szCs w:val="32"/>
              </w:rPr>
            </w:pPr>
            <w:r>
              <w:rPr>
                <w:rFonts w:hint="eastAsia" w:eastAsia="仿宋_GB2312"/>
                <w:color w:val="000000"/>
                <w:szCs w:val="32"/>
              </w:rPr>
              <w:t>毒性或刺激反应</w:t>
            </w:r>
          </w:p>
        </w:tc>
      </w:tr>
      <w:tr w14:paraId="411A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1079" w:type="dxa"/>
            <w:vMerge w:val="continue"/>
            <w:vAlign w:val="center"/>
          </w:tcPr>
          <w:p w14:paraId="525D1884">
            <w:pPr>
              <w:spacing w:line="520" w:lineRule="exact"/>
              <w:ind w:firstLine="640" w:firstLineChars="200"/>
              <w:rPr>
                <w:rFonts w:eastAsia="仿宋_GB2312"/>
                <w:color w:val="000000"/>
                <w:szCs w:val="32"/>
              </w:rPr>
            </w:pPr>
          </w:p>
        </w:tc>
        <w:tc>
          <w:tcPr>
            <w:tcW w:w="1824" w:type="dxa"/>
            <w:vAlign w:val="center"/>
          </w:tcPr>
          <w:p w14:paraId="1088FF99">
            <w:pPr>
              <w:spacing w:line="520" w:lineRule="exact"/>
              <w:ind w:firstLine="640" w:firstLineChars="200"/>
              <w:rPr>
                <w:rFonts w:eastAsia="仿宋_GB2312"/>
                <w:color w:val="000000"/>
                <w:szCs w:val="32"/>
              </w:rPr>
            </w:pPr>
            <w:r>
              <w:rPr>
                <w:rFonts w:hint="eastAsia" w:eastAsia="仿宋_GB2312"/>
                <w:color w:val="000000"/>
                <w:szCs w:val="32"/>
              </w:rPr>
              <w:t>不正确的配方</w:t>
            </w:r>
          </w:p>
        </w:tc>
        <w:tc>
          <w:tcPr>
            <w:tcW w:w="3398" w:type="dxa"/>
            <w:vAlign w:val="center"/>
          </w:tcPr>
          <w:p w14:paraId="71B77EA5">
            <w:pPr>
              <w:spacing w:line="520" w:lineRule="exact"/>
              <w:ind w:firstLine="640" w:firstLineChars="200"/>
              <w:rPr>
                <w:rFonts w:eastAsia="仿宋_GB2312"/>
                <w:color w:val="000000"/>
                <w:szCs w:val="32"/>
              </w:rPr>
            </w:pPr>
            <w:r>
              <w:rPr>
                <w:rFonts w:hint="eastAsia" w:eastAsia="仿宋_GB2312"/>
                <w:color w:val="000000"/>
                <w:szCs w:val="32"/>
              </w:rPr>
              <w:t>未按照工艺要求配料，添加剂或助剂使用比例不当</w:t>
            </w:r>
          </w:p>
        </w:tc>
        <w:tc>
          <w:tcPr>
            <w:tcW w:w="2693" w:type="dxa"/>
            <w:vAlign w:val="center"/>
          </w:tcPr>
          <w:p w14:paraId="5A9B22B6">
            <w:pPr>
              <w:spacing w:line="520" w:lineRule="exact"/>
              <w:ind w:firstLine="640" w:firstLineChars="200"/>
              <w:rPr>
                <w:rFonts w:eastAsia="仿宋_GB2312"/>
                <w:color w:val="000000"/>
                <w:szCs w:val="32"/>
              </w:rPr>
            </w:pPr>
            <w:r>
              <w:rPr>
                <w:rFonts w:hint="eastAsia" w:eastAsia="仿宋_GB2312"/>
                <w:color w:val="000000"/>
                <w:szCs w:val="32"/>
              </w:rPr>
              <w:t>造成毒性危险</w:t>
            </w:r>
          </w:p>
        </w:tc>
      </w:tr>
      <w:tr w14:paraId="52B9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1079" w:type="dxa"/>
            <w:vMerge w:val="restart"/>
            <w:vAlign w:val="center"/>
          </w:tcPr>
          <w:p w14:paraId="19F06D45">
            <w:pPr>
              <w:spacing w:line="520" w:lineRule="exact"/>
              <w:ind w:firstLine="640" w:firstLineChars="200"/>
              <w:rPr>
                <w:rFonts w:eastAsia="仿宋_GB2312"/>
                <w:color w:val="000000"/>
                <w:szCs w:val="32"/>
              </w:rPr>
            </w:pPr>
          </w:p>
          <w:p w14:paraId="194E946C">
            <w:pPr>
              <w:spacing w:line="520" w:lineRule="exact"/>
              <w:ind w:firstLine="640" w:firstLineChars="200"/>
              <w:rPr>
                <w:rFonts w:eastAsia="仿宋_GB2312"/>
                <w:color w:val="000000"/>
                <w:szCs w:val="32"/>
              </w:rPr>
            </w:pPr>
            <w:r>
              <w:rPr>
                <w:rFonts w:hint="eastAsia" w:eastAsia="仿宋_GB2312"/>
                <w:color w:val="000000"/>
                <w:szCs w:val="32"/>
              </w:rPr>
              <w:t>环境危险</w:t>
            </w:r>
          </w:p>
          <w:p w14:paraId="6E0C3076">
            <w:pPr>
              <w:spacing w:line="520" w:lineRule="exact"/>
              <w:ind w:firstLine="640" w:firstLineChars="200"/>
              <w:rPr>
                <w:rFonts w:eastAsia="仿宋_GB2312"/>
                <w:color w:val="000000"/>
                <w:szCs w:val="32"/>
              </w:rPr>
            </w:pPr>
          </w:p>
        </w:tc>
        <w:tc>
          <w:tcPr>
            <w:tcW w:w="1824" w:type="dxa"/>
            <w:vAlign w:val="center"/>
          </w:tcPr>
          <w:p w14:paraId="68F729A6">
            <w:pPr>
              <w:spacing w:line="520" w:lineRule="exact"/>
              <w:ind w:firstLine="640" w:firstLineChars="200"/>
              <w:rPr>
                <w:rFonts w:eastAsia="仿宋_GB2312"/>
                <w:color w:val="000000"/>
                <w:szCs w:val="32"/>
              </w:rPr>
            </w:pPr>
            <w:r>
              <w:rPr>
                <w:rFonts w:hint="eastAsia" w:eastAsia="仿宋_GB2312"/>
                <w:color w:val="000000"/>
                <w:szCs w:val="32"/>
              </w:rPr>
              <w:t>储运不当</w:t>
            </w:r>
          </w:p>
        </w:tc>
        <w:tc>
          <w:tcPr>
            <w:tcW w:w="3398" w:type="dxa"/>
            <w:vAlign w:val="center"/>
          </w:tcPr>
          <w:p w14:paraId="668D1543">
            <w:pPr>
              <w:spacing w:line="520" w:lineRule="exact"/>
              <w:ind w:firstLine="640" w:firstLineChars="200"/>
              <w:rPr>
                <w:rFonts w:eastAsia="仿宋_GB2312"/>
                <w:color w:val="000000"/>
                <w:szCs w:val="32"/>
              </w:rPr>
            </w:pPr>
            <w:r>
              <w:rPr>
                <w:rFonts w:hint="eastAsia" w:eastAsia="仿宋_GB2312"/>
                <w:color w:val="000000"/>
                <w:szCs w:val="32"/>
              </w:rPr>
              <w:t>储运条件（如温度、湿度）不符合要求</w:t>
            </w:r>
          </w:p>
        </w:tc>
        <w:tc>
          <w:tcPr>
            <w:tcW w:w="2693" w:type="dxa"/>
            <w:vAlign w:val="center"/>
          </w:tcPr>
          <w:p w14:paraId="2F508E97">
            <w:pPr>
              <w:spacing w:line="520" w:lineRule="exact"/>
              <w:ind w:firstLine="640" w:firstLineChars="200"/>
              <w:rPr>
                <w:rFonts w:eastAsia="仿宋_GB2312"/>
                <w:color w:val="000000"/>
                <w:szCs w:val="32"/>
              </w:rPr>
            </w:pPr>
            <w:r>
              <w:rPr>
                <w:rFonts w:hint="eastAsia" w:eastAsia="仿宋_GB2312"/>
                <w:color w:val="000000"/>
                <w:szCs w:val="32"/>
              </w:rPr>
              <w:t>产品无菌屏障损坏或有效期缩短</w:t>
            </w:r>
          </w:p>
        </w:tc>
      </w:tr>
      <w:tr w14:paraId="2F2D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1079" w:type="dxa"/>
            <w:vMerge w:val="continue"/>
            <w:vAlign w:val="center"/>
          </w:tcPr>
          <w:p w14:paraId="6A315982">
            <w:pPr>
              <w:spacing w:line="520" w:lineRule="exact"/>
              <w:ind w:firstLine="640" w:firstLineChars="200"/>
              <w:rPr>
                <w:rFonts w:eastAsia="仿宋_GB2312"/>
                <w:color w:val="000000"/>
                <w:szCs w:val="32"/>
              </w:rPr>
            </w:pPr>
          </w:p>
        </w:tc>
        <w:tc>
          <w:tcPr>
            <w:tcW w:w="1824" w:type="dxa"/>
            <w:vAlign w:val="center"/>
          </w:tcPr>
          <w:p w14:paraId="57CE26FE">
            <w:pPr>
              <w:spacing w:line="520" w:lineRule="exact"/>
              <w:ind w:firstLine="640" w:firstLineChars="200"/>
              <w:rPr>
                <w:rFonts w:eastAsia="仿宋_GB2312"/>
                <w:color w:val="000000"/>
                <w:szCs w:val="32"/>
              </w:rPr>
            </w:pPr>
            <w:r>
              <w:rPr>
                <w:rFonts w:hint="eastAsia" w:eastAsia="仿宋_GB2312"/>
                <w:color w:val="000000"/>
                <w:szCs w:val="32"/>
              </w:rPr>
              <w:t>意外的机械破坏</w:t>
            </w:r>
          </w:p>
        </w:tc>
        <w:tc>
          <w:tcPr>
            <w:tcW w:w="3398" w:type="dxa"/>
            <w:vAlign w:val="center"/>
          </w:tcPr>
          <w:p w14:paraId="7943112B">
            <w:pPr>
              <w:spacing w:line="520" w:lineRule="exact"/>
              <w:ind w:firstLine="640" w:firstLineChars="200"/>
              <w:rPr>
                <w:rFonts w:eastAsia="仿宋_GB2312"/>
                <w:color w:val="000000"/>
                <w:szCs w:val="32"/>
              </w:rPr>
            </w:pPr>
            <w:r>
              <w:rPr>
                <w:rFonts w:hint="eastAsia" w:eastAsia="仿宋_GB2312"/>
                <w:color w:val="000000"/>
                <w:szCs w:val="32"/>
              </w:rPr>
              <w:t>储运、使用过程中发生意外的机械性破坏</w:t>
            </w:r>
          </w:p>
        </w:tc>
        <w:tc>
          <w:tcPr>
            <w:tcW w:w="2693" w:type="dxa"/>
            <w:vAlign w:val="center"/>
          </w:tcPr>
          <w:p w14:paraId="5CA92555">
            <w:pPr>
              <w:spacing w:line="520" w:lineRule="exact"/>
              <w:ind w:firstLine="640" w:firstLineChars="200"/>
              <w:rPr>
                <w:rFonts w:eastAsia="仿宋_GB2312"/>
                <w:color w:val="000000"/>
                <w:szCs w:val="32"/>
              </w:rPr>
            </w:pPr>
            <w:r>
              <w:rPr>
                <w:rFonts w:hint="eastAsia" w:eastAsia="仿宋_GB2312"/>
                <w:color w:val="000000"/>
                <w:szCs w:val="32"/>
              </w:rPr>
              <w:t>产品染菌或使用性能无法得到保证</w:t>
            </w:r>
          </w:p>
        </w:tc>
      </w:tr>
      <w:tr w14:paraId="23CA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1079" w:type="dxa"/>
            <w:vMerge w:val="continue"/>
            <w:vAlign w:val="center"/>
          </w:tcPr>
          <w:p w14:paraId="6669F9B2">
            <w:pPr>
              <w:spacing w:line="520" w:lineRule="exact"/>
              <w:ind w:firstLine="640" w:firstLineChars="200"/>
              <w:rPr>
                <w:rFonts w:eastAsia="仿宋_GB2312"/>
                <w:color w:val="000000"/>
                <w:szCs w:val="32"/>
              </w:rPr>
            </w:pPr>
          </w:p>
        </w:tc>
        <w:tc>
          <w:tcPr>
            <w:tcW w:w="1824" w:type="dxa"/>
            <w:vAlign w:val="center"/>
          </w:tcPr>
          <w:p w14:paraId="58A5EB25">
            <w:pPr>
              <w:spacing w:line="520" w:lineRule="exact"/>
              <w:ind w:firstLine="640" w:firstLineChars="200"/>
              <w:rPr>
                <w:rFonts w:eastAsia="仿宋_GB2312"/>
                <w:color w:val="000000"/>
                <w:szCs w:val="32"/>
              </w:rPr>
            </w:pPr>
            <w:r>
              <w:rPr>
                <w:rFonts w:hint="eastAsia" w:eastAsia="仿宋_GB2312"/>
                <w:color w:val="000000"/>
                <w:szCs w:val="32"/>
              </w:rPr>
              <w:t>由于废物和（或）医疗器械处置的污染</w:t>
            </w:r>
          </w:p>
        </w:tc>
        <w:tc>
          <w:tcPr>
            <w:tcW w:w="3398" w:type="dxa"/>
            <w:vAlign w:val="center"/>
          </w:tcPr>
          <w:p w14:paraId="6B0CF5A0">
            <w:pPr>
              <w:spacing w:line="520" w:lineRule="exact"/>
              <w:ind w:firstLine="640" w:firstLineChars="200"/>
              <w:rPr>
                <w:rFonts w:eastAsia="仿宋_GB2312"/>
                <w:color w:val="000000"/>
                <w:szCs w:val="32"/>
              </w:rPr>
            </w:pPr>
            <w:r>
              <w:rPr>
                <w:rFonts w:hint="eastAsia" w:eastAsia="仿宋_GB2312"/>
                <w:color w:val="000000"/>
                <w:szCs w:val="32"/>
              </w:rPr>
              <w:t>使用后的产品没有按照要求集中销毁</w:t>
            </w:r>
          </w:p>
        </w:tc>
        <w:tc>
          <w:tcPr>
            <w:tcW w:w="2693" w:type="dxa"/>
            <w:vAlign w:val="center"/>
          </w:tcPr>
          <w:p w14:paraId="4210C466">
            <w:pPr>
              <w:spacing w:line="520" w:lineRule="exact"/>
              <w:ind w:firstLine="640" w:firstLineChars="200"/>
              <w:rPr>
                <w:rFonts w:eastAsia="仿宋_GB2312"/>
                <w:color w:val="000000"/>
                <w:szCs w:val="32"/>
              </w:rPr>
            </w:pPr>
            <w:r>
              <w:rPr>
                <w:rFonts w:hint="eastAsia" w:eastAsia="仿宋_GB2312"/>
                <w:color w:val="000000"/>
                <w:szCs w:val="32"/>
              </w:rPr>
              <w:t>造成医院环境污染</w:t>
            </w:r>
          </w:p>
        </w:tc>
      </w:tr>
      <w:tr w14:paraId="00D7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38006CBE">
            <w:pPr>
              <w:spacing w:line="520" w:lineRule="exact"/>
              <w:ind w:firstLine="640" w:firstLineChars="200"/>
              <w:rPr>
                <w:rFonts w:eastAsia="仿宋_GB2312"/>
                <w:color w:val="000000"/>
                <w:szCs w:val="32"/>
              </w:rPr>
            </w:pPr>
            <w:r>
              <w:rPr>
                <w:rFonts w:hint="eastAsia" w:eastAsia="仿宋_GB2312"/>
                <w:color w:val="000000"/>
                <w:szCs w:val="32"/>
              </w:rPr>
              <w:t>与医疗器械使用有关的危险</w:t>
            </w:r>
          </w:p>
          <w:p w14:paraId="1ACC2727">
            <w:pPr>
              <w:spacing w:line="520" w:lineRule="exact"/>
              <w:ind w:firstLine="640" w:firstLineChars="200"/>
              <w:rPr>
                <w:rFonts w:eastAsia="仿宋_GB2312"/>
                <w:color w:val="000000"/>
                <w:szCs w:val="32"/>
              </w:rPr>
            </w:pPr>
          </w:p>
        </w:tc>
        <w:tc>
          <w:tcPr>
            <w:tcW w:w="1824" w:type="dxa"/>
            <w:vAlign w:val="center"/>
          </w:tcPr>
          <w:p w14:paraId="471DA234">
            <w:pPr>
              <w:spacing w:line="520" w:lineRule="exact"/>
              <w:ind w:firstLine="640" w:firstLineChars="200"/>
              <w:rPr>
                <w:rFonts w:eastAsia="仿宋_GB2312"/>
                <w:color w:val="000000"/>
                <w:szCs w:val="32"/>
              </w:rPr>
            </w:pPr>
            <w:r>
              <w:rPr>
                <w:rFonts w:hint="eastAsia" w:eastAsia="仿宋_GB2312"/>
                <w:color w:val="000000"/>
                <w:szCs w:val="32"/>
              </w:rPr>
              <w:t>由不熟练/未经培训的人员使用</w:t>
            </w:r>
          </w:p>
        </w:tc>
        <w:tc>
          <w:tcPr>
            <w:tcW w:w="3398" w:type="dxa"/>
            <w:vAlign w:val="center"/>
          </w:tcPr>
          <w:p w14:paraId="2E1BECB2">
            <w:pPr>
              <w:spacing w:line="520" w:lineRule="exact"/>
              <w:ind w:firstLine="640" w:firstLineChars="200"/>
              <w:rPr>
                <w:rFonts w:eastAsia="仿宋_GB2312"/>
                <w:color w:val="000000"/>
                <w:szCs w:val="32"/>
              </w:rPr>
            </w:pPr>
            <w:r>
              <w:rPr>
                <w:rFonts w:hint="eastAsia" w:eastAsia="仿宋_GB2312"/>
                <w:color w:val="000000"/>
                <w:szCs w:val="32"/>
              </w:rPr>
              <w:t>操作不熟练、操作失误</w:t>
            </w:r>
          </w:p>
        </w:tc>
        <w:tc>
          <w:tcPr>
            <w:tcW w:w="2693" w:type="dxa"/>
          </w:tcPr>
          <w:p w14:paraId="0541F4B0">
            <w:pPr>
              <w:spacing w:line="520" w:lineRule="exact"/>
              <w:ind w:firstLine="640" w:firstLineChars="200"/>
              <w:rPr>
                <w:rFonts w:eastAsia="仿宋_GB2312"/>
                <w:color w:val="000000"/>
                <w:szCs w:val="32"/>
              </w:rPr>
            </w:pPr>
            <w:r>
              <w:rPr>
                <w:rFonts w:hint="eastAsia" w:eastAsia="仿宋_GB2312"/>
                <w:color w:val="000000"/>
                <w:szCs w:val="32"/>
              </w:rPr>
              <w:t>无法保证使用安全性；无法达到满意的使用效果；造成作用部位损伤</w:t>
            </w:r>
          </w:p>
        </w:tc>
      </w:tr>
      <w:tr w14:paraId="4DE2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624D6F1C">
            <w:pPr>
              <w:spacing w:line="520" w:lineRule="exact"/>
              <w:ind w:firstLine="640" w:firstLineChars="200"/>
              <w:rPr>
                <w:rFonts w:eastAsia="仿宋_GB2312"/>
                <w:color w:val="000000"/>
                <w:szCs w:val="32"/>
              </w:rPr>
            </w:pPr>
          </w:p>
        </w:tc>
        <w:tc>
          <w:tcPr>
            <w:tcW w:w="1824" w:type="dxa"/>
            <w:shd w:val="clear" w:color="auto" w:fill="auto"/>
            <w:vAlign w:val="center"/>
          </w:tcPr>
          <w:p w14:paraId="08A00C60">
            <w:pPr>
              <w:spacing w:line="520" w:lineRule="exact"/>
              <w:ind w:firstLine="640" w:firstLineChars="200"/>
              <w:rPr>
                <w:rFonts w:eastAsia="仿宋_GB2312"/>
                <w:color w:val="000000"/>
                <w:szCs w:val="32"/>
              </w:rPr>
            </w:pPr>
            <w:r>
              <w:rPr>
                <w:rFonts w:hint="eastAsia" w:eastAsia="仿宋_GB2312"/>
                <w:color w:val="000000"/>
                <w:szCs w:val="32"/>
              </w:rPr>
              <w:t>对一次性使用医疗器械很可能再次使用的危险警告不适当</w:t>
            </w:r>
          </w:p>
        </w:tc>
        <w:tc>
          <w:tcPr>
            <w:tcW w:w="3398" w:type="dxa"/>
            <w:shd w:val="clear" w:color="auto" w:fill="auto"/>
            <w:vAlign w:val="center"/>
          </w:tcPr>
          <w:p w14:paraId="1B29FDCB">
            <w:pPr>
              <w:spacing w:line="520" w:lineRule="exact"/>
              <w:ind w:firstLine="640" w:firstLineChars="200"/>
              <w:rPr>
                <w:rFonts w:eastAsia="仿宋_GB2312"/>
                <w:color w:val="000000"/>
                <w:szCs w:val="32"/>
              </w:rPr>
            </w:pPr>
            <w:r>
              <w:rPr>
                <w:rFonts w:hint="eastAsia" w:eastAsia="仿宋_GB2312"/>
                <w:color w:val="000000"/>
                <w:szCs w:val="32"/>
              </w:rPr>
              <w:t>重复使用</w:t>
            </w:r>
          </w:p>
        </w:tc>
        <w:tc>
          <w:tcPr>
            <w:tcW w:w="2693" w:type="dxa"/>
            <w:shd w:val="clear" w:color="auto" w:fill="auto"/>
            <w:vAlign w:val="center"/>
          </w:tcPr>
          <w:p w14:paraId="2F39EE6A">
            <w:pPr>
              <w:spacing w:line="520" w:lineRule="exact"/>
              <w:ind w:firstLine="640" w:firstLineChars="200"/>
              <w:rPr>
                <w:rFonts w:eastAsia="仿宋_GB2312"/>
                <w:color w:val="000000"/>
                <w:szCs w:val="32"/>
              </w:rPr>
            </w:pPr>
            <w:r>
              <w:rPr>
                <w:rFonts w:hint="eastAsia" w:eastAsia="仿宋_GB2312"/>
                <w:color w:val="000000"/>
                <w:szCs w:val="32"/>
              </w:rPr>
              <w:t>交叉感染</w:t>
            </w:r>
          </w:p>
        </w:tc>
      </w:tr>
      <w:tr w14:paraId="3BB5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079" w:type="dxa"/>
            <w:vMerge w:val="continue"/>
            <w:vAlign w:val="center"/>
          </w:tcPr>
          <w:p w14:paraId="6AB17CBE">
            <w:pPr>
              <w:spacing w:line="520" w:lineRule="exact"/>
              <w:ind w:firstLine="640" w:firstLineChars="200"/>
              <w:rPr>
                <w:rFonts w:eastAsia="仿宋_GB2312"/>
                <w:color w:val="000000"/>
                <w:szCs w:val="32"/>
              </w:rPr>
            </w:pPr>
          </w:p>
        </w:tc>
        <w:tc>
          <w:tcPr>
            <w:tcW w:w="1824" w:type="dxa"/>
            <w:vAlign w:val="center"/>
          </w:tcPr>
          <w:p w14:paraId="6B37C14F">
            <w:pPr>
              <w:spacing w:line="520" w:lineRule="exact"/>
              <w:ind w:firstLine="640" w:firstLineChars="200"/>
              <w:rPr>
                <w:rFonts w:eastAsia="仿宋_GB2312"/>
                <w:color w:val="000000"/>
                <w:szCs w:val="32"/>
              </w:rPr>
            </w:pPr>
            <w:r>
              <w:rPr>
                <w:rFonts w:hint="eastAsia" w:eastAsia="仿宋_GB2312"/>
                <w:color w:val="000000"/>
                <w:szCs w:val="32"/>
              </w:rPr>
              <w:t>使用产品时未按照说明书中操作方法操作</w:t>
            </w:r>
          </w:p>
        </w:tc>
        <w:tc>
          <w:tcPr>
            <w:tcW w:w="3398" w:type="dxa"/>
            <w:vAlign w:val="center"/>
          </w:tcPr>
          <w:p w14:paraId="65969FB8">
            <w:pPr>
              <w:spacing w:line="520" w:lineRule="exact"/>
              <w:ind w:firstLine="640" w:firstLineChars="200"/>
              <w:rPr>
                <w:rFonts w:eastAsia="仿宋_GB2312"/>
                <w:color w:val="000000"/>
                <w:szCs w:val="32"/>
              </w:rPr>
            </w:pPr>
            <w:r>
              <w:rPr>
                <w:rFonts w:hint="eastAsia" w:eastAsia="仿宋_GB2312"/>
                <w:color w:val="000000"/>
                <w:szCs w:val="32"/>
              </w:rPr>
              <w:t>错误操作；未采取相应的保护措施</w:t>
            </w:r>
          </w:p>
        </w:tc>
        <w:tc>
          <w:tcPr>
            <w:tcW w:w="2693" w:type="dxa"/>
          </w:tcPr>
          <w:p w14:paraId="0B98D8AF">
            <w:pPr>
              <w:spacing w:line="520" w:lineRule="exact"/>
              <w:ind w:firstLine="640" w:firstLineChars="200"/>
              <w:rPr>
                <w:rFonts w:eastAsia="仿宋_GB2312"/>
                <w:color w:val="000000"/>
                <w:szCs w:val="32"/>
              </w:rPr>
            </w:pPr>
            <w:r>
              <w:rPr>
                <w:rFonts w:hint="eastAsia" w:eastAsia="仿宋_GB2312"/>
                <w:color w:val="000000"/>
                <w:szCs w:val="32"/>
              </w:rPr>
              <w:t>无法达到满意的使用效果；患者红肿疼痛以及扎针处出血/发红/瘀斑/感染</w:t>
            </w:r>
          </w:p>
        </w:tc>
      </w:tr>
      <w:tr w14:paraId="0ECD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28D28410">
            <w:pPr>
              <w:spacing w:line="520" w:lineRule="exact"/>
              <w:ind w:firstLine="640" w:firstLineChars="200"/>
              <w:rPr>
                <w:rFonts w:eastAsia="仿宋_GB2312"/>
                <w:color w:val="000000"/>
                <w:szCs w:val="32"/>
              </w:rPr>
            </w:pPr>
          </w:p>
        </w:tc>
        <w:tc>
          <w:tcPr>
            <w:tcW w:w="1824" w:type="dxa"/>
            <w:vAlign w:val="center"/>
          </w:tcPr>
          <w:p w14:paraId="28283AA4">
            <w:pPr>
              <w:spacing w:line="520" w:lineRule="exact"/>
              <w:ind w:firstLine="640" w:firstLineChars="200"/>
              <w:rPr>
                <w:rFonts w:eastAsia="仿宋_GB2312"/>
                <w:color w:val="000000"/>
                <w:szCs w:val="32"/>
              </w:rPr>
            </w:pPr>
            <w:r>
              <w:rPr>
                <w:rFonts w:hint="eastAsia" w:eastAsia="仿宋_GB2312"/>
                <w:color w:val="000000"/>
                <w:szCs w:val="32"/>
              </w:rPr>
              <w:t>忽视说明书中禁忌证、警示信息等内容</w:t>
            </w:r>
          </w:p>
        </w:tc>
        <w:tc>
          <w:tcPr>
            <w:tcW w:w="3398" w:type="dxa"/>
            <w:vAlign w:val="center"/>
          </w:tcPr>
          <w:p w14:paraId="08790F4F">
            <w:pPr>
              <w:spacing w:line="520" w:lineRule="exact"/>
              <w:ind w:firstLine="640" w:firstLineChars="200"/>
              <w:rPr>
                <w:rFonts w:eastAsia="仿宋_GB2312"/>
                <w:color w:val="000000"/>
                <w:szCs w:val="32"/>
              </w:rPr>
            </w:pPr>
            <w:r>
              <w:rPr>
                <w:rFonts w:hint="eastAsia" w:eastAsia="仿宋_GB2312"/>
                <w:color w:val="000000"/>
                <w:szCs w:val="32"/>
              </w:rPr>
              <w:t>患者在使用过程前未对使用部位消毒；使用后未提示对作用部位的卫生防护</w:t>
            </w:r>
          </w:p>
        </w:tc>
        <w:tc>
          <w:tcPr>
            <w:tcW w:w="2693" w:type="dxa"/>
            <w:vAlign w:val="center"/>
          </w:tcPr>
          <w:p w14:paraId="559C199B">
            <w:pPr>
              <w:spacing w:line="520" w:lineRule="exact"/>
              <w:ind w:firstLine="640" w:firstLineChars="200"/>
              <w:rPr>
                <w:rFonts w:eastAsia="仿宋_GB2312"/>
                <w:color w:val="000000"/>
                <w:szCs w:val="32"/>
              </w:rPr>
            </w:pPr>
            <w:r>
              <w:rPr>
                <w:rFonts w:hint="eastAsia" w:eastAsia="仿宋_GB2312"/>
                <w:color w:val="000000"/>
                <w:szCs w:val="32"/>
              </w:rPr>
              <w:t>造成患者感染</w:t>
            </w:r>
          </w:p>
        </w:tc>
      </w:tr>
      <w:tr w14:paraId="26D5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79" w:type="dxa"/>
            <w:vAlign w:val="center"/>
          </w:tcPr>
          <w:p w14:paraId="7DC98E7A">
            <w:pPr>
              <w:spacing w:line="520" w:lineRule="exact"/>
              <w:ind w:firstLine="640" w:firstLineChars="200"/>
              <w:rPr>
                <w:rFonts w:eastAsia="仿宋_GB2312"/>
                <w:color w:val="000000"/>
                <w:szCs w:val="32"/>
              </w:rPr>
            </w:pPr>
            <w:r>
              <w:rPr>
                <w:rFonts w:hint="eastAsia" w:eastAsia="仿宋_GB2312"/>
                <w:color w:val="000000"/>
                <w:szCs w:val="32"/>
              </w:rPr>
              <w:t>功能失效、老化引起的危险</w:t>
            </w:r>
          </w:p>
        </w:tc>
        <w:tc>
          <w:tcPr>
            <w:tcW w:w="1824" w:type="dxa"/>
            <w:vAlign w:val="center"/>
          </w:tcPr>
          <w:p w14:paraId="79B60288">
            <w:pPr>
              <w:spacing w:line="520" w:lineRule="exact"/>
              <w:ind w:firstLine="640" w:firstLineChars="200"/>
              <w:rPr>
                <w:rFonts w:eastAsia="仿宋_GB2312"/>
                <w:color w:val="000000"/>
                <w:szCs w:val="32"/>
              </w:rPr>
            </w:pPr>
            <w:r>
              <w:rPr>
                <w:rFonts w:hint="eastAsia" w:eastAsia="仿宋_GB2312"/>
                <w:color w:val="000000"/>
                <w:szCs w:val="32"/>
              </w:rPr>
              <w:t>对医疗器械寿命终止缺少适当的决定</w:t>
            </w:r>
          </w:p>
        </w:tc>
        <w:tc>
          <w:tcPr>
            <w:tcW w:w="3398" w:type="dxa"/>
            <w:vAlign w:val="center"/>
          </w:tcPr>
          <w:p w14:paraId="41A47279">
            <w:pPr>
              <w:spacing w:line="520" w:lineRule="exact"/>
              <w:ind w:firstLine="640" w:firstLineChars="200"/>
              <w:rPr>
                <w:rFonts w:eastAsia="仿宋_GB2312"/>
                <w:color w:val="000000"/>
                <w:szCs w:val="32"/>
              </w:rPr>
            </w:pPr>
            <w:r>
              <w:rPr>
                <w:rFonts w:hint="eastAsia" w:eastAsia="仿宋_GB2312"/>
                <w:color w:val="000000"/>
                <w:szCs w:val="32"/>
              </w:rPr>
              <w:t>超出有效期的产品被使用</w:t>
            </w:r>
          </w:p>
        </w:tc>
        <w:tc>
          <w:tcPr>
            <w:tcW w:w="2693" w:type="dxa"/>
            <w:vAlign w:val="center"/>
          </w:tcPr>
          <w:p w14:paraId="081B0E32">
            <w:pPr>
              <w:spacing w:line="520" w:lineRule="exact"/>
              <w:ind w:firstLine="640" w:firstLineChars="200"/>
              <w:rPr>
                <w:rFonts w:eastAsia="仿宋_GB2312"/>
                <w:color w:val="000000"/>
                <w:szCs w:val="32"/>
              </w:rPr>
            </w:pPr>
            <w:r>
              <w:rPr>
                <w:rFonts w:hint="eastAsia" w:eastAsia="仿宋_GB2312"/>
                <w:color w:val="000000"/>
                <w:szCs w:val="32"/>
              </w:rPr>
              <w:t>患者感染或产品无法满足临床使用</w:t>
            </w:r>
          </w:p>
        </w:tc>
      </w:tr>
    </w:tbl>
    <w:p w14:paraId="4D892369">
      <w:pPr>
        <w:spacing w:line="520" w:lineRule="exact"/>
        <w:ind w:firstLine="640" w:firstLineChars="200"/>
        <w:rPr>
          <w:rFonts w:eastAsia="仿宋_GB2312"/>
          <w:color w:val="000000"/>
          <w:szCs w:val="32"/>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DejaVu Sans">
    <w:altName w:val="Times New Roman"/>
    <w:panose1 w:val="00000000000000000000"/>
    <w:charset w:val="00"/>
    <w:family w:val="roman"/>
    <w:pitch w:val="default"/>
    <w:sig w:usb0="00000000" w:usb1="00000000" w:usb2="00000008" w:usb3="00000000" w:csb0="0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5002EFF" w:usb1="C000605B" w:usb2="00000029" w:usb3="00000000" w:csb0="200101FF" w:csb1="2028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0281D">
    <w:pPr>
      <w:pStyle w:val="5"/>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w:t>
    </w:r>
    <w:r>
      <w:rPr>
        <w:sz w:val="28"/>
        <w:szCs w:val="28"/>
      </w:rPr>
      <w:fldChar w:fldCharType="end"/>
    </w:r>
    <w:r>
      <w:rPr>
        <w:sz w:val="28"/>
        <w:szCs w:val="28"/>
      </w:rPr>
      <w:t xml:space="preserve"> —</w:t>
    </w:r>
  </w:p>
  <w:p w14:paraId="23474405">
    <w:pPr>
      <w:pStyle w:val="5"/>
    </w:pPr>
    <w:r>
      <mc:AlternateContent>
        <mc:Choice Requires="wps">
          <w:drawing>
            <wp:anchor distT="0" distB="0" distL="114300" distR="114300" simplePos="0" relativeHeight="251660288" behindDoc="0" locked="0" layoutInCell="1" allowOverlap="1">
              <wp:simplePos x="0" y="0"/>
              <wp:positionH relativeFrom="margin">
                <wp:posOffset>2615565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4BB375">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5.95pt;margin-top:0pt;height:144pt;width:144pt;mso-position-horizontal-relative:margin;mso-wrap-style:none;z-index:251660288;mso-width-relative:page;mso-height-relative:page;" filled="f" stroked="f" coordsize="21600,21600" o:gfxdata="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4TJ&#10;syxs9c7yCB3l8XZ1DJCzUzmK0iuB7sQNZq/r0/BO4nD/ue+iHv8N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jcsI31QAAAAgBAAAPAAAAAAAAAAEAIAAAACIAAABkcnMvZG93bnJldi54bWxQSwEC&#10;FAAUAAAACACHTuJAUHgcXTACAABjBAAADgAAAAAAAAABACAAAAAkAQAAZHJzL2Uyb0RvYy54bWxQ&#10;SwUGAAAAAAYABgBZAQAAxgUAAAAA&#10;">
              <v:fill on="f" focussize="0,0"/>
              <v:stroke on="f" weight="0.5pt"/>
              <v:imagedata o:title=""/>
              <o:lock v:ext="edit" aspectratio="f"/>
              <v:textbox inset="0mm,0mm,0mm,0mm" style="mso-fit-shape-to-text:t;">
                <w:txbxContent>
                  <w:p w14:paraId="2C4BB375">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DQwMmNiOWFlYzZjYTcwOWJiZGQ0YTA5ODBmZGUifQ=="/>
  </w:docVars>
  <w:rsids>
    <w:rsidRoot w:val="00787F7E"/>
    <w:rsid w:val="0007686E"/>
    <w:rsid w:val="000C6CA4"/>
    <w:rsid w:val="000E5335"/>
    <w:rsid w:val="00145167"/>
    <w:rsid w:val="0015622E"/>
    <w:rsid w:val="001C3A87"/>
    <w:rsid w:val="001E0961"/>
    <w:rsid w:val="00230ED4"/>
    <w:rsid w:val="00242375"/>
    <w:rsid w:val="00244DF7"/>
    <w:rsid w:val="00277473"/>
    <w:rsid w:val="00291759"/>
    <w:rsid w:val="00294D2B"/>
    <w:rsid w:val="002A6652"/>
    <w:rsid w:val="002B24A0"/>
    <w:rsid w:val="002F2978"/>
    <w:rsid w:val="0030368E"/>
    <w:rsid w:val="003137C1"/>
    <w:rsid w:val="00332DE8"/>
    <w:rsid w:val="003450A4"/>
    <w:rsid w:val="00355421"/>
    <w:rsid w:val="00365AB2"/>
    <w:rsid w:val="00410598"/>
    <w:rsid w:val="00435AC6"/>
    <w:rsid w:val="00440708"/>
    <w:rsid w:val="004410B9"/>
    <w:rsid w:val="004C4DBC"/>
    <w:rsid w:val="004E39ED"/>
    <w:rsid w:val="005041BA"/>
    <w:rsid w:val="00534F4C"/>
    <w:rsid w:val="005A1410"/>
    <w:rsid w:val="005A204F"/>
    <w:rsid w:val="005E2967"/>
    <w:rsid w:val="006A1165"/>
    <w:rsid w:val="006C00CB"/>
    <w:rsid w:val="006E68A9"/>
    <w:rsid w:val="006E7148"/>
    <w:rsid w:val="00716619"/>
    <w:rsid w:val="00745098"/>
    <w:rsid w:val="007646FC"/>
    <w:rsid w:val="00787F7E"/>
    <w:rsid w:val="007904F6"/>
    <w:rsid w:val="007D341A"/>
    <w:rsid w:val="00815364"/>
    <w:rsid w:val="00821079"/>
    <w:rsid w:val="00845C30"/>
    <w:rsid w:val="00933041"/>
    <w:rsid w:val="00937F0E"/>
    <w:rsid w:val="009E2514"/>
    <w:rsid w:val="009F209D"/>
    <w:rsid w:val="00A23EC2"/>
    <w:rsid w:val="00A25C1A"/>
    <w:rsid w:val="00A73BFE"/>
    <w:rsid w:val="00B41578"/>
    <w:rsid w:val="00B66355"/>
    <w:rsid w:val="00B9118A"/>
    <w:rsid w:val="00BC2983"/>
    <w:rsid w:val="00BC7C84"/>
    <w:rsid w:val="00BD300F"/>
    <w:rsid w:val="00BE669C"/>
    <w:rsid w:val="00C0562D"/>
    <w:rsid w:val="00C25F69"/>
    <w:rsid w:val="00C40950"/>
    <w:rsid w:val="00C74CE1"/>
    <w:rsid w:val="00CB4CCD"/>
    <w:rsid w:val="00D32614"/>
    <w:rsid w:val="00D36F91"/>
    <w:rsid w:val="00D4450D"/>
    <w:rsid w:val="00DD740E"/>
    <w:rsid w:val="00E07E6A"/>
    <w:rsid w:val="00E11D78"/>
    <w:rsid w:val="00E72EF4"/>
    <w:rsid w:val="00EB1A04"/>
    <w:rsid w:val="00EC523A"/>
    <w:rsid w:val="00ED0226"/>
    <w:rsid w:val="00EE261B"/>
    <w:rsid w:val="00EE4EBB"/>
    <w:rsid w:val="00F31CB3"/>
    <w:rsid w:val="00F81D1A"/>
    <w:rsid w:val="00FB46B2"/>
    <w:rsid w:val="00FF0F38"/>
    <w:rsid w:val="03561F09"/>
    <w:rsid w:val="04D31337"/>
    <w:rsid w:val="085B58CB"/>
    <w:rsid w:val="0DBE3849"/>
    <w:rsid w:val="0E9B4C74"/>
    <w:rsid w:val="12411B8D"/>
    <w:rsid w:val="133631BD"/>
    <w:rsid w:val="169326D4"/>
    <w:rsid w:val="172D0D7B"/>
    <w:rsid w:val="175B0988"/>
    <w:rsid w:val="17931F40"/>
    <w:rsid w:val="18956BD8"/>
    <w:rsid w:val="18AA733D"/>
    <w:rsid w:val="1A367F46"/>
    <w:rsid w:val="1E075E82"/>
    <w:rsid w:val="1E162569"/>
    <w:rsid w:val="1E676920"/>
    <w:rsid w:val="1E803E86"/>
    <w:rsid w:val="20653333"/>
    <w:rsid w:val="236C49D9"/>
    <w:rsid w:val="25AE3087"/>
    <w:rsid w:val="274719E5"/>
    <w:rsid w:val="29D238DE"/>
    <w:rsid w:val="2D1A1E2C"/>
    <w:rsid w:val="2D880661"/>
    <w:rsid w:val="2F5F462C"/>
    <w:rsid w:val="305308AE"/>
    <w:rsid w:val="30F77F3B"/>
    <w:rsid w:val="36884359"/>
    <w:rsid w:val="37621F23"/>
    <w:rsid w:val="38D40BFF"/>
    <w:rsid w:val="3B47390A"/>
    <w:rsid w:val="3B955E03"/>
    <w:rsid w:val="3BF770DE"/>
    <w:rsid w:val="3E537369"/>
    <w:rsid w:val="3EE30952"/>
    <w:rsid w:val="40880C4C"/>
    <w:rsid w:val="413B5CBF"/>
    <w:rsid w:val="4AEA6060"/>
    <w:rsid w:val="4D2910C1"/>
    <w:rsid w:val="4D6E11CA"/>
    <w:rsid w:val="4DE80F7C"/>
    <w:rsid w:val="4E2F5E56"/>
    <w:rsid w:val="4EC92B5C"/>
    <w:rsid w:val="52922E5B"/>
    <w:rsid w:val="55644D90"/>
    <w:rsid w:val="5712706A"/>
    <w:rsid w:val="57F347A6"/>
    <w:rsid w:val="5847689F"/>
    <w:rsid w:val="5952374E"/>
    <w:rsid w:val="59B61F2F"/>
    <w:rsid w:val="59BC42A8"/>
    <w:rsid w:val="5AF947C9"/>
    <w:rsid w:val="5B746366"/>
    <w:rsid w:val="5E8B37F3"/>
    <w:rsid w:val="60A52CFD"/>
    <w:rsid w:val="61FF01EB"/>
    <w:rsid w:val="62E0626E"/>
    <w:rsid w:val="63774D87"/>
    <w:rsid w:val="63B514A9"/>
    <w:rsid w:val="642744CB"/>
    <w:rsid w:val="67D141D3"/>
    <w:rsid w:val="6AD466B8"/>
    <w:rsid w:val="6B737129"/>
    <w:rsid w:val="6C617B62"/>
    <w:rsid w:val="6CA64085"/>
    <w:rsid w:val="6E3B6A4F"/>
    <w:rsid w:val="6E4678CD"/>
    <w:rsid w:val="6E9D5013"/>
    <w:rsid w:val="6FAD572A"/>
    <w:rsid w:val="707C3028"/>
    <w:rsid w:val="713D534D"/>
    <w:rsid w:val="71AF6F23"/>
    <w:rsid w:val="76B4114C"/>
    <w:rsid w:val="79935991"/>
    <w:rsid w:val="79C913B2"/>
    <w:rsid w:val="7C923CDE"/>
    <w:rsid w:val="DEF70035"/>
    <w:rsid w:val="DFFFE17D"/>
    <w:rsid w:val="ED776AC6"/>
    <w:rsid w:val="EF9F915E"/>
    <w:rsid w:val="FBB7C68F"/>
    <w:rsid w:val="FDF752B8"/>
    <w:rsid w:val="FF7F9E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Plain Text"/>
    <w:unhideWhenUsed/>
    <w:qFormat/>
    <w:uiPriority w:val="99"/>
    <w:pPr>
      <w:widowControl w:val="0"/>
      <w:jc w:val="both"/>
    </w:pPr>
    <w:rPr>
      <w:rFonts w:ascii="宋体" w:hAnsi="Courier New" w:eastAsia="宋体" w:cs="Times New Roman"/>
      <w:kern w:val="2"/>
      <w:sz w:val="21"/>
      <w:szCs w:val="21"/>
      <w:lang w:val="en-US" w:eastAsia="zh-CN" w:bidi="ar-SA"/>
    </w:rPr>
  </w:style>
  <w:style w:type="paragraph" w:styleId="4">
    <w:name w:val="Balloon Text"/>
    <w:basedOn w:val="1"/>
    <w:link w:val="16"/>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7">
    <w:name w:val="Normal (Web)"/>
    <w:basedOn w:val="1"/>
    <w:semiHidden/>
    <w:unhideWhenUsed/>
    <w:qFormat/>
    <w:uiPriority w:val="0"/>
    <w:rPr>
      <w:sz w:val="24"/>
    </w:rPr>
  </w:style>
  <w:style w:type="paragraph" w:styleId="8">
    <w:name w:val="annotation subject"/>
    <w:basedOn w:val="2"/>
    <w:next w:val="2"/>
    <w:link w:val="19"/>
    <w:semiHidden/>
    <w:unhideWhenUsed/>
    <w:qFormat/>
    <w:uiPriority w:val="99"/>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semiHidden/>
    <w:unhideWhenUsed/>
    <w:qFormat/>
    <w:uiPriority w:val="99"/>
    <w:rPr>
      <w:sz w:val="21"/>
      <w:szCs w:val="21"/>
    </w:rPr>
  </w:style>
  <w:style w:type="paragraph" w:styleId="13">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4">
    <w:name w:val="列出段落1"/>
    <w:basedOn w:val="1"/>
    <w:link w:val="15"/>
    <w:qFormat/>
    <w:uiPriority w:val="34"/>
    <w:pPr>
      <w:ind w:firstLine="420" w:firstLineChars="200"/>
    </w:pPr>
    <w:rPr>
      <w:rFonts w:eastAsia="仿宋_GB2312"/>
      <w:szCs w:val="32"/>
    </w:rPr>
  </w:style>
  <w:style w:type="character" w:customStyle="1" w:styleId="15">
    <w:name w:val="列出段落 Char"/>
    <w:basedOn w:val="11"/>
    <w:link w:val="14"/>
    <w:qFormat/>
    <w:uiPriority w:val="34"/>
    <w:rPr>
      <w:rFonts w:ascii="Times New Roman" w:hAnsi="Times New Roman" w:eastAsia="仿宋_GB2312" w:cs="Times New Roman"/>
      <w:sz w:val="32"/>
      <w:szCs w:val="32"/>
    </w:rPr>
  </w:style>
  <w:style w:type="character" w:customStyle="1" w:styleId="16">
    <w:name w:val="批注框文本 字符"/>
    <w:basedOn w:val="11"/>
    <w:link w:val="4"/>
    <w:semiHidden/>
    <w:qFormat/>
    <w:uiPriority w:val="99"/>
    <w:rPr>
      <w:rFonts w:ascii="Times New Roman" w:hAnsi="Times New Roman" w:eastAsia="Adobe 仿宋 Std R" w:cs="Times New Roman"/>
      <w:kern w:val="2"/>
      <w:sz w:val="18"/>
      <w:szCs w:val="18"/>
    </w:rPr>
  </w:style>
  <w:style w:type="paragraph" w:styleId="17">
    <w:name w:val="List Paragraph"/>
    <w:basedOn w:val="1"/>
    <w:unhideWhenUsed/>
    <w:qFormat/>
    <w:uiPriority w:val="99"/>
    <w:pPr>
      <w:ind w:firstLine="420" w:firstLineChars="200"/>
    </w:pPr>
  </w:style>
  <w:style w:type="character" w:customStyle="1" w:styleId="18">
    <w:name w:val="批注文字 字符"/>
    <w:basedOn w:val="11"/>
    <w:link w:val="2"/>
    <w:semiHidden/>
    <w:qFormat/>
    <w:uiPriority w:val="99"/>
    <w:rPr>
      <w:rFonts w:ascii="Times New Roman" w:hAnsi="Times New Roman" w:eastAsia="Adobe 仿宋 Std R" w:cs="Times New Roman"/>
      <w:kern w:val="2"/>
      <w:sz w:val="32"/>
      <w:szCs w:val="24"/>
    </w:rPr>
  </w:style>
  <w:style w:type="character" w:customStyle="1" w:styleId="19">
    <w:name w:val="批注主题 字符"/>
    <w:basedOn w:val="18"/>
    <w:link w:val="8"/>
    <w:semiHidden/>
    <w:qFormat/>
    <w:uiPriority w:val="99"/>
    <w:rPr>
      <w:rFonts w:ascii="Times New Roman" w:hAnsi="Times New Roman" w:eastAsia="Adobe 仿宋 Std R" w:cs="Times New Roman"/>
      <w:b/>
      <w:bCs/>
      <w:kern w:val="2"/>
      <w:sz w:val="32"/>
      <w:szCs w:val="24"/>
    </w:rPr>
  </w:style>
  <w:style w:type="paragraph" w:customStyle="1" w:styleId="20">
    <w:name w:val="王奕，内文"/>
    <w:basedOn w:val="7"/>
    <w:qFormat/>
    <w:uiPriority w:val="0"/>
    <w:pPr>
      <w:widowControl/>
      <w:spacing w:line="360" w:lineRule="auto"/>
      <w:ind w:firstLine="200" w:firstLineChars="200"/>
    </w:pPr>
    <w:rPr>
      <w:rFonts w:cs="MS Shell Dlg"/>
      <w:color w:val="000000"/>
      <w:kern w:val="0"/>
      <w:szCs w:val="20"/>
    </w:rPr>
  </w:style>
  <w:style w:type="character" w:customStyle="1" w:styleId="21">
    <w:name w:val="f101"/>
    <w:qFormat/>
    <w:uiPriority w:val="99"/>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A35BE5-6177-4C6C-841E-20FAAE1013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5570</Words>
  <Characters>5904</Characters>
  <Lines>44</Lines>
  <Paragraphs>12</Paragraphs>
  <TotalTime>14</TotalTime>
  <ScaleCrop>false</ScaleCrop>
  <LinksUpToDate>false</LinksUpToDate>
  <CharactersWithSpaces>5926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2022-01-12T05:16:00Z</dcterms:created>
  <dc:creator>董利华</dc:creator>
  <cp:lastModifiedBy>Super</cp:lastModifiedBy>
  <dcterms:modified xsi:type="dcterms:W3CDTF">2026-07-27T06:26:58Z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FEE1D6921E90427C9FB46944E93A5D46_13</vt:lpwstr>
  </property>
  <property fmtid="{D5CDD505-2E9C-101B-9397-08002B2CF9AE}" pid="4" name="KSOTemplateDocerSaveRecord">
    <vt:lpwstr>eyJoZGlkIjoiYzhkODdkMzdiOTIxZmNkMTFlMzYwZWQwYjRkOGNiNGMiLCJ1c2VySWQiOiIyNDkzNjM1MzUifQ==</vt:lpwstr>
  </property>
</Properties>
</file>