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492AE0">
      <w:pPr>
        <w:spacing w:line="520" w:lineRule="exact"/>
        <w:jc w:val="center"/>
        <w:rPr>
          <w:rFonts w:hint="eastAsia" w:eastAsia="方正小标宋简体"/>
          <w:color w:val="auto"/>
          <w:sz w:val="44"/>
          <w:szCs w:val="44"/>
          <w:highlight w:val="none"/>
        </w:rPr>
      </w:pPr>
      <w:r>
        <w:rPr>
          <w:rFonts w:hint="eastAsia" w:eastAsia="方正小标宋简体"/>
          <w:color w:val="auto"/>
          <w:sz w:val="44"/>
          <w:szCs w:val="44"/>
          <w:highlight w:val="none"/>
        </w:rPr>
        <w:t>臭氧消毒器注册审查指导原则</w:t>
      </w:r>
    </w:p>
    <w:p w14:paraId="747B9FBC">
      <w:pPr>
        <w:spacing w:line="520" w:lineRule="exact"/>
        <w:jc w:val="center"/>
        <w:rPr>
          <w:rFonts w:hint="eastAsia" w:eastAsia="方正小标宋简体"/>
          <w:color w:val="auto"/>
          <w:sz w:val="44"/>
          <w:szCs w:val="44"/>
          <w:highlight w:val="none"/>
        </w:rPr>
      </w:pPr>
      <w:r>
        <w:rPr>
          <w:rFonts w:hint="eastAsia" w:eastAsia="方正小标宋简体"/>
          <w:color w:val="auto"/>
          <w:sz w:val="44"/>
          <w:szCs w:val="44"/>
          <w:highlight w:val="none"/>
        </w:rPr>
        <w:t>（征求意见稿）</w:t>
      </w:r>
    </w:p>
    <w:p w14:paraId="6D2A349C">
      <w:pPr>
        <w:spacing w:line="520" w:lineRule="exact"/>
        <w:jc w:val="center"/>
        <w:rPr>
          <w:rFonts w:eastAsia="仿宋_GB2312"/>
          <w:bCs/>
          <w:color w:val="auto"/>
          <w:sz w:val="32"/>
          <w:szCs w:val="32"/>
          <w:highlight w:val="none"/>
        </w:rPr>
      </w:pPr>
    </w:p>
    <w:p w14:paraId="07314075">
      <w:pPr>
        <w:spacing w:line="520" w:lineRule="exact"/>
        <w:ind w:firstLine="640" w:firstLineChars="200"/>
        <w:rPr>
          <w:rFonts w:eastAsia="仿宋_GB2312"/>
          <w:color w:val="auto"/>
          <w:kern w:val="0"/>
          <w:sz w:val="32"/>
          <w:szCs w:val="32"/>
          <w:highlight w:val="none"/>
        </w:rPr>
      </w:pPr>
      <w:r>
        <w:rPr>
          <w:rFonts w:hint="eastAsia" w:eastAsia="仿宋_GB2312"/>
          <w:color w:val="auto"/>
          <w:kern w:val="0"/>
          <w:sz w:val="32"/>
          <w:szCs w:val="32"/>
          <w:highlight w:val="none"/>
        </w:rPr>
        <w:t>本指导原则旨在指导注册申请人对臭氧消毒器注册申报资料的准备及撰写，同时也为技术审评部门审评注册申报资料提供参考。</w:t>
      </w:r>
    </w:p>
    <w:p w14:paraId="07827EAE">
      <w:pPr>
        <w:spacing w:line="520" w:lineRule="exact"/>
        <w:ind w:firstLine="640" w:firstLineChars="200"/>
        <w:rPr>
          <w:rFonts w:eastAsia="仿宋_GB2312"/>
          <w:color w:val="auto"/>
          <w:kern w:val="0"/>
          <w:sz w:val="32"/>
          <w:szCs w:val="32"/>
          <w:highlight w:val="none"/>
        </w:rPr>
      </w:pPr>
      <w:r>
        <w:rPr>
          <w:rFonts w:hint="eastAsia" w:eastAsia="仿宋_GB2312"/>
          <w:color w:val="auto"/>
          <w:kern w:val="0"/>
          <w:sz w:val="32"/>
          <w:szCs w:val="32"/>
          <w:highlight w:val="none"/>
        </w:rPr>
        <w:t>本指导原则是对臭氧消毒器的一般要求，</w:t>
      </w:r>
      <w:r>
        <w:rPr>
          <w:rFonts w:eastAsia="仿宋_GB2312"/>
          <w:color w:val="auto"/>
          <w:kern w:val="0"/>
          <w:sz w:val="32"/>
          <w:highlight w:val="none"/>
        </w:rPr>
        <w:t>注册</w:t>
      </w:r>
      <w:r>
        <w:rPr>
          <w:rFonts w:hint="eastAsia" w:eastAsia="仿宋_GB2312"/>
          <w:color w:val="auto"/>
          <w:kern w:val="0"/>
          <w:sz w:val="32"/>
          <w:szCs w:val="32"/>
          <w:highlight w:val="none"/>
        </w:rPr>
        <w:t>申请人应依据产品的具体特性确定其中内容是否适用。若不适用，需具体阐述理由及相应的科学依据，并依据产品的具体特性对注册申报资料的内容进行充实和细化。</w:t>
      </w:r>
    </w:p>
    <w:p w14:paraId="34429933">
      <w:pPr>
        <w:spacing w:line="520" w:lineRule="exact"/>
        <w:ind w:firstLine="640" w:firstLineChars="200"/>
        <w:rPr>
          <w:rFonts w:eastAsia="仿宋_GB2312"/>
          <w:color w:val="auto"/>
          <w:kern w:val="0"/>
          <w:sz w:val="32"/>
          <w:szCs w:val="32"/>
          <w:highlight w:val="none"/>
        </w:rPr>
      </w:pPr>
      <w:r>
        <w:rPr>
          <w:rFonts w:eastAsia="仿宋_GB2312"/>
          <w:color w:val="auto"/>
          <w:kern w:val="0"/>
          <w:sz w:val="32"/>
          <w:szCs w:val="32"/>
          <w:highlight w:val="none"/>
        </w:rPr>
        <w:t>本指导原则是供注册申请人和技术审评人员使用的指导性文件，但不包括审评审批所涉及的行政事项，亦不作为法规强制执行，应在遵循相关法规的前提下使用本指导原则。如果有能够满足相关法规要求的其他方法，也可以采用，但是需要提供详细的研究资料和验证资料。</w:t>
      </w:r>
    </w:p>
    <w:p w14:paraId="79FC1802">
      <w:pPr>
        <w:spacing w:line="520" w:lineRule="exact"/>
        <w:ind w:firstLine="640" w:firstLineChars="200"/>
        <w:rPr>
          <w:rFonts w:eastAsia="仿宋_GB2312"/>
          <w:color w:val="auto"/>
          <w:sz w:val="32"/>
          <w:szCs w:val="32"/>
          <w:highlight w:val="none"/>
        </w:rPr>
      </w:pPr>
      <w:r>
        <w:rPr>
          <w:rFonts w:hint="eastAsia" w:eastAsia="仿宋_GB2312"/>
          <w:color w:val="auto"/>
          <w:kern w:val="0"/>
          <w:sz w:val="32"/>
          <w:szCs w:val="32"/>
          <w:highlight w:val="none"/>
        </w:rPr>
        <w:t>本指导原则是在现行法规、标准体系及当前认知水平下制定的，随着法规、标准体系的不断完善和科学技术的不断发展，本指导原则相关内容也将适时进行调整。</w:t>
      </w:r>
    </w:p>
    <w:p w14:paraId="573206CD">
      <w:pPr>
        <w:snapToGrid w:val="0"/>
        <w:spacing w:line="520" w:lineRule="exact"/>
        <w:ind w:firstLine="640" w:firstLineChars="200"/>
        <w:rPr>
          <w:rFonts w:eastAsia="黑体"/>
          <w:bCs/>
          <w:color w:val="auto"/>
          <w:sz w:val="32"/>
          <w:szCs w:val="32"/>
          <w:highlight w:val="none"/>
        </w:rPr>
      </w:pPr>
      <w:r>
        <w:rPr>
          <w:rFonts w:hint="eastAsia" w:eastAsia="黑体"/>
          <w:color w:val="auto"/>
          <w:sz w:val="32"/>
          <w:szCs w:val="32"/>
          <w:highlight w:val="none"/>
        </w:rPr>
        <w:t>一、</w:t>
      </w:r>
      <w:r>
        <w:rPr>
          <w:rFonts w:hint="eastAsia" w:eastAsia="黑体"/>
          <w:bCs/>
          <w:color w:val="auto"/>
          <w:sz w:val="32"/>
          <w:szCs w:val="32"/>
          <w:highlight w:val="none"/>
        </w:rPr>
        <w:t>适用范围</w:t>
      </w:r>
    </w:p>
    <w:p w14:paraId="310BA53C">
      <w:pPr>
        <w:snapToGrid w:val="0"/>
        <w:spacing w:line="520" w:lineRule="exact"/>
        <w:ind w:firstLine="640" w:firstLineChars="200"/>
        <w:rPr>
          <w:rFonts w:hint="eastAsia" w:eastAsia="仿宋_GB2312"/>
          <w:color w:val="auto"/>
          <w:kern w:val="2"/>
          <w:sz w:val="32"/>
          <w:szCs w:val="32"/>
          <w:highlight w:val="none"/>
          <w:lang w:eastAsia="zh-CN"/>
        </w:rPr>
      </w:pPr>
      <w:r>
        <w:rPr>
          <w:rFonts w:hint="eastAsia" w:eastAsia="仿宋_GB2312"/>
          <w:color w:val="auto"/>
          <w:sz w:val="32"/>
          <w:szCs w:val="32"/>
          <w:highlight w:val="none"/>
        </w:rPr>
        <w:t>本指导原则</w:t>
      </w:r>
      <w:r>
        <w:rPr>
          <w:rFonts w:hint="eastAsia" w:eastAsia="仿宋_GB2312"/>
          <w:color w:val="auto"/>
          <w:sz w:val="32"/>
          <w:szCs w:val="32"/>
          <w:highlight w:val="none"/>
          <w:lang w:val="en-US" w:eastAsia="zh-CN"/>
        </w:rPr>
        <w:t>所指的臭氧消毒器，通常由臭氧发生装置、电气控制系统、管路系统等组成，</w:t>
      </w:r>
      <w:r>
        <w:rPr>
          <w:rFonts w:hint="eastAsia" w:eastAsia="仿宋_GB2312"/>
          <w:color w:val="auto"/>
          <w:sz w:val="32"/>
          <w:szCs w:val="32"/>
          <w:highlight w:val="none"/>
          <w:lang w:eastAsia="zh-CN"/>
        </w:rPr>
        <w:t>用于可耐受臭氧的医疗器械进行消毒</w:t>
      </w:r>
      <w:r>
        <w:rPr>
          <w:rFonts w:hint="eastAsia" w:eastAsia="仿宋_GB2312"/>
          <w:color w:val="auto"/>
          <w:sz w:val="32"/>
          <w:szCs w:val="32"/>
          <w:highlight w:val="none"/>
        </w:rPr>
        <w:t>。不适用于消毒设备中可能含有的除臭氧以外的其他消毒因子（如紫外线、化学消毒剂等）</w:t>
      </w:r>
      <w:r>
        <w:rPr>
          <w:rFonts w:hint="eastAsia" w:eastAsia="仿宋_GB2312"/>
          <w:color w:val="auto"/>
          <w:sz w:val="32"/>
          <w:szCs w:val="32"/>
          <w:highlight w:val="none"/>
          <w:lang w:eastAsia="zh-CN"/>
        </w:rPr>
        <w:t>，</w:t>
      </w:r>
      <w:r>
        <w:rPr>
          <w:rFonts w:hint="eastAsia" w:eastAsia="仿宋_GB2312"/>
          <w:color w:val="auto"/>
          <w:sz w:val="32"/>
          <w:szCs w:val="32"/>
          <w:highlight w:val="none"/>
          <w:lang w:val="en-US" w:eastAsia="zh-CN"/>
        </w:rPr>
        <w:t>臭氧消毒功能参考本指导原则的适用部分执行</w:t>
      </w:r>
      <w:r>
        <w:rPr>
          <w:rFonts w:hint="eastAsia" w:eastAsia="仿宋_GB2312"/>
          <w:color w:val="auto"/>
          <w:sz w:val="32"/>
          <w:szCs w:val="32"/>
          <w:highlight w:val="none"/>
        </w:rPr>
        <w:t>。</w:t>
      </w:r>
    </w:p>
    <w:p w14:paraId="289F1952">
      <w:pPr>
        <w:snapToGrid w:val="0"/>
        <w:spacing w:line="520" w:lineRule="exact"/>
        <w:ind w:firstLine="640" w:firstLineChars="200"/>
        <w:rPr>
          <w:rFonts w:eastAsia="黑体"/>
          <w:bCs/>
          <w:color w:val="auto"/>
          <w:sz w:val="32"/>
          <w:szCs w:val="32"/>
          <w:highlight w:val="none"/>
        </w:rPr>
      </w:pPr>
      <w:bookmarkStart w:id="0" w:name="OLE_LINK1"/>
      <w:r>
        <w:rPr>
          <w:rFonts w:hint="eastAsia" w:eastAsia="黑体"/>
          <w:color w:val="auto"/>
          <w:sz w:val="32"/>
          <w:szCs w:val="32"/>
          <w:highlight w:val="none"/>
        </w:rPr>
        <w:t>二、注册审查</w:t>
      </w:r>
      <w:r>
        <w:rPr>
          <w:rFonts w:hint="eastAsia" w:eastAsia="黑体"/>
          <w:bCs/>
          <w:color w:val="auto"/>
          <w:sz w:val="32"/>
          <w:szCs w:val="32"/>
          <w:highlight w:val="none"/>
        </w:rPr>
        <w:t>要点</w:t>
      </w:r>
    </w:p>
    <w:p w14:paraId="7A9B1F39">
      <w:pPr>
        <w:spacing w:line="520" w:lineRule="exact"/>
        <w:ind w:right="-67" w:rightChars="-32" w:firstLine="640" w:firstLineChars="200"/>
        <w:rPr>
          <w:color w:val="auto"/>
          <w:highlight w:val="none"/>
        </w:rPr>
      </w:pPr>
      <w:r>
        <w:rPr>
          <w:rFonts w:eastAsia="楷体_GB2312"/>
          <w:color w:val="auto"/>
          <w:sz w:val="32"/>
          <w:szCs w:val="32"/>
          <w:highlight w:val="none"/>
        </w:rPr>
        <w:t>（一）监管信息</w:t>
      </w:r>
    </w:p>
    <w:p w14:paraId="1063A76D">
      <w:pPr>
        <w:spacing w:line="520" w:lineRule="exact"/>
        <w:ind w:firstLine="640" w:firstLineChars="200"/>
        <w:outlineLvl w:val="2"/>
        <w:rPr>
          <w:rFonts w:eastAsia="仿宋_GB2312"/>
          <w:color w:val="auto"/>
          <w:sz w:val="32"/>
          <w:szCs w:val="32"/>
          <w:highlight w:val="none"/>
        </w:rPr>
      </w:pPr>
      <w:r>
        <w:rPr>
          <w:rFonts w:hint="eastAsia" w:eastAsia="仿宋_GB2312"/>
          <w:color w:val="auto"/>
          <w:sz w:val="32"/>
          <w:szCs w:val="32"/>
          <w:highlight w:val="none"/>
        </w:rPr>
        <w:t>1.</w:t>
      </w:r>
      <w:r>
        <w:rPr>
          <w:rFonts w:eastAsia="仿宋_GB2312"/>
          <w:color w:val="auto"/>
          <w:sz w:val="32"/>
          <w:szCs w:val="32"/>
          <w:highlight w:val="none"/>
        </w:rPr>
        <w:t>产品名称</w:t>
      </w:r>
    </w:p>
    <w:p w14:paraId="4E566E63">
      <w:pPr>
        <w:spacing w:line="500" w:lineRule="exact"/>
        <w:ind w:firstLine="640" w:firstLineChars="200"/>
        <w:outlineLvl w:val="1"/>
        <w:rPr>
          <w:rFonts w:eastAsia="仿宋_GB2312"/>
          <w:color w:val="auto"/>
          <w:sz w:val="32"/>
          <w:szCs w:val="32"/>
          <w:highlight w:val="none"/>
        </w:rPr>
      </w:pPr>
      <w:r>
        <w:rPr>
          <w:rFonts w:ascii="Times New Roman" w:hAnsi="Times New Roman" w:eastAsia="仿宋_GB2312"/>
          <w:color w:val="auto"/>
          <w:sz w:val="32"/>
          <w:szCs w:val="32"/>
          <w:highlight w:val="none"/>
        </w:rPr>
        <w:t>产品名称应为通用名称，并符合《医疗器械通用名称命名规则》等相关法规、规范性文件的要求，</w:t>
      </w:r>
      <w:r>
        <w:rPr>
          <w:rFonts w:ascii="Times New Roman" w:hAnsi="Times New Roman" w:eastAsia="仿宋_GB2312"/>
          <w:color w:val="auto"/>
          <w:sz w:val="32"/>
          <w:highlight w:val="none"/>
        </w:rPr>
        <w:t>如医用</w:t>
      </w:r>
      <w:r>
        <w:rPr>
          <w:rFonts w:hint="eastAsia" w:eastAsia="仿宋_GB2312"/>
          <w:color w:val="auto"/>
          <w:kern w:val="0"/>
          <w:sz w:val="32"/>
          <w:highlight w:val="none"/>
          <w:lang w:val="en-US" w:eastAsia="zh-CN"/>
        </w:rPr>
        <w:t>臭氧消毒器</w:t>
      </w:r>
      <w:r>
        <w:rPr>
          <w:rFonts w:ascii="Times New Roman" w:hAnsi="Times New Roman" w:eastAsia="仿宋_GB2312"/>
          <w:color w:val="auto"/>
          <w:sz w:val="32"/>
          <w:szCs w:val="32"/>
          <w:highlight w:val="none"/>
        </w:rPr>
        <w:t>。</w:t>
      </w:r>
    </w:p>
    <w:p w14:paraId="50BF88F1">
      <w:pPr>
        <w:spacing w:line="520" w:lineRule="exact"/>
        <w:ind w:firstLine="640" w:firstLineChars="200"/>
        <w:outlineLvl w:val="2"/>
        <w:rPr>
          <w:rFonts w:eastAsia="仿宋_GB2312"/>
          <w:color w:val="auto"/>
          <w:sz w:val="32"/>
          <w:szCs w:val="32"/>
          <w:highlight w:val="none"/>
        </w:rPr>
      </w:pPr>
      <w:r>
        <w:rPr>
          <w:rFonts w:hint="eastAsia" w:eastAsia="仿宋_GB2312"/>
          <w:color w:val="auto"/>
          <w:sz w:val="32"/>
          <w:szCs w:val="32"/>
          <w:highlight w:val="none"/>
        </w:rPr>
        <w:t>2.管理类别和分类编码</w:t>
      </w:r>
    </w:p>
    <w:p w14:paraId="2A34218C">
      <w:pPr>
        <w:spacing w:line="520" w:lineRule="exact"/>
        <w:ind w:firstLine="640" w:firstLineChars="200"/>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产品按第二类医疗器械管理，分类编码为</w:t>
      </w:r>
      <w:r>
        <w:rPr>
          <w:rFonts w:hint="eastAsia" w:eastAsia="仿宋_GB2312"/>
          <w:bCs/>
          <w:color w:val="auto"/>
          <w:sz w:val="32"/>
          <w:szCs w:val="32"/>
          <w:highlight w:val="none"/>
        </w:rPr>
        <w:t>11</w:t>
      </w:r>
      <w:r>
        <w:rPr>
          <w:rFonts w:eastAsia="仿宋_GB2312"/>
          <w:bCs/>
          <w:color w:val="auto"/>
          <w:sz w:val="32"/>
          <w:szCs w:val="32"/>
          <w:highlight w:val="none"/>
        </w:rPr>
        <w:t>-0</w:t>
      </w:r>
      <w:r>
        <w:rPr>
          <w:rFonts w:hint="eastAsia" w:eastAsia="仿宋_GB2312"/>
          <w:bCs/>
          <w:color w:val="auto"/>
          <w:sz w:val="32"/>
          <w:szCs w:val="32"/>
          <w:highlight w:val="none"/>
        </w:rPr>
        <w:t>3</w:t>
      </w:r>
      <w:r>
        <w:rPr>
          <w:rFonts w:eastAsia="仿宋_GB2312"/>
          <w:bCs/>
          <w:color w:val="auto"/>
          <w:sz w:val="32"/>
          <w:szCs w:val="32"/>
          <w:highlight w:val="none"/>
        </w:rPr>
        <w:t>-0</w:t>
      </w:r>
      <w:r>
        <w:rPr>
          <w:rFonts w:hint="eastAsia" w:eastAsia="仿宋_GB2312"/>
          <w:bCs/>
          <w:color w:val="auto"/>
          <w:sz w:val="32"/>
          <w:szCs w:val="32"/>
          <w:highlight w:val="none"/>
        </w:rPr>
        <w:t>2</w:t>
      </w:r>
      <w:r>
        <w:rPr>
          <w:rFonts w:ascii="Times New Roman" w:hAnsi="Times New Roman" w:eastAsia="仿宋_GB2312"/>
          <w:color w:val="auto"/>
          <w:sz w:val="32"/>
          <w:szCs w:val="32"/>
          <w:highlight w:val="none"/>
        </w:rPr>
        <w:t>。</w:t>
      </w:r>
    </w:p>
    <w:p w14:paraId="04C9C2FB">
      <w:pPr>
        <w:spacing w:line="520" w:lineRule="exact"/>
        <w:ind w:firstLine="640" w:firstLineChars="200"/>
        <w:outlineLvl w:val="2"/>
        <w:rPr>
          <w:rFonts w:eastAsia="仿宋_GB2312"/>
          <w:color w:val="auto"/>
          <w:sz w:val="32"/>
          <w:szCs w:val="32"/>
          <w:highlight w:val="none"/>
        </w:rPr>
      </w:pPr>
      <w:r>
        <w:rPr>
          <w:rFonts w:hint="eastAsia" w:eastAsia="仿宋_GB2312"/>
          <w:color w:val="auto"/>
          <w:sz w:val="32"/>
          <w:szCs w:val="32"/>
          <w:highlight w:val="none"/>
        </w:rPr>
        <w:t>3.</w:t>
      </w:r>
      <w:r>
        <w:rPr>
          <w:rFonts w:eastAsia="仿宋_GB2312"/>
          <w:color w:val="auto"/>
          <w:sz w:val="32"/>
          <w:szCs w:val="32"/>
          <w:highlight w:val="none"/>
        </w:rPr>
        <w:t>注册单元划分</w:t>
      </w:r>
    </w:p>
    <w:p w14:paraId="4B49C796">
      <w:pPr>
        <w:spacing w:line="520" w:lineRule="exact"/>
        <w:ind w:firstLine="640" w:firstLineChars="200"/>
        <w:rPr>
          <w:rFonts w:eastAsia="仿宋_GB2312"/>
          <w:color w:val="auto"/>
          <w:sz w:val="32"/>
          <w:szCs w:val="32"/>
          <w:highlight w:val="none"/>
        </w:rPr>
      </w:pPr>
      <w:r>
        <w:rPr>
          <w:rFonts w:eastAsia="仿宋_GB2312"/>
          <w:color w:val="auto"/>
          <w:sz w:val="32"/>
          <w:szCs w:val="32"/>
          <w:highlight w:val="none"/>
        </w:rPr>
        <w:t>注册单元划分</w:t>
      </w:r>
      <w:r>
        <w:rPr>
          <w:rFonts w:hint="eastAsia" w:eastAsia="仿宋_GB2312"/>
          <w:color w:val="auto"/>
          <w:sz w:val="32"/>
          <w:szCs w:val="32"/>
          <w:highlight w:val="none"/>
        </w:rPr>
        <w:t>应</w:t>
      </w:r>
      <w:r>
        <w:rPr>
          <w:rFonts w:eastAsia="仿宋_GB2312"/>
          <w:color w:val="auto"/>
          <w:sz w:val="32"/>
          <w:szCs w:val="32"/>
          <w:highlight w:val="none"/>
        </w:rPr>
        <w:t>符合《医疗器械注册单元划分指导原则》的要求，原则上以产品的技术原理、结构组成、性能指标和适用范围为划分依据。</w:t>
      </w:r>
    </w:p>
    <w:p w14:paraId="1AB26859">
      <w:pPr>
        <w:numPr>
          <w:ilvl w:val="-1"/>
          <w:numId w:val="0"/>
        </w:numPr>
        <w:spacing w:line="520" w:lineRule="exact"/>
        <w:ind w:firstLine="640" w:firstLineChars="200"/>
        <w:jc w:val="left"/>
        <w:rPr>
          <w:rFonts w:hint="eastAsia" w:eastAsia="仿宋_GB2312"/>
          <w:color w:val="auto"/>
          <w:sz w:val="32"/>
          <w:szCs w:val="32"/>
          <w:highlight w:val="none"/>
        </w:rPr>
      </w:pPr>
      <w:r>
        <w:rPr>
          <w:rFonts w:hint="eastAsia" w:eastAsia="仿宋_GB2312"/>
          <w:color w:val="auto"/>
          <w:sz w:val="32"/>
          <w:szCs w:val="32"/>
          <w:highlight w:val="none"/>
          <w:lang w:val="en-US" w:eastAsia="zh-CN"/>
        </w:rPr>
        <w:t>采用不同臭氧发生</w:t>
      </w:r>
      <w:r>
        <w:rPr>
          <w:rFonts w:hint="default" w:ascii="Times New Roman" w:hAnsi="Times New Roman" w:eastAsia="仿宋_GB2312"/>
          <w:color w:val="auto"/>
          <w:sz w:val="32"/>
          <w:szCs w:val="32"/>
          <w:highlight w:val="none"/>
        </w:rPr>
        <w:t>方式</w:t>
      </w:r>
      <w:r>
        <w:rPr>
          <w:rFonts w:hint="eastAsia" w:eastAsia="仿宋_GB2312"/>
          <w:color w:val="auto"/>
          <w:sz w:val="32"/>
          <w:szCs w:val="32"/>
          <w:highlight w:val="none"/>
        </w:rPr>
        <w:t>或其他不同技术原理的产品需划分为不同注册单元。</w:t>
      </w:r>
    </w:p>
    <w:p w14:paraId="2AB91E3C">
      <w:pPr>
        <w:spacing w:line="520" w:lineRule="exact"/>
        <w:ind w:firstLine="640" w:firstLineChars="200"/>
        <w:rPr>
          <w:rFonts w:hint="eastAsia" w:eastAsia="仿宋_GB2312"/>
          <w:color w:val="auto"/>
          <w:sz w:val="32"/>
          <w:szCs w:val="32"/>
          <w:highlight w:val="none"/>
        </w:rPr>
      </w:pPr>
      <w:r>
        <w:rPr>
          <w:rFonts w:hint="eastAsia" w:eastAsia="仿宋_GB2312"/>
          <w:color w:val="auto"/>
          <w:sz w:val="32"/>
          <w:szCs w:val="32"/>
          <w:highlight w:val="none"/>
        </w:rPr>
        <w:t>采用臭氧发生器</w:t>
      </w:r>
      <w:r>
        <w:rPr>
          <w:rFonts w:hint="eastAsia" w:eastAsia="仿宋_GB2312"/>
          <w:color w:val="auto"/>
          <w:sz w:val="32"/>
          <w:szCs w:val="32"/>
          <w:highlight w:val="none"/>
          <w:lang w:eastAsia="zh-CN"/>
        </w:rPr>
        <w:t>相同</w:t>
      </w:r>
      <w:r>
        <w:rPr>
          <w:rFonts w:hint="eastAsia" w:eastAsia="仿宋_GB2312"/>
          <w:color w:val="auto"/>
          <w:sz w:val="32"/>
          <w:szCs w:val="32"/>
          <w:highlight w:val="none"/>
        </w:rPr>
        <w:t>的产品，产生的臭氧浓度</w:t>
      </w:r>
      <w:r>
        <w:rPr>
          <w:rFonts w:hint="eastAsia" w:eastAsia="仿宋_GB2312"/>
          <w:color w:val="auto"/>
          <w:sz w:val="32"/>
          <w:szCs w:val="32"/>
          <w:highlight w:val="none"/>
          <w:lang w:val="en-US" w:eastAsia="zh-CN"/>
        </w:rPr>
        <w:t>范围一致</w:t>
      </w:r>
      <w:r>
        <w:rPr>
          <w:rFonts w:hint="eastAsia" w:eastAsia="仿宋_GB2312"/>
          <w:color w:val="auto"/>
          <w:sz w:val="32"/>
          <w:szCs w:val="32"/>
          <w:highlight w:val="none"/>
        </w:rPr>
        <w:t>，</w:t>
      </w:r>
      <w:r>
        <w:rPr>
          <w:rFonts w:hint="eastAsia" w:eastAsia="仿宋_GB2312"/>
          <w:color w:val="auto"/>
          <w:sz w:val="32"/>
          <w:szCs w:val="32"/>
          <w:highlight w:val="none"/>
          <w:lang w:val="en-US" w:eastAsia="zh-CN"/>
        </w:rPr>
        <w:t>且臭氧气体作用方式或臭氧水制备方式和</w:t>
      </w:r>
      <w:r>
        <w:rPr>
          <w:rFonts w:hint="eastAsia" w:eastAsia="仿宋_GB2312"/>
          <w:color w:val="auto"/>
          <w:sz w:val="32"/>
          <w:szCs w:val="32"/>
          <w:highlight w:val="none"/>
        </w:rPr>
        <w:t>适用范围相同，存在</w:t>
      </w:r>
      <w:r>
        <w:rPr>
          <w:rFonts w:hint="default" w:ascii="Times New Roman" w:hAnsi="Times New Roman" w:eastAsia="仿宋_GB2312"/>
          <w:color w:val="auto"/>
          <w:sz w:val="32"/>
          <w:szCs w:val="32"/>
          <w:highlight w:val="none"/>
        </w:rPr>
        <w:t>腔体容积、臭氧产量等在</w:t>
      </w:r>
      <w:r>
        <w:rPr>
          <w:rFonts w:hint="eastAsia" w:eastAsia="仿宋_GB2312"/>
          <w:color w:val="auto"/>
          <w:sz w:val="32"/>
          <w:szCs w:val="32"/>
          <w:highlight w:val="none"/>
          <w:lang w:val="en-US" w:eastAsia="zh-CN"/>
        </w:rPr>
        <w:t>产品性能指标规定</w:t>
      </w:r>
      <w:r>
        <w:rPr>
          <w:rFonts w:hint="default" w:ascii="Times New Roman" w:hAnsi="Times New Roman" w:eastAsia="仿宋_GB2312"/>
          <w:color w:val="auto"/>
          <w:sz w:val="32"/>
          <w:szCs w:val="32"/>
          <w:highlight w:val="none"/>
        </w:rPr>
        <w:t>范围内</w:t>
      </w:r>
      <w:r>
        <w:rPr>
          <w:rFonts w:hint="eastAsia" w:eastAsia="仿宋_GB2312"/>
          <w:color w:val="auto"/>
          <w:sz w:val="32"/>
          <w:szCs w:val="32"/>
          <w:highlight w:val="none"/>
        </w:rPr>
        <w:t>的型号产品归入同一注册单元。</w:t>
      </w:r>
    </w:p>
    <w:p w14:paraId="45337B0C">
      <w:pPr>
        <w:spacing w:line="520" w:lineRule="exact"/>
        <w:ind w:firstLine="640" w:firstLineChars="200"/>
        <w:rPr>
          <w:rFonts w:eastAsia="仿宋_GB2312"/>
          <w:bCs/>
          <w:color w:val="auto"/>
          <w:sz w:val="32"/>
          <w:szCs w:val="32"/>
          <w:highlight w:val="none"/>
        </w:rPr>
      </w:pPr>
      <w:r>
        <w:rPr>
          <w:rFonts w:hint="eastAsia" w:eastAsia="楷体_GB2312"/>
          <w:bCs/>
          <w:color w:val="auto"/>
          <w:sz w:val="32"/>
          <w:szCs w:val="32"/>
          <w:highlight w:val="none"/>
        </w:rPr>
        <w:t>（二）</w:t>
      </w:r>
      <w:r>
        <w:rPr>
          <w:rFonts w:eastAsia="楷体_GB2312"/>
          <w:color w:val="auto"/>
          <w:sz w:val="32"/>
          <w:szCs w:val="32"/>
          <w:highlight w:val="none"/>
        </w:rPr>
        <w:t>综述资料</w:t>
      </w:r>
    </w:p>
    <w:p w14:paraId="3A2B5C6B">
      <w:pPr>
        <w:spacing w:line="520" w:lineRule="exact"/>
        <w:ind w:firstLine="640" w:firstLineChars="200"/>
        <w:rPr>
          <w:rFonts w:eastAsia="仿宋_GB2312"/>
          <w:bCs/>
          <w:color w:val="auto"/>
          <w:sz w:val="32"/>
          <w:szCs w:val="32"/>
          <w:highlight w:val="none"/>
        </w:rPr>
      </w:pPr>
      <w:r>
        <w:rPr>
          <w:rFonts w:eastAsia="仿宋_GB2312"/>
          <w:bCs/>
          <w:color w:val="auto"/>
          <w:sz w:val="32"/>
          <w:szCs w:val="32"/>
          <w:highlight w:val="none"/>
        </w:rPr>
        <w:t>1.</w:t>
      </w:r>
      <w:r>
        <w:rPr>
          <w:rFonts w:eastAsia="仿宋_GB2312"/>
          <w:color w:val="auto"/>
          <w:sz w:val="32"/>
          <w:szCs w:val="32"/>
          <w:highlight w:val="none"/>
        </w:rPr>
        <w:t>产品描述</w:t>
      </w:r>
    </w:p>
    <w:bookmarkEnd w:id="0"/>
    <w:p w14:paraId="2C85426C">
      <w:pPr>
        <w:snapToGrid w:val="0"/>
        <w:spacing w:line="520" w:lineRule="exact"/>
        <w:ind w:firstLine="640" w:firstLineChars="200"/>
        <w:rPr>
          <w:rFonts w:eastAsia="仿宋_GB2312"/>
          <w:color w:val="auto"/>
          <w:sz w:val="32"/>
          <w:szCs w:val="32"/>
          <w:highlight w:val="none"/>
        </w:rPr>
      </w:pPr>
      <w:bookmarkStart w:id="1" w:name="_Toc251021029"/>
      <w:r>
        <w:rPr>
          <w:rFonts w:hint="eastAsia" w:eastAsia="仿宋_GB2312"/>
          <w:color w:val="auto"/>
          <w:sz w:val="32"/>
          <w:szCs w:val="32"/>
          <w:highlight w:val="none"/>
          <w:lang w:val="en-US" w:eastAsia="zh-CN"/>
        </w:rPr>
        <w:t>1</w:t>
      </w:r>
      <w:r>
        <w:rPr>
          <w:rFonts w:hint="eastAsia" w:eastAsia="仿宋_GB2312"/>
          <w:color w:val="auto"/>
          <w:sz w:val="32"/>
          <w:szCs w:val="32"/>
          <w:highlight w:val="none"/>
        </w:rPr>
        <w:t>.1工作原理</w:t>
      </w:r>
    </w:p>
    <w:p w14:paraId="0F520300">
      <w:pPr>
        <w:snapToGrid w:val="0"/>
        <w:spacing w:line="520" w:lineRule="exact"/>
        <w:ind w:firstLine="640" w:firstLineChars="200"/>
        <w:rPr>
          <w:rFonts w:eastAsia="仿宋_GB2312"/>
          <w:color w:val="auto"/>
          <w:sz w:val="32"/>
          <w:szCs w:val="32"/>
          <w:highlight w:val="none"/>
        </w:rPr>
      </w:pPr>
      <w:r>
        <w:rPr>
          <w:rFonts w:hint="eastAsia" w:ascii="Times New Roman" w:hAnsi="Times New Roman" w:eastAsia="仿宋_GB2312"/>
          <w:color w:val="auto"/>
          <w:kern w:val="0"/>
          <w:sz w:val="32"/>
          <w:szCs w:val="32"/>
          <w:highlight w:val="none"/>
        </w:rPr>
        <w:t>臭氧消毒器的工作原理</w:t>
      </w:r>
      <w:r>
        <w:rPr>
          <w:rFonts w:hint="eastAsia" w:eastAsia="仿宋_GB2312"/>
          <w:color w:val="auto"/>
          <w:kern w:val="0"/>
          <w:sz w:val="32"/>
          <w:szCs w:val="32"/>
          <w:highlight w:val="none"/>
          <w:lang w:val="en-US" w:eastAsia="zh-CN"/>
        </w:rPr>
        <w:t>是通过生成臭氧气体或臭氧水对医疗器械进行消毒。</w:t>
      </w:r>
      <w:r>
        <w:rPr>
          <w:rFonts w:hint="eastAsia" w:ascii="Times New Roman" w:hAnsi="Times New Roman" w:eastAsia="仿宋_GB2312" w:cs="Times New Roman"/>
          <w:color w:val="auto"/>
          <w:kern w:val="0"/>
          <w:sz w:val="32"/>
          <w:szCs w:val="32"/>
          <w:highlight w:val="none"/>
        </w:rPr>
        <w:t>申请人综合临床应用，根据申报产品特点明确工作原理和技术类型，</w:t>
      </w:r>
      <w:r>
        <w:rPr>
          <w:rFonts w:hint="eastAsia" w:eastAsia="仿宋_GB2312" w:cs="Times New Roman"/>
          <w:color w:val="auto"/>
          <w:kern w:val="0"/>
          <w:sz w:val="32"/>
          <w:szCs w:val="32"/>
          <w:highlight w:val="none"/>
          <w:lang w:val="en-US" w:eastAsia="zh-CN"/>
        </w:rPr>
        <w:t>阐述产品臭氧生成方式、核心过程、消毒机制</w:t>
      </w:r>
      <w:r>
        <w:rPr>
          <w:rFonts w:hint="eastAsia" w:ascii="Times New Roman" w:hAnsi="Times New Roman" w:eastAsia="仿宋_GB2312" w:cs="Times New Roman"/>
          <w:color w:val="auto"/>
          <w:kern w:val="0"/>
          <w:sz w:val="32"/>
          <w:szCs w:val="32"/>
          <w:highlight w:val="none"/>
        </w:rPr>
        <w:t>等。</w:t>
      </w:r>
    </w:p>
    <w:p w14:paraId="5849E1B4">
      <w:pPr>
        <w:snapToGrid w:val="0"/>
        <w:spacing w:line="520" w:lineRule="exact"/>
        <w:ind w:firstLine="640" w:firstLineChars="200"/>
        <w:rPr>
          <w:rFonts w:eastAsia="仿宋_GB2312"/>
          <w:color w:val="auto"/>
          <w:sz w:val="32"/>
          <w:szCs w:val="32"/>
          <w:highlight w:val="none"/>
        </w:rPr>
      </w:pPr>
      <w:r>
        <w:rPr>
          <w:rFonts w:hint="eastAsia" w:eastAsia="仿宋_GB2312"/>
          <w:color w:val="auto"/>
          <w:sz w:val="32"/>
          <w:szCs w:val="32"/>
          <w:highlight w:val="none"/>
          <w:lang w:val="en-US" w:eastAsia="zh-CN"/>
        </w:rPr>
        <w:t>1</w:t>
      </w:r>
      <w:r>
        <w:rPr>
          <w:rFonts w:hint="eastAsia" w:eastAsia="仿宋_GB2312"/>
          <w:color w:val="auto"/>
          <w:sz w:val="32"/>
          <w:szCs w:val="32"/>
          <w:highlight w:val="none"/>
        </w:rPr>
        <w:t>.2结构组成</w:t>
      </w:r>
    </w:p>
    <w:p w14:paraId="256493E7">
      <w:pPr>
        <w:snapToGrid w:val="0"/>
        <w:spacing w:line="520" w:lineRule="exact"/>
        <w:ind w:firstLine="640" w:firstLineChars="200"/>
        <w:rPr>
          <w:rFonts w:hint="default" w:eastAsia="仿宋_GB2312"/>
          <w:color w:val="auto"/>
          <w:sz w:val="32"/>
          <w:szCs w:val="24"/>
          <w:highlight w:val="none"/>
        </w:rPr>
      </w:pPr>
      <w:r>
        <w:rPr>
          <w:rFonts w:hint="default" w:ascii="Times New Roman" w:hAnsi="Times New Roman" w:eastAsia="仿宋_GB2312"/>
          <w:color w:val="auto"/>
          <w:sz w:val="32"/>
          <w:highlight w:val="none"/>
        </w:rPr>
        <w:t>详细列出消毒器的主要组成部分，如</w:t>
      </w:r>
      <w:r>
        <w:rPr>
          <w:rFonts w:hint="default" w:ascii="Times New Roman" w:hAnsi="Times New Roman" w:eastAsia="仿宋_GB2312"/>
          <w:color w:val="auto"/>
          <w:sz w:val="32"/>
          <w:highlight w:val="none"/>
          <w:lang w:val="en-US" w:eastAsia="zh-CN"/>
        </w:rPr>
        <w:t>臭氧发生装置、电气控制系统、管路系统</w:t>
      </w:r>
      <w:r>
        <w:rPr>
          <w:rFonts w:hint="eastAsia" w:eastAsia="仿宋_GB2312"/>
          <w:color w:val="auto"/>
          <w:sz w:val="32"/>
          <w:highlight w:val="none"/>
          <w:lang w:val="en-US" w:eastAsia="zh-CN"/>
        </w:rPr>
        <w:t>、气水混合装置、安全装置</w:t>
      </w:r>
      <w:r>
        <w:rPr>
          <w:rFonts w:hint="default" w:ascii="Times New Roman" w:hAnsi="Times New Roman" w:eastAsia="仿宋_GB2312"/>
          <w:color w:val="auto"/>
          <w:sz w:val="32"/>
          <w:highlight w:val="none"/>
        </w:rPr>
        <w:t>等</w:t>
      </w:r>
      <w:r>
        <w:rPr>
          <w:rFonts w:hint="default" w:eastAsia="仿宋_GB2312"/>
          <w:color w:val="auto"/>
          <w:sz w:val="32"/>
          <w:szCs w:val="24"/>
          <w:highlight w:val="none"/>
        </w:rPr>
        <w:t>。</w:t>
      </w:r>
    </w:p>
    <w:p w14:paraId="31CE22B7">
      <w:pPr>
        <w:spacing w:line="520" w:lineRule="exact"/>
        <w:ind w:firstLine="640" w:firstLineChars="200"/>
        <w:rPr>
          <w:rFonts w:ascii="Times New Roman" w:hAnsi="Times New Roman" w:eastAsia="仿宋_GB2312"/>
          <w:color w:val="auto"/>
          <w:sz w:val="32"/>
          <w:highlight w:val="none"/>
        </w:rPr>
      </w:pPr>
      <w:r>
        <w:rPr>
          <w:rFonts w:ascii="Times New Roman" w:hAnsi="Times New Roman" w:eastAsia="仿宋_GB2312"/>
          <w:color w:val="auto"/>
          <w:sz w:val="32"/>
          <w:highlight w:val="none"/>
        </w:rPr>
        <w:t>不同生产企业的产品，在结构上存在一定差异，可以与本部分描述不完全一致，组成部分的名称也不限于文中描述。</w:t>
      </w:r>
    </w:p>
    <w:p w14:paraId="315241A5">
      <w:pPr>
        <w:pStyle w:val="2"/>
        <w:rPr>
          <w:rFonts w:ascii="Times New Roman" w:hAnsi="Times New Roman" w:eastAsia="仿宋_GB2312"/>
          <w:color w:val="auto"/>
          <w:sz w:val="32"/>
          <w:highlight w:val="none"/>
        </w:rPr>
      </w:pPr>
      <w:r>
        <w:drawing>
          <wp:anchor distT="0" distB="0" distL="114300" distR="114300" simplePos="0" relativeHeight="251660288" behindDoc="0" locked="0" layoutInCell="1" allowOverlap="1">
            <wp:simplePos x="0" y="0"/>
            <wp:positionH relativeFrom="column">
              <wp:posOffset>-104140</wp:posOffset>
            </wp:positionH>
            <wp:positionV relativeFrom="paragraph">
              <wp:posOffset>203835</wp:posOffset>
            </wp:positionV>
            <wp:extent cx="2642235" cy="2083435"/>
            <wp:effectExtent l="0" t="0" r="5715" b="12065"/>
            <wp:wrapNone/>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7"/>
                    <a:stretch>
                      <a:fillRect/>
                    </a:stretch>
                  </pic:blipFill>
                  <pic:spPr>
                    <a:xfrm>
                      <a:off x="0" y="0"/>
                      <a:ext cx="2642235" cy="2083435"/>
                    </a:xfrm>
                    <a:prstGeom prst="rect">
                      <a:avLst/>
                    </a:prstGeom>
                    <a:noFill/>
                    <a:ln>
                      <a:noFill/>
                    </a:ln>
                  </pic:spPr>
                </pic:pic>
              </a:graphicData>
            </a:graphic>
          </wp:anchor>
        </w:drawing>
      </w:r>
    </w:p>
    <w:p w14:paraId="4468A781">
      <w:pPr>
        <w:pStyle w:val="2"/>
        <w:rPr>
          <w:rFonts w:ascii="Times New Roman" w:hAnsi="Times New Roman" w:eastAsia="仿宋_GB2312"/>
          <w:color w:val="auto"/>
          <w:sz w:val="32"/>
          <w:highlight w:val="none"/>
        </w:rPr>
      </w:pPr>
    </w:p>
    <w:p w14:paraId="3519753D">
      <w:pPr>
        <w:pStyle w:val="2"/>
        <w:rPr>
          <w:rFonts w:ascii="Times New Roman" w:hAnsi="Times New Roman" w:eastAsia="仿宋_GB2312"/>
          <w:color w:val="auto"/>
          <w:sz w:val="32"/>
          <w:highlight w:val="none"/>
        </w:rPr>
      </w:pPr>
      <w:r>
        <w:drawing>
          <wp:anchor distT="0" distB="0" distL="114300" distR="114300" simplePos="0" relativeHeight="251659264" behindDoc="0" locked="0" layoutInCell="1" allowOverlap="1">
            <wp:simplePos x="0" y="0"/>
            <wp:positionH relativeFrom="column">
              <wp:posOffset>2615565</wp:posOffset>
            </wp:positionH>
            <wp:positionV relativeFrom="paragraph">
              <wp:posOffset>76835</wp:posOffset>
            </wp:positionV>
            <wp:extent cx="3397885" cy="1560830"/>
            <wp:effectExtent l="0" t="0" r="12065" b="1270"/>
            <wp:wrapNone/>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8"/>
                    <a:stretch>
                      <a:fillRect/>
                    </a:stretch>
                  </pic:blipFill>
                  <pic:spPr>
                    <a:xfrm>
                      <a:off x="0" y="0"/>
                      <a:ext cx="3397885" cy="1560830"/>
                    </a:xfrm>
                    <a:prstGeom prst="rect">
                      <a:avLst/>
                    </a:prstGeom>
                    <a:noFill/>
                    <a:ln>
                      <a:noFill/>
                    </a:ln>
                  </pic:spPr>
                </pic:pic>
              </a:graphicData>
            </a:graphic>
          </wp:anchor>
        </w:drawing>
      </w:r>
    </w:p>
    <w:p w14:paraId="39DB8E91">
      <w:pPr>
        <w:pStyle w:val="2"/>
        <w:rPr>
          <w:rFonts w:ascii="Times New Roman" w:hAnsi="Times New Roman" w:eastAsia="仿宋_GB2312"/>
          <w:color w:val="auto"/>
          <w:sz w:val="32"/>
          <w:highlight w:val="none"/>
        </w:rPr>
      </w:pPr>
    </w:p>
    <w:p w14:paraId="26676038">
      <w:pPr>
        <w:pStyle w:val="2"/>
        <w:rPr>
          <w:rFonts w:ascii="Times New Roman" w:hAnsi="Times New Roman" w:eastAsia="仿宋_GB2312"/>
          <w:color w:val="auto"/>
          <w:sz w:val="32"/>
          <w:highlight w:val="none"/>
        </w:rPr>
      </w:pPr>
    </w:p>
    <w:p w14:paraId="4F297756">
      <w:pPr>
        <w:pStyle w:val="2"/>
        <w:rPr>
          <w:rFonts w:ascii="Times New Roman" w:hAnsi="Times New Roman" w:eastAsia="仿宋_GB2312"/>
          <w:color w:val="auto"/>
          <w:sz w:val="32"/>
          <w:highlight w:val="none"/>
        </w:rPr>
      </w:pPr>
    </w:p>
    <w:p w14:paraId="41950D78">
      <w:pPr>
        <w:pStyle w:val="2"/>
        <w:rPr>
          <w:rFonts w:ascii="Times New Roman" w:hAnsi="Times New Roman" w:eastAsia="仿宋_GB2312"/>
          <w:color w:val="auto"/>
          <w:sz w:val="32"/>
          <w:highlight w:val="none"/>
        </w:rPr>
      </w:pPr>
    </w:p>
    <w:p w14:paraId="1D53605E">
      <w:pPr>
        <w:pStyle w:val="2"/>
        <w:rPr>
          <w:rFonts w:ascii="Times New Roman" w:hAnsi="Times New Roman" w:eastAsia="仿宋_GB2312"/>
          <w:color w:val="auto"/>
          <w:sz w:val="32"/>
          <w:highlight w:val="none"/>
        </w:rPr>
      </w:pPr>
    </w:p>
    <w:p w14:paraId="3D90FD2D">
      <w:pPr>
        <w:pStyle w:val="2"/>
        <w:rPr>
          <w:rFonts w:ascii="Times New Roman" w:hAnsi="Times New Roman" w:eastAsia="仿宋_GB2312"/>
          <w:color w:val="auto"/>
          <w:sz w:val="32"/>
          <w:highlight w:val="none"/>
        </w:rPr>
      </w:pPr>
    </w:p>
    <w:p w14:paraId="48BE9A29">
      <w:pPr>
        <w:pStyle w:val="2"/>
        <w:rPr>
          <w:rFonts w:ascii="Times New Roman" w:hAnsi="Times New Roman" w:eastAsia="仿宋_GB2312"/>
          <w:color w:val="auto"/>
          <w:sz w:val="32"/>
          <w:highlight w:val="none"/>
        </w:rPr>
      </w:pPr>
    </w:p>
    <w:p w14:paraId="1F9478E4">
      <w:pPr>
        <w:pStyle w:val="2"/>
        <w:rPr>
          <w:rFonts w:ascii="Times New Roman" w:hAnsi="Times New Roman" w:eastAsia="仿宋_GB2312"/>
          <w:color w:val="auto"/>
          <w:sz w:val="32"/>
          <w:highlight w:val="none"/>
        </w:rPr>
      </w:pPr>
    </w:p>
    <w:p w14:paraId="4EC49ED7">
      <w:pPr>
        <w:snapToGrid w:val="0"/>
        <w:spacing w:line="500" w:lineRule="exact"/>
        <w:ind w:firstLine="640" w:firstLineChars="200"/>
        <w:rPr>
          <w:rFonts w:eastAsia="仿宋_GB2312"/>
          <w:color w:val="auto"/>
          <w:sz w:val="32"/>
          <w:szCs w:val="32"/>
          <w:highlight w:val="none"/>
        </w:rPr>
      </w:pPr>
      <w:r>
        <w:rPr>
          <w:rFonts w:hint="eastAsia" w:eastAsia="仿宋_GB2312"/>
          <w:color w:val="auto"/>
          <w:sz w:val="32"/>
          <w:szCs w:val="32"/>
          <w:highlight w:val="none"/>
          <w:lang w:val="en-US" w:eastAsia="zh-CN"/>
        </w:rPr>
        <w:t>1</w:t>
      </w:r>
      <w:r>
        <w:rPr>
          <w:rFonts w:hint="eastAsia" w:eastAsia="仿宋_GB2312"/>
          <w:color w:val="auto"/>
          <w:sz w:val="32"/>
          <w:szCs w:val="32"/>
          <w:highlight w:val="none"/>
        </w:rPr>
        <w:t>.3主要功能及其组成部件的功能</w:t>
      </w:r>
    </w:p>
    <w:p w14:paraId="680E7EB0">
      <w:pPr>
        <w:snapToGrid w:val="0"/>
        <w:spacing w:line="520" w:lineRule="exact"/>
        <w:ind w:firstLine="640" w:firstLineChars="200"/>
        <w:rPr>
          <w:rFonts w:eastAsia="仿宋_GB2312"/>
          <w:color w:val="auto"/>
          <w:sz w:val="32"/>
          <w:szCs w:val="32"/>
          <w:highlight w:val="none"/>
        </w:rPr>
      </w:pPr>
      <w:r>
        <w:rPr>
          <w:rFonts w:eastAsia="仿宋_GB2312"/>
          <w:color w:val="auto"/>
          <w:sz w:val="32"/>
          <w:szCs w:val="32"/>
          <w:highlight w:val="none"/>
        </w:rPr>
        <w:t>申请人</w:t>
      </w:r>
      <w:r>
        <w:rPr>
          <w:rFonts w:hint="eastAsia" w:eastAsia="仿宋_GB2312"/>
          <w:color w:val="auto"/>
          <w:sz w:val="32"/>
          <w:szCs w:val="32"/>
          <w:highlight w:val="none"/>
        </w:rPr>
        <w:t>应</w:t>
      </w:r>
      <w:r>
        <w:rPr>
          <w:rFonts w:eastAsia="仿宋_GB2312"/>
          <w:color w:val="auto"/>
          <w:sz w:val="32"/>
          <w:szCs w:val="32"/>
          <w:highlight w:val="none"/>
        </w:rPr>
        <w:t>对</w:t>
      </w:r>
      <w:r>
        <w:rPr>
          <w:rFonts w:eastAsia="仿宋_GB2312"/>
          <w:color w:val="auto"/>
          <w:sz w:val="32"/>
          <w:szCs w:val="28"/>
          <w:highlight w:val="none"/>
        </w:rPr>
        <w:t>整机总体构造</w:t>
      </w:r>
      <w:r>
        <w:rPr>
          <w:rFonts w:hint="eastAsia" w:eastAsia="仿宋_GB2312"/>
          <w:color w:val="auto"/>
          <w:sz w:val="32"/>
          <w:szCs w:val="28"/>
          <w:highlight w:val="none"/>
        </w:rPr>
        <w:t>、功能</w:t>
      </w:r>
      <w:r>
        <w:rPr>
          <w:rFonts w:eastAsia="仿宋_GB2312"/>
          <w:color w:val="auto"/>
          <w:sz w:val="32"/>
          <w:szCs w:val="28"/>
          <w:highlight w:val="none"/>
        </w:rPr>
        <w:t>进行详细描述，包括所有组成部分，给出部件的说明（如图表、</w:t>
      </w:r>
      <w:r>
        <w:rPr>
          <w:rFonts w:hint="eastAsia" w:eastAsia="仿宋_GB2312"/>
          <w:color w:val="auto"/>
          <w:sz w:val="32"/>
          <w:szCs w:val="28"/>
          <w:highlight w:val="none"/>
          <w:lang w:val="en-US" w:eastAsia="zh-CN"/>
        </w:rPr>
        <w:t>实物图</w:t>
      </w:r>
      <w:r>
        <w:rPr>
          <w:rFonts w:eastAsia="仿宋_GB2312"/>
          <w:color w:val="auto"/>
          <w:sz w:val="32"/>
          <w:szCs w:val="28"/>
          <w:highlight w:val="none"/>
        </w:rPr>
        <w:t>和图纸），关键部件/组件的</w:t>
      </w:r>
      <w:r>
        <w:rPr>
          <w:rFonts w:hint="eastAsia" w:eastAsia="仿宋_GB2312"/>
          <w:color w:val="auto"/>
          <w:sz w:val="32"/>
          <w:szCs w:val="28"/>
          <w:highlight w:val="none"/>
        </w:rPr>
        <w:t>功能</w:t>
      </w:r>
      <w:r>
        <w:rPr>
          <w:rFonts w:eastAsia="仿宋_GB2312"/>
          <w:color w:val="auto"/>
          <w:sz w:val="32"/>
          <w:szCs w:val="28"/>
          <w:highlight w:val="none"/>
        </w:rPr>
        <w:t>说明</w:t>
      </w:r>
      <w:r>
        <w:rPr>
          <w:rFonts w:hint="eastAsia" w:eastAsia="仿宋_GB2312"/>
          <w:color w:val="auto"/>
          <w:sz w:val="32"/>
          <w:szCs w:val="28"/>
          <w:highlight w:val="none"/>
        </w:rPr>
        <w:t>、</w:t>
      </w:r>
      <w:r>
        <w:rPr>
          <w:rFonts w:eastAsia="仿宋_GB2312"/>
          <w:color w:val="auto"/>
          <w:sz w:val="32"/>
          <w:szCs w:val="28"/>
          <w:highlight w:val="none"/>
        </w:rPr>
        <w:t>标识</w:t>
      </w:r>
      <w:r>
        <w:rPr>
          <w:rFonts w:hint="eastAsia" w:eastAsia="仿宋_GB2312"/>
          <w:color w:val="auto"/>
          <w:sz w:val="32"/>
          <w:szCs w:val="28"/>
          <w:highlight w:val="none"/>
        </w:rPr>
        <w:t>和图示等</w:t>
      </w:r>
      <w:r>
        <w:rPr>
          <w:rFonts w:eastAsia="仿宋_GB2312"/>
          <w:color w:val="auto"/>
          <w:sz w:val="32"/>
          <w:szCs w:val="28"/>
          <w:highlight w:val="none"/>
        </w:rPr>
        <w:t>，其中包括充分的解释来方便理解这些图示</w:t>
      </w:r>
      <w:r>
        <w:rPr>
          <w:rFonts w:hint="eastAsia" w:eastAsia="仿宋_GB2312"/>
          <w:color w:val="auto"/>
          <w:sz w:val="32"/>
          <w:szCs w:val="32"/>
          <w:highlight w:val="none"/>
        </w:rPr>
        <w:t>。</w:t>
      </w:r>
    </w:p>
    <w:p w14:paraId="0F1F04F3">
      <w:pPr>
        <w:snapToGrid w:val="0"/>
        <w:spacing w:line="520" w:lineRule="exact"/>
        <w:ind w:firstLine="640" w:firstLineChars="200"/>
        <w:rPr>
          <w:rFonts w:eastAsia="仿宋_GB2312"/>
          <w:color w:val="auto"/>
          <w:sz w:val="32"/>
          <w:szCs w:val="32"/>
          <w:highlight w:val="none"/>
        </w:rPr>
      </w:pPr>
      <w:r>
        <w:rPr>
          <w:rFonts w:eastAsia="仿宋_GB2312"/>
          <w:color w:val="auto"/>
          <w:sz w:val="32"/>
          <w:szCs w:val="32"/>
          <w:highlight w:val="none"/>
        </w:rPr>
        <w:t>关于主要结构组成（包括关键组件和软件等）及主要功能的描述举例如下：</w:t>
      </w:r>
    </w:p>
    <w:p w14:paraId="5808E1B6">
      <w:pPr>
        <w:snapToGrid w:val="0"/>
        <w:spacing w:line="520" w:lineRule="exact"/>
        <w:ind w:firstLine="640" w:firstLineChars="200"/>
        <w:rPr>
          <w:rFonts w:eastAsia="仿宋_GB2312"/>
          <w:color w:val="auto"/>
          <w:sz w:val="32"/>
          <w:szCs w:val="32"/>
          <w:highlight w:val="none"/>
        </w:rPr>
      </w:pPr>
      <w:r>
        <w:rPr>
          <w:rFonts w:hint="eastAsia" w:eastAsia="仿宋_GB2312"/>
          <w:color w:val="auto"/>
          <w:sz w:val="32"/>
          <w:szCs w:val="32"/>
          <w:highlight w:val="none"/>
        </w:rPr>
        <w:t>臭氧发生装置是消毒器的核心部件，</w:t>
      </w:r>
      <w:r>
        <w:rPr>
          <w:rFonts w:hint="eastAsia" w:eastAsia="仿宋_GB2312"/>
          <w:color w:val="auto"/>
          <w:sz w:val="32"/>
          <w:szCs w:val="32"/>
          <w:highlight w:val="none"/>
          <w:lang w:val="en-US" w:eastAsia="zh-CN"/>
        </w:rPr>
        <w:t>通过介质阻挡放电、紫外线照射或电解方式产生臭氧所必需的装置</w:t>
      </w:r>
      <w:r>
        <w:rPr>
          <w:rFonts w:hint="eastAsia" w:eastAsia="仿宋_GB2312"/>
          <w:color w:val="auto"/>
          <w:sz w:val="32"/>
          <w:szCs w:val="32"/>
          <w:highlight w:val="none"/>
        </w:rPr>
        <w:t>。</w:t>
      </w:r>
    </w:p>
    <w:p w14:paraId="0974D594">
      <w:pPr>
        <w:snapToGrid w:val="0"/>
        <w:spacing w:line="520" w:lineRule="exact"/>
        <w:ind w:firstLine="640" w:firstLineChars="200"/>
        <w:rPr>
          <w:rFonts w:eastAsia="仿宋_GB2312"/>
          <w:color w:val="auto"/>
          <w:sz w:val="32"/>
          <w:szCs w:val="32"/>
          <w:highlight w:val="none"/>
        </w:rPr>
      </w:pPr>
      <w:r>
        <w:rPr>
          <w:rFonts w:hint="eastAsia" w:eastAsia="仿宋_GB2312"/>
          <w:color w:val="auto"/>
          <w:sz w:val="32"/>
          <w:szCs w:val="32"/>
          <w:highlight w:val="none"/>
        </w:rPr>
        <w:t>控制系统（包括相应控制软件）用于自动控制相关元器件的动作以实现既定的消毒工艺要求。</w:t>
      </w:r>
    </w:p>
    <w:p w14:paraId="6232507A">
      <w:pPr>
        <w:snapToGrid w:val="0"/>
        <w:spacing w:line="520" w:lineRule="exact"/>
        <w:ind w:firstLine="640" w:firstLineChars="200"/>
        <w:rPr>
          <w:rFonts w:eastAsia="仿宋_GB2312"/>
          <w:color w:val="auto"/>
          <w:sz w:val="32"/>
          <w:szCs w:val="32"/>
          <w:highlight w:val="none"/>
        </w:rPr>
      </w:pPr>
      <w:r>
        <w:rPr>
          <w:rFonts w:hint="eastAsia" w:eastAsia="仿宋_GB2312"/>
          <w:color w:val="auto"/>
          <w:sz w:val="32"/>
          <w:szCs w:val="32"/>
          <w:highlight w:val="none"/>
        </w:rPr>
        <w:t>管路系统用于实现消毒介质的输送、管腔气/液体流向等工艺的要求。</w:t>
      </w:r>
    </w:p>
    <w:p w14:paraId="3F463DA0">
      <w:pPr>
        <w:snapToGrid w:val="0"/>
        <w:spacing w:line="520" w:lineRule="exact"/>
        <w:ind w:firstLine="640" w:firstLineChars="200"/>
        <w:rPr>
          <w:rFonts w:hint="eastAsia" w:eastAsia="仿宋_GB2312"/>
          <w:color w:val="auto"/>
          <w:sz w:val="32"/>
          <w:szCs w:val="32"/>
          <w:highlight w:val="none"/>
          <w:lang w:eastAsia="zh-CN"/>
        </w:rPr>
      </w:pPr>
      <w:r>
        <w:rPr>
          <w:rFonts w:hint="eastAsia" w:eastAsia="仿宋_GB2312"/>
          <w:color w:val="auto"/>
          <w:sz w:val="32"/>
          <w:szCs w:val="32"/>
          <w:highlight w:val="none"/>
        </w:rPr>
        <w:t>气水混合</w:t>
      </w:r>
      <w:r>
        <w:rPr>
          <w:rFonts w:hint="eastAsia" w:eastAsia="仿宋_GB2312"/>
          <w:color w:val="auto"/>
          <w:sz w:val="32"/>
          <w:szCs w:val="32"/>
          <w:highlight w:val="none"/>
          <w:lang w:val="en-US" w:eastAsia="zh-CN"/>
        </w:rPr>
        <w:t>装置是将臭氧气体和水混合，使臭氧溶于水的装置。</w:t>
      </w:r>
    </w:p>
    <w:p w14:paraId="04B6ECC9">
      <w:pPr>
        <w:snapToGrid w:val="0"/>
        <w:spacing w:line="520" w:lineRule="exact"/>
        <w:ind w:firstLine="640" w:firstLineChars="200"/>
        <w:rPr>
          <w:rFonts w:eastAsia="仿宋_GB2312"/>
          <w:color w:val="auto"/>
          <w:sz w:val="32"/>
          <w:szCs w:val="32"/>
          <w:highlight w:val="none"/>
        </w:rPr>
      </w:pPr>
      <w:r>
        <w:rPr>
          <w:rFonts w:hint="eastAsia" w:eastAsia="仿宋_GB2312"/>
          <w:color w:val="auto"/>
          <w:sz w:val="32"/>
          <w:szCs w:val="32"/>
          <w:highlight w:val="none"/>
        </w:rPr>
        <w:t>安全装置</w:t>
      </w:r>
      <w:r>
        <w:rPr>
          <w:rFonts w:hint="eastAsia" w:eastAsia="仿宋_GB2312"/>
          <w:color w:val="auto"/>
          <w:sz w:val="32"/>
          <w:szCs w:val="32"/>
          <w:highlight w:val="none"/>
          <w:lang w:val="en-US" w:eastAsia="zh-CN"/>
        </w:rPr>
        <w:t>一般包括臭氧浓度监控系统、尾气分解装置、电气保护系统，</w:t>
      </w:r>
      <w:r>
        <w:rPr>
          <w:rFonts w:hint="eastAsia" w:eastAsia="仿宋_GB2312"/>
          <w:color w:val="auto"/>
          <w:sz w:val="32"/>
          <w:szCs w:val="32"/>
          <w:highlight w:val="none"/>
        </w:rPr>
        <w:t>用于确保使用安全。</w:t>
      </w:r>
    </w:p>
    <w:p w14:paraId="26232D6D">
      <w:pPr>
        <w:snapToGrid w:val="0"/>
        <w:spacing w:line="520" w:lineRule="exact"/>
        <w:ind w:firstLine="640" w:firstLineChars="200"/>
        <w:rPr>
          <w:rFonts w:eastAsia="仿宋_GB2312"/>
          <w:color w:val="auto"/>
          <w:kern w:val="0"/>
          <w:sz w:val="32"/>
          <w:szCs w:val="32"/>
          <w:highlight w:val="none"/>
        </w:rPr>
      </w:pPr>
      <w:r>
        <w:rPr>
          <w:rFonts w:hint="eastAsia" w:eastAsia="仿宋_GB2312"/>
          <w:color w:val="auto"/>
          <w:kern w:val="0"/>
          <w:sz w:val="32"/>
          <w:szCs w:val="32"/>
          <w:highlight w:val="none"/>
          <w:lang w:val="en-US" w:eastAsia="zh-CN"/>
        </w:rPr>
        <w:t>1</w:t>
      </w:r>
      <w:r>
        <w:rPr>
          <w:rFonts w:hint="eastAsia" w:eastAsia="仿宋_GB2312"/>
          <w:color w:val="auto"/>
          <w:kern w:val="0"/>
          <w:sz w:val="32"/>
          <w:szCs w:val="32"/>
          <w:highlight w:val="none"/>
        </w:rPr>
        <w:t>.4型号规格</w:t>
      </w:r>
    </w:p>
    <w:p w14:paraId="2E9278B4">
      <w:pPr>
        <w:snapToGrid w:val="0"/>
        <w:spacing w:line="520" w:lineRule="exact"/>
        <w:ind w:firstLine="640" w:firstLineChars="200"/>
        <w:rPr>
          <w:rFonts w:eastAsia="仿宋_GB2312"/>
          <w:color w:val="auto"/>
          <w:sz w:val="32"/>
          <w:szCs w:val="32"/>
          <w:highlight w:val="none"/>
        </w:rPr>
      </w:pPr>
      <w:r>
        <w:rPr>
          <w:rFonts w:hint="eastAsia" w:eastAsia="仿宋_GB2312"/>
          <w:color w:val="auto"/>
          <w:sz w:val="32"/>
          <w:szCs w:val="32"/>
          <w:highlight w:val="none"/>
        </w:rPr>
        <w:t>申请人需要说明申报产品的型号规格。若存在多个产品型号规格或配置，应当采用对比表或带有说明性文字的图片、图表详述不同型号规格、产品配置之间的差异，包括：结构组成、性能指标、技术特征等。</w:t>
      </w:r>
    </w:p>
    <w:p w14:paraId="442D5D85">
      <w:pPr>
        <w:snapToGrid w:val="0"/>
        <w:spacing w:line="520" w:lineRule="exact"/>
        <w:ind w:firstLine="640" w:firstLineChars="200"/>
        <w:rPr>
          <w:rFonts w:eastAsia="仿宋_GB2312"/>
          <w:color w:val="auto"/>
          <w:kern w:val="0"/>
          <w:sz w:val="32"/>
          <w:szCs w:val="32"/>
          <w:highlight w:val="none"/>
        </w:rPr>
      </w:pPr>
      <w:r>
        <w:rPr>
          <w:rFonts w:hint="eastAsia" w:eastAsia="仿宋_GB2312"/>
          <w:color w:val="auto"/>
          <w:kern w:val="0"/>
          <w:sz w:val="32"/>
          <w:szCs w:val="32"/>
          <w:highlight w:val="none"/>
          <w:lang w:val="en-US" w:eastAsia="zh-CN"/>
        </w:rPr>
        <w:t>1</w:t>
      </w:r>
      <w:r>
        <w:rPr>
          <w:rFonts w:hint="eastAsia" w:eastAsia="仿宋_GB2312"/>
          <w:color w:val="auto"/>
          <w:kern w:val="0"/>
          <w:sz w:val="32"/>
          <w:szCs w:val="32"/>
          <w:highlight w:val="none"/>
        </w:rPr>
        <w:t>.5包装</w:t>
      </w:r>
    </w:p>
    <w:p w14:paraId="1B697FC6">
      <w:pPr>
        <w:snapToGrid w:val="0"/>
        <w:spacing w:line="520" w:lineRule="exact"/>
        <w:ind w:firstLine="640" w:firstLineChars="200"/>
        <w:rPr>
          <w:rFonts w:eastAsia="仿宋_GB2312"/>
          <w:color w:val="auto"/>
          <w:sz w:val="32"/>
          <w:szCs w:val="32"/>
          <w:highlight w:val="none"/>
        </w:rPr>
      </w:pPr>
      <w:r>
        <w:rPr>
          <w:rFonts w:hint="eastAsia" w:eastAsia="仿宋_GB2312"/>
          <w:color w:val="auto"/>
          <w:sz w:val="32"/>
          <w:szCs w:val="32"/>
          <w:highlight w:val="none"/>
        </w:rPr>
        <w:t>申请人</w:t>
      </w:r>
      <w:r>
        <w:rPr>
          <w:rFonts w:eastAsia="仿宋_GB2312"/>
          <w:color w:val="auto"/>
          <w:sz w:val="32"/>
          <w:szCs w:val="32"/>
          <w:highlight w:val="none"/>
        </w:rPr>
        <w:t>需要描述注册单元内所有产品组成的包装情况，说明包装清单和包装方式，提供包装图示。</w:t>
      </w:r>
    </w:p>
    <w:p w14:paraId="39579B35">
      <w:pPr>
        <w:snapToGrid w:val="0"/>
        <w:spacing w:line="520" w:lineRule="exact"/>
        <w:ind w:firstLine="640" w:firstLineChars="200"/>
        <w:rPr>
          <w:rFonts w:eastAsia="仿宋_GB2312"/>
          <w:color w:val="auto"/>
          <w:sz w:val="32"/>
          <w:szCs w:val="32"/>
          <w:highlight w:val="none"/>
        </w:rPr>
      </w:pPr>
      <w:r>
        <w:rPr>
          <w:rFonts w:hint="eastAsia" w:eastAsia="仿宋_GB2312"/>
          <w:color w:val="auto"/>
          <w:sz w:val="32"/>
          <w:szCs w:val="32"/>
          <w:highlight w:val="none"/>
          <w:lang w:val="en-US" w:eastAsia="zh-CN"/>
        </w:rPr>
        <w:t>1</w:t>
      </w:r>
      <w:r>
        <w:rPr>
          <w:rFonts w:hint="eastAsia" w:eastAsia="仿宋_GB2312"/>
          <w:color w:val="auto"/>
          <w:sz w:val="32"/>
          <w:szCs w:val="32"/>
          <w:highlight w:val="none"/>
        </w:rPr>
        <w:t>.6研发历程</w:t>
      </w:r>
    </w:p>
    <w:p w14:paraId="70EA16A5">
      <w:pPr>
        <w:snapToGrid w:val="0"/>
        <w:spacing w:line="520" w:lineRule="exact"/>
        <w:ind w:firstLine="640" w:firstLineChars="200"/>
        <w:rPr>
          <w:rFonts w:eastAsia="仿宋_GB2312"/>
          <w:color w:val="auto"/>
          <w:sz w:val="32"/>
          <w:szCs w:val="32"/>
          <w:highlight w:val="none"/>
        </w:rPr>
      </w:pPr>
      <w:r>
        <w:rPr>
          <w:rFonts w:hint="eastAsia" w:eastAsia="仿宋_GB2312"/>
          <w:color w:val="auto"/>
          <w:sz w:val="32"/>
          <w:szCs w:val="32"/>
          <w:highlight w:val="none"/>
        </w:rPr>
        <w:t>申请人应</w:t>
      </w:r>
      <w:r>
        <w:rPr>
          <w:rFonts w:eastAsia="仿宋_GB2312"/>
          <w:color w:val="auto"/>
          <w:sz w:val="32"/>
          <w:szCs w:val="32"/>
          <w:highlight w:val="none"/>
        </w:rPr>
        <w:t>阐述申请注册产品的研发背景和目的。如有参考的同类产品或前代产品，应当提供同类产品或前代产品的信息，并说明选择其作为研发参考的原因。</w:t>
      </w:r>
    </w:p>
    <w:p w14:paraId="5F73A257">
      <w:pPr>
        <w:snapToGrid w:val="0"/>
        <w:spacing w:line="520" w:lineRule="exact"/>
        <w:ind w:firstLine="640" w:firstLineChars="200"/>
        <w:rPr>
          <w:rFonts w:eastAsia="仿宋_GB2312"/>
          <w:color w:val="auto"/>
          <w:kern w:val="0"/>
          <w:sz w:val="32"/>
          <w:szCs w:val="32"/>
          <w:highlight w:val="none"/>
        </w:rPr>
      </w:pPr>
      <w:r>
        <w:rPr>
          <w:rFonts w:hint="eastAsia" w:eastAsia="仿宋_GB2312"/>
          <w:bCs/>
          <w:color w:val="auto"/>
          <w:sz w:val="32"/>
          <w:szCs w:val="32"/>
          <w:highlight w:val="none"/>
          <w:lang w:val="en-US" w:eastAsia="zh-CN"/>
        </w:rPr>
        <w:t>1</w:t>
      </w:r>
      <w:r>
        <w:rPr>
          <w:rFonts w:hint="eastAsia" w:eastAsia="仿宋_GB2312"/>
          <w:bCs/>
          <w:color w:val="auto"/>
          <w:sz w:val="32"/>
          <w:szCs w:val="32"/>
          <w:highlight w:val="none"/>
        </w:rPr>
        <w:t>.7</w:t>
      </w:r>
      <w:r>
        <w:rPr>
          <w:rFonts w:eastAsia="仿宋_GB2312"/>
          <w:bCs/>
          <w:color w:val="auto"/>
          <w:sz w:val="32"/>
          <w:szCs w:val="32"/>
          <w:highlight w:val="none"/>
        </w:rPr>
        <w:t>与同类和/或前代产品的参考和比较</w:t>
      </w:r>
    </w:p>
    <w:p w14:paraId="7227BABF">
      <w:pPr>
        <w:snapToGrid w:val="0"/>
        <w:spacing w:line="520" w:lineRule="exact"/>
        <w:ind w:firstLine="640" w:firstLineChars="200"/>
        <w:rPr>
          <w:rFonts w:eastAsia="仿宋_GB2312"/>
          <w:color w:val="auto"/>
          <w:sz w:val="32"/>
          <w:szCs w:val="32"/>
          <w:highlight w:val="none"/>
        </w:rPr>
      </w:pPr>
      <w:r>
        <w:rPr>
          <w:rFonts w:hint="eastAsia" w:eastAsia="仿宋_GB2312"/>
          <w:color w:val="auto"/>
          <w:sz w:val="32"/>
          <w:szCs w:val="32"/>
          <w:highlight w:val="none"/>
        </w:rPr>
        <w:t>申请人</w:t>
      </w:r>
      <w:r>
        <w:rPr>
          <w:rFonts w:eastAsia="仿宋_GB2312"/>
          <w:color w:val="auto"/>
          <w:sz w:val="32"/>
          <w:szCs w:val="32"/>
          <w:highlight w:val="none"/>
        </w:rPr>
        <w:t>需要</w:t>
      </w:r>
      <w:r>
        <w:rPr>
          <w:rFonts w:hint="eastAsia" w:eastAsia="仿宋_GB2312"/>
          <w:color w:val="auto"/>
          <w:sz w:val="32"/>
          <w:szCs w:val="32"/>
          <w:highlight w:val="none"/>
        </w:rPr>
        <w:t>列表比较说明申报产品与同类产品和/或前代产品在工作原理、结构组成、制造材料、性能指标以及适用范围等方面的异同。</w:t>
      </w:r>
    </w:p>
    <w:p w14:paraId="793414BD">
      <w:pPr>
        <w:snapToGrid w:val="0"/>
        <w:spacing w:line="520" w:lineRule="exact"/>
        <w:ind w:firstLine="640" w:firstLineChars="200"/>
        <w:rPr>
          <w:rFonts w:eastAsia="仿宋_GB2312" w:cs="仿宋_GB2312"/>
          <w:bCs/>
          <w:color w:val="auto"/>
          <w:sz w:val="32"/>
          <w:szCs w:val="32"/>
          <w:highlight w:val="none"/>
        </w:rPr>
      </w:pPr>
      <w:r>
        <w:rPr>
          <w:rFonts w:hint="eastAsia" w:eastAsia="仿宋_GB2312"/>
          <w:color w:val="auto"/>
          <w:sz w:val="32"/>
          <w:szCs w:val="32"/>
          <w:highlight w:val="none"/>
          <w:lang w:val="en-US" w:eastAsia="zh-CN"/>
        </w:rPr>
        <w:t>2</w:t>
      </w:r>
      <w:r>
        <w:rPr>
          <w:rFonts w:hint="eastAsia" w:eastAsia="仿宋_GB2312"/>
          <w:color w:val="auto"/>
          <w:sz w:val="32"/>
          <w:szCs w:val="32"/>
          <w:highlight w:val="none"/>
        </w:rPr>
        <w:t>.</w:t>
      </w:r>
      <w:r>
        <w:rPr>
          <w:rFonts w:hint="eastAsia" w:eastAsia="仿宋_GB2312" w:cs="仿宋_GB2312"/>
          <w:bCs/>
          <w:color w:val="auto"/>
          <w:sz w:val="32"/>
          <w:szCs w:val="32"/>
          <w:highlight w:val="none"/>
        </w:rPr>
        <w:t>适用范围和禁忌证</w:t>
      </w:r>
    </w:p>
    <w:p w14:paraId="5E0C9177">
      <w:pPr>
        <w:snapToGrid w:val="0"/>
        <w:spacing w:line="520" w:lineRule="exact"/>
        <w:ind w:firstLine="640" w:firstLineChars="200"/>
        <w:rPr>
          <w:rFonts w:eastAsia="仿宋_GB2312"/>
          <w:color w:val="auto"/>
          <w:sz w:val="32"/>
          <w:szCs w:val="32"/>
          <w:highlight w:val="none"/>
        </w:rPr>
      </w:pPr>
      <w:r>
        <w:rPr>
          <w:rFonts w:hint="eastAsia" w:eastAsia="仿宋_GB2312"/>
          <w:color w:val="auto"/>
          <w:sz w:val="32"/>
          <w:szCs w:val="32"/>
          <w:highlight w:val="none"/>
          <w:lang w:val="en-US" w:eastAsia="zh-CN"/>
        </w:rPr>
        <w:t>2</w:t>
      </w:r>
      <w:r>
        <w:rPr>
          <w:rFonts w:hint="eastAsia" w:eastAsia="仿宋_GB2312"/>
          <w:color w:val="auto"/>
          <w:sz w:val="32"/>
          <w:szCs w:val="32"/>
          <w:highlight w:val="none"/>
        </w:rPr>
        <w:t>.1适用范围</w:t>
      </w:r>
    </w:p>
    <w:p w14:paraId="23357758">
      <w:pPr>
        <w:snapToGrid w:val="0"/>
        <w:spacing w:line="520" w:lineRule="exact"/>
        <w:ind w:firstLine="640" w:firstLineChars="200"/>
        <w:rPr>
          <w:rFonts w:hint="eastAsia" w:eastAsia="仿宋_GB2312"/>
          <w:color w:val="auto"/>
          <w:sz w:val="32"/>
          <w:szCs w:val="32"/>
          <w:highlight w:val="none"/>
        </w:rPr>
      </w:pPr>
      <w:r>
        <w:rPr>
          <w:rFonts w:hint="eastAsia" w:eastAsia="仿宋_GB2312"/>
          <w:color w:val="auto"/>
          <w:sz w:val="32"/>
          <w:szCs w:val="32"/>
          <w:highlight w:val="none"/>
        </w:rPr>
        <w:t>预期用途可描述为：用于可耐受臭氧的医疗器械进行消毒。</w:t>
      </w:r>
    </w:p>
    <w:p w14:paraId="373FB135">
      <w:pPr>
        <w:snapToGrid w:val="0"/>
        <w:spacing w:line="520" w:lineRule="exact"/>
        <w:ind w:firstLine="640" w:firstLineChars="200"/>
        <w:rPr>
          <w:rFonts w:eastAsia="仿宋_GB2312"/>
          <w:color w:val="auto"/>
          <w:sz w:val="32"/>
          <w:szCs w:val="32"/>
          <w:highlight w:val="none"/>
        </w:rPr>
      </w:pPr>
      <w:r>
        <w:rPr>
          <w:rFonts w:hint="eastAsia" w:eastAsia="仿宋_GB2312"/>
          <w:color w:val="auto"/>
          <w:sz w:val="32"/>
          <w:szCs w:val="32"/>
          <w:highlight w:val="none"/>
          <w:lang w:val="en-US" w:eastAsia="zh-CN"/>
        </w:rPr>
        <w:t>2</w:t>
      </w:r>
      <w:r>
        <w:rPr>
          <w:rFonts w:hint="eastAsia" w:eastAsia="仿宋_GB2312"/>
          <w:color w:val="auto"/>
          <w:sz w:val="32"/>
          <w:szCs w:val="32"/>
          <w:highlight w:val="none"/>
        </w:rPr>
        <w:t>.2</w:t>
      </w:r>
      <w:r>
        <w:rPr>
          <w:rFonts w:eastAsia="仿宋_GB2312"/>
          <w:color w:val="auto"/>
          <w:sz w:val="32"/>
          <w:szCs w:val="32"/>
          <w:highlight w:val="none"/>
        </w:rPr>
        <w:t>预期使用环境</w:t>
      </w:r>
    </w:p>
    <w:p w14:paraId="217E21C3">
      <w:pPr>
        <w:snapToGrid w:val="0"/>
        <w:spacing w:line="520" w:lineRule="exact"/>
        <w:ind w:firstLine="640" w:firstLineChars="200"/>
        <w:rPr>
          <w:rFonts w:eastAsia="仿宋_GB2312"/>
          <w:color w:val="auto"/>
          <w:sz w:val="32"/>
          <w:szCs w:val="32"/>
          <w:highlight w:val="none"/>
        </w:rPr>
      </w:pPr>
      <w:r>
        <w:rPr>
          <w:rFonts w:eastAsia="仿宋_GB2312"/>
          <w:color w:val="auto"/>
          <w:sz w:val="32"/>
          <w:szCs w:val="32"/>
          <w:highlight w:val="none"/>
        </w:rPr>
        <w:t>申请人需要详述产品</w:t>
      </w:r>
      <w:r>
        <w:rPr>
          <w:rFonts w:eastAsia="仿宋_GB2312"/>
          <w:bCs/>
          <w:color w:val="auto"/>
          <w:sz w:val="32"/>
          <w:szCs w:val="32"/>
          <w:highlight w:val="none"/>
        </w:rPr>
        <w:t>预期使用的地点</w:t>
      </w:r>
      <w:r>
        <w:rPr>
          <w:rFonts w:hint="eastAsia" w:eastAsia="仿宋_GB2312"/>
          <w:bCs/>
          <w:color w:val="auto"/>
          <w:sz w:val="32"/>
          <w:szCs w:val="32"/>
          <w:highlight w:val="none"/>
        </w:rPr>
        <w:t>和</w:t>
      </w:r>
      <w:r>
        <w:rPr>
          <w:rFonts w:eastAsia="仿宋_GB2312"/>
          <w:bCs/>
          <w:color w:val="auto"/>
          <w:sz w:val="32"/>
          <w:szCs w:val="32"/>
          <w:highlight w:val="none"/>
        </w:rPr>
        <w:t>可能影响其安全性和有效性的环境条件</w:t>
      </w:r>
      <w:r>
        <w:rPr>
          <w:rFonts w:eastAsia="仿宋_GB2312"/>
          <w:color w:val="auto"/>
          <w:sz w:val="32"/>
          <w:szCs w:val="32"/>
          <w:highlight w:val="none"/>
        </w:rPr>
        <w:t>。</w:t>
      </w:r>
    </w:p>
    <w:p w14:paraId="7EE1F1B4">
      <w:pPr>
        <w:spacing w:line="520" w:lineRule="exact"/>
        <w:ind w:right="-67" w:rightChars="-32" w:firstLine="640" w:firstLineChars="200"/>
        <w:rPr>
          <w:rFonts w:eastAsia="仿宋_GB2312"/>
          <w:color w:val="auto"/>
          <w:sz w:val="32"/>
          <w:szCs w:val="32"/>
          <w:highlight w:val="none"/>
        </w:rPr>
      </w:pPr>
      <w:r>
        <w:rPr>
          <w:rFonts w:hint="eastAsia" w:eastAsia="仿宋_GB2312"/>
          <w:color w:val="auto"/>
          <w:sz w:val="32"/>
          <w:szCs w:val="32"/>
          <w:highlight w:val="none"/>
        </w:rPr>
        <w:t>明确设备使用场所如医疗机构。</w:t>
      </w:r>
    </w:p>
    <w:p w14:paraId="3D028B9D">
      <w:pPr>
        <w:snapToGrid w:val="0"/>
        <w:spacing w:line="520" w:lineRule="exact"/>
        <w:ind w:firstLine="640" w:firstLineChars="200"/>
        <w:rPr>
          <w:rFonts w:eastAsia="仿宋_GB2312"/>
          <w:color w:val="auto"/>
          <w:sz w:val="32"/>
          <w:szCs w:val="32"/>
          <w:highlight w:val="none"/>
        </w:rPr>
      </w:pPr>
      <w:r>
        <w:rPr>
          <w:rFonts w:hint="eastAsia" w:eastAsia="仿宋_GB2312"/>
          <w:color w:val="auto"/>
          <w:sz w:val="32"/>
          <w:szCs w:val="32"/>
          <w:highlight w:val="none"/>
        </w:rPr>
        <w:t>使用环境要求至少包括：环境温度、湿度、大气压等。</w:t>
      </w:r>
    </w:p>
    <w:p w14:paraId="25B2DE61">
      <w:pPr>
        <w:snapToGrid w:val="0"/>
        <w:spacing w:line="520" w:lineRule="exact"/>
        <w:ind w:firstLine="640" w:firstLineChars="200"/>
        <w:rPr>
          <w:rFonts w:eastAsia="仿宋_GB2312"/>
          <w:color w:val="auto"/>
          <w:sz w:val="32"/>
          <w:szCs w:val="32"/>
          <w:highlight w:val="none"/>
        </w:rPr>
      </w:pPr>
      <w:r>
        <w:rPr>
          <w:rFonts w:hint="eastAsia" w:eastAsia="仿宋_GB2312"/>
          <w:color w:val="auto"/>
          <w:sz w:val="32"/>
          <w:szCs w:val="32"/>
          <w:highlight w:val="none"/>
          <w:lang w:val="en-US" w:eastAsia="zh-CN"/>
        </w:rPr>
        <w:t>2</w:t>
      </w:r>
      <w:r>
        <w:rPr>
          <w:rFonts w:hint="eastAsia" w:eastAsia="仿宋_GB2312"/>
          <w:color w:val="auto"/>
          <w:sz w:val="32"/>
          <w:szCs w:val="32"/>
          <w:highlight w:val="none"/>
        </w:rPr>
        <w:t>.3禁忌证</w:t>
      </w:r>
    </w:p>
    <w:p w14:paraId="5A09E8A2">
      <w:pPr>
        <w:snapToGrid w:val="0"/>
        <w:spacing w:line="520" w:lineRule="exact"/>
        <w:ind w:firstLine="640" w:firstLineChars="200"/>
        <w:rPr>
          <w:rFonts w:eastAsia="仿宋_GB2312" w:cs="仿宋_GB2312"/>
          <w:bCs/>
          <w:color w:val="auto"/>
          <w:sz w:val="32"/>
          <w:szCs w:val="32"/>
          <w:highlight w:val="none"/>
        </w:rPr>
      </w:pPr>
      <w:r>
        <w:rPr>
          <w:rFonts w:hint="eastAsia" w:eastAsia="仿宋_GB2312"/>
          <w:color w:val="auto"/>
          <w:sz w:val="32"/>
          <w:szCs w:val="32"/>
          <w:highlight w:val="none"/>
        </w:rPr>
        <w:t>产</w:t>
      </w:r>
      <w:r>
        <w:rPr>
          <w:rFonts w:hint="eastAsia" w:eastAsia="仿宋_GB2312"/>
          <w:color w:val="auto"/>
          <w:spacing w:val="-12"/>
          <w:sz w:val="32"/>
          <w:szCs w:val="32"/>
          <w:highlight w:val="none"/>
        </w:rPr>
        <w:t>品无绝对禁忌证，但不能对不耐臭氧腐蚀的物品进行消毒。</w:t>
      </w:r>
    </w:p>
    <w:p w14:paraId="492E6DEF">
      <w:pPr>
        <w:snapToGrid w:val="0"/>
        <w:spacing w:line="520" w:lineRule="exact"/>
        <w:ind w:firstLine="640" w:firstLineChars="200"/>
        <w:rPr>
          <w:rFonts w:eastAsia="仿宋_GB2312"/>
          <w:bCs/>
          <w:color w:val="auto"/>
          <w:sz w:val="32"/>
          <w:szCs w:val="32"/>
          <w:highlight w:val="none"/>
          <w:lang w:val="en-CA"/>
        </w:rPr>
      </w:pPr>
      <w:r>
        <w:rPr>
          <w:rFonts w:hint="eastAsia" w:eastAsia="仿宋_GB2312"/>
          <w:color w:val="auto"/>
          <w:sz w:val="32"/>
          <w:szCs w:val="32"/>
          <w:highlight w:val="none"/>
          <w:lang w:val="en-US" w:eastAsia="zh-CN"/>
        </w:rPr>
        <w:t>3</w:t>
      </w:r>
      <w:r>
        <w:rPr>
          <w:rFonts w:hint="eastAsia" w:eastAsia="仿宋_GB2312"/>
          <w:color w:val="auto"/>
          <w:sz w:val="32"/>
          <w:szCs w:val="32"/>
          <w:highlight w:val="none"/>
        </w:rPr>
        <w:t>.</w:t>
      </w:r>
      <w:r>
        <w:rPr>
          <w:rFonts w:hint="eastAsia" w:eastAsia="仿宋_GB2312" w:cs="仿宋_GB2312"/>
          <w:bCs/>
          <w:color w:val="auto"/>
          <w:sz w:val="32"/>
          <w:szCs w:val="32"/>
          <w:highlight w:val="none"/>
        </w:rPr>
        <w:t>申报产品上市历史</w:t>
      </w:r>
    </w:p>
    <w:p w14:paraId="2597AC4C">
      <w:pPr>
        <w:spacing w:line="520" w:lineRule="exact"/>
        <w:ind w:firstLine="640" w:firstLineChars="200"/>
        <w:rPr>
          <w:rFonts w:ascii="Times New Roman" w:hAnsi="Times New Roman" w:eastAsia="仿宋_GB2312" w:cs="Times New Roman"/>
          <w:color w:val="auto"/>
          <w:kern w:val="0"/>
          <w:sz w:val="32"/>
          <w:szCs w:val="32"/>
          <w:highlight w:val="none"/>
        </w:rPr>
      </w:pPr>
      <w:r>
        <w:rPr>
          <w:rFonts w:hint="eastAsia" w:ascii="Times New Roman" w:hAnsi="Times New Roman" w:eastAsia="仿宋_GB2312" w:cs="Times New Roman"/>
          <w:color w:val="auto"/>
          <w:kern w:val="0"/>
          <w:sz w:val="32"/>
          <w:szCs w:val="32"/>
          <w:highlight w:val="none"/>
        </w:rPr>
        <w:t>截</w:t>
      </w:r>
      <w:r>
        <w:rPr>
          <w:rFonts w:hint="eastAsia" w:ascii="Times New Roman" w:hAnsi="Times New Roman" w:eastAsia="仿宋_GB2312" w:cs="Times New Roman"/>
          <w:color w:val="auto"/>
          <w:kern w:val="0"/>
          <w:sz w:val="32"/>
          <w:szCs w:val="32"/>
          <w:highlight w:val="none"/>
        </w:rPr>
        <w:t>至提交注册申请前，申报产品在各国家或地区的上市批准时间、销售情况。若申报产品在不同国家或地区上市时有差异（如设计、标签、技术参数等），应当逐一描述。如适用，需提交申报产品不良事件和召回、销售不良事件及召回率及其他需要说明的内容。</w:t>
      </w:r>
    </w:p>
    <w:p w14:paraId="17792853">
      <w:pPr>
        <w:spacing w:line="520" w:lineRule="exact"/>
        <w:ind w:firstLine="640" w:firstLineChars="200"/>
        <w:rPr>
          <w:rFonts w:eastAsia="仿宋_GB2312"/>
          <w:bCs/>
          <w:color w:val="auto"/>
          <w:sz w:val="32"/>
          <w:szCs w:val="32"/>
          <w:highlight w:val="none"/>
        </w:rPr>
      </w:pPr>
      <w:r>
        <w:rPr>
          <w:rFonts w:hint="eastAsia" w:eastAsia="仿宋_GB2312"/>
          <w:bCs/>
          <w:color w:val="auto"/>
          <w:sz w:val="32"/>
          <w:szCs w:val="32"/>
          <w:highlight w:val="none"/>
          <w:lang w:val="en-US" w:eastAsia="zh-CN"/>
        </w:rPr>
        <w:t>4</w:t>
      </w:r>
      <w:r>
        <w:rPr>
          <w:rFonts w:hint="eastAsia" w:eastAsia="仿宋_GB2312"/>
          <w:bCs/>
          <w:color w:val="auto"/>
          <w:sz w:val="32"/>
          <w:szCs w:val="32"/>
          <w:highlight w:val="none"/>
        </w:rPr>
        <w:t>.其他需说明的内容</w:t>
      </w:r>
    </w:p>
    <w:p w14:paraId="1E0CB359">
      <w:pPr>
        <w:spacing w:line="520" w:lineRule="exact"/>
        <w:ind w:firstLine="640" w:firstLineChars="200"/>
        <w:rPr>
          <w:rFonts w:eastAsia="仿宋_GB2312"/>
          <w:bCs/>
          <w:color w:val="auto"/>
          <w:sz w:val="32"/>
          <w:szCs w:val="32"/>
          <w:highlight w:val="none"/>
        </w:rPr>
      </w:pPr>
      <w:r>
        <w:rPr>
          <w:rFonts w:eastAsia="仿宋_GB2312"/>
          <w:bCs/>
          <w:color w:val="auto"/>
          <w:sz w:val="32"/>
          <w:szCs w:val="32"/>
          <w:highlight w:val="none"/>
        </w:rPr>
        <w:t>如适用，</w:t>
      </w:r>
      <w:r>
        <w:rPr>
          <w:rFonts w:hint="eastAsia" w:eastAsia="仿宋_GB2312"/>
          <w:bCs/>
          <w:color w:val="auto"/>
          <w:sz w:val="32"/>
          <w:szCs w:val="32"/>
          <w:highlight w:val="none"/>
        </w:rPr>
        <w:t>申请人应</w:t>
      </w:r>
      <w:r>
        <w:rPr>
          <w:rFonts w:eastAsia="仿宋_GB2312"/>
          <w:bCs/>
          <w:color w:val="auto"/>
          <w:sz w:val="32"/>
          <w:szCs w:val="32"/>
          <w:highlight w:val="none"/>
        </w:rPr>
        <w:t>明确与申报产品联合使用实现预期用途的其他产品的详细信息</w:t>
      </w:r>
      <w:r>
        <w:rPr>
          <w:rFonts w:hint="eastAsia" w:eastAsia="仿宋_GB2312"/>
          <w:bCs/>
          <w:color w:val="auto"/>
          <w:sz w:val="32"/>
          <w:szCs w:val="32"/>
          <w:highlight w:val="none"/>
        </w:rPr>
        <w:t>，比如外接水源的接口、水质的要求、温度、湿度等与设备安全有效直接相关的信息</w:t>
      </w:r>
      <w:r>
        <w:rPr>
          <w:rFonts w:eastAsia="仿宋_GB2312"/>
          <w:bCs/>
          <w:color w:val="auto"/>
          <w:sz w:val="32"/>
          <w:szCs w:val="32"/>
          <w:highlight w:val="none"/>
        </w:rPr>
        <w:t>。</w:t>
      </w:r>
    </w:p>
    <w:bookmarkEnd w:id="1"/>
    <w:p w14:paraId="58F0C605">
      <w:pPr>
        <w:snapToGrid w:val="0"/>
        <w:spacing w:line="520" w:lineRule="exact"/>
        <w:ind w:firstLine="640" w:firstLineChars="200"/>
        <w:rPr>
          <w:rFonts w:eastAsia="楷体_GB2312"/>
          <w:bCs/>
          <w:color w:val="auto"/>
          <w:sz w:val="32"/>
          <w:szCs w:val="32"/>
          <w:highlight w:val="none"/>
        </w:rPr>
      </w:pPr>
      <w:r>
        <w:rPr>
          <w:rFonts w:hint="eastAsia" w:eastAsia="楷体_GB2312"/>
          <w:bCs/>
          <w:color w:val="auto"/>
          <w:sz w:val="32"/>
          <w:szCs w:val="32"/>
          <w:highlight w:val="none"/>
        </w:rPr>
        <w:t>（三）非临床资料</w:t>
      </w:r>
    </w:p>
    <w:p w14:paraId="49A57DCD">
      <w:pPr>
        <w:tabs>
          <w:tab w:val="left" w:pos="540"/>
        </w:tabs>
        <w:spacing w:line="520" w:lineRule="exact"/>
        <w:ind w:firstLine="640" w:firstLineChars="200"/>
        <w:outlineLvl w:val="2"/>
        <w:rPr>
          <w:rFonts w:ascii="Times New Roman" w:hAnsi="Times New Roman" w:eastAsia="仿宋_GB2312"/>
          <w:bCs/>
          <w:color w:val="auto"/>
          <w:sz w:val="32"/>
          <w:szCs w:val="32"/>
          <w:highlight w:val="none"/>
        </w:rPr>
      </w:pPr>
      <w:r>
        <w:rPr>
          <w:rFonts w:ascii="Times New Roman" w:hAnsi="Times New Roman" w:eastAsia="仿宋_GB2312"/>
          <w:bCs/>
          <w:color w:val="auto"/>
          <w:sz w:val="32"/>
          <w:szCs w:val="32"/>
          <w:highlight w:val="none"/>
        </w:rPr>
        <w:t>1.风险管理资料</w:t>
      </w:r>
    </w:p>
    <w:p w14:paraId="5832C003">
      <w:pPr>
        <w:spacing w:line="520" w:lineRule="exact"/>
        <w:ind w:firstLine="640" w:firstLineChars="200"/>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产品的风险管理报告应符合GB/T 42062《医疗器械 风险管理对医疗器械的应用》的有关要求，审查要点包括：</w:t>
      </w:r>
    </w:p>
    <w:p w14:paraId="57DA5A24">
      <w:pPr>
        <w:spacing w:line="520" w:lineRule="exact"/>
        <w:ind w:firstLine="640" w:firstLineChars="200"/>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1.1产品安全性特征判定是否准确（依据YY/T 1437）；</w:t>
      </w:r>
    </w:p>
    <w:p w14:paraId="6BC79424">
      <w:pPr>
        <w:spacing w:line="520" w:lineRule="exact"/>
        <w:ind w:firstLine="640" w:firstLineChars="200"/>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1.2危害分析是否全面（依据GB/T 42062附录C）；</w:t>
      </w:r>
    </w:p>
    <w:p w14:paraId="79DB8748">
      <w:pPr>
        <w:adjustRightInd w:val="0"/>
        <w:snapToGrid w:val="0"/>
        <w:spacing w:line="520" w:lineRule="exact"/>
        <w:ind w:firstLine="640" w:firstLineChars="200"/>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1.3风险可接收准则，降低风险的措施及采取措施后风险的可接收程度，是否有新的风险产生。</w:t>
      </w:r>
    </w:p>
    <w:p w14:paraId="76087B02">
      <w:pPr>
        <w:tabs>
          <w:tab w:val="left" w:pos="8040"/>
        </w:tabs>
        <w:spacing w:line="520" w:lineRule="exact"/>
        <w:ind w:firstLine="640"/>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根据GB/T 42062《医疗器械 风险管理对医疗器械的应用》，对“</w:t>
      </w:r>
      <w:r>
        <w:rPr>
          <w:rFonts w:hint="eastAsia" w:eastAsia="仿宋_GB2312"/>
          <w:color w:val="auto"/>
          <w:sz w:val="32"/>
          <w:szCs w:val="32"/>
          <w:highlight w:val="none"/>
          <w:lang w:val="en-US" w:eastAsia="zh-CN"/>
        </w:rPr>
        <w:t>臭氧消毒</w:t>
      </w:r>
      <w:r>
        <w:rPr>
          <w:rFonts w:ascii="Times New Roman" w:hAnsi="Times New Roman" w:eastAsia="仿宋_GB2312"/>
          <w:color w:val="auto"/>
          <w:sz w:val="32"/>
          <w:szCs w:val="32"/>
          <w:highlight w:val="none"/>
        </w:rPr>
        <w:t>器”已知或可预见的风险进行判定，产品在进行风险分析时至少应包括以下的主要风险点（详见附表），企业还应根据自身产品特点确定其他危害。针对产品的各项风险，企业应采取应对措施，确保风险降到可接受的程度。</w:t>
      </w:r>
    </w:p>
    <w:p w14:paraId="525E6CA6">
      <w:pPr>
        <w:snapToGrid w:val="0"/>
        <w:spacing w:line="520" w:lineRule="exact"/>
        <w:ind w:firstLine="640" w:firstLineChars="200"/>
        <w:rPr>
          <w:rFonts w:eastAsia="仿宋_GB2312"/>
          <w:color w:val="auto"/>
          <w:sz w:val="32"/>
          <w:szCs w:val="32"/>
          <w:highlight w:val="none"/>
        </w:rPr>
      </w:pPr>
      <w:r>
        <w:rPr>
          <w:rFonts w:ascii="Times New Roman" w:hAnsi="Times New Roman" w:eastAsia="仿宋_GB2312"/>
          <w:color w:val="auto"/>
          <w:sz w:val="32"/>
          <w:szCs w:val="32"/>
          <w:highlight w:val="none"/>
        </w:rPr>
        <w:t>表中所列出的风险点、危害仅为与产品密切相关的部分，并不能代表设备的全部风险。申请人应依据自身的质量管理体系要求，结合产品特点评估相关风险，并建立起科学全面的风险分析与管理制度，进而避免较大程度的风险及危害的发生</w:t>
      </w:r>
      <w:r>
        <w:rPr>
          <w:rFonts w:eastAsia="仿宋_GB2312"/>
          <w:color w:val="auto"/>
          <w:kern w:val="0"/>
          <w:sz w:val="32"/>
          <w:szCs w:val="32"/>
          <w:highlight w:val="none"/>
        </w:rPr>
        <w:t>。</w:t>
      </w:r>
    </w:p>
    <w:p w14:paraId="3F4FFF42">
      <w:pPr>
        <w:snapToGrid w:val="0"/>
        <w:spacing w:line="520" w:lineRule="exact"/>
        <w:ind w:firstLine="640" w:firstLineChars="200"/>
        <w:rPr>
          <w:rFonts w:eastAsia="仿宋_GB2312"/>
          <w:bCs/>
          <w:color w:val="auto"/>
          <w:sz w:val="32"/>
          <w:szCs w:val="32"/>
          <w:highlight w:val="none"/>
        </w:rPr>
      </w:pPr>
      <w:r>
        <w:rPr>
          <w:rFonts w:hint="eastAsia" w:eastAsia="仿宋_GB2312" w:cs="仿宋_GB2312"/>
          <w:bCs/>
          <w:color w:val="auto"/>
          <w:sz w:val="32"/>
          <w:szCs w:val="32"/>
          <w:highlight w:val="none"/>
        </w:rPr>
        <w:t>2.</w:t>
      </w:r>
      <w:r>
        <w:rPr>
          <w:rFonts w:eastAsia="仿宋_GB2312"/>
          <w:bCs/>
          <w:color w:val="auto"/>
          <w:sz w:val="32"/>
          <w:szCs w:val="32"/>
          <w:highlight w:val="none"/>
        </w:rPr>
        <w:t>医疗器械安全和性能基本原则清单</w:t>
      </w:r>
    </w:p>
    <w:p w14:paraId="7B005293">
      <w:pPr>
        <w:snapToGrid w:val="0"/>
        <w:spacing w:line="520" w:lineRule="exact"/>
        <w:ind w:firstLine="640" w:firstLineChars="200"/>
        <w:rPr>
          <w:rFonts w:eastAsia="仿宋_GB2312"/>
          <w:bCs/>
          <w:color w:val="auto"/>
          <w:sz w:val="32"/>
          <w:szCs w:val="32"/>
          <w:highlight w:val="none"/>
        </w:rPr>
      </w:pPr>
      <w:r>
        <w:rPr>
          <w:rFonts w:eastAsia="仿宋_GB2312"/>
          <w:color w:val="auto"/>
          <w:sz w:val="32"/>
          <w:szCs w:val="32"/>
          <w:highlight w:val="none"/>
        </w:rPr>
        <w:t>说明产品符合《医疗器械安全和性能基本原则清单》各项适用要求所采用的方法，以及证明其符合性的文件。对于不适用的各项要求，应当说明理由。</w:t>
      </w:r>
    </w:p>
    <w:p w14:paraId="566CDC2B">
      <w:pPr>
        <w:snapToGrid w:val="0"/>
        <w:spacing w:line="520" w:lineRule="exact"/>
        <w:ind w:firstLine="640" w:firstLineChars="200"/>
        <w:rPr>
          <w:rFonts w:eastAsia="仿宋_GB2312"/>
          <w:color w:val="auto"/>
          <w:sz w:val="32"/>
          <w:szCs w:val="32"/>
          <w:highlight w:val="none"/>
        </w:rPr>
      </w:pPr>
      <w:r>
        <w:rPr>
          <w:rFonts w:hint="eastAsia" w:eastAsia="仿宋_GB2312"/>
          <w:color w:val="auto"/>
          <w:sz w:val="32"/>
          <w:szCs w:val="32"/>
          <w:highlight w:val="none"/>
        </w:rPr>
        <w:t>3.</w:t>
      </w:r>
      <w:r>
        <w:rPr>
          <w:rFonts w:eastAsia="仿宋_GB2312"/>
          <w:color w:val="auto"/>
          <w:sz w:val="32"/>
          <w:szCs w:val="32"/>
          <w:highlight w:val="none"/>
        </w:rPr>
        <w:t>产品技术要求及检验报告</w:t>
      </w:r>
    </w:p>
    <w:p w14:paraId="6B81D87B">
      <w:pPr>
        <w:snapToGrid w:val="0"/>
        <w:spacing w:line="520" w:lineRule="exact"/>
        <w:ind w:firstLine="640" w:firstLineChars="200"/>
        <w:rPr>
          <w:rFonts w:hint="eastAsia" w:eastAsia="仿宋_GB2312"/>
          <w:color w:val="auto"/>
          <w:sz w:val="32"/>
          <w:highlight w:val="none"/>
          <w:lang w:eastAsia="zh-CN"/>
        </w:rPr>
      </w:pPr>
      <w:r>
        <w:rPr>
          <w:rFonts w:ascii="Times New Roman" w:hAnsi="Times New Roman" w:eastAsia="仿宋_GB2312"/>
          <w:color w:val="auto"/>
          <w:sz w:val="32"/>
          <w:highlight w:val="none"/>
        </w:rPr>
        <w:t>产品可按结构组成、技术参数等划分为不同型号和规格</w:t>
      </w:r>
      <w:r>
        <w:rPr>
          <w:rFonts w:hint="eastAsia" w:eastAsia="仿宋_GB2312"/>
          <w:color w:val="auto"/>
          <w:sz w:val="32"/>
          <w:highlight w:val="none"/>
          <w:lang w:eastAsia="zh-CN"/>
        </w:rPr>
        <w:t>。</w:t>
      </w:r>
    </w:p>
    <w:p w14:paraId="66EDE85B">
      <w:pPr>
        <w:snapToGrid/>
        <w:spacing w:line="520" w:lineRule="exact"/>
        <w:ind w:firstLine="640" w:firstLineChars="200"/>
        <w:rPr>
          <w:rFonts w:hint="eastAsia" w:eastAsia="仿宋_GB2312"/>
          <w:color w:val="auto"/>
          <w:sz w:val="32"/>
          <w:highlight w:val="none"/>
          <w:lang w:eastAsia="zh-CN"/>
        </w:rPr>
      </w:pPr>
      <w:r>
        <w:rPr>
          <w:rFonts w:ascii="Times New Roman" w:hAnsi="Times New Roman" w:eastAsia="仿宋_GB2312"/>
          <w:color w:val="auto"/>
          <w:sz w:val="32"/>
          <w:highlight w:val="none"/>
        </w:rPr>
        <w:t>若有产品有多个型号，应提供型号间的主要差异对比表。</w:t>
      </w:r>
    </w:p>
    <w:p w14:paraId="294746BF">
      <w:pPr>
        <w:snapToGrid w:val="0"/>
        <w:spacing w:line="520" w:lineRule="exact"/>
        <w:ind w:firstLine="640" w:firstLineChars="200"/>
        <w:rPr>
          <w:rFonts w:eastAsia="仿宋_GB2312"/>
          <w:color w:val="auto"/>
          <w:sz w:val="32"/>
          <w:szCs w:val="32"/>
          <w:highlight w:val="none"/>
        </w:rPr>
      </w:pPr>
      <w:r>
        <w:rPr>
          <w:rFonts w:hint="eastAsia" w:eastAsia="仿宋_GB2312"/>
          <w:color w:val="auto"/>
          <w:sz w:val="32"/>
          <w:szCs w:val="32"/>
          <w:highlight w:val="none"/>
        </w:rPr>
        <w:t>3.1产品技术要求</w:t>
      </w:r>
    </w:p>
    <w:p w14:paraId="2E71E128">
      <w:pPr>
        <w:snapToGrid w:val="0"/>
        <w:spacing w:line="520" w:lineRule="exact"/>
        <w:ind w:firstLine="640" w:firstLineChars="200"/>
        <w:rPr>
          <w:rFonts w:eastAsia="仿宋_GB2312"/>
          <w:color w:val="auto"/>
          <w:sz w:val="32"/>
          <w:szCs w:val="32"/>
          <w:highlight w:val="none"/>
        </w:rPr>
      </w:pPr>
      <w:r>
        <w:rPr>
          <w:rFonts w:eastAsia="仿宋_GB2312"/>
          <w:color w:val="auto"/>
          <w:sz w:val="32"/>
          <w:szCs w:val="32"/>
          <w:highlight w:val="none"/>
        </w:rPr>
        <w:t>申请人</w:t>
      </w:r>
      <w:r>
        <w:rPr>
          <w:rFonts w:hint="eastAsia" w:eastAsia="仿宋_GB2312"/>
          <w:color w:val="auto"/>
          <w:sz w:val="32"/>
          <w:szCs w:val="32"/>
          <w:highlight w:val="none"/>
        </w:rPr>
        <w:t>应</w:t>
      </w:r>
      <w:r>
        <w:rPr>
          <w:rFonts w:eastAsia="仿宋_GB2312"/>
          <w:color w:val="auto"/>
          <w:sz w:val="32"/>
          <w:szCs w:val="32"/>
          <w:highlight w:val="none"/>
        </w:rPr>
        <w:t>按照《医疗器械产品技术要求编写指导原则》中的规定，结合产品的技术特征和临床使用情况来确定</w:t>
      </w:r>
      <w:r>
        <w:rPr>
          <w:rFonts w:hint="eastAsia" w:eastAsia="仿宋_GB2312"/>
          <w:color w:val="auto"/>
          <w:sz w:val="32"/>
          <w:szCs w:val="32"/>
          <w:highlight w:val="none"/>
        </w:rPr>
        <w:t>产</w:t>
      </w:r>
      <w:r>
        <w:rPr>
          <w:rFonts w:eastAsia="仿宋_GB2312"/>
          <w:color w:val="auto"/>
          <w:sz w:val="32"/>
          <w:szCs w:val="32"/>
          <w:highlight w:val="none"/>
        </w:rPr>
        <w:t>品</w:t>
      </w:r>
      <w:r>
        <w:rPr>
          <w:rFonts w:hint="eastAsia" w:eastAsia="仿宋_GB2312"/>
          <w:color w:val="auto"/>
          <w:sz w:val="32"/>
          <w:szCs w:val="32"/>
          <w:highlight w:val="none"/>
        </w:rPr>
        <w:t>的</w:t>
      </w:r>
      <w:r>
        <w:rPr>
          <w:rFonts w:eastAsia="仿宋_GB2312"/>
          <w:color w:val="auto"/>
          <w:sz w:val="32"/>
          <w:szCs w:val="32"/>
          <w:highlight w:val="none"/>
        </w:rPr>
        <w:t>功能性、安全性指标</w:t>
      </w:r>
      <w:r>
        <w:rPr>
          <w:rFonts w:hint="eastAsia" w:eastAsia="仿宋_GB2312"/>
          <w:color w:val="auto"/>
          <w:sz w:val="32"/>
          <w:szCs w:val="32"/>
          <w:highlight w:val="none"/>
        </w:rPr>
        <w:t>，指标不得低于相关强制性标准、行业标准的要求。申请人如不采用的条款（包括国家标准、行业标准要求），应当说明理由。</w:t>
      </w:r>
    </w:p>
    <w:p w14:paraId="61D79837">
      <w:pPr>
        <w:snapToGrid w:val="0"/>
        <w:spacing w:line="520" w:lineRule="exact"/>
        <w:ind w:firstLine="640" w:firstLineChars="200"/>
        <w:rPr>
          <w:rFonts w:eastAsia="仿宋_GB2312"/>
          <w:color w:val="auto"/>
          <w:sz w:val="32"/>
          <w:szCs w:val="32"/>
          <w:highlight w:val="none"/>
        </w:rPr>
      </w:pPr>
      <w:r>
        <w:rPr>
          <w:rFonts w:eastAsia="仿宋_GB2312"/>
          <w:color w:val="auto"/>
          <w:sz w:val="32"/>
          <w:szCs w:val="32"/>
          <w:highlight w:val="none"/>
        </w:rPr>
        <w:t>产品的工作条件</w:t>
      </w:r>
      <w:r>
        <w:rPr>
          <w:rFonts w:hint="eastAsia" w:eastAsia="仿宋_GB2312"/>
          <w:color w:val="auto"/>
          <w:sz w:val="32"/>
          <w:szCs w:val="32"/>
          <w:highlight w:val="none"/>
        </w:rPr>
        <w:t>无需</w:t>
      </w:r>
      <w:r>
        <w:rPr>
          <w:rFonts w:eastAsia="仿宋_GB2312"/>
          <w:color w:val="auto"/>
          <w:sz w:val="32"/>
          <w:szCs w:val="32"/>
          <w:highlight w:val="none"/>
        </w:rPr>
        <w:t>列入性能指标中，</w:t>
      </w:r>
      <w:r>
        <w:rPr>
          <w:rFonts w:hint="eastAsia" w:eastAsia="仿宋_GB2312"/>
          <w:color w:val="auto"/>
          <w:sz w:val="32"/>
          <w:szCs w:val="32"/>
          <w:highlight w:val="none"/>
        </w:rPr>
        <w:t>应</w:t>
      </w:r>
      <w:r>
        <w:rPr>
          <w:rFonts w:eastAsia="仿宋_GB2312"/>
          <w:color w:val="auto"/>
          <w:sz w:val="32"/>
          <w:szCs w:val="32"/>
          <w:highlight w:val="none"/>
        </w:rPr>
        <w:t>在试验方法中明确试验条件。</w:t>
      </w:r>
    </w:p>
    <w:p w14:paraId="26F76A45">
      <w:pPr>
        <w:snapToGrid w:val="0"/>
        <w:spacing w:line="520" w:lineRule="exact"/>
        <w:ind w:firstLine="640" w:firstLineChars="200"/>
        <w:rPr>
          <w:rFonts w:eastAsia="仿宋_GB2312"/>
          <w:color w:val="auto"/>
          <w:sz w:val="32"/>
          <w:szCs w:val="32"/>
          <w:highlight w:val="none"/>
        </w:rPr>
      </w:pPr>
      <w:r>
        <w:rPr>
          <w:rFonts w:eastAsia="仿宋_GB2312"/>
          <w:color w:val="auto"/>
          <w:sz w:val="32"/>
          <w:szCs w:val="32"/>
          <w:highlight w:val="none"/>
        </w:rPr>
        <w:t>产品技术要求中</w:t>
      </w:r>
      <w:r>
        <w:rPr>
          <w:rFonts w:hint="eastAsia" w:eastAsia="仿宋_GB2312"/>
          <w:color w:val="auto"/>
          <w:sz w:val="32"/>
          <w:szCs w:val="32"/>
          <w:highlight w:val="none"/>
        </w:rPr>
        <w:t>应</w:t>
      </w:r>
      <w:r>
        <w:rPr>
          <w:rFonts w:eastAsia="仿宋_GB2312"/>
          <w:color w:val="auto"/>
          <w:sz w:val="32"/>
          <w:szCs w:val="32"/>
          <w:highlight w:val="none"/>
        </w:rPr>
        <w:t>明确型号规格及其划分的说明、产品性能指标及</w:t>
      </w:r>
      <w:r>
        <w:rPr>
          <w:rFonts w:hint="eastAsia" w:eastAsia="仿宋_GB2312"/>
          <w:color w:val="auto"/>
          <w:sz w:val="32"/>
          <w:szCs w:val="32"/>
          <w:highlight w:val="none"/>
        </w:rPr>
        <w:t>检验</w:t>
      </w:r>
      <w:r>
        <w:rPr>
          <w:rFonts w:eastAsia="仿宋_GB2312"/>
          <w:color w:val="auto"/>
          <w:sz w:val="32"/>
          <w:szCs w:val="32"/>
          <w:highlight w:val="none"/>
        </w:rPr>
        <w:t>方法等。引用</w:t>
      </w:r>
      <w:r>
        <w:rPr>
          <w:rFonts w:hint="eastAsia" w:eastAsia="仿宋_GB2312"/>
          <w:color w:val="auto"/>
          <w:sz w:val="32"/>
          <w:szCs w:val="32"/>
          <w:highlight w:val="none"/>
        </w:rPr>
        <w:t>的</w:t>
      </w:r>
      <w:r>
        <w:rPr>
          <w:rFonts w:eastAsia="仿宋_GB2312"/>
          <w:color w:val="auto"/>
          <w:sz w:val="32"/>
          <w:szCs w:val="32"/>
          <w:highlight w:val="none"/>
        </w:rPr>
        <w:t>国家标准、行业标准，保证其适用性，并注明标准的编号、年号，产品技术要求</w:t>
      </w:r>
      <w:r>
        <w:rPr>
          <w:rFonts w:hint="eastAsia" w:eastAsia="仿宋_GB2312"/>
          <w:color w:val="auto"/>
          <w:sz w:val="32"/>
          <w:szCs w:val="32"/>
          <w:highlight w:val="none"/>
        </w:rPr>
        <w:t>应</w:t>
      </w:r>
      <w:r>
        <w:rPr>
          <w:rFonts w:eastAsia="仿宋_GB2312"/>
          <w:color w:val="auto"/>
          <w:sz w:val="32"/>
          <w:szCs w:val="32"/>
          <w:highlight w:val="none"/>
        </w:rPr>
        <w:t>包括但不局限于以下内容：</w:t>
      </w:r>
    </w:p>
    <w:p w14:paraId="7CB4AF4E">
      <w:pPr>
        <w:snapToGrid w:val="0"/>
        <w:spacing w:line="520" w:lineRule="exact"/>
        <w:ind w:firstLine="640" w:firstLineChars="200"/>
        <w:rPr>
          <w:rFonts w:eastAsia="仿宋_GB2312"/>
          <w:color w:val="auto"/>
          <w:sz w:val="32"/>
          <w:szCs w:val="32"/>
          <w:highlight w:val="none"/>
        </w:rPr>
      </w:pPr>
      <w:r>
        <w:rPr>
          <w:rFonts w:hint="eastAsia" w:eastAsia="仿宋_GB2312"/>
          <w:color w:val="auto"/>
          <w:sz w:val="32"/>
          <w:szCs w:val="32"/>
          <w:highlight w:val="none"/>
        </w:rPr>
        <w:t>3.1.1</w:t>
      </w:r>
      <w:r>
        <w:rPr>
          <w:rFonts w:eastAsia="仿宋_GB2312"/>
          <w:color w:val="auto"/>
          <w:sz w:val="32"/>
          <w:szCs w:val="32"/>
          <w:highlight w:val="none"/>
        </w:rPr>
        <w:t>产品型号规格及其划分说明</w:t>
      </w:r>
    </w:p>
    <w:p w14:paraId="489A0D91">
      <w:pPr>
        <w:tabs>
          <w:tab w:val="left" w:pos="8040"/>
        </w:tabs>
        <w:spacing w:line="520" w:lineRule="exact"/>
        <w:ind w:firstLine="640" w:firstLineChars="0"/>
        <w:rPr>
          <w:rFonts w:hint="default" w:ascii="Times New Roman" w:hAnsi="Times New Roman" w:eastAsia="仿宋_GB2312" w:cs="Times New Roman"/>
          <w:color w:val="auto"/>
          <w:kern w:val="2"/>
          <w:sz w:val="32"/>
          <w:szCs w:val="32"/>
          <w:highlight w:val="none"/>
        </w:rPr>
      </w:pPr>
      <w:r>
        <w:rPr>
          <w:rFonts w:ascii="Times New Roman" w:hAnsi="Times New Roman" w:eastAsia="仿宋_GB2312"/>
          <w:color w:val="auto"/>
          <w:sz w:val="32"/>
          <w:szCs w:val="32"/>
          <w:highlight w:val="none"/>
        </w:rPr>
        <w:t>产品可按结构组成、技术参数、预期用途等划分为不同型号和规格</w:t>
      </w:r>
      <w:r>
        <w:rPr>
          <w:rFonts w:hint="default" w:ascii="Times New Roman" w:hAnsi="Times New Roman" w:eastAsia="仿宋_GB2312" w:cs="Times New Roman"/>
          <w:color w:val="auto"/>
          <w:kern w:val="2"/>
          <w:sz w:val="32"/>
          <w:szCs w:val="32"/>
          <w:highlight w:val="none"/>
        </w:rPr>
        <w:t>。</w:t>
      </w:r>
    </w:p>
    <w:p w14:paraId="2E22E0CC">
      <w:pPr>
        <w:tabs>
          <w:tab w:val="left" w:pos="8040"/>
        </w:tabs>
        <w:spacing w:line="520" w:lineRule="exact"/>
        <w:ind w:firstLine="640" w:firstLineChars="200"/>
        <w:rPr>
          <w:rFonts w:ascii="Times New Roman" w:hAnsi="Times New Roman" w:eastAsia="仿宋_GB2312" w:cs="Times New Roman"/>
          <w:color w:val="auto"/>
          <w:kern w:val="2"/>
          <w:sz w:val="32"/>
          <w:szCs w:val="32"/>
          <w:highlight w:val="none"/>
        </w:rPr>
      </w:pPr>
      <w:r>
        <w:rPr>
          <w:rFonts w:hint="default" w:ascii="Times New Roman" w:hAnsi="Times New Roman" w:eastAsia="仿宋_GB2312" w:cs="Times New Roman"/>
          <w:color w:val="auto"/>
          <w:kern w:val="2"/>
          <w:sz w:val="32"/>
          <w:szCs w:val="32"/>
          <w:highlight w:val="none"/>
        </w:rPr>
        <w:t>若有产品有多个型号，提供型号间的主要差异对比表。</w:t>
      </w:r>
    </w:p>
    <w:p w14:paraId="2F98E237">
      <w:pPr>
        <w:tabs>
          <w:tab w:val="left" w:pos="8040"/>
        </w:tabs>
        <w:snapToGrid/>
        <w:spacing w:line="520" w:lineRule="exact"/>
        <w:ind w:firstLine="640" w:firstLineChars="0"/>
        <w:rPr>
          <w:rFonts w:hint="eastAsia" w:eastAsia="仿宋_GB2312"/>
          <w:color w:val="auto"/>
          <w:sz w:val="32"/>
          <w:szCs w:val="32"/>
          <w:highlight w:val="none"/>
        </w:rPr>
      </w:pPr>
      <w:r>
        <w:rPr>
          <w:rFonts w:hint="default" w:ascii="Times New Roman" w:hAnsi="Times New Roman" w:eastAsia="仿宋_GB2312" w:cs="Times New Roman"/>
          <w:color w:val="auto"/>
          <w:kern w:val="2"/>
          <w:sz w:val="32"/>
          <w:szCs w:val="32"/>
          <w:highlight w:val="none"/>
        </w:rPr>
        <w:t>申请人按照《医疗器械软件注册审查指导原则》的要求，明确软件名称、型号规格</w:t>
      </w:r>
      <w:r>
        <w:rPr>
          <w:rFonts w:hint="eastAsia" w:eastAsia="仿宋_GB2312"/>
          <w:color w:val="auto"/>
          <w:kern w:val="0"/>
          <w:sz w:val="32"/>
          <w:szCs w:val="32"/>
          <w:highlight w:val="none"/>
          <w:lang w:eastAsia="zh-CN"/>
        </w:rPr>
        <w:t>（</w:t>
      </w:r>
      <w:r>
        <w:rPr>
          <w:rFonts w:hint="eastAsia" w:eastAsia="仿宋_GB2312"/>
          <w:color w:val="auto"/>
          <w:kern w:val="0"/>
          <w:sz w:val="32"/>
          <w:szCs w:val="32"/>
          <w:highlight w:val="none"/>
          <w:lang w:val="en-US" w:eastAsia="zh-CN"/>
        </w:rPr>
        <w:t>若适用</w:t>
      </w:r>
      <w:r>
        <w:rPr>
          <w:rFonts w:hint="eastAsia" w:eastAsia="仿宋_GB2312"/>
          <w:color w:val="auto"/>
          <w:kern w:val="0"/>
          <w:sz w:val="32"/>
          <w:szCs w:val="32"/>
          <w:highlight w:val="none"/>
          <w:lang w:eastAsia="zh-CN"/>
        </w:rPr>
        <w:t>）</w:t>
      </w:r>
      <w:r>
        <w:rPr>
          <w:rFonts w:hint="eastAsia" w:ascii="Times New Roman" w:hAnsi="Times New Roman" w:eastAsia="仿宋_GB2312" w:cs="Times New Roman"/>
          <w:color w:val="auto"/>
          <w:kern w:val="0"/>
          <w:sz w:val="32"/>
          <w:szCs w:val="32"/>
          <w:highlight w:val="none"/>
        </w:rPr>
        <w:t>、发布版本、版本命名规则</w:t>
      </w:r>
      <w:r>
        <w:rPr>
          <w:rFonts w:hint="eastAsia" w:eastAsia="仿宋_GB2312" w:cs="Times New Roman"/>
          <w:color w:val="auto"/>
          <w:kern w:val="0"/>
          <w:sz w:val="32"/>
          <w:szCs w:val="32"/>
          <w:highlight w:val="none"/>
          <w:lang w:eastAsia="zh-CN"/>
        </w:rPr>
        <w:t>。</w:t>
      </w:r>
    </w:p>
    <w:p w14:paraId="7929CA6C">
      <w:pPr>
        <w:snapToGrid w:val="0"/>
        <w:spacing w:line="520" w:lineRule="exact"/>
        <w:ind w:firstLine="640" w:firstLineChars="200"/>
        <w:rPr>
          <w:rFonts w:eastAsia="仿宋_GB2312"/>
          <w:color w:val="auto"/>
          <w:sz w:val="32"/>
          <w:szCs w:val="32"/>
          <w:highlight w:val="none"/>
        </w:rPr>
      </w:pPr>
      <w:r>
        <w:rPr>
          <w:rFonts w:hint="eastAsia" w:eastAsia="仿宋_GB2312"/>
          <w:color w:val="auto"/>
          <w:sz w:val="32"/>
          <w:szCs w:val="32"/>
          <w:highlight w:val="none"/>
        </w:rPr>
        <w:t>3.1.2一般性能</w:t>
      </w:r>
    </w:p>
    <w:p w14:paraId="72BABD8E">
      <w:pPr>
        <w:snapToGrid w:val="0"/>
        <w:spacing w:line="520" w:lineRule="exact"/>
        <w:ind w:firstLine="672" w:firstLineChars="200"/>
        <w:rPr>
          <w:rFonts w:hint="eastAsia" w:eastAsia="仿宋_GB2312"/>
          <w:color w:val="auto"/>
          <w:sz w:val="32"/>
          <w:szCs w:val="32"/>
          <w:highlight w:val="none"/>
        </w:rPr>
      </w:pPr>
      <w:r>
        <w:rPr>
          <w:rFonts w:ascii="Times New Roman" w:hAnsi="Times New Roman" w:eastAsia="仿宋_GB2312"/>
          <w:color w:val="auto"/>
          <w:spacing w:val="8"/>
          <w:sz w:val="32"/>
          <w:highlight w:val="none"/>
        </w:rPr>
        <w:t>产品性能指标不低于</w:t>
      </w:r>
      <w:r>
        <w:rPr>
          <w:rFonts w:hint="eastAsia" w:eastAsia="仿宋_GB2312"/>
          <w:color w:val="auto"/>
          <w:sz w:val="32"/>
          <w:szCs w:val="32"/>
          <w:highlight w:val="none"/>
        </w:rPr>
        <w:t>GB 28232</w:t>
      </w:r>
      <w:r>
        <w:rPr>
          <w:rFonts w:hint="eastAsia" w:eastAsia="仿宋_GB2312"/>
          <w:color w:val="auto"/>
          <w:sz w:val="32"/>
          <w:szCs w:val="32"/>
          <w:highlight w:val="none"/>
          <w:lang w:val="en-US" w:eastAsia="zh-CN"/>
        </w:rPr>
        <w:t>和</w:t>
      </w:r>
      <w:r>
        <w:rPr>
          <w:rFonts w:hint="eastAsia" w:eastAsia="仿宋_GB2312"/>
          <w:color w:val="auto"/>
          <w:sz w:val="32"/>
          <w:szCs w:val="32"/>
          <w:highlight w:val="none"/>
        </w:rPr>
        <w:t>YY/T 0215</w:t>
      </w:r>
      <w:r>
        <w:rPr>
          <w:rFonts w:ascii="Times New Roman" w:hAnsi="Times New Roman" w:eastAsia="仿宋_GB2312"/>
          <w:color w:val="auto"/>
          <w:spacing w:val="8"/>
          <w:sz w:val="32"/>
          <w:highlight w:val="none"/>
        </w:rPr>
        <w:t>等国家标准和行业标准适用条款的要求。如有不适用条款，申请人需在申报资料中说明理由，并提供充分证据证明相关的风险得到有效的控制。</w:t>
      </w:r>
      <w:r>
        <w:rPr>
          <w:rFonts w:ascii="Times New Roman" w:hAnsi="Times New Roman" w:eastAsia="仿宋_GB2312"/>
          <w:color w:val="auto"/>
          <w:sz w:val="32"/>
          <w:szCs w:val="32"/>
          <w:highlight w:val="none"/>
        </w:rPr>
        <w:t>若标准更新，制造商应引用当下现行标准。制造商要求若高于标准可按制造商要求执行。若产品具有其他部件或功能，应符合相应国家标准和行业标准要求</w:t>
      </w:r>
      <w:r>
        <w:rPr>
          <w:rFonts w:eastAsia="仿宋_GB2312"/>
          <w:color w:val="auto"/>
          <w:sz w:val="32"/>
          <w:szCs w:val="32"/>
          <w:highlight w:val="none"/>
        </w:rPr>
        <w:t>。</w:t>
      </w:r>
    </w:p>
    <w:p w14:paraId="786D2C6B">
      <w:pPr>
        <w:snapToGrid w:val="0"/>
        <w:spacing w:line="520" w:lineRule="exact"/>
        <w:ind w:firstLine="640" w:firstLineChars="200"/>
        <w:rPr>
          <w:rFonts w:eastAsia="仿宋_GB2312"/>
          <w:color w:val="auto"/>
          <w:highlight w:val="none"/>
        </w:rPr>
      </w:pPr>
      <w:r>
        <w:rPr>
          <w:rFonts w:hint="eastAsia" w:eastAsia="仿宋_GB2312"/>
          <w:color w:val="auto"/>
          <w:sz w:val="32"/>
          <w:szCs w:val="32"/>
          <w:highlight w:val="none"/>
        </w:rPr>
        <w:t>3.1.3</w:t>
      </w:r>
      <w:r>
        <w:rPr>
          <w:rFonts w:hint="eastAsia" w:eastAsia="仿宋_GB2312"/>
          <w:color w:val="auto"/>
          <w:sz w:val="32"/>
          <w:highlight w:val="none"/>
        </w:rPr>
        <w:t>软件功能</w:t>
      </w:r>
    </w:p>
    <w:p w14:paraId="6222FE60">
      <w:pPr>
        <w:spacing w:line="520" w:lineRule="exact"/>
        <w:ind w:firstLine="640" w:firstLineChars="200"/>
        <w:rPr>
          <w:rFonts w:ascii="Times New Roman" w:hAnsi="Times New Roman" w:eastAsia="仿宋_GB2312"/>
          <w:b/>
          <w:color w:val="auto"/>
          <w:sz w:val="32"/>
          <w:szCs w:val="32"/>
          <w:highlight w:val="none"/>
        </w:rPr>
      </w:pPr>
      <w:r>
        <w:rPr>
          <w:rFonts w:ascii="Times New Roman" w:hAnsi="Times New Roman" w:eastAsia="仿宋_GB2312"/>
          <w:color w:val="auto"/>
          <w:sz w:val="32"/>
          <w:szCs w:val="32"/>
          <w:highlight w:val="none"/>
        </w:rPr>
        <w:t>应</w:t>
      </w:r>
      <w:r>
        <w:rPr>
          <w:rFonts w:hint="eastAsia" w:ascii="Times New Roman" w:hAnsi="Times New Roman" w:eastAsia="仿宋_GB2312"/>
          <w:color w:val="auto"/>
          <w:sz w:val="32"/>
          <w:szCs w:val="32"/>
          <w:highlight w:val="none"/>
        </w:rPr>
        <w:t>符合《医疗器械软件注册审查指导原则》的要求，如软件的功能、使用限制、接口（若适用）、访问控制（若适用）、性能效率（若适用）等要求，且需与说明书中的软件功能描述一致。</w:t>
      </w:r>
    </w:p>
    <w:p w14:paraId="3E8762B0">
      <w:pPr>
        <w:snapToGrid w:val="0"/>
        <w:spacing w:line="520" w:lineRule="exact"/>
        <w:ind w:firstLine="640" w:firstLineChars="200"/>
        <w:rPr>
          <w:rFonts w:eastAsia="仿宋_GB2312"/>
          <w:color w:val="auto"/>
          <w:sz w:val="32"/>
          <w:szCs w:val="32"/>
          <w:highlight w:val="none"/>
        </w:rPr>
      </w:pPr>
      <w:r>
        <w:rPr>
          <w:rFonts w:hint="eastAsia" w:eastAsia="仿宋_GB2312"/>
          <w:color w:val="auto"/>
          <w:sz w:val="32"/>
          <w:szCs w:val="32"/>
          <w:highlight w:val="none"/>
        </w:rPr>
        <w:t>3.1.4安全性能</w:t>
      </w:r>
    </w:p>
    <w:p w14:paraId="6AE1CFCE">
      <w:pPr>
        <w:snapToGrid w:val="0"/>
        <w:spacing w:line="520" w:lineRule="exact"/>
        <w:ind w:firstLine="640" w:firstLineChars="200"/>
        <w:rPr>
          <w:rFonts w:hint="eastAsia" w:eastAsia="仿宋_GB2312"/>
          <w:color w:val="auto"/>
          <w:sz w:val="32"/>
          <w:szCs w:val="32"/>
          <w:highlight w:val="none"/>
        </w:rPr>
      </w:pPr>
      <w:r>
        <w:rPr>
          <w:rFonts w:hint="eastAsia" w:eastAsia="仿宋_GB2312"/>
          <w:color w:val="auto"/>
          <w:sz w:val="32"/>
          <w:szCs w:val="32"/>
          <w:highlight w:val="none"/>
        </w:rPr>
        <w:t>应符合</w:t>
      </w:r>
      <w:r>
        <w:rPr>
          <w:rFonts w:eastAsia="仿宋_GB2312"/>
          <w:color w:val="auto"/>
          <w:sz w:val="32"/>
          <w:szCs w:val="32"/>
          <w:highlight w:val="none"/>
        </w:rPr>
        <w:t>GB 4793.1</w:t>
      </w:r>
      <w:r>
        <w:rPr>
          <w:rFonts w:hint="eastAsia" w:eastAsia="仿宋_GB2312"/>
          <w:color w:val="auto"/>
          <w:sz w:val="32"/>
          <w:szCs w:val="32"/>
          <w:highlight w:val="none"/>
        </w:rPr>
        <w:t>、</w:t>
      </w:r>
      <w:r>
        <w:rPr>
          <w:rFonts w:eastAsia="仿宋_GB2312"/>
          <w:color w:val="auto"/>
          <w:sz w:val="32"/>
          <w:szCs w:val="32"/>
          <w:highlight w:val="none"/>
        </w:rPr>
        <w:t>GB 4793.4</w:t>
      </w:r>
      <w:r>
        <w:rPr>
          <w:rFonts w:hint="eastAsia" w:eastAsia="仿宋_GB2312"/>
          <w:color w:val="auto"/>
          <w:sz w:val="32"/>
          <w:szCs w:val="32"/>
          <w:highlight w:val="none"/>
        </w:rPr>
        <w:t>的要求。</w:t>
      </w:r>
    </w:p>
    <w:p w14:paraId="5C87634A">
      <w:pPr>
        <w:snapToGrid w:val="0"/>
        <w:spacing w:line="520" w:lineRule="exact"/>
        <w:ind w:firstLine="640" w:firstLineChars="200"/>
        <w:rPr>
          <w:rFonts w:hint="eastAsia" w:eastAsia="仿宋_GB2312"/>
          <w:color w:val="auto"/>
          <w:sz w:val="32"/>
          <w:szCs w:val="32"/>
          <w:highlight w:val="none"/>
        </w:rPr>
      </w:pPr>
      <w:r>
        <w:rPr>
          <w:rFonts w:hint="eastAsia" w:eastAsia="仿宋_GB2312"/>
          <w:color w:val="auto"/>
          <w:sz w:val="32"/>
          <w:szCs w:val="32"/>
          <w:highlight w:val="none"/>
        </w:rPr>
        <w:t>注：GB 4793系列新版标准实施后，GB 4793-2024和GB/T 42125.1-2024均部分代替GB 4793.1-2007，GB 4793-2024应与GB/T 42125系列标准配套使用。GB 4793.4即将被GB 42125.11-2025替代。</w:t>
      </w:r>
    </w:p>
    <w:p w14:paraId="73EDF1D1">
      <w:pPr>
        <w:snapToGrid w:val="0"/>
        <w:spacing w:line="520" w:lineRule="exact"/>
        <w:ind w:firstLine="640" w:firstLineChars="200"/>
        <w:rPr>
          <w:rFonts w:eastAsia="仿宋_GB2312"/>
          <w:color w:val="auto"/>
          <w:sz w:val="32"/>
          <w:szCs w:val="32"/>
          <w:highlight w:val="none"/>
        </w:rPr>
      </w:pPr>
      <w:r>
        <w:rPr>
          <w:rFonts w:hint="eastAsia" w:eastAsia="仿宋_GB2312"/>
          <w:color w:val="auto"/>
          <w:sz w:val="32"/>
          <w:szCs w:val="32"/>
          <w:highlight w:val="none"/>
        </w:rPr>
        <w:t>3.1.5电磁兼容</w:t>
      </w:r>
    </w:p>
    <w:p w14:paraId="0A62D2FE">
      <w:pPr>
        <w:snapToGrid w:val="0"/>
        <w:spacing w:line="520" w:lineRule="exact"/>
        <w:ind w:firstLine="640" w:firstLineChars="200"/>
        <w:rPr>
          <w:rFonts w:hint="eastAsia" w:eastAsia="仿宋_GB2312"/>
          <w:color w:val="auto"/>
          <w:sz w:val="32"/>
          <w:szCs w:val="32"/>
          <w:highlight w:val="none"/>
        </w:rPr>
      </w:pPr>
      <w:r>
        <w:rPr>
          <w:rFonts w:hint="eastAsia" w:eastAsia="仿宋_GB2312"/>
          <w:color w:val="auto"/>
          <w:sz w:val="32"/>
          <w:szCs w:val="32"/>
          <w:highlight w:val="none"/>
        </w:rPr>
        <w:t>应符合GB/T 18268.1的要求。</w:t>
      </w:r>
    </w:p>
    <w:p w14:paraId="61A3A30A">
      <w:pPr>
        <w:snapToGrid w:val="0"/>
        <w:spacing w:line="520" w:lineRule="exact"/>
        <w:ind w:firstLine="640" w:firstLineChars="200"/>
        <w:rPr>
          <w:rFonts w:ascii="Times New Roman" w:hAnsi="Times New Roman" w:eastAsia="仿宋_GB2312"/>
          <w:color w:val="auto"/>
          <w:sz w:val="32"/>
          <w:highlight w:val="none"/>
        </w:rPr>
      </w:pPr>
      <w:r>
        <w:rPr>
          <w:rFonts w:hint="eastAsia" w:eastAsia="仿宋_GB2312"/>
          <w:color w:val="auto"/>
          <w:sz w:val="32"/>
          <w:szCs w:val="32"/>
          <w:highlight w:val="none"/>
          <w:lang w:val="en-US" w:eastAsia="zh-CN"/>
        </w:rPr>
        <w:t>3.1.6</w:t>
      </w:r>
      <w:r>
        <w:rPr>
          <w:rFonts w:ascii="Times New Roman" w:hAnsi="Times New Roman" w:eastAsia="仿宋_GB2312"/>
          <w:color w:val="auto"/>
          <w:sz w:val="32"/>
          <w:highlight w:val="none"/>
        </w:rPr>
        <w:t>产品若具有其他特定功能，</w:t>
      </w:r>
      <w:r>
        <w:rPr>
          <w:rFonts w:eastAsia="仿宋_GB2312"/>
          <w:color w:val="auto"/>
          <w:sz w:val="32"/>
          <w:szCs w:val="32"/>
          <w:highlight w:val="none"/>
        </w:rPr>
        <w:t>如报警、信息追溯等</w:t>
      </w:r>
      <w:r>
        <w:rPr>
          <w:rFonts w:hint="eastAsia" w:eastAsia="仿宋_GB2312"/>
          <w:color w:val="auto"/>
          <w:sz w:val="32"/>
          <w:szCs w:val="32"/>
          <w:highlight w:val="none"/>
          <w:lang w:eastAsia="zh-CN"/>
        </w:rPr>
        <w:t>，</w:t>
      </w:r>
      <w:r>
        <w:rPr>
          <w:rFonts w:ascii="Times New Roman" w:hAnsi="Times New Roman" w:eastAsia="仿宋_GB2312"/>
          <w:color w:val="auto"/>
          <w:sz w:val="32"/>
          <w:highlight w:val="none"/>
        </w:rPr>
        <w:t>应制定相应要求。</w:t>
      </w:r>
    </w:p>
    <w:p w14:paraId="0C451BB0">
      <w:pPr>
        <w:snapToGrid w:val="0"/>
        <w:spacing w:line="520" w:lineRule="exact"/>
        <w:ind w:firstLine="640" w:firstLineChars="200"/>
        <w:rPr>
          <w:rFonts w:eastAsia="仿宋_GB2312"/>
          <w:color w:val="auto"/>
          <w:sz w:val="32"/>
          <w:szCs w:val="32"/>
          <w:highlight w:val="none"/>
        </w:rPr>
      </w:pPr>
      <w:r>
        <w:rPr>
          <w:rFonts w:hint="eastAsia" w:eastAsia="仿宋_GB2312"/>
          <w:color w:val="auto"/>
          <w:sz w:val="32"/>
          <w:szCs w:val="32"/>
          <w:highlight w:val="none"/>
        </w:rPr>
        <w:t>3.2检验报告</w:t>
      </w:r>
    </w:p>
    <w:p w14:paraId="38D6319E">
      <w:pPr>
        <w:pStyle w:val="10"/>
        <w:ind w:firstLine="640" w:firstLineChars="200"/>
        <w:jc w:val="left"/>
        <w:rPr>
          <w:rFonts w:hint="eastAsia" w:ascii="Times New Roman" w:hAnsi="Times New Roman" w:eastAsia="仿宋_GB2312" w:cs="Times New Roman"/>
          <w:color w:val="auto"/>
          <w:sz w:val="32"/>
          <w:szCs w:val="32"/>
          <w:highlight w:val="none"/>
          <w:lang w:val="zh-TW" w:eastAsia="zh-TW"/>
        </w:rPr>
      </w:pPr>
      <w:r>
        <w:rPr>
          <w:rFonts w:hint="eastAsia" w:ascii="Times New Roman" w:hAnsi="Times New Roman" w:eastAsia="仿宋_GB2312" w:cs="Times New Roman"/>
          <w:color w:val="auto"/>
          <w:sz w:val="32"/>
          <w:szCs w:val="32"/>
          <w:highlight w:val="none"/>
          <w:lang w:val="zh-TW" w:eastAsia="zh-TW"/>
        </w:rPr>
        <w:t>申请人应当按照产品技术要求进行检验，并提交检验报告。</w:t>
      </w:r>
      <w:r>
        <w:rPr>
          <w:rFonts w:hint="eastAsia" w:ascii="Times New Roman" w:hAnsi="Times New Roman" w:eastAsia="仿宋_GB2312" w:cs="Times New Roman"/>
          <w:bCs w:val="0"/>
          <w:color w:val="auto"/>
          <w:sz w:val="32"/>
          <w:szCs w:val="32"/>
          <w:highlight w:val="none"/>
          <w:lang w:val="zh-TW" w:eastAsia="zh-TW"/>
        </w:rPr>
        <w:t>应说明检验用型号规格的典型性。</w:t>
      </w:r>
    </w:p>
    <w:p w14:paraId="40F6C611">
      <w:pPr>
        <w:spacing w:line="520" w:lineRule="exact"/>
        <w:ind w:firstLine="640" w:firstLineChars="200"/>
        <w:rPr>
          <w:rFonts w:eastAsia="仿宋_GB2312"/>
          <w:color w:val="auto"/>
          <w:sz w:val="32"/>
          <w:szCs w:val="32"/>
          <w:highlight w:val="none"/>
        </w:rPr>
      </w:pPr>
      <w:r>
        <w:rPr>
          <w:rFonts w:eastAsia="仿宋_GB2312"/>
          <w:color w:val="auto"/>
          <w:sz w:val="32"/>
          <w:szCs w:val="32"/>
          <w:highlight w:val="none"/>
          <w:lang w:val="zh-TW" w:eastAsia="zh-TW"/>
        </w:rPr>
        <w:t>典型性原则应</w:t>
      </w:r>
      <w:r>
        <w:rPr>
          <w:rFonts w:eastAsia="仿宋_GB2312"/>
          <w:color w:val="auto"/>
          <w:sz w:val="32"/>
          <w:szCs w:val="32"/>
          <w:highlight w:val="none"/>
          <w:lang w:val="zh-TW" w:eastAsia="zh-TW"/>
        </w:rPr>
        <w:t>是同一注册单元内能够代表本单元内其他产品安全性和有效性的产品。应考虑功能最齐全、结构最复杂、风险最高的产品。如果检测一个型号不能覆盖其他型号的全部性能功能，则可对其他型号不能覆盖的部分进行差异检测。技术审评重点关注检测内容是否与产品技术要求一致。</w:t>
      </w:r>
      <w:r>
        <w:rPr>
          <w:rFonts w:hint="eastAsia" w:ascii="Times New Roman" w:hAnsi="Times New Roman" w:eastAsia="仿宋_GB2312" w:cs="Times New Roman"/>
          <w:color w:val="auto"/>
          <w:kern w:val="0"/>
          <w:sz w:val="32"/>
          <w:szCs w:val="32"/>
          <w:highlight w:val="none"/>
        </w:rPr>
        <w:t>不同臭氧发生方式的臭氧消毒器不能作为同一检测单元进行型号覆盖，检验应覆盖最不利的条件、关键技术参数的上下限及典型工况，如检验时选择的消毒时间、臭氧发生器数量等。若选择不同工作周期对产品性能有影响，检验方法应注明检验的工作周期。</w:t>
      </w:r>
    </w:p>
    <w:p w14:paraId="56194314">
      <w:pPr>
        <w:snapToGrid w:val="0"/>
        <w:spacing w:line="520" w:lineRule="exact"/>
        <w:ind w:firstLine="640" w:firstLineChars="200"/>
        <w:rPr>
          <w:rFonts w:eastAsia="仿宋_GB2312"/>
          <w:color w:val="auto"/>
          <w:sz w:val="32"/>
          <w:szCs w:val="32"/>
          <w:highlight w:val="none"/>
        </w:rPr>
      </w:pPr>
      <w:r>
        <w:rPr>
          <w:rFonts w:hint="eastAsia" w:eastAsia="仿宋_GB2312"/>
          <w:color w:val="auto"/>
          <w:sz w:val="32"/>
          <w:szCs w:val="32"/>
          <w:highlight w:val="none"/>
        </w:rPr>
        <w:t>4.研究资料</w:t>
      </w:r>
    </w:p>
    <w:p w14:paraId="222F4C5B">
      <w:pPr>
        <w:snapToGrid w:val="0"/>
        <w:spacing w:line="520" w:lineRule="exact"/>
        <w:ind w:firstLine="640" w:firstLineChars="200"/>
        <w:rPr>
          <w:rFonts w:eastAsia="仿宋_GB2312"/>
          <w:color w:val="auto"/>
          <w:sz w:val="32"/>
          <w:szCs w:val="32"/>
          <w:highlight w:val="none"/>
        </w:rPr>
      </w:pPr>
      <w:r>
        <w:rPr>
          <w:rFonts w:hint="eastAsia" w:eastAsia="仿宋_GB2312"/>
          <w:color w:val="auto"/>
          <w:sz w:val="32"/>
          <w:szCs w:val="32"/>
          <w:highlight w:val="none"/>
        </w:rPr>
        <w:t>申请人需</w:t>
      </w:r>
      <w:r>
        <w:rPr>
          <w:rFonts w:eastAsia="仿宋_GB2312"/>
          <w:color w:val="auto"/>
          <w:sz w:val="32"/>
          <w:szCs w:val="32"/>
          <w:highlight w:val="none"/>
        </w:rPr>
        <w:t>根据申报产品适用范围和技术特征，提供非临床研究综述，逐项描述所开展的研究，概述研究方法和研究结论。根据非临床研究综述，提供相应的研究资料，各项研究可通过文献研究、实验室研究、模型研究等方式开展，一般</w:t>
      </w:r>
      <w:r>
        <w:rPr>
          <w:rFonts w:hint="eastAsia" w:eastAsia="仿宋_GB2312"/>
          <w:color w:val="auto"/>
          <w:sz w:val="32"/>
          <w:szCs w:val="32"/>
          <w:highlight w:val="none"/>
        </w:rPr>
        <w:t>需</w:t>
      </w:r>
      <w:r>
        <w:rPr>
          <w:rFonts w:eastAsia="仿宋_GB2312"/>
          <w:color w:val="auto"/>
          <w:sz w:val="32"/>
          <w:szCs w:val="32"/>
          <w:highlight w:val="none"/>
        </w:rPr>
        <w:t>包含研究方案、研究报告。</w:t>
      </w:r>
    </w:p>
    <w:p w14:paraId="0B90FCBA">
      <w:pPr>
        <w:snapToGrid w:val="0"/>
        <w:spacing w:line="520" w:lineRule="exact"/>
        <w:ind w:firstLine="640" w:firstLineChars="200"/>
        <w:rPr>
          <w:rFonts w:eastAsia="仿宋_GB2312"/>
          <w:color w:val="auto"/>
          <w:sz w:val="32"/>
          <w:szCs w:val="32"/>
          <w:highlight w:val="none"/>
        </w:rPr>
      </w:pPr>
      <w:r>
        <w:rPr>
          <w:rFonts w:hint="eastAsia" w:eastAsia="仿宋_GB2312"/>
          <w:color w:val="auto"/>
          <w:sz w:val="32"/>
          <w:szCs w:val="32"/>
          <w:highlight w:val="none"/>
        </w:rPr>
        <w:t>4.1</w:t>
      </w:r>
      <w:r>
        <w:rPr>
          <w:rFonts w:hint="eastAsia" w:eastAsia="仿宋_GB2312"/>
          <w:color w:val="auto"/>
          <w:sz w:val="32"/>
          <w:szCs w:val="32"/>
          <w:highlight w:val="none"/>
          <w:lang w:val="en-US" w:eastAsia="zh-CN"/>
        </w:rPr>
        <w:t>产品</w:t>
      </w:r>
      <w:r>
        <w:rPr>
          <w:rFonts w:hint="eastAsia" w:eastAsia="仿宋_GB2312"/>
          <w:color w:val="auto"/>
          <w:sz w:val="32"/>
          <w:szCs w:val="32"/>
          <w:highlight w:val="none"/>
        </w:rPr>
        <w:t>性能研究</w:t>
      </w:r>
    </w:p>
    <w:p w14:paraId="543C31DA">
      <w:pPr>
        <w:spacing w:line="520" w:lineRule="exact"/>
        <w:ind w:firstLine="640" w:firstLineChars="200"/>
        <w:rPr>
          <w:rFonts w:eastAsia="仿宋_GB2312"/>
          <w:color w:val="auto"/>
          <w:sz w:val="32"/>
          <w:szCs w:val="32"/>
          <w:highlight w:val="none"/>
        </w:rPr>
      </w:pPr>
      <w:r>
        <w:rPr>
          <w:rFonts w:eastAsia="仿宋_GB2312"/>
          <w:color w:val="auto"/>
          <w:sz w:val="32"/>
          <w:szCs w:val="32"/>
          <w:highlight w:val="none"/>
        </w:rPr>
        <w:t>申请人需要提供产品性能研究资料以及产品技术要求的研究和编制说明，包括有效性、安全性指标以及与质量控制相关的其他指标的确定依据、所采用的标准或方法、采用的原因及理论基础等。性能研究项目不局限于</w:t>
      </w:r>
      <w:r>
        <w:rPr>
          <w:rFonts w:hint="eastAsia" w:eastAsia="仿宋_GB2312"/>
          <w:color w:val="auto"/>
          <w:sz w:val="32"/>
          <w:szCs w:val="32"/>
          <w:highlight w:val="none"/>
        </w:rPr>
        <w:t>国家标准、</w:t>
      </w:r>
      <w:r>
        <w:rPr>
          <w:rFonts w:eastAsia="仿宋_GB2312"/>
          <w:color w:val="auto"/>
          <w:sz w:val="32"/>
          <w:szCs w:val="32"/>
          <w:highlight w:val="none"/>
        </w:rPr>
        <w:t>行业标准中的项目。</w:t>
      </w:r>
    </w:p>
    <w:p w14:paraId="1B1B2788">
      <w:pPr>
        <w:overflowPunct w:val="0"/>
        <w:spacing w:line="520" w:lineRule="exact"/>
        <w:ind w:firstLine="640"/>
        <w:rPr>
          <w:rFonts w:ascii="Times New Roman" w:hAnsi="Times New Roman" w:eastAsia="仿宋_GB2312"/>
          <w:bCs/>
          <w:color w:val="auto"/>
          <w:sz w:val="32"/>
          <w:szCs w:val="32"/>
          <w:highlight w:val="none"/>
        </w:rPr>
      </w:pPr>
      <w:r>
        <w:rPr>
          <w:rFonts w:hint="eastAsia" w:eastAsia="仿宋_GB2312"/>
          <w:color w:val="auto"/>
          <w:sz w:val="32"/>
          <w:szCs w:val="32"/>
          <w:highlight w:val="none"/>
          <w:lang w:val="en-US" w:eastAsia="zh-CN"/>
        </w:rPr>
        <w:t>臭氧泄漏量研究：申请人应针对申报产品正常工作时的臭氧泄漏量开展研究，</w:t>
      </w:r>
      <w:r>
        <w:rPr>
          <w:rFonts w:ascii="Times New Roman" w:hAnsi="Times New Roman" w:eastAsia="仿宋_GB2312"/>
          <w:bCs/>
          <w:color w:val="auto"/>
          <w:sz w:val="32"/>
          <w:szCs w:val="32"/>
          <w:highlight w:val="none"/>
        </w:rPr>
        <w:t>提交相应的研究资料，包括验证方法和验证报告。</w:t>
      </w:r>
    </w:p>
    <w:p w14:paraId="5A940EB1">
      <w:pPr>
        <w:overflowPunct w:val="0"/>
        <w:spacing w:line="520" w:lineRule="exact"/>
        <w:ind w:firstLine="640"/>
        <w:rPr>
          <w:rFonts w:eastAsia="仿宋_GB2312"/>
          <w:color w:val="auto"/>
          <w:sz w:val="32"/>
          <w:szCs w:val="32"/>
          <w:highlight w:val="none"/>
        </w:rPr>
      </w:pPr>
      <w:r>
        <w:rPr>
          <w:rFonts w:hint="eastAsia" w:eastAsia="仿宋_GB2312"/>
          <w:bCs/>
          <w:color w:val="auto"/>
          <w:sz w:val="32"/>
          <w:szCs w:val="32"/>
          <w:highlight w:val="none"/>
          <w:lang w:val="en-US" w:eastAsia="zh-CN"/>
        </w:rPr>
        <w:t>臭氧残留量研究：申请人应针对申报产品一个工作周期正常结束后，消毒设备腔体内和/或周围环境的臭氧残留量开展研究，</w:t>
      </w:r>
      <w:r>
        <w:rPr>
          <w:rFonts w:ascii="Times New Roman" w:hAnsi="Times New Roman" w:eastAsia="仿宋_GB2312"/>
          <w:bCs/>
          <w:color w:val="auto"/>
          <w:sz w:val="32"/>
          <w:szCs w:val="32"/>
          <w:highlight w:val="none"/>
        </w:rPr>
        <w:t>提交相应的研究资料，包括验证方法和验证报告</w:t>
      </w:r>
      <w:r>
        <w:rPr>
          <w:rFonts w:hint="eastAsia" w:eastAsia="仿宋_GB2312"/>
          <w:color w:val="auto"/>
          <w:sz w:val="32"/>
          <w:szCs w:val="32"/>
          <w:highlight w:val="none"/>
        </w:rPr>
        <w:t>。</w:t>
      </w:r>
    </w:p>
    <w:p w14:paraId="66147281">
      <w:pPr>
        <w:overflowPunct w:val="0"/>
        <w:spacing w:line="520" w:lineRule="exact"/>
        <w:ind w:firstLine="640"/>
        <w:rPr>
          <w:rFonts w:eastAsia="仿宋_GB2312"/>
          <w:color w:val="auto"/>
          <w:sz w:val="32"/>
          <w:szCs w:val="32"/>
          <w:highlight w:val="none"/>
        </w:rPr>
      </w:pPr>
      <w:r>
        <w:rPr>
          <w:rFonts w:hint="eastAsia" w:eastAsia="仿宋_GB2312"/>
          <w:color w:val="auto"/>
          <w:sz w:val="32"/>
          <w:szCs w:val="32"/>
          <w:highlight w:val="none"/>
        </w:rPr>
        <w:t>燃爆风险研究</w:t>
      </w:r>
      <w:r>
        <w:rPr>
          <w:rFonts w:hint="eastAsia" w:eastAsia="仿宋_GB2312"/>
          <w:color w:val="auto"/>
          <w:sz w:val="32"/>
          <w:szCs w:val="32"/>
          <w:highlight w:val="none"/>
          <w:lang w:eastAsia="zh-CN"/>
        </w:rPr>
        <w:t>：</w:t>
      </w:r>
      <w:r>
        <w:rPr>
          <w:rFonts w:hint="eastAsia" w:eastAsia="仿宋_GB2312"/>
          <w:color w:val="auto"/>
          <w:sz w:val="32"/>
          <w:szCs w:val="32"/>
          <w:highlight w:val="none"/>
        </w:rPr>
        <w:t>采用电解法时，阴性电极可能富集氢气，可能导致燃爆风险，申请人需说明如何采取措施防止燃爆。</w:t>
      </w:r>
    </w:p>
    <w:p w14:paraId="24457175">
      <w:pPr>
        <w:overflowPunct w:val="0"/>
        <w:spacing w:line="520" w:lineRule="exact"/>
        <w:ind w:firstLine="640" w:firstLineChars="0"/>
        <w:rPr>
          <w:rFonts w:hint="eastAsia" w:eastAsia="仿宋_GB2312"/>
          <w:color w:val="auto"/>
          <w:sz w:val="32"/>
          <w:szCs w:val="32"/>
          <w:highlight w:val="none"/>
        </w:rPr>
      </w:pPr>
      <w:r>
        <w:rPr>
          <w:rFonts w:ascii="Times New Roman" w:hAnsi="Times New Roman" w:eastAsia="仿宋_GB2312"/>
          <w:color w:val="auto"/>
          <w:sz w:val="32"/>
          <w:szCs w:val="32"/>
          <w:highlight w:val="none"/>
        </w:rPr>
        <w:t>材料性能研究：</w:t>
      </w:r>
      <w:r>
        <w:rPr>
          <w:rFonts w:hint="eastAsia" w:eastAsia="仿宋_GB2312"/>
          <w:color w:val="auto"/>
          <w:sz w:val="32"/>
          <w:szCs w:val="32"/>
          <w:highlight w:val="none"/>
        </w:rPr>
        <w:t>臭氧具有腐蚀性，申请人需明确与臭氧接触部件的材质，提供</w:t>
      </w:r>
      <w:r>
        <w:rPr>
          <w:rFonts w:hint="eastAsia" w:eastAsia="仿宋_GB2312"/>
          <w:color w:val="auto"/>
          <w:sz w:val="32"/>
          <w:szCs w:val="32"/>
          <w:highlight w:val="none"/>
          <w:lang w:val="en-US" w:eastAsia="zh-CN"/>
        </w:rPr>
        <w:t>有关臭氧耐受性的</w:t>
      </w:r>
      <w:r>
        <w:rPr>
          <w:rFonts w:hint="eastAsia" w:eastAsia="仿宋_GB2312"/>
          <w:color w:val="auto"/>
          <w:sz w:val="32"/>
          <w:szCs w:val="32"/>
          <w:highlight w:val="none"/>
        </w:rPr>
        <w:t>证明材料。</w:t>
      </w:r>
    </w:p>
    <w:p w14:paraId="564C11D6">
      <w:pPr>
        <w:overflowPunct w:val="0"/>
        <w:spacing w:line="520" w:lineRule="exact"/>
        <w:ind w:firstLine="640" w:firstLineChars="0"/>
        <w:rPr>
          <w:rFonts w:hint="eastAsia" w:eastAsia="仿宋_GB2312"/>
          <w:color w:val="auto"/>
          <w:sz w:val="32"/>
          <w:szCs w:val="32"/>
          <w:highlight w:val="none"/>
        </w:rPr>
      </w:pPr>
      <w:r>
        <w:rPr>
          <w:rFonts w:hint="eastAsia" w:eastAsia="仿宋_GB2312"/>
          <w:color w:val="auto"/>
          <w:sz w:val="32"/>
          <w:szCs w:val="32"/>
          <w:highlight w:val="none"/>
        </w:rPr>
        <w:t>相对湿度研究</w:t>
      </w:r>
      <w:r>
        <w:rPr>
          <w:rFonts w:hint="eastAsia" w:eastAsia="仿宋_GB2312"/>
          <w:color w:val="auto"/>
          <w:sz w:val="32"/>
          <w:szCs w:val="32"/>
          <w:highlight w:val="none"/>
          <w:lang w:eastAsia="zh-CN"/>
        </w:rPr>
        <w:t>：</w:t>
      </w:r>
      <w:r>
        <w:rPr>
          <w:rFonts w:hint="eastAsia" w:eastAsia="仿宋_GB2312"/>
          <w:color w:val="auto"/>
          <w:sz w:val="32"/>
          <w:szCs w:val="32"/>
          <w:highlight w:val="none"/>
          <w:lang w:val="en-US" w:eastAsia="zh-CN"/>
        </w:rPr>
        <w:t>相对湿度是臭氧消毒效果的关键影响因素之一，为了确保臭氧消毒设备在预期使用环境下能稳定可靠地达到宣称的消毒效果，使用臭氧气体的消毒设备需提供</w:t>
      </w:r>
      <w:r>
        <w:rPr>
          <w:rFonts w:hint="eastAsia" w:eastAsia="仿宋_GB2312"/>
          <w:color w:val="auto"/>
          <w:sz w:val="32"/>
          <w:szCs w:val="32"/>
          <w:highlight w:val="none"/>
        </w:rPr>
        <w:t>相对湿度研究</w:t>
      </w:r>
      <w:r>
        <w:rPr>
          <w:rFonts w:hint="eastAsia" w:eastAsia="仿宋_GB2312"/>
          <w:color w:val="auto"/>
          <w:sz w:val="32"/>
          <w:szCs w:val="32"/>
          <w:highlight w:val="none"/>
          <w:lang w:val="en-US" w:eastAsia="zh-CN"/>
        </w:rPr>
        <w:t>资料。</w:t>
      </w:r>
    </w:p>
    <w:p w14:paraId="24516093">
      <w:pPr>
        <w:spacing w:line="520" w:lineRule="exact"/>
        <w:ind w:firstLine="640" w:firstLineChars="200"/>
        <w:rPr>
          <w:rFonts w:eastAsia="仿宋_GB2312"/>
          <w:color w:val="auto"/>
          <w:sz w:val="32"/>
          <w:szCs w:val="32"/>
          <w:highlight w:val="none"/>
        </w:rPr>
      </w:pPr>
      <w:r>
        <w:rPr>
          <w:rFonts w:hint="eastAsia" w:eastAsia="仿宋_GB2312"/>
          <w:color w:val="auto"/>
          <w:sz w:val="32"/>
          <w:szCs w:val="32"/>
          <w:highlight w:val="none"/>
        </w:rPr>
        <w:t>若申报产品需要外接水源，需要提供安全性、兼容性验证资料。安全性验证宜明确水源温度、压力上限以及接口规格等参数，以便保证接口和产品安全；兼容性验证宜明确水源温度、压力下限，以便支持产品性能。</w:t>
      </w:r>
    </w:p>
    <w:p w14:paraId="60F29BDA">
      <w:pPr>
        <w:spacing w:line="520" w:lineRule="exact"/>
        <w:ind w:firstLine="640" w:firstLineChars="200"/>
        <w:rPr>
          <w:rFonts w:eastAsia="仿宋_GB2312"/>
          <w:color w:val="auto"/>
          <w:sz w:val="32"/>
          <w:szCs w:val="32"/>
          <w:highlight w:val="none"/>
        </w:rPr>
      </w:pPr>
      <w:r>
        <w:rPr>
          <w:rFonts w:hint="eastAsia" w:eastAsia="仿宋_GB2312"/>
          <w:color w:val="auto"/>
          <w:sz w:val="32"/>
          <w:szCs w:val="32"/>
          <w:highlight w:val="none"/>
        </w:rPr>
        <w:t>4.2</w:t>
      </w:r>
      <w:r>
        <w:rPr>
          <w:rFonts w:hint="eastAsia" w:eastAsia="仿宋_GB2312"/>
          <w:color w:val="auto"/>
          <w:sz w:val="32"/>
          <w:highlight w:val="none"/>
        </w:rPr>
        <w:t>电气系统安全性研究</w:t>
      </w:r>
    </w:p>
    <w:p w14:paraId="5651D9BA">
      <w:pPr>
        <w:spacing w:line="520" w:lineRule="exact"/>
        <w:ind w:firstLine="640" w:firstLineChars="200"/>
        <w:rPr>
          <w:rFonts w:eastAsia="仿宋_GB2312"/>
          <w:color w:val="auto"/>
          <w:sz w:val="32"/>
          <w:szCs w:val="32"/>
          <w:highlight w:val="none"/>
        </w:rPr>
      </w:pPr>
      <w:r>
        <w:rPr>
          <w:rFonts w:hint="eastAsia" w:eastAsia="仿宋_GB2312"/>
          <w:color w:val="auto"/>
          <w:sz w:val="32"/>
          <w:szCs w:val="32"/>
          <w:highlight w:val="none"/>
        </w:rPr>
        <w:t>申请人需要提供电气安全性、机械和环境保护以及电磁兼容性的研究资料，说明适用的标准以及开展的研究。</w:t>
      </w:r>
    </w:p>
    <w:p w14:paraId="1D1AA51D">
      <w:pPr>
        <w:snapToGrid w:val="0"/>
        <w:spacing w:line="520" w:lineRule="exact"/>
        <w:ind w:firstLine="640" w:firstLineChars="200"/>
        <w:rPr>
          <w:rFonts w:eastAsia="仿宋_GB2312"/>
          <w:color w:val="auto"/>
          <w:sz w:val="32"/>
          <w:szCs w:val="32"/>
          <w:highlight w:val="none"/>
        </w:rPr>
      </w:pPr>
      <w:r>
        <w:rPr>
          <w:rFonts w:hint="eastAsia" w:eastAsia="仿宋_GB2312"/>
          <w:color w:val="auto"/>
          <w:sz w:val="32"/>
          <w:szCs w:val="32"/>
          <w:highlight w:val="none"/>
        </w:rPr>
        <w:t>4.3软件研究</w:t>
      </w:r>
    </w:p>
    <w:p w14:paraId="223D1CA2">
      <w:pPr>
        <w:snapToGrid w:val="0"/>
        <w:spacing w:line="520" w:lineRule="exact"/>
        <w:ind w:firstLine="640" w:firstLineChars="200"/>
        <w:rPr>
          <w:rFonts w:eastAsia="仿宋_GB2312"/>
          <w:color w:val="auto"/>
          <w:sz w:val="32"/>
          <w:szCs w:val="32"/>
          <w:highlight w:val="none"/>
        </w:rPr>
      </w:pPr>
      <w:r>
        <w:rPr>
          <w:rFonts w:hint="eastAsia" w:eastAsia="仿宋_GB2312"/>
          <w:color w:val="auto"/>
          <w:sz w:val="32"/>
          <w:szCs w:val="32"/>
          <w:highlight w:val="none"/>
        </w:rPr>
        <w:t>注册申请人应依据《医疗器械软件注册审查指导原则》提交软件研究资料（含现成软件研究资料、互操作性研究资料、GB/T 25000.51自测报告等），软件研究资料</w:t>
      </w:r>
      <w:r>
        <w:rPr>
          <w:rFonts w:hint="eastAsia" w:eastAsia="仿宋_GB2312"/>
          <w:color w:val="auto"/>
          <w:sz w:val="32"/>
          <w:szCs w:val="32"/>
          <w:highlight w:val="none"/>
          <w:lang w:val="en-US" w:eastAsia="zh-CN"/>
        </w:rPr>
        <w:t>需</w:t>
      </w:r>
      <w:r>
        <w:rPr>
          <w:rFonts w:hint="eastAsia" w:eastAsia="仿宋_GB2312"/>
          <w:color w:val="auto"/>
          <w:sz w:val="32"/>
          <w:szCs w:val="32"/>
          <w:highlight w:val="none"/>
        </w:rPr>
        <w:t>按照</w:t>
      </w:r>
      <w:r>
        <w:rPr>
          <w:rFonts w:hint="eastAsia" w:eastAsia="仿宋_GB2312"/>
          <w:sz w:val="32"/>
          <w:szCs w:val="32"/>
        </w:rPr>
        <w:t>至少</w:t>
      </w:r>
      <w:r>
        <w:rPr>
          <w:rFonts w:hint="eastAsia" w:eastAsia="仿宋_GB2312"/>
          <w:color w:val="auto"/>
          <w:sz w:val="32"/>
          <w:szCs w:val="32"/>
          <w:highlight w:val="none"/>
        </w:rPr>
        <w:t>“中等”安全性级别提供。</w:t>
      </w:r>
    </w:p>
    <w:p w14:paraId="1D803730">
      <w:pPr>
        <w:snapToGrid w:val="0"/>
        <w:spacing w:line="520" w:lineRule="exact"/>
        <w:ind w:firstLine="640" w:firstLineChars="200"/>
        <w:rPr>
          <w:rFonts w:hint="eastAsia" w:eastAsia="仿宋_GB2312"/>
          <w:color w:val="auto"/>
          <w:sz w:val="32"/>
          <w:szCs w:val="32"/>
          <w:highlight w:val="none"/>
        </w:rPr>
      </w:pPr>
      <w:r>
        <w:rPr>
          <w:rFonts w:hint="eastAsia" w:eastAsia="仿宋_GB2312"/>
          <w:color w:val="auto"/>
          <w:sz w:val="32"/>
          <w:szCs w:val="32"/>
          <w:highlight w:val="none"/>
        </w:rPr>
        <w:t>若适用，参考《医疗器械网络安全注册审查指导原则》，申请人应提供网络安全研究资料。</w:t>
      </w:r>
    </w:p>
    <w:p w14:paraId="5AD1F916">
      <w:pPr>
        <w:snapToGrid w:val="0"/>
        <w:spacing w:line="520" w:lineRule="exact"/>
        <w:ind w:firstLine="640" w:firstLineChars="200"/>
        <w:rPr>
          <w:rFonts w:eastAsia="仿宋_GB2312"/>
          <w:color w:val="auto"/>
          <w:sz w:val="32"/>
          <w:szCs w:val="32"/>
          <w:highlight w:val="none"/>
        </w:rPr>
      </w:pPr>
      <w:r>
        <w:rPr>
          <w:rFonts w:hint="eastAsia" w:eastAsia="仿宋_GB2312"/>
          <w:color w:val="auto"/>
          <w:sz w:val="32"/>
          <w:szCs w:val="32"/>
          <w:highlight w:val="none"/>
        </w:rPr>
        <w:t>4.4清洁、消毒、灭菌研究</w:t>
      </w:r>
    </w:p>
    <w:p w14:paraId="444DBA3A">
      <w:pPr>
        <w:snapToGrid w:val="0"/>
        <w:spacing w:line="520" w:lineRule="exact"/>
        <w:ind w:firstLine="640" w:firstLineChars="200"/>
      </w:pPr>
      <w:r>
        <w:rPr>
          <w:rFonts w:eastAsia="仿宋_GB2312"/>
          <w:color w:val="auto"/>
          <w:sz w:val="32"/>
          <w:szCs w:val="32"/>
          <w:highlight w:val="none"/>
        </w:rPr>
        <w:t>申请人宜</w:t>
      </w:r>
      <w:r>
        <w:rPr>
          <w:rFonts w:hint="eastAsia" w:eastAsia="仿宋_GB2312"/>
          <w:color w:val="auto"/>
          <w:sz w:val="32"/>
          <w:szCs w:val="32"/>
          <w:highlight w:val="none"/>
        </w:rPr>
        <w:t>明确推荐的清洁剂和清洗方法。该类产品本身通常不需要消毒和灭菌处理。</w:t>
      </w:r>
    </w:p>
    <w:p w14:paraId="7C0E2533">
      <w:pPr>
        <w:snapToGrid w:val="0"/>
        <w:spacing w:line="520" w:lineRule="exact"/>
        <w:ind w:firstLine="640" w:firstLineChars="200"/>
        <w:rPr>
          <w:rFonts w:eastAsia="仿宋_GB2312"/>
          <w:sz w:val="32"/>
          <w:szCs w:val="32"/>
        </w:rPr>
      </w:pPr>
      <w:r>
        <w:rPr>
          <w:rFonts w:hint="eastAsia" w:eastAsia="仿宋_GB2312"/>
          <w:sz w:val="32"/>
          <w:szCs w:val="32"/>
        </w:rPr>
        <w:t>4.5可用性研究</w:t>
      </w:r>
    </w:p>
    <w:p w14:paraId="0483DA69">
      <w:pPr>
        <w:snapToGrid w:val="0"/>
        <w:spacing w:line="520" w:lineRule="exact"/>
        <w:ind w:firstLine="640" w:firstLineChars="200"/>
      </w:pPr>
      <w:r>
        <w:rPr>
          <w:rFonts w:hint="eastAsia" w:eastAsia="仿宋_GB2312"/>
          <w:sz w:val="32"/>
          <w:szCs w:val="32"/>
        </w:rPr>
        <w:t>注册申请人需依据《医疗器械可用性工程注册审查指导原则》，按照中使用风险医疗器械要求提交使用错误评估报告。</w:t>
      </w:r>
    </w:p>
    <w:p w14:paraId="74EE18DC">
      <w:pPr>
        <w:snapToGrid w:val="0"/>
        <w:spacing w:line="520" w:lineRule="exact"/>
        <w:ind w:firstLine="640" w:firstLineChars="200"/>
        <w:rPr>
          <w:rFonts w:eastAsia="楷体_GB2312"/>
          <w:color w:val="auto"/>
          <w:sz w:val="32"/>
          <w:szCs w:val="32"/>
          <w:highlight w:val="none"/>
        </w:rPr>
      </w:pPr>
      <w:r>
        <w:rPr>
          <w:rFonts w:eastAsia="仿宋_GB2312"/>
          <w:color w:val="auto"/>
          <w:sz w:val="32"/>
          <w:szCs w:val="32"/>
          <w:highlight w:val="none"/>
        </w:rPr>
        <w:t>5.</w:t>
      </w:r>
      <w:r>
        <w:rPr>
          <w:rFonts w:hint="eastAsia" w:eastAsia="楷体_GB2312"/>
          <w:color w:val="auto"/>
          <w:sz w:val="32"/>
          <w:szCs w:val="32"/>
          <w:highlight w:val="none"/>
        </w:rPr>
        <w:t>稳定性研究</w:t>
      </w:r>
    </w:p>
    <w:p w14:paraId="6D3CAF4C">
      <w:pPr>
        <w:snapToGrid w:val="0"/>
        <w:spacing w:line="520" w:lineRule="exact"/>
        <w:ind w:firstLine="640" w:firstLineChars="200"/>
        <w:rPr>
          <w:rFonts w:hint="eastAsia" w:eastAsia="仿宋_GB2312"/>
          <w:color w:val="auto"/>
          <w:sz w:val="32"/>
          <w:szCs w:val="32"/>
          <w:highlight w:val="none"/>
        </w:rPr>
      </w:pPr>
      <w:r>
        <w:rPr>
          <w:rFonts w:hint="eastAsia" w:eastAsia="楷体_GB2312"/>
          <w:color w:val="auto"/>
          <w:sz w:val="32"/>
          <w:szCs w:val="32"/>
          <w:highlight w:val="none"/>
        </w:rPr>
        <w:t>5.1</w:t>
      </w:r>
      <w:r>
        <w:rPr>
          <w:rFonts w:hint="eastAsia" w:eastAsia="仿宋_GB2312"/>
          <w:color w:val="auto"/>
          <w:sz w:val="32"/>
          <w:szCs w:val="32"/>
          <w:highlight w:val="none"/>
        </w:rPr>
        <w:t>申请人应明确臭氧消毒器产品的</w:t>
      </w:r>
      <w:r>
        <w:rPr>
          <w:rFonts w:eastAsia="仿宋_GB2312"/>
          <w:color w:val="auto"/>
          <w:sz w:val="32"/>
          <w:szCs w:val="32"/>
          <w:highlight w:val="none"/>
        </w:rPr>
        <w:t>预期使用寿命</w:t>
      </w:r>
      <w:r>
        <w:rPr>
          <w:rFonts w:hint="eastAsia" w:eastAsia="仿宋_GB2312"/>
          <w:color w:val="auto"/>
          <w:sz w:val="32"/>
          <w:szCs w:val="32"/>
          <w:highlight w:val="none"/>
        </w:rPr>
        <w:t>，参考《有源医疗器械使用期限注册技术审查指导原则》，同时应满足GB</w:t>
      </w:r>
      <w:r>
        <w:rPr>
          <w:rFonts w:hint="eastAsia" w:eastAsia="仿宋_GB2312"/>
          <w:color w:val="auto"/>
          <w:sz w:val="32"/>
          <w:szCs w:val="32"/>
          <w:highlight w:val="none"/>
          <w:lang w:val="en-US" w:eastAsia="zh-CN"/>
        </w:rPr>
        <w:t xml:space="preserve"> </w:t>
      </w:r>
      <w:r>
        <w:rPr>
          <w:rFonts w:hint="eastAsia" w:eastAsia="仿宋_GB2312"/>
          <w:color w:val="auto"/>
          <w:sz w:val="32"/>
          <w:szCs w:val="32"/>
          <w:highlight w:val="none"/>
        </w:rPr>
        <w:t>28232</w:t>
      </w:r>
      <w:r>
        <w:rPr>
          <w:rFonts w:hint="eastAsia" w:eastAsia="仿宋_GB2312"/>
          <w:color w:val="auto"/>
          <w:sz w:val="32"/>
          <w:szCs w:val="32"/>
          <w:highlight w:val="none"/>
          <w:lang w:val="en-US" w:eastAsia="zh-CN"/>
        </w:rPr>
        <w:t>中有关臭氧消毒器</w:t>
      </w:r>
      <w:r>
        <w:rPr>
          <w:rFonts w:hint="eastAsia" w:eastAsia="仿宋_GB2312"/>
          <w:color w:val="auto"/>
          <w:sz w:val="32"/>
          <w:szCs w:val="32"/>
          <w:highlight w:val="none"/>
        </w:rPr>
        <w:t>的寿命要求</w:t>
      </w:r>
      <w:r>
        <w:rPr>
          <w:rFonts w:hint="eastAsia" w:eastAsia="仿宋_GB2312"/>
          <w:color w:val="auto"/>
          <w:sz w:val="32"/>
          <w:szCs w:val="32"/>
          <w:highlight w:val="none"/>
          <w:lang w:eastAsia="zh-CN"/>
        </w:rPr>
        <w:t>，</w:t>
      </w:r>
      <w:r>
        <w:rPr>
          <w:rFonts w:hint="eastAsia" w:eastAsia="仿宋_GB2312"/>
          <w:color w:val="auto"/>
          <w:sz w:val="32"/>
          <w:szCs w:val="32"/>
          <w:highlight w:val="none"/>
        </w:rPr>
        <w:t>提供预期使用寿命的分析验证报告。</w:t>
      </w:r>
    </w:p>
    <w:p w14:paraId="4F903547">
      <w:pPr>
        <w:snapToGrid w:val="0"/>
        <w:spacing w:line="520" w:lineRule="exact"/>
        <w:ind w:firstLine="640" w:firstLineChars="200"/>
        <w:rPr>
          <w:rFonts w:hint="eastAsia" w:eastAsia="仿宋_GB2312"/>
          <w:color w:val="auto"/>
          <w:sz w:val="32"/>
          <w:szCs w:val="32"/>
          <w:highlight w:val="none"/>
        </w:rPr>
      </w:pPr>
      <w:r>
        <w:rPr>
          <w:rFonts w:hint="eastAsia" w:eastAsia="仿宋_GB2312"/>
          <w:color w:val="auto"/>
          <w:sz w:val="32"/>
          <w:szCs w:val="32"/>
          <w:highlight w:val="none"/>
        </w:rPr>
        <w:t>如使用臭氧分解</w:t>
      </w:r>
      <w:r>
        <w:rPr>
          <w:rFonts w:hint="eastAsia" w:eastAsia="仿宋_GB2312"/>
          <w:color w:val="auto"/>
          <w:sz w:val="32"/>
          <w:szCs w:val="32"/>
          <w:highlight w:val="none"/>
          <w:lang w:val="en-US" w:eastAsia="zh-CN"/>
        </w:rPr>
        <w:t>装置</w:t>
      </w:r>
      <w:r>
        <w:rPr>
          <w:rFonts w:hint="eastAsia" w:eastAsia="仿宋_GB2312"/>
          <w:color w:val="auto"/>
          <w:sz w:val="32"/>
          <w:szCs w:val="32"/>
          <w:highlight w:val="none"/>
        </w:rPr>
        <w:t>对臭氧进行过滤</w:t>
      </w:r>
      <w:r>
        <w:rPr>
          <w:rFonts w:hint="eastAsia" w:eastAsia="仿宋_GB2312"/>
          <w:color w:val="auto"/>
          <w:sz w:val="32"/>
          <w:szCs w:val="32"/>
          <w:highlight w:val="none"/>
          <w:lang w:val="en-US" w:eastAsia="zh-CN"/>
        </w:rPr>
        <w:t>的产品在进行稳定性研究时应一并考虑该装置的使用期限验证。</w:t>
      </w:r>
    </w:p>
    <w:p w14:paraId="4C1DEEB8">
      <w:pPr>
        <w:snapToGrid w:val="0"/>
        <w:spacing w:line="520" w:lineRule="exact"/>
        <w:ind w:firstLine="640" w:firstLineChars="200"/>
        <w:rPr>
          <w:rFonts w:hint="eastAsia" w:eastAsia="仿宋_GB2312"/>
          <w:color w:val="auto"/>
          <w:sz w:val="32"/>
          <w:szCs w:val="32"/>
          <w:highlight w:val="none"/>
        </w:rPr>
      </w:pPr>
      <w:r>
        <w:rPr>
          <w:rFonts w:hint="eastAsia" w:eastAsia="仿宋_GB2312"/>
          <w:color w:val="auto"/>
          <w:sz w:val="32"/>
          <w:szCs w:val="32"/>
          <w:highlight w:val="none"/>
        </w:rPr>
        <w:t>5.2产品经环境试验和模拟运输试验验证，包装需符合运输和贮存的要求。在宣称的有效期内以及运输储存条件下，申请人需提供保持包装完整性的依据，可参考GB/T 4857系列标准。环境试验可参考GB/T 14710标准。</w:t>
      </w:r>
    </w:p>
    <w:p w14:paraId="335BE947">
      <w:pPr>
        <w:snapToGrid w:val="0"/>
        <w:spacing w:line="520" w:lineRule="exact"/>
        <w:ind w:firstLine="640" w:firstLineChars="200"/>
        <w:rPr>
          <w:rFonts w:eastAsia="仿宋_GB2312"/>
          <w:color w:val="auto"/>
          <w:sz w:val="32"/>
          <w:szCs w:val="32"/>
          <w:highlight w:val="none"/>
        </w:rPr>
      </w:pPr>
      <w:r>
        <w:rPr>
          <w:rFonts w:hint="eastAsia" w:eastAsia="仿宋_GB2312"/>
          <w:color w:val="auto"/>
          <w:sz w:val="32"/>
          <w:szCs w:val="32"/>
          <w:highlight w:val="none"/>
        </w:rPr>
        <w:t>6.</w:t>
      </w:r>
      <w:r>
        <w:rPr>
          <w:rFonts w:eastAsia="仿宋_GB2312"/>
          <w:color w:val="auto"/>
          <w:sz w:val="32"/>
          <w:szCs w:val="32"/>
          <w:highlight w:val="none"/>
        </w:rPr>
        <w:t>其他资料</w:t>
      </w:r>
    </w:p>
    <w:p w14:paraId="4C89F2DC">
      <w:pPr>
        <w:widowControl/>
        <w:snapToGrid w:val="0"/>
        <w:spacing w:line="520" w:lineRule="exact"/>
        <w:ind w:firstLine="640" w:firstLineChars="200"/>
        <w:jc w:val="left"/>
        <w:rPr>
          <w:rFonts w:eastAsia="仿宋_GB2312"/>
          <w:color w:val="auto"/>
          <w:sz w:val="32"/>
          <w:szCs w:val="32"/>
          <w:highlight w:val="none"/>
        </w:rPr>
      </w:pPr>
      <w:bookmarkStart w:id="2" w:name="_GoBack"/>
      <w:bookmarkEnd w:id="2"/>
      <w:r>
        <w:rPr>
          <w:rFonts w:hint="eastAsia" w:eastAsia="仿宋_GB2312"/>
          <w:color w:val="auto"/>
          <w:sz w:val="32"/>
          <w:szCs w:val="32"/>
          <w:highlight w:val="none"/>
        </w:rPr>
        <w:t>臭氧消毒器</w:t>
      </w:r>
      <w:r>
        <w:rPr>
          <w:rFonts w:hint="eastAsia" w:ascii="Times New Roman" w:hAnsi="Times New Roman" w:eastAsia="仿宋_GB2312" w:cs="Times New Roman"/>
          <w:color w:val="auto"/>
          <w:kern w:val="0"/>
          <w:sz w:val="32"/>
          <w:szCs w:val="32"/>
          <w:highlight w:val="none"/>
        </w:rPr>
        <w:t>属于免于进行临床评价的医疗器械，申请人需按照《列入免于进行临床评价医疗器械目录产品对比说明技术指导原则》的要求提交相关资料。</w:t>
      </w:r>
    </w:p>
    <w:p w14:paraId="6336D10A">
      <w:pPr>
        <w:numPr>
          <w:ilvl w:val="0"/>
          <w:numId w:val="1"/>
        </w:numPr>
        <w:snapToGrid w:val="0"/>
        <w:spacing w:line="520" w:lineRule="exact"/>
        <w:ind w:firstLine="640" w:firstLineChars="200"/>
        <w:rPr>
          <w:rFonts w:eastAsia="楷体_GB2312" w:cs="楷体_GB2312"/>
          <w:color w:val="auto"/>
          <w:sz w:val="32"/>
          <w:szCs w:val="32"/>
          <w:highlight w:val="none"/>
        </w:rPr>
      </w:pPr>
      <w:r>
        <w:rPr>
          <w:rFonts w:eastAsia="楷体_GB2312" w:cs="楷体_GB2312"/>
          <w:color w:val="auto"/>
          <w:sz w:val="32"/>
          <w:szCs w:val="32"/>
          <w:highlight w:val="none"/>
        </w:rPr>
        <w:t>临床评价资料</w:t>
      </w:r>
    </w:p>
    <w:p w14:paraId="555DE5FA">
      <w:pPr>
        <w:snapToGrid/>
        <w:spacing w:line="520" w:lineRule="exact"/>
        <w:ind w:firstLine="640" w:firstLineChars="200"/>
        <w:rPr>
          <w:rFonts w:eastAsia="仿宋_GB2312"/>
          <w:color w:val="auto"/>
          <w:sz w:val="32"/>
          <w:szCs w:val="32"/>
          <w:highlight w:val="none"/>
        </w:rPr>
      </w:pPr>
      <w:r>
        <w:rPr>
          <w:rFonts w:ascii="Times New Roman" w:hAnsi="Times New Roman" w:eastAsia="仿宋_GB2312"/>
          <w:color w:val="auto"/>
          <w:sz w:val="32"/>
          <w:szCs w:val="32"/>
          <w:highlight w:val="none"/>
        </w:rPr>
        <w:t>该产品列入《免于临床评价医疗器械目录》，申请人无需提交临床评价资料。若无法证明申报产品与《免于临床评价医疗器械目录》所述的产品具有基本等同性，应按照《医疗器械临床评价技术指导原则》提交临床评价资料</w:t>
      </w:r>
      <w:r>
        <w:rPr>
          <w:rFonts w:hint="eastAsia" w:eastAsia="仿宋_GB2312"/>
          <w:color w:val="auto"/>
          <w:sz w:val="32"/>
          <w:szCs w:val="32"/>
          <w:highlight w:val="none"/>
        </w:rPr>
        <w:t>。</w:t>
      </w:r>
    </w:p>
    <w:p w14:paraId="600768ED">
      <w:pPr>
        <w:numPr>
          <w:ilvl w:val="0"/>
          <w:numId w:val="1"/>
        </w:numPr>
        <w:snapToGrid w:val="0"/>
        <w:spacing w:line="520" w:lineRule="exact"/>
        <w:ind w:firstLine="640" w:firstLineChars="200"/>
        <w:rPr>
          <w:rFonts w:eastAsia="楷体_GB2312" w:cs="楷体_GB2312"/>
          <w:color w:val="auto"/>
          <w:sz w:val="32"/>
          <w:szCs w:val="32"/>
          <w:highlight w:val="none"/>
        </w:rPr>
      </w:pPr>
      <w:r>
        <w:rPr>
          <w:rFonts w:eastAsia="楷体_GB2312" w:cs="楷体_GB2312"/>
          <w:color w:val="auto"/>
          <w:sz w:val="32"/>
          <w:szCs w:val="32"/>
          <w:highlight w:val="none"/>
        </w:rPr>
        <w:t>产品说明书和标签</w:t>
      </w:r>
      <w:r>
        <w:rPr>
          <w:rFonts w:hint="eastAsia" w:eastAsia="楷体_GB2312" w:cs="楷体_GB2312"/>
          <w:color w:val="auto"/>
          <w:sz w:val="32"/>
          <w:szCs w:val="32"/>
          <w:highlight w:val="none"/>
        </w:rPr>
        <w:t>样稿</w:t>
      </w:r>
    </w:p>
    <w:p w14:paraId="175137FF">
      <w:pPr>
        <w:snapToGrid w:val="0"/>
        <w:spacing w:line="520" w:lineRule="exact"/>
        <w:ind w:firstLine="640" w:firstLineChars="200"/>
        <w:rPr>
          <w:rFonts w:eastAsia="仿宋_GB2312"/>
          <w:color w:val="auto"/>
          <w:sz w:val="32"/>
          <w:szCs w:val="32"/>
          <w:highlight w:val="none"/>
        </w:rPr>
      </w:pPr>
      <w:r>
        <w:rPr>
          <w:rFonts w:eastAsia="仿宋_GB2312"/>
          <w:color w:val="auto"/>
          <w:sz w:val="32"/>
          <w:szCs w:val="32"/>
          <w:highlight w:val="none"/>
        </w:rPr>
        <w:t>产品说明书和标签</w:t>
      </w:r>
      <w:r>
        <w:rPr>
          <w:rFonts w:hint="eastAsia" w:eastAsia="仿宋_GB2312"/>
          <w:color w:val="auto"/>
          <w:sz w:val="32"/>
          <w:szCs w:val="32"/>
          <w:highlight w:val="none"/>
        </w:rPr>
        <w:t>应</w:t>
      </w:r>
      <w:r>
        <w:rPr>
          <w:rFonts w:eastAsia="仿宋_GB2312"/>
          <w:color w:val="auto"/>
          <w:sz w:val="32"/>
          <w:szCs w:val="32"/>
          <w:highlight w:val="none"/>
        </w:rPr>
        <w:t>符合《医疗器械说明书和标签管理规定》</w:t>
      </w:r>
      <w:r>
        <w:rPr>
          <w:rFonts w:hint="eastAsia" w:eastAsia="仿宋_GB2312"/>
          <w:color w:val="auto"/>
          <w:sz w:val="32"/>
          <w:szCs w:val="32"/>
          <w:highlight w:val="none"/>
        </w:rPr>
        <w:t>的要求，并参照</w:t>
      </w:r>
      <w:r>
        <w:rPr>
          <w:rFonts w:hint="eastAsia" w:eastAsia="仿宋_GB2312"/>
          <w:color w:val="auto"/>
          <w:sz w:val="32"/>
          <w:szCs w:val="32"/>
          <w:highlight w:val="none"/>
          <w:lang w:val="en-US" w:eastAsia="zh-CN"/>
        </w:rPr>
        <w:t>YY/T 0215、</w:t>
      </w:r>
      <w:r>
        <w:rPr>
          <w:rFonts w:hint="eastAsia" w:eastAsia="仿宋_GB2312"/>
          <w:color w:val="auto"/>
          <w:sz w:val="32"/>
          <w:szCs w:val="32"/>
          <w:highlight w:val="none"/>
        </w:rPr>
        <w:t>GB 4793.1、GB4793.4</w:t>
      </w:r>
      <w:r>
        <w:rPr>
          <w:rFonts w:hint="eastAsia" w:eastAsia="仿宋_GB2312"/>
          <w:color w:val="auto"/>
          <w:sz w:val="32"/>
          <w:szCs w:val="32"/>
          <w:highlight w:val="none"/>
          <w:lang w:val="en-US" w:eastAsia="zh-CN"/>
        </w:rPr>
        <w:t>（</w:t>
      </w:r>
      <w:r>
        <w:rPr>
          <w:rFonts w:eastAsia="仿宋_GB2312"/>
          <w:color w:val="auto"/>
          <w:sz w:val="32"/>
          <w:szCs w:val="32"/>
          <w:highlight w:val="none"/>
        </w:rPr>
        <w:t>GB 4793</w:t>
      </w:r>
      <w:r>
        <w:rPr>
          <w:rFonts w:hint="eastAsia" w:eastAsia="仿宋_GB2312"/>
          <w:color w:val="auto"/>
          <w:sz w:val="32"/>
          <w:szCs w:val="32"/>
          <w:highlight w:val="none"/>
        </w:rPr>
        <w:t>、</w:t>
      </w:r>
      <w:r>
        <w:rPr>
          <w:rFonts w:eastAsia="仿宋_GB2312"/>
          <w:color w:val="auto"/>
          <w:sz w:val="32"/>
          <w:szCs w:val="32"/>
          <w:highlight w:val="none"/>
        </w:rPr>
        <w:t>GB/T 42125.1</w:t>
      </w:r>
      <w:r>
        <w:rPr>
          <w:rFonts w:hint="eastAsia" w:eastAsia="仿宋_GB2312"/>
          <w:color w:val="auto"/>
          <w:sz w:val="32"/>
          <w:szCs w:val="32"/>
          <w:highlight w:val="none"/>
        </w:rPr>
        <w:t>和</w:t>
      </w:r>
      <w:r>
        <w:rPr>
          <w:rFonts w:eastAsia="仿宋_GB2312"/>
          <w:color w:val="auto"/>
          <w:sz w:val="32"/>
          <w:szCs w:val="32"/>
          <w:highlight w:val="none"/>
        </w:rPr>
        <w:t>GB 42125.11</w:t>
      </w:r>
      <w:r>
        <w:rPr>
          <w:rFonts w:hint="eastAsia" w:eastAsia="仿宋_GB2312"/>
          <w:color w:val="auto"/>
          <w:sz w:val="32"/>
          <w:szCs w:val="32"/>
          <w:highlight w:val="none"/>
          <w:lang w:val="en-US" w:eastAsia="zh-CN"/>
        </w:rPr>
        <w:t>）</w:t>
      </w:r>
      <w:r>
        <w:rPr>
          <w:rFonts w:hint="eastAsia" w:eastAsia="仿宋_GB2312"/>
          <w:color w:val="auto"/>
          <w:sz w:val="32"/>
          <w:szCs w:val="32"/>
          <w:highlight w:val="none"/>
        </w:rPr>
        <w:t>等相关标准的要求进行编写。同时还应关注以下内容：</w:t>
      </w:r>
    </w:p>
    <w:p w14:paraId="23EB0A58">
      <w:pPr>
        <w:snapToGrid/>
        <w:spacing w:line="520" w:lineRule="exact"/>
        <w:ind w:firstLine="640" w:firstLineChars="200"/>
        <w:rPr>
          <w:rFonts w:eastAsia="仿宋_GB2312"/>
          <w:color w:val="auto"/>
          <w:sz w:val="32"/>
          <w:szCs w:val="32"/>
          <w:highlight w:val="none"/>
        </w:rPr>
      </w:pPr>
      <w:r>
        <w:rPr>
          <w:rFonts w:eastAsia="仿宋_GB2312"/>
          <w:color w:val="auto"/>
          <w:sz w:val="32"/>
          <w:szCs w:val="32"/>
          <w:highlight w:val="none"/>
        </w:rPr>
        <w:t>1.</w:t>
      </w:r>
      <w:r>
        <w:rPr>
          <w:rFonts w:hint="eastAsia" w:ascii="Times New Roman" w:hAnsi="Times New Roman" w:eastAsia="仿宋_GB2312" w:cs="Times New Roman"/>
          <w:color w:val="auto"/>
          <w:kern w:val="0"/>
          <w:sz w:val="32"/>
          <w:szCs w:val="32"/>
          <w:highlight w:val="none"/>
        </w:rPr>
        <w:t>1.产品适用范围、性能指标、软件发布版本、软件功能、网络安全信息（若适用）。</w:t>
      </w:r>
    </w:p>
    <w:p w14:paraId="5BE735F6">
      <w:pPr>
        <w:snapToGrid w:val="0"/>
        <w:spacing w:line="520" w:lineRule="exact"/>
        <w:ind w:firstLine="640" w:firstLineChars="200"/>
        <w:rPr>
          <w:rFonts w:eastAsia="仿宋_GB2312"/>
          <w:color w:val="auto"/>
          <w:sz w:val="32"/>
          <w:szCs w:val="32"/>
          <w:highlight w:val="none"/>
        </w:rPr>
      </w:pPr>
      <w:r>
        <w:rPr>
          <w:rFonts w:eastAsia="仿宋_GB2312"/>
          <w:color w:val="auto"/>
          <w:sz w:val="32"/>
          <w:szCs w:val="32"/>
          <w:highlight w:val="none"/>
        </w:rPr>
        <w:t>2.关于</w:t>
      </w:r>
      <w:r>
        <w:rPr>
          <w:rFonts w:hint="eastAsia" w:eastAsia="仿宋_GB2312"/>
          <w:color w:val="auto"/>
          <w:sz w:val="32"/>
          <w:szCs w:val="32"/>
          <w:highlight w:val="none"/>
        </w:rPr>
        <w:t>消毒</w:t>
      </w:r>
      <w:r>
        <w:rPr>
          <w:rFonts w:eastAsia="仿宋_GB2312"/>
          <w:color w:val="auto"/>
          <w:sz w:val="32"/>
          <w:szCs w:val="32"/>
          <w:highlight w:val="none"/>
        </w:rPr>
        <w:t>原理的说明。</w:t>
      </w:r>
    </w:p>
    <w:p w14:paraId="500DFA27">
      <w:pPr>
        <w:snapToGrid w:val="0"/>
        <w:spacing w:line="520" w:lineRule="exact"/>
        <w:ind w:firstLine="640" w:firstLineChars="200"/>
        <w:rPr>
          <w:rFonts w:eastAsia="仿宋_GB2312"/>
          <w:color w:val="auto"/>
          <w:sz w:val="32"/>
          <w:szCs w:val="32"/>
          <w:highlight w:val="none"/>
        </w:rPr>
      </w:pPr>
      <w:r>
        <w:rPr>
          <w:rFonts w:eastAsia="仿宋_GB2312"/>
          <w:color w:val="auto"/>
          <w:sz w:val="32"/>
          <w:szCs w:val="32"/>
          <w:highlight w:val="none"/>
        </w:rPr>
        <w:t>3.关于提醒使用者对</w:t>
      </w:r>
      <w:r>
        <w:rPr>
          <w:rFonts w:hint="eastAsia" w:eastAsia="仿宋_GB2312"/>
          <w:color w:val="auto"/>
          <w:sz w:val="32"/>
          <w:szCs w:val="32"/>
          <w:highlight w:val="none"/>
        </w:rPr>
        <w:t>消毒</w:t>
      </w:r>
      <w:r>
        <w:rPr>
          <w:rFonts w:eastAsia="仿宋_GB2312"/>
          <w:color w:val="auto"/>
          <w:sz w:val="32"/>
          <w:szCs w:val="32"/>
          <w:highlight w:val="none"/>
        </w:rPr>
        <w:t>效果进行验证的警示说明。</w:t>
      </w:r>
    </w:p>
    <w:p w14:paraId="43429790">
      <w:pPr>
        <w:snapToGrid w:val="0"/>
        <w:spacing w:line="520" w:lineRule="exact"/>
        <w:ind w:firstLine="640" w:firstLineChars="200"/>
        <w:rPr>
          <w:rFonts w:eastAsia="仿宋_GB2312"/>
          <w:color w:val="auto"/>
          <w:sz w:val="32"/>
          <w:szCs w:val="32"/>
          <w:highlight w:val="none"/>
        </w:rPr>
      </w:pPr>
      <w:r>
        <w:rPr>
          <w:rFonts w:eastAsia="仿宋_GB2312"/>
          <w:color w:val="auto"/>
          <w:sz w:val="32"/>
          <w:szCs w:val="32"/>
          <w:highlight w:val="none"/>
        </w:rPr>
        <w:t>4.</w:t>
      </w:r>
      <w:r>
        <w:rPr>
          <w:rFonts w:hint="eastAsia" w:ascii="Times New Roman" w:hAnsi="Times New Roman" w:eastAsia="仿宋_GB2312" w:cs="Times New Roman"/>
          <w:color w:val="auto"/>
          <w:kern w:val="0"/>
          <w:sz w:val="32"/>
          <w:szCs w:val="32"/>
          <w:highlight w:val="none"/>
        </w:rPr>
        <w:t>对产品使用方法、产品寿命、维护保养等情况做出说明。</w:t>
      </w:r>
    </w:p>
    <w:p w14:paraId="6CBD50A4">
      <w:pPr>
        <w:snapToGrid w:val="0"/>
        <w:spacing w:line="520" w:lineRule="exact"/>
        <w:ind w:firstLine="640" w:firstLineChars="200"/>
        <w:rPr>
          <w:rFonts w:eastAsia="仿宋_GB2312"/>
          <w:color w:val="auto"/>
          <w:sz w:val="32"/>
          <w:szCs w:val="32"/>
          <w:highlight w:val="none"/>
        </w:rPr>
      </w:pPr>
      <w:r>
        <w:rPr>
          <w:rFonts w:eastAsia="仿宋_GB2312"/>
          <w:color w:val="auto"/>
          <w:sz w:val="32"/>
          <w:szCs w:val="32"/>
          <w:highlight w:val="none"/>
        </w:rPr>
        <w:t>5.对于容器的技术指标表述。</w:t>
      </w:r>
    </w:p>
    <w:p w14:paraId="35CBA1E8">
      <w:pPr>
        <w:snapToGrid w:val="0"/>
        <w:spacing w:line="520" w:lineRule="exact"/>
        <w:ind w:firstLine="640" w:firstLineChars="200"/>
        <w:rPr>
          <w:rFonts w:eastAsia="仿宋_GB2312"/>
          <w:color w:val="auto"/>
          <w:sz w:val="32"/>
          <w:szCs w:val="32"/>
          <w:highlight w:val="none"/>
        </w:rPr>
      </w:pPr>
      <w:r>
        <w:rPr>
          <w:rFonts w:eastAsia="仿宋_GB2312"/>
          <w:color w:val="auto"/>
          <w:sz w:val="32"/>
          <w:szCs w:val="32"/>
          <w:highlight w:val="none"/>
        </w:rPr>
        <w:t>6.对于电磁兼容所声称的有关内容（</w:t>
      </w:r>
      <w:r>
        <w:rPr>
          <w:rFonts w:hint="eastAsia" w:eastAsia="仿宋_GB2312"/>
          <w:color w:val="auto"/>
          <w:sz w:val="32"/>
          <w:szCs w:val="32"/>
          <w:highlight w:val="none"/>
        </w:rPr>
        <w:t>适用的电磁环境和所采用的标准</w:t>
      </w:r>
      <w:r>
        <w:rPr>
          <w:rFonts w:eastAsia="仿宋_GB2312"/>
          <w:color w:val="auto"/>
          <w:sz w:val="32"/>
          <w:szCs w:val="32"/>
          <w:highlight w:val="none"/>
        </w:rPr>
        <w:t>）。</w:t>
      </w:r>
    </w:p>
    <w:p w14:paraId="600F24B6">
      <w:pPr>
        <w:snapToGrid w:val="0"/>
        <w:spacing w:line="520" w:lineRule="exact"/>
        <w:ind w:firstLine="640" w:firstLineChars="200"/>
        <w:rPr>
          <w:rFonts w:eastAsia="仿宋_GB2312"/>
          <w:color w:val="auto"/>
          <w:sz w:val="32"/>
          <w:szCs w:val="32"/>
          <w:highlight w:val="none"/>
        </w:rPr>
      </w:pPr>
      <w:r>
        <w:rPr>
          <w:rFonts w:eastAsia="仿宋_GB2312"/>
          <w:color w:val="auto"/>
          <w:sz w:val="32"/>
          <w:szCs w:val="32"/>
          <w:highlight w:val="none"/>
        </w:rPr>
        <w:t>7.提示不要超出产品适用范围使用。</w:t>
      </w:r>
      <w:r>
        <w:rPr>
          <w:rFonts w:hint="eastAsia" w:ascii="Times New Roman" w:hAnsi="Times New Roman" w:eastAsia="仿宋_GB2312" w:cs="Times New Roman"/>
          <w:color w:val="auto"/>
          <w:kern w:val="0"/>
          <w:sz w:val="32"/>
          <w:szCs w:val="32"/>
          <w:highlight w:val="none"/>
        </w:rPr>
        <w:t>说明不适用</w:t>
      </w:r>
      <w:r>
        <w:rPr>
          <w:rFonts w:hint="eastAsia" w:eastAsia="仿宋_GB2312" w:cs="Times New Roman"/>
          <w:color w:val="auto"/>
          <w:kern w:val="0"/>
          <w:sz w:val="32"/>
          <w:szCs w:val="32"/>
          <w:highlight w:val="none"/>
          <w:lang w:val="en-US" w:eastAsia="zh-CN"/>
        </w:rPr>
        <w:t>消毒</w:t>
      </w:r>
      <w:r>
        <w:rPr>
          <w:rFonts w:hint="eastAsia" w:ascii="Times New Roman" w:hAnsi="Times New Roman" w:eastAsia="仿宋_GB2312" w:cs="Times New Roman"/>
          <w:color w:val="auto"/>
          <w:kern w:val="0"/>
          <w:sz w:val="32"/>
          <w:szCs w:val="32"/>
          <w:highlight w:val="none"/>
        </w:rPr>
        <w:t>的物品种类及提示。</w:t>
      </w:r>
    </w:p>
    <w:p w14:paraId="40003561">
      <w:pPr>
        <w:snapToGrid w:val="0"/>
        <w:spacing w:line="520" w:lineRule="exact"/>
        <w:ind w:firstLine="640" w:firstLineChars="200"/>
        <w:rPr>
          <w:rFonts w:eastAsia="仿宋_GB2312"/>
          <w:color w:val="auto"/>
          <w:sz w:val="32"/>
          <w:szCs w:val="32"/>
          <w:highlight w:val="none"/>
        </w:rPr>
      </w:pPr>
      <w:r>
        <w:rPr>
          <w:rFonts w:eastAsia="仿宋_GB2312"/>
          <w:color w:val="auto"/>
          <w:sz w:val="32"/>
          <w:szCs w:val="32"/>
          <w:highlight w:val="none"/>
        </w:rPr>
        <w:t>8.提示对</w:t>
      </w:r>
      <w:r>
        <w:rPr>
          <w:rFonts w:hint="eastAsia" w:eastAsia="仿宋_GB2312"/>
          <w:color w:val="auto"/>
          <w:sz w:val="32"/>
          <w:szCs w:val="32"/>
          <w:highlight w:val="none"/>
        </w:rPr>
        <w:t>消毒</w:t>
      </w:r>
      <w:r>
        <w:rPr>
          <w:rFonts w:eastAsia="仿宋_GB2312"/>
          <w:color w:val="auto"/>
          <w:sz w:val="32"/>
          <w:szCs w:val="32"/>
          <w:highlight w:val="none"/>
        </w:rPr>
        <w:t>效果进行监测。</w:t>
      </w:r>
    </w:p>
    <w:p w14:paraId="630CAD37">
      <w:pPr>
        <w:snapToGrid w:val="0"/>
        <w:spacing w:line="520" w:lineRule="exact"/>
        <w:ind w:firstLine="640" w:firstLineChars="200"/>
        <w:rPr>
          <w:rFonts w:eastAsia="仿宋_GB2312"/>
          <w:color w:val="auto"/>
          <w:sz w:val="32"/>
          <w:szCs w:val="32"/>
          <w:highlight w:val="none"/>
        </w:rPr>
      </w:pPr>
      <w:r>
        <w:rPr>
          <w:rFonts w:eastAsia="仿宋_GB2312"/>
          <w:color w:val="auto"/>
          <w:sz w:val="32"/>
          <w:szCs w:val="32"/>
          <w:highlight w:val="none"/>
        </w:rPr>
        <w:t>9.对于安全性方面的提醒。</w:t>
      </w:r>
      <w:r>
        <w:rPr>
          <w:rFonts w:hint="eastAsia" w:eastAsia="仿宋_GB2312"/>
          <w:color w:val="auto"/>
          <w:sz w:val="32"/>
          <w:szCs w:val="32"/>
          <w:highlight w:val="none"/>
        </w:rPr>
        <w:t>如果使用别的部件或材料会降低最低安全度，需在使用说明书中对被认可的附件、可更换的部件和材料加以说明。</w:t>
      </w:r>
    </w:p>
    <w:p w14:paraId="785E1528">
      <w:pPr>
        <w:snapToGrid w:val="0"/>
        <w:spacing w:line="520" w:lineRule="exact"/>
        <w:ind w:firstLine="640" w:firstLineChars="200"/>
        <w:rPr>
          <w:rFonts w:eastAsia="仿宋_GB2312"/>
          <w:color w:val="auto"/>
          <w:sz w:val="32"/>
          <w:szCs w:val="32"/>
          <w:highlight w:val="none"/>
        </w:rPr>
      </w:pPr>
      <w:r>
        <w:rPr>
          <w:rFonts w:eastAsia="仿宋_GB2312"/>
          <w:color w:val="auto"/>
          <w:sz w:val="32"/>
          <w:szCs w:val="32"/>
          <w:highlight w:val="none"/>
        </w:rPr>
        <w:t>10.常见故障及排除方法。</w:t>
      </w:r>
    </w:p>
    <w:p w14:paraId="4C5E9B3D">
      <w:pPr>
        <w:snapToGrid w:val="0"/>
        <w:spacing w:line="520" w:lineRule="exact"/>
        <w:ind w:firstLine="640" w:firstLineChars="200"/>
        <w:rPr>
          <w:rFonts w:eastAsia="仿宋_GB2312"/>
          <w:color w:val="auto"/>
          <w:sz w:val="32"/>
          <w:szCs w:val="32"/>
          <w:highlight w:val="none"/>
        </w:rPr>
      </w:pPr>
      <w:r>
        <w:rPr>
          <w:rFonts w:hint="eastAsia" w:eastAsia="仿宋_GB2312"/>
          <w:color w:val="auto"/>
          <w:sz w:val="32"/>
          <w:szCs w:val="32"/>
          <w:highlight w:val="none"/>
        </w:rPr>
        <w:t>11.采用外接水源的设备，应明确</w:t>
      </w:r>
      <w:r>
        <w:rPr>
          <w:rFonts w:hint="eastAsia" w:eastAsia="仿宋_GB2312"/>
          <w:bCs/>
          <w:color w:val="auto"/>
          <w:sz w:val="32"/>
          <w:szCs w:val="32"/>
          <w:highlight w:val="none"/>
        </w:rPr>
        <w:t>外接水源的接口、温度、压力、电导率等与设备安全有效直接相关的信息</w:t>
      </w:r>
      <w:r>
        <w:rPr>
          <w:rFonts w:hint="eastAsia" w:eastAsia="仿宋_GB2312"/>
          <w:color w:val="auto"/>
          <w:sz w:val="32"/>
          <w:szCs w:val="32"/>
          <w:highlight w:val="none"/>
        </w:rPr>
        <w:t>。</w:t>
      </w:r>
    </w:p>
    <w:p w14:paraId="0F057495">
      <w:pPr>
        <w:snapToGrid w:val="0"/>
        <w:spacing w:line="520" w:lineRule="exact"/>
        <w:ind w:firstLine="640" w:firstLineChars="200"/>
        <w:rPr>
          <w:rFonts w:hint="eastAsia" w:eastAsia="仿宋_GB2312"/>
          <w:color w:val="auto"/>
          <w:sz w:val="32"/>
          <w:szCs w:val="32"/>
          <w:highlight w:val="none"/>
        </w:rPr>
      </w:pPr>
      <w:r>
        <w:rPr>
          <w:rFonts w:hint="eastAsia" w:eastAsia="仿宋_GB2312"/>
          <w:color w:val="auto"/>
          <w:sz w:val="32"/>
          <w:szCs w:val="32"/>
          <w:highlight w:val="none"/>
        </w:rPr>
        <w:t>12.禁止与醚类及其衍生物（如：乙醚、甲乙醚等）接触，禁止靠近、接触明火。</w:t>
      </w:r>
    </w:p>
    <w:p w14:paraId="57716706">
      <w:pPr>
        <w:snapToGrid w:val="0"/>
        <w:spacing w:line="520" w:lineRule="exact"/>
        <w:ind w:firstLine="640" w:firstLineChars="200"/>
        <w:rPr>
          <w:rFonts w:hint="eastAsia" w:eastAsia="仿宋_GB2312"/>
          <w:color w:val="auto"/>
          <w:sz w:val="32"/>
          <w:szCs w:val="32"/>
          <w:highlight w:val="none"/>
        </w:rPr>
      </w:pPr>
      <w:r>
        <w:rPr>
          <w:rFonts w:hint="eastAsia" w:eastAsia="仿宋_GB2312"/>
          <w:color w:val="auto"/>
          <w:sz w:val="32"/>
          <w:szCs w:val="32"/>
          <w:highlight w:val="none"/>
          <w:lang w:val="en-US" w:eastAsia="zh-CN"/>
        </w:rPr>
        <w:t>13.</w:t>
      </w:r>
      <w:r>
        <w:rPr>
          <w:rFonts w:hint="eastAsia" w:eastAsia="仿宋_GB2312"/>
          <w:color w:val="auto"/>
          <w:sz w:val="32"/>
          <w:szCs w:val="32"/>
          <w:highlight w:val="none"/>
        </w:rPr>
        <w:t>为防止燃爆，采用电解法的产品，1m范围内不应有明火。</w:t>
      </w:r>
    </w:p>
    <w:p w14:paraId="71A67278">
      <w:pPr>
        <w:adjustRightInd w:val="0"/>
        <w:snapToGrid w:val="0"/>
        <w:spacing w:line="520" w:lineRule="exact"/>
        <w:ind w:firstLine="640" w:firstLineChars="200"/>
        <w:rPr>
          <w:rFonts w:eastAsia="仿宋_GB2312"/>
          <w:bCs/>
          <w:color w:val="auto"/>
          <w:sz w:val="32"/>
          <w:szCs w:val="32"/>
          <w:highlight w:val="none"/>
        </w:rPr>
      </w:pPr>
      <w:r>
        <w:rPr>
          <w:rFonts w:hint="eastAsia" w:eastAsia="仿宋_GB2312"/>
          <w:color w:val="auto"/>
          <w:sz w:val="32"/>
          <w:szCs w:val="32"/>
          <w:highlight w:val="none"/>
          <w:lang w:val="en-US" w:eastAsia="zh-CN"/>
        </w:rPr>
        <w:t>14.</w:t>
      </w:r>
      <w:r>
        <w:rPr>
          <w:rFonts w:eastAsia="仿宋_GB2312"/>
          <w:bCs/>
          <w:color w:val="auto"/>
          <w:sz w:val="32"/>
          <w:szCs w:val="32"/>
          <w:highlight w:val="none"/>
        </w:rPr>
        <w:t>明确目标用户以及操作或使用该产品应当具备的技能/知识/培训。</w:t>
      </w:r>
    </w:p>
    <w:p w14:paraId="4DBF5E05">
      <w:pPr>
        <w:adjustRightInd w:val="0"/>
        <w:snapToGrid w:val="0"/>
        <w:spacing w:line="520" w:lineRule="exact"/>
        <w:ind w:firstLine="640" w:firstLineChars="200"/>
        <w:rPr>
          <w:rFonts w:hint="eastAsia" w:eastAsia="仿宋_GB2312"/>
          <w:bCs/>
          <w:color w:val="auto"/>
          <w:sz w:val="32"/>
          <w:szCs w:val="32"/>
          <w:highlight w:val="none"/>
          <w:lang w:val="en-US" w:eastAsia="zh-CN"/>
        </w:rPr>
      </w:pPr>
      <w:r>
        <w:rPr>
          <w:rFonts w:hint="eastAsia" w:eastAsia="仿宋_GB2312"/>
          <w:bCs/>
          <w:color w:val="auto"/>
          <w:sz w:val="32"/>
          <w:szCs w:val="32"/>
          <w:highlight w:val="none"/>
          <w:lang w:val="en-US" w:eastAsia="zh-CN"/>
        </w:rPr>
        <w:t>15.GB 28232中10的适用内容。</w:t>
      </w:r>
    </w:p>
    <w:p w14:paraId="3FDEBB2C">
      <w:pPr>
        <w:adjustRightInd w:val="0"/>
        <w:snapToGrid w:val="0"/>
        <w:spacing w:line="520" w:lineRule="exact"/>
        <w:ind w:firstLine="640" w:firstLineChars="200"/>
        <w:rPr>
          <w:rFonts w:hint="default" w:eastAsia="仿宋_GB2312"/>
          <w:bCs/>
          <w:color w:val="auto"/>
          <w:sz w:val="32"/>
          <w:szCs w:val="32"/>
          <w:highlight w:val="none"/>
          <w:lang w:val="en-US" w:eastAsia="zh-CN"/>
        </w:rPr>
      </w:pPr>
      <w:r>
        <w:rPr>
          <w:rFonts w:hint="eastAsia" w:eastAsia="仿宋_GB2312"/>
          <w:bCs/>
          <w:color w:val="auto"/>
          <w:sz w:val="32"/>
          <w:szCs w:val="32"/>
          <w:highlight w:val="none"/>
          <w:lang w:val="en-US" w:eastAsia="zh-CN"/>
        </w:rPr>
        <w:t>16.提醒使用者需待腔体内臭氧浓度达到安全水平后方可打开柜门。</w:t>
      </w:r>
    </w:p>
    <w:p w14:paraId="28D3D1EA">
      <w:pPr>
        <w:numPr>
          <w:ilvl w:val="0"/>
          <w:numId w:val="1"/>
        </w:numPr>
        <w:snapToGrid w:val="0"/>
        <w:spacing w:line="520" w:lineRule="exact"/>
        <w:ind w:firstLine="640" w:firstLineChars="200"/>
        <w:rPr>
          <w:rFonts w:eastAsia="楷体_GB2312" w:cs="楷体_GB2312"/>
          <w:color w:val="auto"/>
          <w:sz w:val="32"/>
          <w:szCs w:val="32"/>
          <w:highlight w:val="none"/>
        </w:rPr>
      </w:pPr>
      <w:r>
        <w:rPr>
          <w:rFonts w:eastAsia="楷体_GB2312" w:cs="楷体_GB2312"/>
          <w:color w:val="auto"/>
          <w:sz w:val="32"/>
          <w:szCs w:val="32"/>
          <w:highlight w:val="none"/>
        </w:rPr>
        <w:t>质量管理体系文件</w:t>
      </w:r>
    </w:p>
    <w:p w14:paraId="2053E344">
      <w:pPr>
        <w:spacing w:line="520" w:lineRule="exact"/>
        <w:ind w:firstLine="640" w:firstLineChars="200"/>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质量管理体系文件主要包括综述、生产制造信息、质量管理体系程序、管理职责程序、资源管理程序、产品实现程序、质量管理体系的测量、分析和改进程序、其他质量体系程序信息、质量管理体系核查信息等内容，应符合《医疗器械注册与备案管理办法》和《关于公布医疗器械注册申报资料要求和批准证明文件格式的公告》的相关要求。</w:t>
      </w:r>
    </w:p>
    <w:p w14:paraId="1C40149B">
      <w:pPr>
        <w:spacing w:line="520" w:lineRule="exact"/>
        <w:ind w:firstLine="640" w:firstLineChars="200"/>
        <w:rPr>
          <w:rFonts w:eastAsia="仿宋_GB2312"/>
          <w:bCs/>
          <w:color w:val="auto"/>
          <w:sz w:val="32"/>
          <w:szCs w:val="32"/>
          <w:highlight w:val="none"/>
        </w:rPr>
      </w:pPr>
      <w:r>
        <w:rPr>
          <w:rFonts w:eastAsia="黑体"/>
          <w:color w:val="auto"/>
          <w:sz w:val="32"/>
          <w:szCs w:val="32"/>
          <w:highlight w:val="none"/>
        </w:rPr>
        <w:t>三、参考文献</w:t>
      </w:r>
      <w:r>
        <w:rPr>
          <w:rFonts w:eastAsia="黑体"/>
          <w:b/>
          <w:color w:val="auto"/>
          <w:sz w:val="32"/>
          <w:highlight w:val="none"/>
        </w:rPr>
        <w:t xml:space="preserve"> </w:t>
      </w:r>
    </w:p>
    <w:p w14:paraId="61633CF2">
      <w:pPr>
        <w:pStyle w:val="44"/>
        <w:numPr>
          <w:ilvl w:val="0"/>
          <w:numId w:val="2"/>
        </w:numPr>
        <w:tabs>
          <w:tab w:val="left" w:pos="360"/>
          <w:tab w:val="left" w:pos="952"/>
          <w:tab w:val="left" w:pos="1078"/>
          <w:tab w:val="left" w:pos="1140"/>
        </w:tabs>
        <w:autoSpaceDE w:val="0"/>
        <w:autoSpaceDN w:val="0"/>
        <w:adjustRightInd w:val="0"/>
        <w:spacing w:line="520" w:lineRule="exact"/>
        <w:ind w:left="0" w:firstLine="640" w:firstLineChars="0"/>
        <w:rPr>
          <w:rFonts w:eastAsia="仿宋_GB2312"/>
          <w:color w:val="auto"/>
          <w:kern w:val="0"/>
          <w:sz w:val="32"/>
          <w:szCs w:val="32"/>
          <w:highlight w:val="none"/>
        </w:rPr>
      </w:pPr>
      <w:r>
        <w:rPr>
          <w:rFonts w:hint="eastAsia" w:eastAsia="仿宋_GB2312"/>
          <w:color w:val="auto"/>
          <w:kern w:val="0"/>
          <w:sz w:val="32"/>
          <w:szCs w:val="32"/>
          <w:highlight w:val="none"/>
        </w:rPr>
        <w:t>中华人民共和国国务院.医疗器械监督管理条例:中华人民共和国国务院令第7</w:t>
      </w:r>
      <w:r>
        <w:rPr>
          <w:rFonts w:hint="eastAsia" w:eastAsia="仿宋_GB2312"/>
          <w:color w:val="auto"/>
          <w:kern w:val="0"/>
          <w:sz w:val="32"/>
          <w:szCs w:val="32"/>
          <w:highlight w:val="none"/>
          <w:lang w:val="en-US" w:eastAsia="zh-CN"/>
        </w:rPr>
        <w:t>92</w:t>
      </w:r>
      <w:r>
        <w:rPr>
          <w:rFonts w:hint="eastAsia" w:eastAsia="仿宋_GB2312"/>
          <w:color w:val="auto"/>
          <w:kern w:val="0"/>
          <w:sz w:val="32"/>
          <w:szCs w:val="32"/>
          <w:highlight w:val="none"/>
        </w:rPr>
        <w:t>号[Z].</w:t>
      </w:r>
    </w:p>
    <w:p w14:paraId="37260A6C">
      <w:pPr>
        <w:pStyle w:val="44"/>
        <w:numPr>
          <w:ilvl w:val="0"/>
          <w:numId w:val="2"/>
        </w:numPr>
        <w:tabs>
          <w:tab w:val="left" w:pos="360"/>
          <w:tab w:val="left" w:pos="952"/>
          <w:tab w:val="left" w:pos="1078"/>
          <w:tab w:val="left" w:pos="1140"/>
        </w:tabs>
        <w:autoSpaceDE w:val="0"/>
        <w:autoSpaceDN w:val="0"/>
        <w:adjustRightInd w:val="0"/>
        <w:spacing w:line="520" w:lineRule="exact"/>
        <w:ind w:left="0" w:firstLine="640" w:firstLineChars="0"/>
        <w:rPr>
          <w:rFonts w:eastAsia="仿宋_GB2312"/>
          <w:color w:val="auto"/>
          <w:kern w:val="0"/>
          <w:sz w:val="32"/>
          <w:szCs w:val="32"/>
          <w:highlight w:val="none"/>
        </w:rPr>
      </w:pPr>
      <w:r>
        <w:rPr>
          <w:rFonts w:hint="eastAsia" w:eastAsia="仿宋_GB2312"/>
          <w:color w:val="auto"/>
          <w:kern w:val="0"/>
          <w:sz w:val="32"/>
          <w:szCs w:val="32"/>
          <w:highlight w:val="none"/>
        </w:rPr>
        <w:t>国家市场监督管理总局.医疗器械注册与备案管理办法:国家市场监督管理总局令第</w:t>
      </w:r>
      <w:r>
        <w:rPr>
          <w:rFonts w:hint="eastAsia" w:eastAsia="仿宋_GB2312"/>
          <w:color w:val="auto"/>
          <w:kern w:val="0"/>
          <w:sz w:val="32"/>
          <w:szCs w:val="32"/>
          <w:highlight w:val="none"/>
          <w:lang w:val="en-US" w:eastAsia="zh-CN"/>
        </w:rPr>
        <w:t>59</w:t>
      </w:r>
      <w:r>
        <w:rPr>
          <w:rFonts w:hint="eastAsia" w:eastAsia="仿宋_GB2312"/>
          <w:color w:val="auto"/>
          <w:kern w:val="0"/>
          <w:sz w:val="32"/>
          <w:szCs w:val="32"/>
          <w:highlight w:val="none"/>
        </w:rPr>
        <w:t>号[Z].</w:t>
      </w:r>
    </w:p>
    <w:p w14:paraId="496AAA66">
      <w:pPr>
        <w:pStyle w:val="44"/>
        <w:numPr>
          <w:ilvl w:val="0"/>
          <w:numId w:val="2"/>
        </w:numPr>
        <w:tabs>
          <w:tab w:val="left" w:pos="360"/>
          <w:tab w:val="left" w:pos="952"/>
          <w:tab w:val="left" w:pos="1078"/>
          <w:tab w:val="left" w:pos="1140"/>
        </w:tabs>
        <w:autoSpaceDE w:val="0"/>
        <w:autoSpaceDN w:val="0"/>
        <w:adjustRightInd w:val="0"/>
        <w:spacing w:line="520" w:lineRule="exact"/>
        <w:ind w:left="0" w:firstLine="640" w:firstLineChars="0"/>
        <w:rPr>
          <w:rFonts w:eastAsia="仿宋_GB2312"/>
          <w:color w:val="auto"/>
          <w:kern w:val="0"/>
          <w:sz w:val="32"/>
          <w:szCs w:val="32"/>
          <w:highlight w:val="none"/>
        </w:rPr>
      </w:pPr>
      <w:r>
        <w:rPr>
          <w:rFonts w:hint="eastAsia" w:eastAsia="仿宋_GB2312"/>
          <w:color w:val="auto"/>
          <w:kern w:val="0"/>
          <w:sz w:val="32"/>
          <w:szCs w:val="32"/>
          <w:highlight w:val="none"/>
        </w:rPr>
        <w:t>国家食品药品监督管理局.医疗器械说明书和标签管理规定:国家食品药品监督管理总局令第6号[Z].</w:t>
      </w:r>
    </w:p>
    <w:p w14:paraId="1C17EABE">
      <w:pPr>
        <w:pStyle w:val="44"/>
        <w:numPr>
          <w:ilvl w:val="0"/>
          <w:numId w:val="2"/>
        </w:numPr>
        <w:tabs>
          <w:tab w:val="left" w:pos="360"/>
          <w:tab w:val="left" w:pos="952"/>
          <w:tab w:val="left" w:pos="1078"/>
          <w:tab w:val="left" w:pos="1140"/>
        </w:tabs>
        <w:autoSpaceDE w:val="0"/>
        <w:autoSpaceDN w:val="0"/>
        <w:adjustRightInd w:val="0"/>
        <w:spacing w:line="520" w:lineRule="exact"/>
        <w:ind w:left="0" w:firstLine="640" w:firstLineChars="0"/>
        <w:rPr>
          <w:rFonts w:eastAsia="仿宋_GB2312"/>
          <w:color w:val="auto"/>
          <w:kern w:val="0"/>
          <w:sz w:val="32"/>
          <w:szCs w:val="32"/>
          <w:highlight w:val="none"/>
        </w:rPr>
      </w:pPr>
      <w:r>
        <w:rPr>
          <w:rFonts w:eastAsia="仿宋_GB2312"/>
          <w:color w:val="auto"/>
          <w:kern w:val="0"/>
          <w:sz w:val="32"/>
          <w:szCs w:val="32"/>
          <w:highlight w:val="none"/>
        </w:rPr>
        <w:t>国家食品药品监督管理局</w:t>
      </w:r>
      <w:r>
        <w:rPr>
          <w:rFonts w:hint="eastAsia" w:eastAsia="仿宋_GB2312"/>
          <w:color w:val="auto"/>
          <w:kern w:val="0"/>
          <w:sz w:val="32"/>
          <w:szCs w:val="32"/>
          <w:highlight w:val="none"/>
        </w:rPr>
        <w:t>.</w:t>
      </w:r>
      <w:r>
        <w:rPr>
          <w:rFonts w:eastAsia="仿宋_GB2312"/>
          <w:color w:val="auto"/>
          <w:kern w:val="0"/>
          <w:sz w:val="32"/>
          <w:szCs w:val="32"/>
          <w:highlight w:val="none"/>
        </w:rPr>
        <w:t>医疗器械通用名称命名规则</w:t>
      </w:r>
      <w:r>
        <w:rPr>
          <w:rFonts w:hint="eastAsia" w:eastAsia="仿宋_GB2312"/>
          <w:color w:val="auto"/>
          <w:kern w:val="0"/>
          <w:sz w:val="32"/>
          <w:szCs w:val="32"/>
          <w:highlight w:val="none"/>
        </w:rPr>
        <w:t>：</w:t>
      </w:r>
      <w:r>
        <w:rPr>
          <w:rFonts w:eastAsia="仿宋_GB2312"/>
          <w:color w:val="auto"/>
          <w:kern w:val="0"/>
          <w:sz w:val="32"/>
          <w:szCs w:val="32"/>
          <w:highlight w:val="none"/>
        </w:rPr>
        <w:t>国家食品药品监督管理总局令第19号[Z].</w:t>
      </w:r>
    </w:p>
    <w:p w14:paraId="5C952CC6">
      <w:pPr>
        <w:pStyle w:val="44"/>
        <w:numPr>
          <w:ilvl w:val="0"/>
          <w:numId w:val="2"/>
        </w:numPr>
        <w:tabs>
          <w:tab w:val="left" w:pos="360"/>
          <w:tab w:val="left" w:pos="952"/>
          <w:tab w:val="left" w:pos="1078"/>
          <w:tab w:val="left" w:pos="1140"/>
        </w:tabs>
        <w:autoSpaceDE w:val="0"/>
        <w:autoSpaceDN w:val="0"/>
        <w:adjustRightInd w:val="0"/>
        <w:spacing w:line="520" w:lineRule="exact"/>
        <w:ind w:left="0" w:firstLine="640" w:firstLineChars="0"/>
        <w:rPr>
          <w:rFonts w:eastAsia="仿宋_GB2312"/>
          <w:color w:val="auto"/>
          <w:kern w:val="0"/>
          <w:sz w:val="32"/>
          <w:szCs w:val="32"/>
          <w:highlight w:val="none"/>
        </w:rPr>
      </w:pPr>
      <w:r>
        <w:rPr>
          <w:rFonts w:hint="eastAsia" w:eastAsia="仿宋_GB2312"/>
          <w:color w:val="auto"/>
          <w:kern w:val="0"/>
          <w:sz w:val="32"/>
          <w:szCs w:val="32"/>
          <w:highlight w:val="none"/>
        </w:rPr>
        <w:t>国家药品监督管理局.</w:t>
      </w:r>
      <w:r>
        <w:rPr>
          <w:rFonts w:eastAsia="仿宋_GB2312"/>
          <w:color w:val="auto"/>
          <w:kern w:val="0"/>
          <w:sz w:val="32"/>
          <w:szCs w:val="32"/>
          <w:highlight w:val="none"/>
        </w:rPr>
        <w:t>医疗器械注册申报资料要求及说明</w:t>
      </w:r>
      <w:r>
        <w:rPr>
          <w:rFonts w:hint="eastAsia" w:eastAsia="仿宋_GB2312"/>
          <w:color w:val="auto"/>
          <w:kern w:val="0"/>
          <w:sz w:val="32"/>
          <w:szCs w:val="32"/>
          <w:highlight w:val="none"/>
        </w:rPr>
        <w:t>:关于公布</w:t>
      </w:r>
      <w:r>
        <w:rPr>
          <w:rFonts w:eastAsia="仿宋_GB2312"/>
          <w:color w:val="auto"/>
          <w:kern w:val="0"/>
          <w:sz w:val="32"/>
          <w:szCs w:val="32"/>
          <w:highlight w:val="none"/>
        </w:rPr>
        <w:t>医疗器械注册申报资料要求</w:t>
      </w:r>
      <w:r>
        <w:rPr>
          <w:rFonts w:hint="eastAsia" w:eastAsia="仿宋_GB2312"/>
          <w:color w:val="auto"/>
          <w:kern w:val="0"/>
          <w:sz w:val="32"/>
          <w:szCs w:val="32"/>
          <w:highlight w:val="none"/>
        </w:rPr>
        <w:t>和批准证明文件格式的公告2021年第121号</w:t>
      </w:r>
      <w:r>
        <w:rPr>
          <w:rFonts w:eastAsia="仿宋_GB2312"/>
          <w:color w:val="auto"/>
          <w:kern w:val="0"/>
          <w:sz w:val="32"/>
          <w:szCs w:val="32"/>
          <w:highlight w:val="none"/>
        </w:rPr>
        <w:t>[Z].</w:t>
      </w:r>
    </w:p>
    <w:p w14:paraId="61E39925">
      <w:pPr>
        <w:pStyle w:val="44"/>
        <w:numPr>
          <w:ilvl w:val="0"/>
          <w:numId w:val="2"/>
        </w:numPr>
        <w:tabs>
          <w:tab w:val="left" w:pos="360"/>
          <w:tab w:val="left" w:pos="952"/>
          <w:tab w:val="left" w:pos="1078"/>
          <w:tab w:val="left" w:pos="1140"/>
        </w:tabs>
        <w:autoSpaceDE w:val="0"/>
        <w:autoSpaceDN w:val="0"/>
        <w:adjustRightInd w:val="0"/>
        <w:spacing w:line="520" w:lineRule="exact"/>
        <w:ind w:left="0" w:firstLine="640" w:firstLineChars="0"/>
        <w:rPr>
          <w:rFonts w:eastAsia="仿宋_GB2312"/>
          <w:color w:val="auto"/>
          <w:kern w:val="0"/>
          <w:sz w:val="32"/>
          <w:szCs w:val="32"/>
          <w:highlight w:val="none"/>
        </w:rPr>
      </w:pPr>
      <w:r>
        <w:rPr>
          <w:rFonts w:eastAsia="仿宋_GB2312"/>
          <w:color w:val="auto"/>
          <w:kern w:val="0"/>
          <w:sz w:val="32"/>
          <w:szCs w:val="32"/>
          <w:highlight w:val="none"/>
        </w:rPr>
        <w:t>国家食品药品监督管理局.医疗器械分类目录</w:t>
      </w:r>
      <w:r>
        <w:rPr>
          <w:rFonts w:hint="eastAsia" w:eastAsia="仿宋_GB2312"/>
          <w:color w:val="auto"/>
          <w:kern w:val="0"/>
          <w:sz w:val="32"/>
          <w:szCs w:val="32"/>
          <w:highlight w:val="none"/>
        </w:rPr>
        <w:t>:</w:t>
      </w:r>
      <w:r>
        <w:rPr>
          <w:rFonts w:eastAsia="仿宋_GB2312"/>
          <w:color w:val="auto"/>
          <w:kern w:val="0"/>
          <w:sz w:val="32"/>
          <w:szCs w:val="32"/>
          <w:highlight w:val="none"/>
        </w:rPr>
        <w:t>国家食品药品监督管理总局</w:t>
      </w:r>
      <w:r>
        <w:rPr>
          <w:rFonts w:hint="eastAsia" w:eastAsia="仿宋_GB2312"/>
          <w:color w:val="auto"/>
          <w:kern w:val="0"/>
          <w:sz w:val="32"/>
          <w:szCs w:val="32"/>
          <w:highlight w:val="none"/>
        </w:rPr>
        <w:t>关于发布医疗器械分类目录的公告</w:t>
      </w:r>
      <w:r>
        <w:rPr>
          <w:rFonts w:eastAsia="仿宋_GB2312"/>
          <w:color w:val="auto"/>
          <w:kern w:val="0"/>
          <w:sz w:val="32"/>
          <w:szCs w:val="32"/>
          <w:highlight w:val="none"/>
        </w:rPr>
        <w:t>2017年第104号[Z].</w:t>
      </w:r>
    </w:p>
    <w:p w14:paraId="73770BE3">
      <w:pPr>
        <w:pStyle w:val="44"/>
        <w:numPr>
          <w:ilvl w:val="0"/>
          <w:numId w:val="2"/>
        </w:numPr>
        <w:tabs>
          <w:tab w:val="left" w:pos="360"/>
          <w:tab w:val="left" w:pos="952"/>
          <w:tab w:val="left" w:pos="1078"/>
          <w:tab w:val="left" w:pos="1140"/>
        </w:tabs>
        <w:autoSpaceDE w:val="0"/>
        <w:autoSpaceDN w:val="0"/>
        <w:adjustRightInd w:val="0"/>
        <w:spacing w:line="520" w:lineRule="exact"/>
        <w:ind w:left="0" w:firstLine="640" w:firstLineChars="0"/>
        <w:rPr>
          <w:rFonts w:eastAsia="仿宋_GB2312"/>
          <w:color w:val="auto"/>
          <w:kern w:val="0"/>
          <w:sz w:val="32"/>
          <w:szCs w:val="32"/>
          <w:highlight w:val="none"/>
        </w:rPr>
      </w:pPr>
      <w:r>
        <w:rPr>
          <w:rFonts w:eastAsia="仿宋_GB2312"/>
          <w:color w:val="auto"/>
          <w:kern w:val="0"/>
          <w:sz w:val="32"/>
          <w:szCs w:val="32"/>
          <w:highlight w:val="none"/>
        </w:rPr>
        <w:t>国家食品药品监督管理局.医疗器械注册单元划分指导原则</w:t>
      </w:r>
      <w:r>
        <w:rPr>
          <w:rFonts w:hint="eastAsia" w:eastAsia="仿宋_GB2312"/>
          <w:color w:val="auto"/>
          <w:kern w:val="0"/>
          <w:sz w:val="32"/>
          <w:szCs w:val="32"/>
          <w:highlight w:val="none"/>
        </w:rPr>
        <w:t>:总局关于发布</w:t>
      </w:r>
      <w:r>
        <w:rPr>
          <w:rFonts w:eastAsia="仿宋_GB2312"/>
          <w:color w:val="auto"/>
          <w:kern w:val="0"/>
          <w:sz w:val="32"/>
          <w:szCs w:val="32"/>
          <w:highlight w:val="none"/>
        </w:rPr>
        <w:t>医疗器械注册单元划分指导原则</w:t>
      </w:r>
      <w:r>
        <w:rPr>
          <w:rFonts w:hint="eastAsia" w:eastAsia="仿宋_GB2312"/>
          <w:color w:val="auto"/>
          <w:kern w:val="0"/>
          <w:sz w:val="32"/>
          <w:szCs w:val="32"/>
          <w:highlight w:val="none"/>
        </w:rPr>
        <w:t>的通</w:t>
      </w:r>
      <w:r>
        <w:rPr>
          <w:rFonts w:eastAsia="仿宋_GB2312"/>
          <w:color w:val="auto"/>
          <w:kern w:val="0"/>
          <w:sz w:val="32"/>
          <w:szCs w:val="32"/>
          <w:highlight w:val="none"/>
        </w:rPr>
        <w:t>告2017年第187号[Z].</w:t>
      </w:r>
    </w:p>
    <w:p w14:paraId="390FEF70">
      <w:pPr>
        <w:pStyle w:val="44"/>
        <w:numPr>
          <w:ilvl w:val="0"/>
          <w:numId w:val="2"/>
        </w:numPr>
        <w:tabs>
          <w:tab w:val="left" w:pos="360"/>
          <w:tab w:val="left" w:pos="952"/>
          <w:tab w:val="left" w:pos="1078"/>
          <w:tab w:val="left" w:pos="1140"/>
        </w:tabs>
        <w:autoSpaceDE w:val="0"/>
        <w:autoSpaceDN w:val="0"/>
        <w:adjustRightInd w:val="0"/>
        <w:spacing w:line="520" w:lineRule="exact"/>
        <w:ind w:left="0" w:firstLine="640" w:firstLineChars="0"/>
        <w:rPr>
          <w:rFonts w:eastAsia="仿宋_GB2312"/>
          <w:color w:val="auto"/>
          <w:sz w:val="32"/>
          <w:szCs w:val="32"/>
          <w:highlight w:val="none"/>
        </w:rPr>
      </w:pPr>
      <w:r>
        <w:rPr>
          <w:rFonts w:hint="eastAsia" w:eastAsia="仿宋_GB2312"/>
          <w:color w:val="auto"/>
          <w:kern w:val="0"/>
          <w:sz w:val="32"/>
          <w:szCs w:val="32"/>
          <w:highlight w:val="none"/>
        </w:rPr>
        <w:t>国家药品监督管理局.</w:t>
      </w:r>
      <w:r>
        <w:rPr>
          <w:rFonts w:eastAsia="仿宋_GB2312"/>
          <w:color w:val="auto"/>
          <w:kern w:val="0"/>
          <w:sz w:val="32"/>
          <w:szCs w:val="32"/>
          <w:highlight w:val="none"/>
        </w:rPr>
        <w:t>医疗器械通用名称命名指导原则</w:t>
      </w:r>
      <w:r>
        <w:rPr>
          <w:rFonts w:hint="eastAsia" w:eastAsia="仿宋_GB2312"/>
          <w:color w:val="auto"/>
          <w:kern w:val="0"/>
          <w:sz w:val="32"/>
          <w:szCs w:val="32"/>
          <w:highlight w:val="none"/>
        </w:rPr>
        <w:t>:国家药监局关于发布</w:t>
      </w:r>
      <w:r>
        <w:rPr>
          <w:rFonts w:eastAsia="仿宋_GB2312"/>
          <w:color w:val="auto"/>
          <w:kern w:val="0"/>
          <w:sz w:val="32"/>
          <w:szCs w:val="32"/>
          <w:highlight w:val="none"/>
        </w:rPr>
        <w:t>医疗器械通用名称命名指导原则</w:t>
      </w:r>
      <w:r>
        <w:rPr>
          <w:rFonts w:hint="eastAsia" w:eastAsia="仿宋_GB2312"/>
          <w:color w:val="auto"/>
          <w:kern w:val="0"/>
          <w:sz w:val="32"/>
          <w:szCs w:val="32"/>
          <w:highlight w:val="none"/>
        </w:rPr>
        <w:t>的通告2019第99号</w:t>
      </w:r>
      <w:r>
        <w:rPr>
          <w:rFonts w:eastAsia="仿宋_GB2312"/>
          <w:color w:val="auto"/>
          <w:kern w:val="0"/>
          <w:sz w:val="32"/>
          <w:szCs w:val="32"/>
          <w:highlight w:val="none"/>
        </w:rPr>
        <w:t>[Z].</w:t>
      </w:r>
    </w:p>
    <w:p w14:paraId="33616BC9">
      <w:pPr>
        <w:pStyle w:val="44"/>
        <w:numPr>
          <w:ilvl w:val="0"/>
          <w:numId w:val="2"/>
        </w:numPr>
        <w:tabs>
          <w:tab w:val="left" w:pos="360"/>
          <w:tab w:val="left" w:pos="952"/>
          <w:tab w:val="left" w:pos="1078"/>
          <w:tab w:val="left" w:pos="1140"/>
        </w:tabs>
        <w:autoSpaceDE w:val="0"/>
        <w:autoSpaceDN w:val="0"/>
        <w:adjustRightInd w:val="0"/>
        <w:spacing w:line="520" w:lineRule="exact"/>
        <w:ind w:left="0" w:firstLine="640" w:firstLineChars="0"/>
        <w:rPr>
          <w:rFonts w:eastAsia="仿宋_GB2312"/>
          <w:color w:val="auto"/>
          <w:sz w:val="32"/>
          <w:szCs w:val="32"/>
          <w:highlight w:val="none"/>
        </w:rPr>
      </w:pPr>
      <w:r>
        <w:rPr>
          <w:rFonts w:hint="eastAsia" w:eastAsia="仿宋_GB2312"/>
          <w:color w:val="auto"/>
          <w:kern w:val="0"/>
          <w:sz w:val="32"/>
          <w:szCs w:val="32"/>
          <w:highlight w:val="none"/>
        </w:rPr>
        <w:t>国家药品监督管理局.</w:t>
      </w:r>
      <w:r>
        <w:rPr>
          <w:rFonts w:eastAsia="仿宋_GB2312"/>
          <w:color w:val="auto"/>
          <w:sz w:val="32"/>
          <w:szCs w:val="32"/>
          <w:highlight w:val="none"/>
        </w:rPr>
        <w:t>医疗器械消毒灭菌器械通用名称命名指导原则</w:t>
      </w:r>
      <w:r>
        <w:rPr>
          <w:rFonts w:hint="eastAsia" w:eastAsia="仿宋_GB2312"/>
          <w:color w:val="auto"/>
          <w:sz w:val="32"/>
          <w:szCs w:val="32"/>
          <w:highlight w:val="none"/>
        </w:rPr>
        <w:t>:</w:t>
      </w:r>
      <w:r>
        <w:rPr>
          <w:rFonts w:hint="eastAsia" w:eastAsia="仿宋_GB2312"/>
          <w:color w:val="auto"/>
          <w:sz w:val="32"/>
          <w:szCs w:val="32"/>
          <w:highlight w:val="none"/>
          <w:lang w:val="en-US" w:eastAsia="zh-CN"/>
        </w:rPr>
        <w:t>国家药监局关于发布医疗器械消毒灭菌器械通用名称命名指导原则等 4 项指导原则的通告2020年第88号</w:t>
      </w:r>
      <w:r>
        <w:rPr>
          <w:rFonts w:eastAsia="仿宋_GB2312"/>
          <w:color w:val="auto"/>
          <w:kern w:val="0"/>
          <w:sz w:val="32"/>
          <w:szCs w:val="32"/>
          <w:highlight w:val="none"/>
        </w:rPr>
        <w:t>[Z].</w:t>
      </w:r>
    </w:p>
    <w:p w14:paraId="3B70DE87">
      <w:pPr>
        <w:pStyle w:val="44"/>
        <w:numPr>
          <w:ilvl w:val="0"/>
          <w:numId w:val="2"/>
        </w:numPr>
        <w:tabs>
          <w:tab w:val="left" w:pos="360"/>
          <w:tab w:val="left" w:pos="952"/>
          <w:tab w:val="left" w:pos="1078"/>
          <w:tab w:val="left" w:pos="1140"/>
        </w:tabs>
        <w:autoSpaceDE w:val="0"/>
        <w:autoSpaceDN w:val="0"/>
        <w:adjustRightInd w:val="0"/>
        <w:spacing w:line="520" w:lineRule="exact"/>
        <w:ind w:left="0" w:firstLine="640" w:firstLineChars="0"/>
        <w:rPr>
          <w:rFonts w:eastAsia="仿宋_GB2312"/>
          <w:color w:val="auto"/>
          <w:sz w:val="32"/>
          <w:szCs w:val="32"/>
          <w:highlight w:val="none"/>
        </w:rPr>
      </w:pPr>
      <w:r>
        <w:rPr>
          <w:rFonts w:hint="eastAsia" w:eastAsia="仿宋_GB2312"/>
          <w:color w:val="auto"/>
          <w:sz w:val="32"/>
          <w:szCs w:val="32"/>
          <w:highlight w:val="none"/>
        </w:rPr>
        <w:t>国家药品监督管理局.</w:t>
      </w:r>
      <w:r>
        <w:rPr>
          <w:rFonts w:eastAsia="仿宋_GB2312"/>
          <w:color w:val="auto"/>
          <w:sz w:val="32"/>
          <w:szCs w:val="32"/>
          <w:highlight w:val="none"/>
        </w:rPr>
        <w:t>免于临床评价医疗器械目录</w:t>
      </w:r>
      <w:r>
        <w:rPr>
          <w:rFonts w:hint="eastAsia" w:eastAsia="仿宋_GB2312"/>
          <w:color w:val="auto"/>
          <w:sz w:val="32"/>
          <w:szCs w:val="32"/>
          <w:highlight w:val="none"/>
        </w:rPr>
        <w:t>：</w:t>
      </w:r>
      <w:r>
        <w:rPr>
          <w:rFonts w:eastAsia="仿宋_GB2312"/>
          <w:color w:val="auto"/>
          <w:sz w:val="32"/>
          <w:szCs w:val="32"/>
          <w:highlight w:val="none"/>
          <w:lang w:val="en"/>
        </w:rPr>
        <w:t>国家</w:t>
      </w:r>
      <w:r>
        <w:rPr>
          <w:rFonts w:hint="eastAsia" w:eastAsia="仿宋_GB2312"/>
          <w:color w:val="auto"/>
          <w:sz w:val="32"/>
          <w:szCs w:val="32"/>
          <w:highlight w:val="none"/>
          <w:lang w:val="en"/>
        </w:rPr>
        <w:t>药监</w:t>
      </w:r>
      <w:r>
        <w:rPr>
          <w:rFonts w:eastAsia="仿宋_GB2312"/>
          <w:color w:val="auto"/>
          <w:sz w:val="32"/>
          <w:szCs w:val="32"/>
          <w:highlight w:val="none"/>
          <w:lang w:val="en"/>
        </w:rPr>
        <w:t>局</w:t>
      </w:r>
      <w:r>
        <w:rPr>
          <w:rFonts w:hint="eastAsia" w:eastAsia="仿宋_GB2312"/>
          <w:color w:val="auto"/>
          <w:sz w:val="32"/>
          <w:szCs w:val="32"/>
          <w:highlight w:val="none"/>
          <w:lang w:val="en"/>
        </w:rPr>
        <w:t>关于发布</w:t>
      </w:r>
      <w:r>
        <w:rPr>
          <w:rFonts w:eastAsia="仿宋_GB2312"/>
          <w:color w:val="auto"/>
          <w:sz w:val="32"/>
          <w:szCs w:val="32"/>
          <w:highlight w:val="none"/>
        </w:rPr>
        <w:t>免于临床评价医疗器械目录</w:t>
      </w:r>
      <w:r>
        <w:rPr>
          <w:rFonts w:hint="eastAsia" w:eastAsia="仿宋_GB2312"/>
          <w:color w:val="auto"/>
          <w:sz w:val="32"/>
          <w:szCs w:val="32"/>
          <w:highlight w:val="none"/>
        </w:rPr>
        <w:t>的</w:t>
      </w:r>
      <w:r>
        <w:rPr>
          <w:rFonts w:hint="eastAsia" w:eastAsia="仿宋_GB2312"/>
          <w:color w:val="auto"/>
          <w:sz w:val="32"/>
          <w:szCs w:val="32"/>
          <w:highlight w:val="none"/>
          <w:lang w:val="en"/>
        </w:rPr>
        <w:t>通告</w:t>
      </w:r>
      <w:r>
        <w:rPr>
          <w:rFonts w:eastAsia="仿宋_GB2312"/>
          <w:color w:val="auto"/>
          <w:sz w:val="32"/>
          <w:szCs w:val="32"/>
          <w:highlight w:val="none"/>
          <w:lang w:val="en"/>
        </w:rPr>
        <w:t>20</w:t>
      </w:r>
      <w:r>
        <w:rPr>
          <w:rFonts w:hint="eastAsia" w:eastAsia="仿宋_GB2312"/>
          <w:color w:val="auto"/>
          <w:sz w:val="32"/>
          <w:szCs w:val="32"/>
          <w:highlight w:val="none"/>
          <w:lang w:val="en"/>
        </w:rPr>
        <w:t>2</w:t>
      </w:r>
      <w:r>
        <w:rPr>
          <w:rFonts w:hint="eastAsia" w:eastAsia="仿宋_GB2312"/>
          <w:color w:val="auto"/>
          <w:sz w:val="32"/>
          <w:szCs w:val="32"/>
          <w:highlight w:val="none"/>
          <w:lang w:val="en-US" w:eastAsia="zh-CN"/>
        </w:rPr>
        <w:t>5</w:t>
      </w:r>
      <w:r>
        <w:rPr>
          <w:rFonts w:eastAsia="仿宋_GB2312"/>
          <w:color w:val="auto"/>
          <w:sz w:val="32"/>
          <w:szCs w:val="32"/>
          <w:highlight w:val="none"/>
          <w:lang w:val="en"/>
        </w:rPr>
        <w:t>年第</w:t>
      </w:r>
      <w:r>
        <w:rPr>
          <w:rFonts w:hint="eastAsia" w:eastAsia="仿宋_GB2312"/>
          <w:color w:val="auto"/>
          <w:sz w:val="32"/>
          <w:szCs w:val="32"/>
          <w:highlight w:val="none"/>
          <w:lang w:val="en-US" w:eastAsia="zh-CN"/>
        </w:rPr>
        <w:t>19</w:t>
      </w:r>
      <w:r>
        <w:rPr>
          <w:rFonts w:eastAsia="仿宋_GB2312"/>
          <w:color w:val="auto"/>
          <w:sz w:val="32"/>
          <w:szCs w:val="32"/>
          <w:highlight w:val="none"/>
          <w:lang w:val="en"/>
        </w:rPr>
        <w:t>号</w:t>
      </w:r>
      <w:r>
        <w:rPr>
          <w:rFonts w:eastAsia="仿宋_GB2312"/>
          <w:color w:val="auto"/>
          <w:sz w:val="32"/>
          <w:szCs w:val="32"/>
          <w:highlight w:val="none"/>
        </w:rPr>
        <w:t>[Z].</w:t>
      </w:r>
    </w:p>
    <w:p w14:paraId="7415B915">
      <w:pPr>
        <w:pStyle w:val="44"/>
        <w:numPr>
          <w:ilvl w:val="0"/>
          <w:numId w:val="2"/>
        </w:numPr>
        <w:tabs>
          <w:tab w:val="left" w:pos="360"/>
          <w:tab w:val="left" w:pos="952"/>
          <w:tab w:val="left" w:pos="1078"/>
          <w:tab w:val="left" w:pos="1140"/>
        </w:tabs>
        <w:autoSpaceDE w:val="0"/>
        <w:autoSpaceDN w:val="0"/>
        <w:adjustRightInd w:val="0"/>
        <w:spacing w:line="520" w:lineRule="exact"/>
        <w:ind w:left="0" w:firstLine="640" w:firstLineChars="0"/>
        <w:rPr>
          <w:rFonts w:eastAsia="仿宋_GB2312"/>
          <w:color w:val="auto"/>
          <w:sz w:val="32"/>
          <w:szCs w:val="32"/>
          <w:highlight w:val="none"/>
        </w:rPr>
      </w:pPr>
      <w:r>
        <w:rPr>
          <w:rFonts w:hint="eastAsia" w:eastAsia="仿宋_GB2312"/>
          <w:color w:val="auto"/>
          <w:sz w:val="32"/>
          <w:szCs w:val="32"/>
          <w:highlight w:val="none"/>
        </w:rPr>
        <w:t>国家药品监督管理局.</w:t>
      </w:r>
      <w:r>
        <w:rPr>
          <w:rFonts w:eastAsia="仿宋_GB2312"/>
          <w:color w:val="auto"/>
          <w:sz w:val="32"/>
          <w:szCs w:val="32"/>
          <w:highlight w:val="none"/>
        </w:rPr>
        <w:t>列入免于临床评价医疗器械目录产品对比说明技术指导原则</w:t>
      </w:r>
      <w:r>
        <w:rPr>
          <w:rFonts w:hint="eastAsia" w:eastAsia="仿宋_GB2312"/>
          <w:color w:val="auto"/>
          <w:sz w:val="32"/>
          <w:szCs w:val="32"/>
          <w:highlight w:val="none"/>
        </w:rPr>
        <w:t>:</w:t>
      </w:r>
      <w:r>
        <w:rPr>
          <w:rFonts w:eastAsia="仿宋_GB2312"/>
          <w:color w:val="auto"/>
          <w:sz w:val="32"/>
          <w:szCs w:val="32"/>
          <w:highlight w:val="none"/>
          <w:lang w:val="en"/>
        </w:rPr>
        <w:t>国家</w:t>
      </w:r>
      <w:r>
        <w:rPr>
          <w:rFonts w:hint="eastAsia" w:eastAsia="仿宋_GB2312"/>
          <w:color w:val="auto"/>
          <w:sz w:val="32"/>
          <w:szCs w:val="32"/>
          <w:highlight w:val="none"/>
          <w:lang w:val="en"/>
        </w:rPr>
        <w:t>药监局关于发布医疗器械临床评价技术指导原则等5项技术指导原则的通告</w:t>
      </w:r>
      <w:r>
        <w:rPr>
          <w:rFonts w:eastAsia="仿宋_GB2312"/>
          <w:color w:val="auto"/>
          <w:sz w:val="32"/>
          <w:szCs w:val="32"/>
          <w:highlight w:val="none"/>
          <w:lang w:val="en"/>
        </w:rPr>
        <w:t>20</w:t>
      </w:r>
      <w:r>
        <w:rPr>
          <w:rFonts w:hint="eastAsia" w:eastAsia="仿宋_GB2312"/>
          <w:color w:val="auto"/>
          <w:sz w:val="32"/>
          <w:szCs w:val="32"/>
          <w:highlight w:val="none"/>
          <w:lang w:val="en"/>
        </w:rPr>
        <w:t>21</w:t>
      </w:r>
      <w:r>
        <w:rPr>
          <w:rFonts w:eastAsia="仿宋_GB2312"/>
          <w:color w:val="auto"/>
          <w:sz w:val="32"/>
          <w:szCs w:val="32"/>
          <w:highlight w:val="none"/>
          <w:lang w:val="en"/>
        </w:rPr>
        <w:t>年第</w:t>
      </w:r>
      <w:r>
        <w:rPr>
          <w:rFonts w:hint="eastAsia" w:eastAsia="仿宋_GB2312"/>
          <w:color w:val="auto"/>
          <w:sz w:val="32"/>
          <w:szCs w:val="32"/>
          <w:highlight w:val="none"/>
          <w:lang w:val="en"/>
        </w:rPr>
        <w:t>73</w:t>
      </w:r>
      <w:r>
        <w:rPr>
          <w:rFonts w:eastAsia="仿宋_GB2312"/>
          <w:color w:val="auto"/>
          <w:sz w:val="32"/>
          <w:szCs w:val="32"/>
          <w:highlight w:val="none"/>
          <w:lang w:val="en"/>
        </w:rPr>
        <w:t>号</w:t>
      </w:r>
      <w:r>
        <w:rPr>
          <w:rFonts w:eastAsia="仿宋_GB2312"/>
          <w:color w:val="auto"/>
          <w:sz w:val="32"/>
          <w:szCs w:val="32"/>
          <w:highlight w:val="none"/>
        </w:rPr>
        <w:t>[Z].</w:t>
      </w:r>
    </w:p>
    <w:p w14:paraId="006A44E2">
      <w:pPr>
        <w:pStyle w:val="44"/>
        <w:numPr>
          <w:ilvl w:val="0"/>
          <w:numId w:val="2"/>
        </w:numPr>
        <w:tabs>
          <w:tab w:val="left" w:pos="360"/>
          <w:tab w:val="left" w:pos="952"/>
          <w:tab w:val="left" w:pos="1078"/>
          <w:tab w:val="left" w:pos="1140"/>
        </w:tabs>
        <w:autoSpaceDE w:val="0"/>
        <w:autoSpaceDN w:val="0"/>
        <w:adjustRightInd w:val="0"/>
        <w:spacing w:line="520" w:lineRule="exact"/>
        <w:ind w:left="0" w:firstLine="640" w:firstLineChars="0"/>
        <w:rPr>
          <w:rFonts w:eastAsia="仿宋_GB2312"/>
          <w:color w:val="auto"/>
          <w:sz w:val="32"/>
          <w:szCs w:val="32"/>
          <w:highlight w:val="none"/>
        </w:rPr>
      </w:pPr>
      <w:r>
        <w:rPr>
          <w:rFonts w:hint="eastAsia" w:eastAsia="仿宋_GB2312"/>
          <w:color w:val="auto"/>
          <w:sz w:val="32"/>
          <w:szCs w:val="32"/>
          <w:highlight w:val="none"/>
        </w:rPr>
        <w:t>国家药品监督管理局.</w:t>
      </w:r>
      <w:r>
        <w:rPr>
          <w:rFonts w:eastAsia="仿宋_GB2312"/>
          <w:color w:val="auto"/>
          <w:sz w:val="32"/>
          <w:szCs w:val="32"/>
          <w:highlight w:val="none"/>
        </w:rPr>
        <w:t>医疗器械产品技术要求编写指导原则</w:t>
      </w:r>
      <w:r>
        <w:rPr>
          <w:rFonts w:hint="eastAsia" w:eastAsia="仿宋_GB2312"/>
          <w:color w:val="auto"/>
          <w:sz w:val="32"/>
          <w:szCs w:val="32"/>
          <w:highlight w:val="none"/>
        </w:rPr>
        <w:t>:国家药监局关于发布</w:t>
      </w:r>
      <w:r>
        <w:rPr>
          <w:rFonts w:eastAsia="仿宋_GB2312"/>
          <w:color w:val="auto"/>
          <w:sz w:val="32"/>
          <w:szCs w:val="32"/>
          <w:highlight w:val="none"/>
        </w:rPr>
        <w:t>医疗器械产品技术要求编写指导原则</w:t>
      </w:r>
      <w:r>
        <w:rPr>
          <w:rFonts w:hint="eastAsia" w:eastAsia="仿宋_GB2312"/>
          <w:color w:val="auto"/>
          <w:sz w:val="32"/>
          <w:szCs w:val="32"/>
          <w:highlight w:val="none"/>
        </w:rPr>
        <w:t>的</w:t>
      </w:r>
      <w:r>
        <w:rPr>
          <w:rFonts w:hint="eastAsia" w:eastAsia="仿宋_GB2312"/>
          <w:color w:val="auto"/>
          <w:sz w:val="32"/>
          <w:szCs w:val="32"/>
          <w:highlight w:val="none"/>
          <w:lang w:val="en"/>
        </w:rPr>
        <w:t>通告</w:t>
      </w:r>
      <w:r>
        <w:rPr>
          <w:rFonts w:eastAsia="仿宋_GB2312"/>
          <w:color w:val="auto"/>
          <w:sz w:val="32"/>
          <w:szCs w:val="32"/>
          <w:highlight w:val="none"/>
          <w:lang w:val="en"/>
        </w:rPr>
        <w:t>20</w:t>
      </w:r>
      <w:r>
        <w:rPr>
          <w:rFonts w:hint="eastAsia" w:eastAsia="仿宋_GB2312"/>
          <w:color w:val="auto"/>
          <w:sz w:val="32"/>
          <w:szCs w:val="32"/>
          <w:highlight w:val="none"/>
          <w:lang w:val="en"/>
        </w:rPr>
        <w:t>22</w:t>
      </w:r>
      <w:r>
        <w:rPr>
          <w:rFonts w:eastAsia="仿宋_GB2312"/>
          <w:color w:val="auto"/>
          <w:sz w:val="32"/>
          <w:szCs w:val="32"/>
          <w:highlight w:val="none"/>
          <w:lang w:val="en"/>
        </w:rPr>
        <w:t>年第8号</w:t>
      </w:r>
      <w:r>
        <w:rPr>
          <w:rFonts w:eastAsia="仿宋_GB2312"/>
          <w:color w:val="auto"/>
          <w:sz w:val="32"/>
          <w:szCs w:val="32"/>
          <w:highlight w:val="none"/>
        </w:rPr>
        <w:t>[Z].</w:t>
      </w:r>
    </w:p>
    <w:p w14:paraId="07E13519">
      <w:pPr>
        <w:pStyle w:val="44"/>
        <w:numPr>
          <w:ilvl w:val="0"/>
          <w:numId w:val="2"/>
        </w:numPr>
        <w:tabs>
          <w:tab w:val="left" w:pos="360"/>
          <w:tab w:val="left" w:pos="952"/>
          <w:tab w:val="left" w:pos="1078"/>
          <w:tab w:val="left" w:pos="1140"/>
        </w:tabs>
        <w:autoSpaceDE w:val="0"/>
        <w:autoSpaceDN w:val="0"/>
        <w:adjustRightInd w:val="0"/>
        <w:spacing w:line="520" w:lineRule="exact"/>
        <w:ind w:left="0" w:firstLine="640" w:firstLineChars="0"/>
        <w:rPr>
          <w:rFonts w:eastAsia="仿宋_GB2312"/>
          <w:color w:val="auto"/>
          <w:sz w:val="32"/>
          <w:szCs w:val="32"/>
          <w:highlight w:val="none"/>
        </w:rPr>
      </w:pPr>
      <w:r>
        <w:rPr>
          <w:rFonts w:hint="eastAsia" w:eastAsia="仿宋_GB2312"/>
          <w:color w:val="auto"/>
          <w:kern w:val="0"/>
          <w:sz w:val="32"/>
          <w:szCs w:val="32"/>
          <w:highlight w:val="none"/>
        </w:rPr>
        <w:t>国家药品监督管理局医疗器械审评中心.</w:t>
      </w:r>
      <w:r>
        <w:rPr>
          <w:rFonts w:eastAsia="仿宋_GB2312"/>
          <w:color w:val="auto"/>
          <w:kern w:val="0"/>
          <w:sz w:val="32"/>
          <w:szCs w:val="32"/>
          <w:highlight w:val="none"/>
        </w:rPr>
        <w:t>医疗器械软件注册审查指导原则</w:t>
      </w:r>
      <w:r>
        <w:rPr>
          <w:rFonts w:hint="eastAsia" w:eastAsia="仿宋_GB2312"/>
          <w:color w:val="auto"/>
          <w:kern w:val="0"/>
          <w:sz w:val="32"/>
          <w:szCs w:val="32"/>
          <w:highlight w:val="none"/>
        </w:rPr>
        <w:t>（2022年修订版）:国家药监局器审中心关于发布医疗器械软件注册审查指导原则（2022年修订版）的通告2022年第9号</w:t>
      </w:r>
      <w:r>
        <w:rPr>
          <w:rFonts w:eastAsia="仿宋_GB2312"/>
          <w:color w:val="auto"/>
          <w:sz w:val="32"/>
          <w:szCs w:val="32"/>
          <w:highlight w:val="none"/>
        </w:rPr>
        <w:t>[Z].</w:t>
      </w:r>
    </w:p>
    <w:p w14:paraId="65BEACE3">
      <w:pPr>
        <w:pStyle w:val="44"/>
        <w:numPr>
          <w:ilvl w:val="0"/>
          <w:numId w:val="2"/>
        </w:numPr>
        <w:tabs>
          <w:tab w:val="left" w:pos="360"/>
          <w:tab w:val="left" w:pos="952"/>
          <w:tab w:val="left" w:pos="1078"/>
          <w:tab w:val="left" w:pos="1140"/>
        </w:tabs>
        <w:autoSpaceDE w:val="0"/>
        <w:autoSpaceDN w:val="0"/>
        <w:adjustRightInd w:val="0"/>
        <w:spacing w:line="520" w:lineRule="exact"/>
        <w:ind w:left="0" w:firstLine="640" w:firstLineChars="0"/>
        <w:rPr>
          <w:rFonts w:eastAsia="仿宋_GB2312"/>
          <w:color w:val="auto"/>
          <w:sz w:val="32"/>
          <w:szCs w:val="32"/>
          <w:highlight w:val="none"/>
        </w:rPr>
      </w:pPr>
      <w:r>
        <w:rPr>
          <w:rFonts w:hint="eastAsia" w:eastAsia="仿宋_GB2312"/>
          <w:color w:val="auto"/>
          <w:kern w:val="0"/>
          <w:sz w:val="32"/>
          <w:szCs w:val="32"/>
          <w:highlight w:val="none"/>
        </w:rPr>
        <w:t>国家药品监督管理局医疗器械审评中心</w:t>
      </w:r>
      <w:r>
        <w:rPr>
          <w:rFonts w:eastAsia="仿宋_GB2312"/>
          <w:color w:val="auto"/>
          <w:sz w:val="32"/>
          <w:szCs w:val="32"/>
          <w:highlight w:val="none"/>
        </w:rPr>
        <w:t>.医疗器械网络安全注册审查指导原则（2022年修订版）</w:t>
      </w:r>
      <w:r>
        <w:rPr>
          <w:rFonts w:hint="eastAsia" w:eastAsia="仿宋_GB2312"/>
          <w:color w:val="auto"/>
          <w:sz w:val="32"/>
          <w:szCs w:val="32"/>
          <w:highlight w:val="none"/>
        </w:rPr>
        <w:t>:</w:t>
      </w:r>
      <w:r>
        <w:rPr>
          <w:rFonts w:hint="eastAsia" w:eastAsia="仿宋_GB2312"/>
          <w:color w:val="auto"/>
          <w:kern w:val="0"/>
          <w:sz w:val="32"/>
          <w:szCs w:val="32"/>
          <w:highlight w:val="none"/>
        </w:rPr>
        <w:t>国家药监局器审中心关于发布医疗器械网络安全注册审查指导原则（2022年修订版）的通告2022年第7号</w:t>
      </w:r>
      <w:r>
        <w:rPr>
          <w:rFonts w:eastAsia="仿宋_GB2312"/>
          <w:color w:val="auto"/>
          <w:sz w:val="32"/>
          <w:szCs w:val="32"/>
          <w:highlight w:val="none"/>
        </w:rPr>
        <w:t>[Z].</w:t>
      </w:r>
    </w:p>
    <w:p w14:paraId="78E918A4">
      <w:pPr>
        <w:pStyle w:val="44"/>
        <w:numPr>
          <w:ilvl w:val="0"/>
          <w:numId w:val="2"/>
        </w:numPr>
        <w:tabs>
          <w:tab w:val="left" w:pos="360"/>
          <w:tab w:val="left" w:pos="952"/>
          <w:tab w:val="left" w:pos="1078"/>
          <w:tab w:val="left" w:pos="1140"/>
        </w:tabs>
        <w:autoSpaceDE w:val="0"/>
        <w:autoSpaceDN w:val="0"/>
        <w:adjustRightInd w:val="0"/>
        <w:spacing w:line="520" w:lineRule="exact"/>
        <w:ind w:left="0" w:firstLine="640" w:firstLineChars="0"/>
        <w:rPr>
          <w:rFonts w:eastAsia="仿宋_GB2312"/>
          <w:color w:val="auto"/>
          <w:sz w:val="32"/>
          <w:szCs w:val="32"/>
          <w:highlight w:val="none"/>
        </w:rPr>
      </w:pPr>
      <w:r>
        <w:rPr>
          <w:rFonts w:eastAsia="仿宋_GB2312"/>
          <w:color w:val="auto"/>
          <w:sz w:val="32"/>
          <w:szCs w:val="32"/>
          <w:highlight w:val="none"/>
        </w:rPr>
        <w:t>国家药品监督管理局医疗器械技术审评中心.医疗器械可用性工程注册审查指导原则：国家药品监督管理局医疗器械技术审评中心通告2024年第13号[Z].</w:t>
      </w:r>
    </w:p>
    <w:p w14:paraId="5EFB7DA2">
      <w:pPr>
        <w:pStyle w:val="44"/>
        <w:numPr>
          <w:ilvl w:val="0"/>
          <w:numId w:val="2"/>
        </w:numPr>
        <w:tabs>
          <w:tab w:val="left" w:pos="360"/>
          <w:tab w:val="left" w:pos="952"/>
          <w:tab w:val="left" w:pos="1078"/>
          <w:tab w:val="left" w:pos="1140"/>
        </w:tabs>
        <w:autoSpaceDE w:val="0"/>
        <w:autoSpaceDN w:val="0"/>
        <w:adjustRightInd w:val="0"/>
        <w:spacing w:line="520" w:lineRule="exact"/>
        <w:ind w:left="0" w:firstLine="640" w:firstLineChars="0"/>
        <w:rPr>
          <w:rFonts w:eastAsia="仿宋_GB2312"/>
          <w:color w:val="auto"/>
          <w:sz w:val="32"/>
          <w:szCs w:val="32"/>
          <w:highlight w:val="none"/>
        </w:rPr>
      </w:pPr>
      <w:r>
        <w:rPr>
          <w:rFonts w:eastAsia="仿宋_GB2312"/>
          <w:color w:val="auto"/>
          <w:kern w:val="0"/>
          <w:sz w:val="32"/>
          <w:szCs w:val="32"/>
          <w:highlight w:val="none"/>
        </w:rPr>
        <w:t xml:space="preserve">GB </w:t>
      </w:r>
      <w:r>
        <w:rPr>
          <w:rFonts w:hint="eastAsia" w:eastAsia="仿宋_GB2312"/>
          <w:color w:val="auto"/>
          <w:kern w:val="0"/>
          <w:sz w:val="32"/>
          <w:szCs w:val="32"/>
          <w:highlight w:val="none"/>
        </w:rPr>
        <w:t>28232-2020,臭氧消毒器卫生要求</w:t>
      </w:r>
      <w:r>
        <w:rPr>
          <w:rFonts w:eastAsia="仿宋_GB2312"/>
          <w:color w:val="auto"/>
          <w:kern w:val="0"/>
          <w:sz w:val="32"/>
          <w:szCs w:val="32"/>
          <w:highlight w:val="none"/>
        </w:rPr>
        <w:t>[S].</w:t>
      </w:r>
    </w:p>
    <w:p w14:paraId="710F8711">
      <w:pPr>
        <w:pStyle w:val="44"/>
        <w:numPr>
          <w:ilvl w:val="0"/>
          <w:numId w:val="2"/>
        </w:numPr>
        <w:tabs>
          <w:tab w:val="left" w:pos="360"/>
          <w:tab w:val="left" w:pos="952"/>
          <w:tab w:val="left" w:pos="1078"/>
          <w:tab w:val="left" w:pos="1140"/>
        </w:tabs>
        <w:autoSpaceDE w:val="0"/>
        <w:autoSpaceDN w:val="0"/>
        <w:adjustRightInd w:val="0"/>
        <w:spacing w:line="520" w:lineRule="exact"/>
        <w:ind w:left="0" w:firstLine="640" w:firstLineChars="0"/>
        <w:rPr>
          <w:rFonts w:eastAsia="仿宋_GB2312"/>
          <w:color w:val="auto"/>
          <w:sz w:val="32"/>
          <w:szCs w:val="32"/>
          <w:highlight w:val="none"/>
        </w:rPr>
      </w:pPr>
      <w:r>
        <w:rPr>
          <w:rFonts w:eastAsia="仿宋_GB2312"/>
          <w:color w:val="auto"/>
          <w:sz w:val="32"/>
          <w:szCs w:val="28"/>
          <w:highlight w:val="none"/>
        </w:rPr>
        <w:t>GB 4793.1</w:t>
      </w:r>
      <w:r>
        <w:rPr>
          <w:rFonts w:hint="eastAsia" w:eastAsia="仿宋_GB2312"/>
          <w:color w:val="auto"/>
          <w:sz w:val="32"/>
          <w:szCs w:val="28"/>
          <w:highlight w:val="none"/>
        </w:rPr>
        <w:t>-2007</w:t>
      </w:r>
      <w:r>
        <w:rPr>
          <w:rFonts w:eastAsia="仿宋_GB2312"/>
          <w:color w:val="auto"/>
          <w:sz w:val="32"/>
          <w:szCs w:val="28"/>
          <w:highlight w:val="none"/>
        </w:rPr>
        <w:t>,测量、控制和实验室用电气设备的安全要求 第1部分：通用要求[S].</w:t>
      </w:r>
    </w:p>
    <w:p w14:paraId="7BBD817F">
      <w:pPr>
        <w:pStyle w:val="44"/>
        <w:numPr>
          <w:ilvl w:val="0"/>
          <w:numId w:val="2"/>
        </w:numPr>
        <w:tabs>
          <w:tab w:val="left" w:pos="360"/>
          <w:tab w:val="left" w:pos="952"/>
          <w:tab w:val="left" w:pos="1078"/>
          <w:tab w:val="left" w:pos="1140"/>
        </w:tabs>
        <w:autoSpaceDE w:val="0"/>
        <w:autoSpaceDN w:val="0"/>
        <w:adjustRightInd w:val="0"/>
        <w:spacing w:line="520" w:lineRule="exact"/>
        <w:ind w:left="0" w:firstLine="640" w:firstLineChars="0"/>
        <w:rPr>
          <w:rFonts w:eastAsia="仿宋_GB2312"/>
          <w:color w:val="auto"/>
          <w:kern w:val="0"/>
          <w:sz w:val="32"/>
          <w:szCs w:val="32"/>
          <w:highlight w:val="none"/>
        </w:rPr>
      </w:pPr>
      <w:r>
        <w:rPr>
          <w:rFonts w:eastAsia="仿宋_GB2312"/>
          <w:color w:val="auto"/>
          <w:sz w:val="32"/>
          <w:szCs w:val="28"/>
          <w:highlight w:val="none"/>
        </w:rPr>
        <w:t>GB 4793.</w:t>
      </w:r>
      <w:r>
        <w:rPr>
          <w:rFonts w:hint="eastAsia" w:eastAsia="仿宋_GB2312"/>
          <w:color w:val="auto"/>
          <w:sz w:val="32"/>
          <w:szCs w:val="28"/>
          <w:highlight w:val="none"/>
        </w:rPr>
        <w:t>4-2019</w:t>
      </w:r>
      <w:r>
        <w:rPr>
          <w:rFonts w:eastAsia="仿宋_GB2312"/>
          <w:color w:val="auto"/>
          <w:sz w:val="32"/>
          <w:szCs w:val="28"/>
          <w:highlight w:val="none"/>
        </w:rPr>
        <w:t>,</w:t>
      </w:r>
      <w:r>
        <w:rPr>
          <w:rFonts w:hint="eastAsia" w:eastAsia="仿宋_GB2312"/>
          <w:color w:val="auto"/>
          <w:sz w:val="32"/>
          <w:szCs w:val="28"/>
          <w:highlight w:val="none"/>
        </w:rPr>
        <w:t>测量、控制及实验室用电气设备的安全实验室用处理医用材料的蒸压器的特殊要求</w:t>
      </w:r>
      <w:r>
        <w:rPr>
          <w:rFonts w:eastAsia="仿宋_GB2312"/>
          <w:color w:val="auto"/>
          <w:sz w:val="32"/>
          <w:szCs w:val="28"/>
          <w:highlight w:val="none"/>
        </w:rPr>
        <w:t>[S].</w:t>
      </w:r>
    </w:p>
    <w:p w14:paraId="301DDBC0">
      <w:pPr>
        <w:pStyle w:val="44"/>
        <w:numPr>
          <w:ilvl w:val="0"/>
          <w:numId w:val="2"/>
        </w:numPr>
        <w:tabs>
          <w:tab w:val="left" w:pos="360"/>
          <w:tab w:val="left" w:pos="952"/>
          <w:tab w:val="left" w:pos="1078"/>
          <w:tab w:val="left" w:pos="1140"/>
        </w:tabs>
        <w:autoSpaceDE w:val="0"/>
        <w:autoSpaceDN w:val="0"/>
        <w:adjustRightInd w:val="0"/>
        <w:spacing w:line="520" w:lineRule="exact"/>
        <w:ind w:left="0" w:firstLine="640" w:firstLineChars="0"/>
        <w:rPr>
          <w:rFonts w:eastAsia="仿宋_GB2312"/>
          <w:color w:val="auto"/>
          <w:kern w:val="0"/>
          <w:sz w:val="32"/>
          <w:szCs w:val="32"/>
          <w:highlight w:val="none"/>
        </w:rPr>
      </w:pPr>
      <w:r>
        <w:rPr>
          <w:rFonts w:eastAsia="仿宋_GB2312"/>
          <w:color w:val="auto"/>
          <w:kern w:val="0"/>
          <w:sz w:val="32"/>
          <w:szCs w:val="32"/>
          <w:highlight w:val="none"/>
        </w:rPr>
        <w:t>GB/T 14710</w:t>
      </w:r>
      <w:r>
        <w:rPr>
          <w:rFonts w:hint="eastAsia" w:eastAsia="仿宋_GB2312"/>
          <w:color w:val="auto"/>
          <w:kern w:val="0"/>
          <w:sz w:val="32"/>
          <w:szCs w:val="32"/>
          <w:highlight w:val="none"/>
        </w:rPr>
        <w:t>-2009</w:t>
      </w:r>
      <w:r>
        <w:rPr>
          <w:rFonts w:eastAsia="仿宋_GB2312"/>
          <w:color w:val="auto"/>
          <w:sz w:val="32"/>
          <w:szCs w:val="32"/>
          <w:highlight w:val="none"/>
        </w:rPr>
        <w:t>,</w:t>
      </w:r>
      <w:r>
        <w:rPr>
          <w:rFonts w:eastAsia="仿宋_GB2312"/>
          <w:color w:val="auto"/>
          <w:kern w:val="0"/>
          <w:sz w:val="32"/>
          <w:szCs w:val="32"/>
          <w:highlight w:val="none"/>
        </w:rPr>
        <w:t>医用电器环境要求及试验方法[S].</w:t>
      </w:r>
    </w:p>
    <w:p w14:paraId="5B55C70C">
      <w:pPr>
        <w:pStyle w:val="44"/>
        <w:numPr>
          <w:ilvl w:val="0"/>
          <w:numId w:val="2"/>
        </w:numPr>
        <w:tabs>
          <w:tab w:val="left" w:pos="360"/>
          <w:tab w:val="left" w:pos="952"/>
          <w:tab w:val="left" w:pos="1078"/>
          <w:tab w:val="left" w:pos="1140"/>
        </w:tabs>
        <w:autoSpaceDE w:val="0"/>
        <w:autoSpaceDN w:val="0"/>
        <w:adjustRightInd w:val="0"/>
        <w:spacing w:line="520" w:lineRule="exact"/>
        <w:ind w:left="0" w:firstLine="640" w:firstLineChars="0"/>
        <w:rPr>
          <w:rFonts w:eastAsia="仿宋_GB2312"/>
          <w:color w:val="auto"/>
          <w:kern w:val="0"/>
          <w:sz w:val="32"/>
          <w:szCs w:val="32"/>
          <w:highlight w:val="none"/>
        </w:rPr>
      </w:pPr>
      <w:r>
        <w:rPr>
          <w:rFonts w:hint="eastAsia" w:eastAsia="仿宋_GB2312"/>
          <w:color w:val="auto"/>
          <w:sz w:val="32"/>
          <w:szCs w:val="32"/>
          <w:highlight w:val="none"/>
        </w:rPr>
        <w:t>YY /T 0215</w:t>
      </w:r>
      <w:r>
        <w:rPr>
          <w:rFonts w:hint="eastAsia" w:eastAsia="仿宋_GB2312"/>
          <w:color w:val="auto"/>
          <w:kern w:val="0"/>
          <w:sz w:val="32"/>
          <w:szCs w:val="32"/>
          <w:highlight w:val="none"/>
        </w:rPr>
        <w:t>-2016,医用臭氧消毒设备</w:t>
      </w:r>
      <w:r>
        <w:rPr>
          <w:rFonts w:eastAsia="仿宋_GB2312"/>
          <w:color w:val="auto"/>
          <w:kern w:val="0"/>
          <w:sz w:val="32"/>
          <w:szCs w:val="32"/>
          <w:highlight w:val="none"/>
        </w:rPr>
        <w:t>[S]</w:t>
      </w:r>
      <w:r>
        <w:rPr>
          <w:rFonts w:hint="eastAsia" w:eastAsia="仿宋_GB2312"/>
          <w:color w:val="auto"/>
          <w:kern w:val="0"/>
          <w:sz w:val="32"/>
          <w:szCs w:val="32"/>
          <w:highlight w:val="none"/>
        </w:rPr>
        <w:t>.</w:t>
      </w:r>
    </w:p>
    <w:p w14:paraId="04C1FE3D">
      <w:pPr>
        <w:pStyle w:val="44"/>
        <w:numPr>
          <w:ilvl w:val="0"/>
          <w:numId w:val="2"/>
        </w:numPr>
        <w:tabs>
          <w:tab w:val="left" w:pos="360"/>
          <w:tab w:val="left" w:pos="952"/>
          <w:tab w:val="left" w:pos="1078"/>
          <w:tab w:val="left" w:pos="1140"/>
        </w:tabs>
        <w:autoSpaceDE w:val="0"/>
        <w:autoSpaceDN w:val="0"/>
        <w:adjustRightInd w:val="0"/>
        <w:spacing w:line="520" w:lineRule="exact"/>
        <w:ind w:left="0" w:firstLine="640" w:firstLineChars="0"/>
        <w:rPr>
          <w:rFonts w:eastAsia="仿宋_GB2312"/>
          <w:color w:val="auto"/>
          <w:kern w:val="0"/>
          <w:sz w:val="32"/>
          <w:szCs w:val="32"/>
          <w:highlight w:val="none"/>
        </w:rPr>
      </w:pPr>
      <w:r>
        <w:rPr>
          <w:rFonts w:eastAsia="仿宋_GB2312"/>
          <w:color w:val="auto"/>
          <w:sz w:val="32"/>
          <w:szCs w:val="28"/>
          <w:highlight w:val="none"/>
        </w:rPr>
        <w:t>GB/T 18268.1</w:t>
      </w:r>
      <w:r>
        <w:rPr>
          <w:rFonts w:hint="eastAsia" w:eastAsia="仿宋_GB2312"/>
          <w:color w:val="auto"/>
          <w:sz w:val="32"/>
          <w:szCs w:val="28"/>
          <w:highlight w:val="none"/>
        </w:rPr>
        <w:t>-2010</w:t>
      </w:r>
      <w:r>
        <w:rPr>
          <w:rFonts w:eastAsia="仿宋_GB2312"/>
          <w:color w:val="auto"/>
          <w:sz w:val="32"/>
          <w:szCs w:val="28"/>
          <w:highlight w:val="none"/>
        </w:rPr>
        <w:t>,测量、控制和实验室用的电设备 电磁兼容性要求 第1部分：通用要求[S].</w:t>
      </w:r>
    </w:p>
    <w:p w14:paraId="21432CB3">
      <w:pPr>
        <w:pStyle w:val="44"/>
        <w:numPr>
          <w:ilvl w:val="0"/>
          <w:numId w:val="2"/>
        </w:numPr>
        <w:tabs>
          <w:tab w:val="left" w:pos="360"/>
          <w:tab w:val="left" w:pos="952"/>
          <w:tab w:val="left" w:pos="1078"/>
          <w:tab w:val="left" w:pos="1140"/>
        </w:tabs>
        <w:autoSpaceDE w:val="0"/>
        <w:autoSpaceDN w:val="0"/>
        <w:adjustRightInd w:val="0"/>
        <w:spacing w:line="520" w:lineRule="exact"/>
        <w:ind w:left="0" w:firstLine="640" w:firstLineChars="0"/>
        <w:rPr>
          <w:rFonts w:eastAsia="仿宋_GB2312"/>
          <w:color w:val="auto"/>
          <w:sz w:val="32"/>
          <w:szCs w:val="32"/>
          <w:highlight w:val="none"/>
        </w:rPr>
      </w:pPr>
      <w:r>
        <w:rPr>
          <w:rFonts w:eastAsia="仿宋_GB2312"/>
          <w:color w:val="auto"/>
          <w:sz w:val="32"/>
          <w:szCs w:val="32"/>
          <w:highlight w:val="none"/>
        </w:rPr>
        <w:t>WS/T367</w:t>
      </w:r>
      <w:r>
        <w:rPr>
          <w:rFonts w:hint="eastAsia" w:eastAsia="仿宋_GB2312"/>
          <w:color w:val="auto"/>
          <w:sz w:val="32"/>
          <w:szCs w:val="32"/>
          <w:highlight w:val="none"/>
        </w:rPr>
        <w:t>-2012</w:t>
      </w:r>
      <w:r>
        <w:rPr>
          <w:rFonts w:eastAsia="仿宋_GB2312"/>
          <w:color w:val="auto"/>
          <w:sz w:val="32"/>
          <w:szCs w:val="32"/>
          <w:highlight w:val="none"/>
        </w:rPr>
        <w:t>,医疗机构消毒技术规范[S].</w:t>
      </w:r>
    </w:p>
    <w:p w14:paraId="29168DE5">
      <w:pPr>
        <w:pStyle w:val="44"/>
        <w:numPr>
          <w:ilvl w:val="0"/>
          <w:numId w:val="2"/>
        </w:numPr>
        <w:tabs>
          <w:tab w:val="left" w:pos="360"/>
          <w:tab w:val="left" w:pos="952"/>
          <w:tab w:val="left" w:pos="1078"/>
          <w:tab w:val="left" w:pos="1140"/>
        </w:tabs>
        <w:autoSpaceDE w:val="0"/>
        <w:autoSpaceDN w:val="0"/>
        <w:adjustRightInd w:val="0"/>
        <w:spacing w:line="520" w:lineRule="exact"/>
        <w:ind w:left="0" w:firstLine="640" w:firstLineChars="0"/>
        <w:rPr>
          <w:rFonts w:eastAsia="仿宋_GB2312"/>
          <w:color w:val="auto"/>
          <w:kern w:val="0"/>
          <w:sz w:val="32"/>
          <w:szCs w:val="32"/>
          <w:highlight w:val="none"/>
        </w:rPr>
      </w:pPr>
      <w:r>
        <w:rPr>
          <w:rFonts w:hint="eastAsia" w:eastAsia="仿宋_GB2312"/>
          <w:color w:val="auto"/>
          <w:kern w:val="0"/>
          <w:sz w:val="32"/>
          <w:szCs w:val="32"/>
          <w:highlight w:val="none"/>
        </w:rPr>
        <w:t>GB</w:t>
      </w:r>
      <w:r>
        <w:rPr>
          <w:rFonts w:eastAsia="仿宋_GB2312"/>
          <w:color w:val="auto"/>
          <w:kern w:val="0"/>
          <w:sz w:val="32"/>
          <w:szCs w:val="32"/>
          <w:highlight w:val="none"/>
        </w:rPr>
        <w:t xml:space="preserve">/T </w:t>
      </w:r>
      <w:r>
        <w:rPr>
          <w:rFonts w:hint="eastAsia" w:eastAsia="仿宋_GB2312"/>
          <w:color w:val="auto"/>
          <w:kern w:val="0"/>
          <w:sz w:val="32"/>
          <w:szCs w:val="32"/>
          <w:highlight w:val="none"/>
        </w:rPr>
        <w:t>42062-2022</w:t>
      </w:r>
      <w:r>
        <w:rPr>
          <w:rFonts w:eastAsia="仿宋_GB2312"/>
          <w:color w:val="auto"/>
          <w:sz w:val="32"/>
          <w:szCs w:val="32"/>
          <w:highlight w:val="none"/>
        </w:rPr>
        <w:t>,</w:t>
      </w:r>
      <w:r>
        <w:rPr>
          <w:rFonts w:eastAsia="仿宋_GB2312"/>
          <w:color w:val="auto"/>
          <w:kern w:val="0"/>
          <w:sz w:val="32"/>
          <w:szCs w:val="32"/>
          <w:highlight w:val="none"/>
        </w:rPr>
        <w:t>医疗器械风险管理对医疗器械的应用[S].</w:t>
      </w:r>
    </w:p>
    <w:p w14:paraId="614E4CE0">
      <w:pPr>
        <w:pStyle w:val="44"/>
        <w:numPr>
          <w:ilvl w:val="0"/>
          <w:numId w:val="2"/>
        </w:numPr>
        <w:tabs>
          <w:tab w:val="left" w:pos="360"/>
          <w:tab w:val="left" w:pos="952"/>
          <w:tab w:val="left" w:pos="1078"/>
          <w:tab w:val="left" w:pos="1140"/>
        </w:tabs>
        <w:autoSpaceDE w:val="0"/>
        <w:autoSpaceDN w:val="0"/>
        <w:adjustRightInd w:val="0"/>
        <w:spacing w:line="520" w:lineRule="exact"/>
        <w:ind w:left="0" w:firstLine="640" w:firstLineChars="0"/>
        <w:rPr>
          <w:rFonts w:eastAsia="仿宋_GB2312"/>
          <w:color w:val="auto"/>
          <w:sz w:val="32"/>
          <w:szCs w:val="32"/>
          <w:highlight w:val="none"/>
        </w:rPr>
      </w:pPr>
      <w:r>
        <w:rPr>
          <w:rFonts w:eastAsia="仿宋_GB2312"/>
          <w:color w:val="auto"/>
          <w:sz w:val="32"/>
          <w:szCs w:val="28"/>
          <w:highlight w:val="none"/>
        </w:rPr>
        <w:t>YY/T 0466.1</w:t>
      </w:r>
      <w:r>
        <w:rPr>
          <w:rFonts w:hint="eastAsia" w:eastAsia="仿宋_GB2312"/>
          <w:color w:val="auto"/>
          <w:sz w:val="32"/>
          <w:szCs w:val="28"/>
          <w:highlight w:val="none"/>
        </w:rPr>
        <w:t>-2016</w:t>
      </w:r>
      <w:r>
        <w:rPr>
          <w:rFonts w:eastAsia="仿宋_GB2312"/>
          <w:color w:val="auto"/>
          <w:sz w:val="32"/>
          <w:szCs w:val="28"/>
          <w:highlight w:val="none"/>
        </w:rPr>
        <w:t>,医疗器械 用于医疗器械标签、标记和提供信息的符号 第1部分：通用要求[S].</w:t>
      </w:r>
    </w:p>
    <w:p w14:paraId="1375C2D4">
      <w:pPr>
        <w:pStyle w:val="44"/>
        <w:numPr>
          <w:ilvl w:val="0"/>
          <w:numId w:val="2"/>
        </w:numPr>
        <w:tabs>
          <w:tab w:val="left" w:pos="360"/>
          <w:tab w:val="left" w:pos="952"/>
          <w:tab w:val="left" w:pos="1078"/>
          <w:tab w:val="left" w:pos="1140"/>
        </w:tabs>
        <w:autoSpaceDE w:val="0"/>
        <w:autoSpaceDN w:val="0"/>
        <w:adjustRightInd w:val="0"/>
        <w:spacing w:line="520" w:lineRule="exact"/>
        <w:ind w:left="0" w:firstLine="640" w:firstLineChars="0"/>
        <w:rPr>
          <w:rFonts w:eastAsia="仿宋_GB2312"/>
          <w:color w:val="auto"/>
          <w:sz w:val="32"/>
          <w:szCs w:val="32"/>
          <w:highlight w:val="none"/>
        </w:rPr>
      </w:pPr>
      <w:r>
        <w:rPr>
          <w:rFonts w:eastAsia="仿宋_GB2312"/>
          <w:sz w:val="32"/>
          <w:szCs w:val="28"/>
        </w:rPr>
        <w:t>GB/T 42125.1-2024,</w:t>
      </w:r>
      <w:r>
        <w:rPr>
          <w:rFonts w:hint="eastAsia" w:eastAsia="仿宋_GB2312"/>
          <w:sz w:val="32"/>
          <w:szCs w:val="28"/>
        </w:rPr>
        <w:t>测量、控制和实验室用电气设备的安全要求 第1部分：通用要求</w:t>
      </w:r>
      <w:r>
        <w:rPr>
          <w:rFonts w:eastAsia="仿宋_GB2312"/>
          <w:sz w:val="32"/>
          <w:szCs w:val="28"/>
        </w:rPr>
        <w:t>[S].</w:t>
      </w:r>
    </w:p>
    <w:p w14:paraId="212DF062">
      <w:pPr>
        <w:pStyle w:val="44"/>
        <w:numPr>
          <w:ilvl w:val="0"/>
          <w:numId w:val="2"/>
        </w:numPr>
        <w:tabs>
          <w:tab w:val="left" w:pos="360"/>
          <w:tab w:val="left" w:pos="952"/>
          <w:tab w:val="left" w:pos="1078"/>
          <w:tab w:val="left" w:pos="1140"/>
        </w:tabs>
        <w:autoSpaceDE w:val="0"/>
        <w:autoSpaceDN w:val="0"/>
        <w:adjustRightInd w:val="0"/>
        <w:spacing w:line="520" w:lineRule="exact"/>
        <w:ind w:left="0" w:firstLine="640" w:firstLineChars="0"/>
        <w:rPr>
          <w:rFonts w:eastAsia="仿宋_GB2312"/>
          <w:color w:val="auto"/>
          <w:sz w:val="32"/>
          <w:szCs w:val="32"/>
          <w:highlight w:val="none"/>
        </w:rPr>
      </w:pPr>
      <w:r>
        <w:rPr>
          <w:rFonts w:eastAsia="仿宋_GB2312"/>
          <w:sz w:val="32"/>
          <w:szCs w:val="28"/>
        </w:rPr>
        <w:t>GB 42125.11-2025,</w:t>
      </w:r>
      <w:r>
        <w:rPr>
          <w:rFonts w:hint="eastAsia" w:eastAsia="仿宋_GB2312"/>
          <w:sz w:val="32"/>
          <w:szCs w:val="28"/>
        </w:rPr>
        <w:t>测量、控制和实验室用电气设备的安全要求 第11部分：用于处理医用材料的灭菌器和清洗消毒器的特殊要求</w:t>
      </w:r>
      <w:r>
        <w:rPr>
          <w:rFonts w:eastAsia="仿宋_GB2312"/>
          <w:sz w:val="32"/>
          <w:szCs w:val="28"/>
        </w:rPr>
        <w:t>[S].</w:t>
      </w:r>
    </w:p>
    <w:p w14:paraId="11F77D36">
      <w:pPr>
        <w:pStyle w:val="44"/>
        <w:numPr>
          <w:ilvl w:val="0"/>
          <w:numId w:val="2"/>
        </w:numPr>
        <w:ind w:left="0" w:firstLine="640"/>
        <w:rPr>
          <w:rFonts w:eastAsia="仿宋_GB2312"/>
          <w:color w:val="auto"/>
          <w:sz w:val="32"/>
          <w:szCs w:val="32"/>
          <w:highlight w:val="none"/>
        </w:rPr>
      </w:pPr>
      <w:r>
        <w:rPr>
          <w:rFonts w:eastAsia="仿宋_GB2312"/>
          <w:sz w:val="32"/>
          <w:szCs w:val="28"/>
        </w:rPr>
        <w:t>GB/T 18268.1-2025,</w:t>
      </w:r>
      <w:r>
        <w:rPr>
          <w:rFonts w:hint="eastAsia" w:eastAsia="仿宋_GB2312"/>
          <w:sz w:val="32"/>
          <w:szCs w:val="28"/>
        </w:rPr>
        <w:t>测量、控制和实验室用的电设备 电磁兼容性要求 第1部分：通用要求</w:t>
      </w:r>
      <w:r>
        <w:rPr>
          <w:rFonts w:eastAsia="仿宋_GB2312"/>
          <w:sz w:val="32"/>
          <w:szCs w:val="28"/>
        </w:rPr>
        <w:t>[S].</w:t>
      </w:r>
      <w:r>
        <w:rPr>
          <w:rFonts w:eastAsia="仿宋_GB2312"/>
          <w:color w:val="auto"/>
          <w:sz w:val="32"/>
          <w:szCs w:val="32"/>
          <w:highlight w:val="none"/>
        </w:rPr>
        <w:br w:type="page"/>
      </w:r>
    </w:p>
    <w:p w14:paraId="0C986C0F">
      <w:pPr>
        <w:overflowPunct/>
        <w:autoSpaceDE/>
        <w:autoSpaceDN/>
        <w:spacing w:line="240" w:lineRule="auto"/>
        <w:ind w:left="0" w:firstLine="0" w:firstLineChars="0"/>
        <w:jc w:val="left"/>
        <w:outlineLvl w:val="9"/>
        <w:rPr>
          <w:rFonts w:eastAsia="黑体" w:cs="黑体"/>
          <w:snapToGrid w:val="0"/>
          <w:color w:val="auto"/>
          <w:kern w:val="0"/>
          <w:sz w:val="32"/>
          <w:szCs w:val="32"/>
          <w:highlight w:val="none"/>
        </w:rPr>
      </w:pPr>
      <w:r>
        <w:rPr>
          <w:rFonts w:hint="eastAsia" w:eastAsia="黑体" w:cs="黑体"/>
          <w:snapToGrid w:val="0"/>
          <w:color w:val="auto"/>
          <w:kern w:val="0"/>
          <w:sz w:val="32"/>
          <w:szCs w:val="32"/>
          <w:highlight w:val="none"/>
        </w:rPr>
        <w:t>附表</w:t>
      </w:r>
    </w:p>
    <w:p w14:paraId="606F3C35">
      <w:pPr>
        <w:overflowPunct w:val="0"/>
        <w:autoSpaceDE w:val="0"/>
        <w:autoSpaceDN w:val="0"/>
        <w:spacing w:line="520" w:lineRule="exact"/>
        <w:ind w:left="426" w:hanging="425" w:hangingChars="133"/>
        <w:jc w:val="left"/>
        <w:outlineLvl w:val="0"/>
        <w:rPr>
          <w:rFonts w:eastAsia="黑体" w:cs="黑体"/>
          <w:snapToGrid w:val="0"/>
          <w:color w:val="auto"/>
          <w:kern w:val="0"/>
          <w:sz w:val="32"/>
          <w:szCs w:val="32"/>
          <w:highlight w:val="none"/>
        </w:rPr>
      </w:pPr>
    </w:p>
    <w:p w14:paraId="2665AE53">
      <w:pPr>
        <w:spacing w:line="520" w:lineRule="exact"/>
        <w:jc w:val="center"/>
        <w:rPr>
          <w:rFonts w:ascii="方正小标宋简体" w:eastAsia="方正小标宋简体"/>
          <w:color w:val="auto"/>
          <w:kern w:val="0"/>
          <w:sz w:val="44"/>
          <w:szCs w:val="44"/>
          <w:highlight w:val="none"/>
        </w:rPr>
      </w:pPr>
      <w:r>
        <w:rPr>
          <w:rFonts w:hint="eastAsia" w:ascii="方正小标宋简体" w:eastAsia="方正小标宋简体"/>
          <w:color w:val="auto"/>
          <w:kern w:val="0"/>
          <w:sz w:val="44"/>
          <w:szCs w:val="44"/>
          <w:highlight w:val="none"/>
        </w:rPr>
        <w:t>产品常见的风险要素及示例</w:t>
      </w:r>
    </w:p>
    <w:p w14:paraId="25DD5D4D">
      <w:pPr>
        <w:spacing w:line="520" w:lineRule="exact"/>
        <w:rPr>
          <w:rFonts w:eastAsia="仿宋_GB2312"/>
          <w:color w:val="auto"/>
          <w:sz w:val="32"/>
          <w:szCs w:val="32"/>
          <w:highlight w:val="none"/>
        </w:rPr>
      </w:pPr>
    </w:p>
    <w:tbl>
      <w:tblPr>
        <w:tblStyle w:val="18"/>
        <w:tblW w:w="87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48"/>
        <w:gridCol w:w="6300"/>
      </w:tblGrid>
      <w:tr w14:paraId="0ED41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1" w:hRule="atLeast"/>
          <w:jc w:val="center"/>
        </w:trPr>
        <w:tc>
          <w:tcPr>
            <w:tcW w:w="2448" w:type="dxa"/>
            <w:vAlign w:val="center"/>
          </w:tcPr>
          <w:p w14:paraId="385120D3">
            <w:pPr>
              <w:spacing w:line="400" w:lineRule="exact"/>
              <w:jc w:val="center"/>
              <w:rPr>
                <w:rFonts w:eastAsia="仿宋_GB2312"/>
                <w:b/>
                <w:i/>
                <w:color w:val="auto"/>
                <w:sz w:val="28"/>
                <w:szCs w:val="28"/>
                <w:highlight w:val="none"/>
              </w:rPr>
            </w:pPr>
            <w:r>
              <w:rPr>
                <w:rFonts w:hint="eastAsia" w:eastAsia="仿宋_GB2312"/>
                <w:b/>
                <w:color w:val="auto"/>
                <w:sz w:val="28"/>
                <w:szCs w:val="28"/>
                <w:highlight w:val="none"/>
              </w:rPr>
              <w:t>可能产生的危害</w:t>
            </w:r>
          </w:p>
        </w:tc>
        <w:tc>
          <w:tcPr>
            <w:tcW w:w="6300" w:type="dxa"/>
            <w:vAlign w:val="center"/>
          </w:tcPr>
          <w:p w14:paraId="1B650DEE">
            <w:pPr>
              <w:spacing w:line="400" w:lineRule="exact"/>
              <w:jc w:val="center"/>
              <w:rPr>
                <w:rFonts w:eastAsia="仿宋_GB2312"/>
                <w:b/>
                <w:color w:val="auto"/>
                <w:sz w:val="28"/>
                <w:szCs w:val="28"/>
                <w:highlight w:val="none"/>
              </w:rPr>
            </w:pPr>
            <w:r>
              <w:rPr>
                <w:rFonts w:hint="eastAsia" w:eastAsia="仿宋_GB2312"/>
                <w:b/>
                <w:color w:val="auto"/>
                <w:sz w:val="28"/>
                <w:szCs w:val="28"/>
                <w:highlight w:val="none"/>
              </w:rPr>
              <w:t>形成因素</w:t>
            </w:r>
          </w:p>
        </w:tc>
      </w:tr>
      <w:tr w14:paraId="211AF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8748" w:type="dxa"/>
            <w:gridSpan w:val="2"/>
            <w:vAlign w:val="center"/>
          </w:tcPr>
          <w:p w14:paraId="7A837B37">
            <w:pPr>
              <w:spacing w:line="400" w:lineRule="exact"/>
              <w:rPr>
                <w:rFonts w:eastAsia="仿宋_GB2312"/>
                <w:b/>
                <w:i/>
                <w:color w:val="auto"/>
                <w:sz w:val="28"/>
                <w:szCs w:val="28"/>
                <w:highlight w:val="none"/>
              </w:rPr>
            </w:pPr>
            <w:r>
              <w:rPr>
                <w:rFonts w:hint="eastAsia" w:eastAsia="仿宋_GB2312"/>
                <w:b/>
                <w:color w:val="auto"/>
                <w:sz w:val="28"/>
                <w:szCs w:val="28"/>
                <w:highlight w:val="none"/>
              </w:rPr>
              <w:t>能量危害</w:t>
            </w:r>
          </w:p>
        </w:tc>
      </w:tr>
      <w:tr w14:paraId="568DC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7" w:hRule="atLeast"/>
          <w:jc w:val="center"/>
        </w:trPr>
        <w:tc>
          <w:tcPr>
            <w:tcW w:w="2448" w:type="dxa"/>
            <w:vAlign w:val="center"/>
          </w:tcPr>
          <w:p w14:paraId="22E1609D">
            <w:pPr>
              <w:pStyle w:val="8"/>
              <w:spacing w:after="0" w:line="400" w:lineRule="exact"/>
              <w:jc w:val="center"/>
              <w:rPr>
                <w:rFonts w:eastAsia="仿宋_GB2312"/>
                <w:color w:val="auto"/>
                <w:kern w:val="2"/>
                <w:sz w:val="28"/>
                <w:szCs w:val="28"/>
                <w:highlight w:val="none"/>
              </w:rPr>
            </w:pPr>
            <w:r>
              <w:rPr>
                <w:rFonts w:hint="eastAsia" w:eastAsia="仿宋_GB2312"/>
                <w:color w:val="auto"/>
                <w:kern w:val="2"/>
                <w:sz w:val="28"/>
                <w:szCs w:val="28"/>
                <w:highlight w:val="none"/>
              </w:rPr>
              <w:t>电能</w:t>
            </w:r>
          </w:p>
        </w:tc>
        <w:tc>
          <w:tcPr>
            <w:tcW w:w="6300" w:type="dxa"/>
            <w:vAlign w:val="center"/>
          </w:tcPr>
          <w:p w14:paraId="3B442FB7">
            <w:pPr>
              <w:spacing w:line="400" w:lineRule="exact"/>
              <w:rPr>
                <w:rFonts w:eastAsia="仿宋_GB2312"/>
                <w:color w:val="auto"/>
                <w:sz w:val="28"/>
                <w:szCs w:val="28"/>
                <w:highlight w:val="none"/>
              </w:rPr>
            </w:pPr>
            <w:r>
              <w:rPr>
                <w:rFonts w:hint="eastAsia" w:eastAsia="仿宋_GB2312"/>
                <w:color w:val="auto"/>
                <w:sz w:val="28"/>
                <w:szCs w:val="28"/>
                <w:highlight w:val="none"/>
              </w:rPr>
              <w:t>保护接地阻抗、可触及部件允许限值、电介质强度不符合要求；</w:t>
            </w:r>
          </w:p>
          <w:p w14:paraId="41E760AA">
            <w:pPr>
              <w:spacing w:line="400" w:lineRule="exact"/>
              <w:rPr>
                <w:rFonts w:eastAsia="仿宋_GB2312"/>
                <w:color w:val="auto"/>
                <w:sz w:val="28"/>
                <w:szCs w:val="28"/>
                <w:highlight w:val="none"/>
              </w:rPr>
            </w:pPr>
            <w:r>
              <w:rPr>
                <w:rFonts w:hint="eastAsia" w:eastAsia="仿宋_GB2312"/>
                <w:color w:val="auto"/>
                <w:sz w:val="28"/>
                <w:szCs w:val="28"/>
                <w:highlight w:val="none"/>
              </w:rPr>
              <w:t>机器外壳的防护罩封闭不良；</w:t>
            </w:r>
          </w:p>
          <w:p w14:paraId="647423C9">
            <w:pPr>
              <w:spacing w:line="400" w:lineRule="exact"/>
              <w:rPr>
                <w:rFonts w:eastAsia="仿宋_GB2312"/>
                <w:color w:val="auto"/>
                <w:sz w:val="28"/>
                <w:szCs w:val="28"/>
                <w:highlight w:val="none"/>
              </w:rPr>
            </w:pPr>
            <w:r>
              <w:rPr>
                <w:rFonts w:hint="eastAsia" w:eastAsia="仿宋_GB2312"/>
                <w:color w:val="auto"/>
                <w:sz w:val="28"/>
                <w:szCs w:val="28"/>
                <w:highlight w:val="none"/>
              </w:rPr>
              <w:t>电磁兼容性能不符合要求。</w:t>
            </w:r>
          </w:p>
        </w:tc>
      </w:tr>
      <w:tr w14:paraId="0334A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94" w:hRule="atLeast"/>
          <w:jc w:val="center"/>
        </w:trPr>
        <w:tc>
          <w:tcPr>
            <w:tcW w:w="2448" w:type="dxa"/>
            <w:vAlign w:val="center"/>
          </w:tcPr>
          <w:p w14:paraId="1746BE13">
            <w:pPr>
              <w:spacing w:line="400" w:lineRule="exact"/>
              <w:jc w:val="center"/>
              <w:rPr>
                <w:rFonts w:eastAsia="仿宋_GB2312"/>
                <w:color w:val="auto"/>
                <w:sz w:val="28"/>
                <w:szCs w:val="28"/>
                <w:highlight w:val="none"/>
              </w:rPr>
            </w:pPr>
            <w:r>
              <w:rPr>
                <w:rFonts w:hint="eastAsia" w:eastAsia="仿宋_GB2312"/>
                <w:color w:val="auto"/>
                <w:sz w:val="28"/>
                <w:szCs w:val="28"/>
                <w:highlight w:val="none"/>
              </w:rPr>
              <w:t>热能</w:t>
            </w:r>
          </w:p>
        </w:tc>
        <w:tc>
          <w:tcPr>
            <w:tcW w:w="6300" w:type="dxa"/>
            <w:vAlign w:val="center"/>
          </w:tcPr>
          <w:p w14:paraId="0FF6AACF">
            <w:pPr>
              <w:spacing w:line="400" w:lineRule="exact"/>
              <w:rPr>
                <w:rFonts w:eastAsia="仿宋_GB2312"/>
                <w:color w:val="auto"/>
                <w:sz w:val="28"/>
                <w:szCs w:val="28"/>
                <w:highlight w:val="none"/>
              </w:rPr>
            </w:pPr>
            <w:r>
              <w:rPr>
                <w:rFonts w:hint="eastAsia" w:eastAsia="仿宋_GB2312"/>
                <w:color w:val="auto"/>
                <w:sz w:val="28"/>
                <w:szCs w:val="28"/>
                <w:highlight w:val="none"/>
              </w:rPr>
              <w:t>测温系统或装置损坏，控制失灵，设备温度低于限定值，设备温度高于限定值；</w:t>
            </w:r>
          </w:p>
          <w:p w14:paraId="05037AC1">
            <w:pPr>
              <w:spacing w:line="400" w:lineRule="exact"/>
              <w:rPr>
                <w:rFonts w:eastAsia="仿宋_GB2312"/>
                <w:color w:val="auto"/>
                <w:sz w:val="28"/>
                <w:szCs w:val="28"/>
                <w:highlight w:val="none"/>
              </w:rPr>
            </w:pPr>
            <w:r>
              <w:rPr>
                <w:rFonts w:hint="eastAsia" w:eastAsia="仿宋_GB2312"/>
                <w:color w:val="auto"/>
                <w:sz w:val="28"/>
                <w:szCs w:val="28"/>
                <w:highlight w:val="none"/>
              </w:rPr>
              <w:t>容器壳体泄漏、管路泄漏，；</w:t>
            </w:r>
          </w:p>
          <w:p w14:paraId="7188F063">
            <w:pPr>
              <w:spacing w:line="400" w:lineRule="exact"/>
              <w:rPr>
                <w:rFonts w:eastAsia="仿宋_GB2312"/>
                <w:color w:val="auto"/>
                <w:sz w:val="28"/>
                <w:szCs w:val="28"/>
                <w:highlight w:val="none"/>
              </w:rPr>
            </w:pPr>
            <w:r>
              <w:rPr>
                <w:rFonts w:hint="eastAsia" w:eastAsia="仿宋_GB2312"/>
                <w:color w:val="auto"/>
                <w:sz w:val="28"/>
                <w:szCs w:val="28"/>
                <w:highlight w:val="none"/>
              </w:rPr>
              <w:t>焊接出现焊缝，；</w:t>
            </w:r>
          </w:p>
          <w:p w14:paraId="2D7B0199">
            <w:pPr>
              <w:spacing w:line="400" w:lineRule="exact"/>
              <w:rPr>
                <w:rFonts w:eastAsia="仿宋_GB2312"/>
                <w:color w:val="auto"/>
                <w:sz w:val="28"/>
                <w:szCs w:val="28"/>
                <w:highlight w:val="none"/>
              </w:rPr>
            </w:pPr>
            <w:r>
              <w:rPr>
                <w:rFonts w:hint="eastAsia" w:eastAsia="仿宋_GB2312"/>
                <w:color w:val="auto"/>
                <w:sz w:val="28"/>
                <w:szCs w:val="28"/>
                <w:highlight w:val="none"/>
              </w:rPr>
              <w:t>密封失效，或密封不严；</w:t>
            </w:r>
          </w:p>
          <w:p w14:paraId="62F91954">
            <w:pPr>
              <w:spacing w:line="400" w:lineRule="exact"/>
              <w:rPr>
                <w:rFonts w:eastAsia="仿宋_GB2312"/>
                <w:color w:val="auto"/>
                <w:sz w:val="28"/>
                <w:szCs w:val="28"/>
                <w:highlight w:val="none"/>
              </w:rPr>
            </w:pPr>
            <w:r>
              <w:rPr>
                <w:rFonts w:hint="eastAsia" w:eastAsia="仿宋_GB2312"/>
                <w:color w:val="auto"/>
                <w:sz w:val="28"/>
                <w:szCs w:val="28"/>
                <w:highlight w:val="none"/>
              </w:rPr>
              <w:t>门锁机构失效；</w:t>
            </w:r>
          </w:p>
          <w:p w14:paraId="094DA80D">
            <w:pPr>
              <w:spacing w:line="400" w:lineRule="exact"/>
              <w:rPr>
                <w:rFonts w:eastAsia="仿宋_GB2312"/>
                <w:color w:val="auto"/>
                <w:sz w:val="28"/>
                <w:szCs w:val="28"/>
                <w:highlight w:val="none"/>
              </w:rPr>
            </w:pPr>
            <w:r>
              <w:rPr>
                <w:rFonts w:hint="eastAsia" w:eastAsia="仿宋_GB2312"/>
                <w:color w:val="auto"/>
                <w:sz w:val="28"/>
                <w:szCs w:val="28"/>
                <w:highlight w:val="none"/>
              </w:rPr>
              <w:t>操作不当。</w:t>
            </w:r>
          </w:p>
        </w:tc>
      </w:tr>
      <w:tr w14:paraId="35FE8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4" w:hRule="atLeast"/>
          <w:jc w:val="center"/>
        </w:trPr>
        <w:tc>
          <w:tcPr>
            <w:tcW w:w="2448" w:type="dxa"/>
            <w:vAlign w:val="center"/>
          </w:tcPr>
          <w:p w14:paraId="1664F3B4">
            <w:pPr>
              <w:spacing w:line="400" w:lineRule="exact"/>
              <w:jc w:val="center"/>
              <w:rPr>
                <w:rFonts w:eastAsia="仿宋_GB2312"/>
                <w:color w:val="auto"/>
                <w:sz w:val="28"/>
                <w:szCs w:val="28"/>
                <w:highlight w:val="none"/>
              </w:rPr>
            </w:pPr>
            <w:r>
              <w:rPr>
                <w:rFonts w:hint="eastAsia" w:eastAsia="仿宋_GB2312"/>
                <w:color w:val="auto"/>
                <w:sz w:val="28"/>
                <w:szCs w:val="28"/>
                <w:highlight w:val="none"/>
              </w:rPr>
              <w:t>机械危险</w:t>
            </w:r>
          </w:p>
        </w:tc>
        <w:tc>
          <w:tcPr>
            <w:tcW w:w="6300" w:type="dxa"/>
            <w:vAlign w:val="center"/>
          </w:tcPr>
          <w:p w14:paraId="39E5FC43">
            <w:pPr>
              <w:spacing w:line="400" w:lineRule="exact"/>
              <w:rPr>
                <w:rFonts w:eastAsia="仿宋_GB2312"/>
                <w:color w:val="auto"/>
                <w:sz w:val="28"/>
                <w:szCs w:val="28"/>
                <w:highlight w:val="none"/>
              </w:rPr>
            </w:pPr>
            <w:r>
              <w:rPr>
                <w:rFonts w:hint="eastAsia" w:eastAsia="仿宋_GB2312"/>
                <w:color w:val="auto"/>
                <w:sz w:val="28"/>
                <w:szCs w:val="28"/>
                <w:highlight w:val="none"/>
              </w:rPr>
              <w:t>设备外壳粗糙、有毛刺；</w:t>
            </w:r>
          </w:p>
          <w:p w14:paraId="470B65D7">
            <w:pPr>
              <w:spacing w:line="400" w:lineRule="exact"/>
              <w:rPr>
                <w:rFonts w:eastAsia="仿宋_GB2312"/>
                <w:color w:val="auto"/>
                <w:sz w:val="28"/>
                <w:szCs w:val="28"/>
                <w:highlight w:val="none"/>
              </w:rPr>
            </w:pPr>
            <w:r>
              <w:rPr>
                <w:rFonts w:hint="eastAsia" w:eastAsia="仿宋_GB2312"/>
                <w:color w:val="auto"/>
                <w:sz w:val="28"/>
                <w:szCs w:val="28"/>
                <w:highlight w:val="none"/>
              </w:rPr>
              <w:t>设备没有足够的外壳机械强度和刚度；</w:t>
            </w:r>
          </w:p>
          <w:p w14:paraId="1B4EB83B">
            <w:pPr>
              <w:spacing w:line="400" w:lineRule="exact"/>
              <w:rPr>
                <w:rFonts w:eastAsia="仿宋_GB2312"/>
                <w:color w:val="auto"/>
                <w:sz w:val="28"/>
                <w:szCs w:val="28"/>
                <w:highlight w:val="none"/>
              </w:rPr>
            </w:pPr>
            <w:r>
              <w:rPr>
                <w:rFonts w:hint="eastAsia" w:eastAsia="仿宋_GB2312"/>
                <w:color w:val="auto"/>
                <w:sz w:val="28"/>
                <w:szCs w:val="28"/>
                <w:highlight w:val="none"/>
              </w:rPr>
              <w:t>门挤压伤害。</w:t>
            </w:r>
          </w:p>
        </w:tc>
      </w:tr>
      <w:tr w14:paraId="36199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89" w:hRule="atLeast"/>
          <w:jc w:val="center"/>
        </w:trPr>
        <w:tc>
          <w:tcPr>
            <w:tcW w:w="2448" w:type="dxa"/>
            <w:vAlign w:val="center"/>
          </w:tcPr>
          <w:p w14:paraId="7FD12083">
            <w:pPr>
              <w:spacing w:line="400" w:lineRule="exact"/>
              <w:jc w:val="center"/>
              <w:rPr>
                <w:rFonts w:hint="eastAsia" w:eastAsia="仿宋_GB2312"/>
                <w:color w:val="auto"/>
                <w:sz w:val="28"/>
                <w:szCs w:val="28"/>
                <w:highlight w:val="none"/>
                <w:lang w:eastAsia="zh-CN"/>
              </w:rPr>
            </w:pPr>
            <w:r>
              <w:rPr>
                <w:rFonts w:hint="eastAsia" w:eastAsia="仿宋_GB2312"/>
                <w:color w:val="auto"/>
                <w:sz w:val="28"/>
                <w:szCs w:val="28"/>
                <w:highlight w:val="none"/>
                <w:lang w:val="en-US" w:eastAsia="zh-CN"/>
              </w:rPr>
              <w:t>浓度</w:t>
            </w:r>
          </w:p>
        </w:tc>
        <w:tc>
          <w:tcPr>
            <w:tcW w:w="6300" w:type="dxa"/>
            <w:vAlign w:val="center"/>
          </w:tcPr>
          <w:p w14:paraId="14D94D56">
            <w:pPr>
              <w:spacing w:line="400" w:lineRule="exact"/>
              <w:rPr>
                <w:rFonts w:eastAsia="仿宋_GB2312"/>
                <w:color w:val="auto"/>
                <w:sz w:val="28"/>
                <w:szCs w:val="28"/>
                <w:highlight w:val="none"/>
              </w:rPr>
            </w:pPr>
            <w:r>
              <w:rPr>
                <w:rFonts w:hint="eastAsia" w:eastAsia="仿宋_GB2312"/>
                <w:color w:val="auto"/>
                <w:sz w:val="28"/>
                <w:szCs w:val="28"/>
                <w:highlight w:val="none"/>
              </w:rPr>
              <w:t>设备</w:t>
            </w:r>
            <w:r>
              <w:rPr>
                <w:rFonts w:hint="eastAsia" w:eastAsia="仿宋_GB2312"/>
                <w:color w:val="auto"/>
                <w:sz w:val="28"/>
                <w:szCs w:val="28"/>
                <w:highlight w:val="none"/>
                <w:lang w:val="en-US" w:eastAsia="zh-CN"/>
              </w:rPr>
              <w:t>浓度</w:t>
            </w:r>
            <w:r>
              <w:rPr>
                <w:rFonts w:hint="eastAsia" w:eastAsia="仿宋_GB2312"/>
                <w:color w:val="auto"/>
                <w:sz w:val="28"/>
                <w:szCs w:val="28"/>
                <w:highlight w:val="none"/>
              </w:rPr>
              <w:t>高于规定值范围，产生</w:t>
            </w:r>
            <w:r>
              <w:rPr>
                <w:rFonts w:hint="eastAsia" w:eastAsia="仿宋_GB2312"/>
                <w:color w:val="auto"/>
                <w:sz w:val="28"/>
                <w:szCs w:val="28"/>
                <w:highlight w:val="none"/>
                <w:lang w:val="en-US" w:eastAsia="zh-CN"/>
              </w:rPr>
              <w:t>泄露</w:t>
            </w:r>
            <w:r>
              <w:rPr>
                <w:rFonts w:hint="eastAsia" w:eastAsia="仿宋_GB2312"/>
                <w:color w:val="auto"/>
                <w:sz w:val="28"/>
                <w:szCs w:val="28"/>
                <w:highlight w:val="none"/>
              </w:rPr>
              <w:t>；</w:t>
            </w:r>
          </w:p>
          <w:p w14:paraId="6F788693">
            <w:pPr>
              <w:spacing w:line="400" w:lineRule="exact"/>
              <w:rPr>
                <w:rFonts w:eastAsia="仿宋_GB2312"/>
                <w:color w:val="auto"/>
                <w:sz w:val="28"/>
                <w:szCs w:val="28"/>
                <w:highlight w:val="none"/>
              </w:rPr>
            </w:pPr>
            <w:r>
              <w:rPr>
                <w:rFonts w:hint="eastAsia" w:eastAsia="仿宋_GB2312"/>
                <w:color w:val="auto"/>
                <w:sz w:val="28"/>
                <w:szCs w:val="28"/>
                <w:highlight w:val="none"/>
              </w:rPr>
              <w:t>设备</w:t>
            </w:r>
            <w:r>
              <w:rPr>
                <w:rFonts w:hint="eastAsia" w:eastAsia="仿宋_GB2312"/>
                <w:color w:val="auto"/>
                <w:sz w:val="28"/>
                <w:szCs w:val="28"/>
                <w:highlight w:val="none"/>
                <w:lang w:val="en-US" w:eastAsia="zh-CN"/>
              </w:rPr>
              <w:t>浓度</w:t>
            </w:r>
            <w:r>
              <w:rPr>
                <w:rFonts w:hint="eastAsia" w:eastAsia="仿宋_GB2312"/>
                <w:color w:val="auto"/>
                <w:sz w:val="28"/>
                <w:szCs w:val="28"/>
                <w:highlight w:val="none"/>
              </w:rPr>
              <w:t>低于规定值范围，达不到</w:t>
            </w:r>
            <w:r>
              <w:rPr>
                <w:rFonts w:hint="eastAsia" w:eastAsia="仿宋_GB2312"/>
                <w:color w:val="auto"/>
                <w:sz w:val="28"/>
                <w:szCs w:val="28"/>
                <w:highlight w:val="none"/>
                <w:lang w:val="en-US" w:eastAsia="zh-CN"/>
              </w:rPr>
              <w:t>消毒浓度</w:t>
            </w:r>
            <w:r>
              <w:rPr>
                <w:rFonts w:hint="eastAsia" w:eastAsia="仿宋_GB2312"/>
                <w:color w:val="auto"/>
                <w:sz w:val="28"/>
                <w:szCs w:val="28"/>
                <w:highlight w:val="none"/>
              </w:rPr>
              <w:t>；</w:t>
            </w:r>
          </w:p>
          <w:p w14:paraId="7DCFA74A">
            <w:pPr>
              <w:spacing w:line="400" w:lineRule="exact"/>
              <w:rPr>
                <w:rFonts w:eastAsia="仿宋_GB2312"/>
                <w:color w:val="auto"/>
                <w:sz w:val="28"/>
                <w:szCs w:val="28"/>
                <w:highlight w:val="none"/>
              </w:rPr>
            </w:pPr>
            <w:r>
              <w:rPr>
                <w:rFonts w:hint="eastAsia" w:eastAsia="仿宋_GB2312"/>
                <w:color w:val="auto"/>
                <w:sz w:val="28"/>
                <w:szCs w:val="28"/>
                <w:highlight w:val="none"/>
              </w:rPr>
              <w:t>安全阀失效；</w:t>
            </w:r>
          </w:p>
          <w:p w14:paraId="2251C5AF">
            <w:pPr>
              <w:spacing w:line="400" w:lineRule="exact"/>
              <w:rPr>
                <w:rFonts w:eastAsia="仿宋_GB2312"/>
                <w:color w:val="auto"/>
                <w:sz w:val="28"/>
                <w:szCs w:val="28"/>
                <w:highlight w:val="none"/>
              </w:rPr>
            </w:pPr>
            <w:r>
              <w:rPr>
                <w:rFonts w:hint="eastAsia" w:eastAsia="仿宋_GB2312"/>
                <w:color w:val="auto"/>
                <w:sz w:val="28"/>
                <w:szCs w:val="28"/>
                <w:highlight w:val="none"/>
              </w:rPr>
              <w:t>压力监测装置失效。</w:t>
            </w:r>
          </w:p>
        </w:tc>
      </w:tr>
      <w:tr w14:paraId="295F4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0" w:hRule="atLeast"/>
          <w:jc w:val="center"/>
        </w:trPr>
        <w:tc>
          <w:tcPr>
            <w:tcW w:w="2448" w:type="dxa"/>
            <w:vAlign w:val="center"/>
          </w:tcPr>
          <w:p w14:paraId="0DF0E8C6">
            <w:pPr>
              <w:spacing w:line="400" w:lineRule="exact"/>
              <w:jc w:val="center"/>
              <w:rPr>
                <w:rFonts w:eastAsia="仿宋_GB2312"/>
                <w:color w:val="auto"/>
                <w:sz w:val="28"/>
                <w:szCs w:val="28"/>
                <w:highlight w:val="none"/>
              </w:rPr>
            </w:pPr>
            <w:r>
              <w:rPr>
                <w:rFonts w:hint="eastAsia" w:eastAsia="仿宋_GB2312"/>
                <w:color w:val="auto"/>
                <w:sz w:val="28"/>
                <w:szCs w:val="28"/>
                <w:highlight w:val="none"/>
              </w:rPr>
              <w:t>噪声</w:t>
            </w:r>
          </w:p>
        </w:tc>
        <w:tc>
          <w:tcPr>
            <w:tcW w:w="6300" w:type="dxa"/>
            <w:vAlign w:val="center"/>
          </w:tcPr>
          <w:p w14:paraId="6E1EA9A7">
            <w:pPr>
              <w:spacing w:line="400" w:lineRule="exact"/>
              <w:rPr>
                <w:rFonts w:eastAsia="仿宋_GB2312"/>
                <w:color w:val="auto"/>
                <w:sz w:val="28"/>
                <w:szCs w:val="28"/>
                <w:highlight w:val="none"/>
              </w:rPr>
            </w:pPr>
            <w:r>
              <w:rPr>
                <w:rFonts w:hint="eastAsia" w:eastAsia="仿宋_GB2312"/>
                <w:color w:val="auto"/>
                <w:sz w:val="28"/>
                <w:szCs w:val="28"/>
                <w:highlight w:val="none"/>
              </w:rPr>
              <w:t>设备消音系统或运动部件损坏。</w:t>
            </w:r>
          </w:p>
        </w:tc>
      </w:tr>
      <w:tr w14:paraId="2D392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8748" w:type="dxa"/>
            <w:gridSpan w:val="2"/>
            <w:vAlign w:val="center"/>
          </w:tcPr>
          <w:p w14:paraId="48562E40">
            <w:pPr>
              <w:spacing w:line="400" w:lineRule="exact"/>
              <w:rPr>
                <w:rFonts w:eastAsia="仿宋_GB2312"/>
                <w:b/>
                <w:color w:val="auto"/>
                <w:sz w:val="28"/>
                <w:szCs w:val="28"/>
                <w:highlight w:val="none"/>
              </w:rPr>
            </w:pPr>
            <w:r>
              <w:rPr>
                <w:rFonts w:hint="eastAsia" w:eastAsia="仿宋_GB2312"/>
                <w:b/>
                <w:color w:val="auto"/>
                <w:sz w:val="28"/>
                <w:szCs w:val="28"/>
                <w:highlight w:val="none"/>
              </w:rPr>
              <w:t>生物学危害</w:t>
            </w:r>
          </w:p>
        </w:tc>
      </w:tr>
      <w:tr w14:paraId="1A4C6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6" w:hRule="atLeast"/>
          <w:jc w:val="center"/>
        </w:trPr>
        <w:tc>
          <w:tcPr>
            <w:tcW w:w="2448" w:type="dxa"/>
            <w:vAlign w:val="center"/>
          </w:tcPr>
          <w:p w14:paraId="048F0FAE">
            <w:pPr>
              <w:spacing w:line="400" w:lineRule="exact"/>
              <w:jc w:val="center"/>
              <w:rPr>
                <w:rFonts w:eastAsia="仿宋_GB2312"/>
                <w:color w:val="auto"/>
                <w:sz w:val="28"/>
                <w:szCs w:val="28"/>
                <w:highlight w:val="none"/>
              </w:rPr>
            </w:pPr>
            <w:r>
              <w:rPr>
                <w:rFonts w:hint="eastAsia" w:eastAsia="仿宋_GB2312"/>
                <w:color w:val="auto"/>
                <w:sz w:val="28"/>
                <w:szCs w:val="28"/>
                <w:highlight w:val="none"/>
              </w:rPr>
              <w:t>生物学</w:t>
            </w:r>
          </w:p>
        </w:tc>
        <w:tc>
          <w:tcPr>
            <w:tcW w:w="6300" w:type="dxa"/>
            <w:vAlign w:val="center"/>
          </w:tcPr>
          <w:p w14:paraId="7F59277A">
            <w:pPr>
              <w:spacing w:line="400" w:lineRule="exact"/>
              <w:rPr>
                <w:rFonts w:eastAsia="仿宋_GB2312"/>
                <w:color w:val="auto"/>
                <w:sz w:val="28"/>
                <w:szCs w:val="28"/>
                <w:highlight w:val="none"/>
              </w:rPr>
            </w:pPr>
            <w:r>
              <w:rPr>
                <w:rFonts w:hint="eastAsia" w:eastAsia="仿宋_GB2312"/>
                <w:color w:val="auto"/>
                <w:sz w:val="28"/>
                <w:szCs w:val="28"/>
                <w:highlight w:val="none"/>
                <w:lang w:val="en-US" w:eastAsia="zh-CN"/>
              </w:rPr>
              <w:t>消毒</w:t>
            </w:r>
            <w:r>
              <w:rPr>
                <w:rFonts w:hint="eastAsia" w:eastAsia="仿宋_GB2312"/>
                <w:color w:val="auto"/>
                <w:sz w:val="28"/>
                <w:szCs w:val="28"/>
                <w:highlight w:val="none"/>
              </w:rPr>
              <w:t>效果不合格。</w:t>
            </w:r>
          </w:p>
        </w:tc>
      </w:tr>
      <w:tr w14:paraId="329F9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3" w:hRule="atLeast"/>
          <w:jc w:val="center"/>
        </w:trPr>
        <w:tc>
          <w:tcPr>
            <w:tcW w:w="8748" w:type="dxa"/>
            <w:gridSpan w:val="2"/>
            <w:vAlign w:val="center"/>
          </w:tcPr>
          <w:p w14:paraId="7FF344B4">
            <w:pPr>
              <w:spacing w:line="400" w:lineRule="exact"/>
              <w:rPr>
                <w:rFonts w:eastAsia="仿宋_GB2312"/>
                <w:b/>
                <w:color w:val="auto"/>
                <w:sz w:val="28"/>
                <w:szCs w:val="28"/>
                <w:highlight w:val="none"/>
              </w:rPr>
            </w:pPr>
            <w:r>
              <w:rPr>
                <w:rFonts w:hint="eastAsia" w:eastAsia="仿宋_GB2312"/>
                <w:b/>
                <w:color w:val="auto"/>
                <w:sz w:val="28"/>
                <w:szCs w:val="28"/>
                <w:highlight w:val="none"/>
              </w:rPr>
              <w:t>环境危害</w:t>
            </w:r>
          </w:p>
        </w:tc>
      </w:tr>
      <w:tr w14:paraId="6C2CF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6" w:hRule="atLeast"/>
          <w:jc w:val="center"/>
        </w:trPr>
        <w:tc>
          <w:tcPr>
            <w:tcW w:w="2448" w:type="dxa"/>
            <w:vAlign w:val="center"/>
          </w:tcPr>
          <w:p w14:paraId="2FFC32C3">
            <w:pPr>
              <w:spacing w:line="400" w:lineRule="exact"/>
              <w:jc w:val="center"/>
              <w:rPr>
                <w:rFonts w:eastAsia="仿宋_GB2312"/>
                <w:color w:val="auto"/>
                <w:sz w:val="28"/>
                <w:szCs w:val="28"/>
                <w:highlight w:val="none"/>
              </w:rPr>
            </w:pPr>
            <w:r>
              <w:rPr>
                <w:rFonts w:hint="eastAsia" w:eastAsia="仿宋_GB2312"/>
                <w:color w:val="auto"/>
                <w:sz w:val="28"/>
                <w:szCs w:val="28"/>
                <w:highlight w:val="none"/>
              </w:rPr>
              <w:t>运行偏离预定的</w:t>
            </w:r>
          </w:p>
          <w:p w14:paraId="79342A9E">
            <w:pPr>
              <w:spacing w:line="400" w:lineRule="exact"/>
              <w:jc w:val="center"/>
              <w:rPr>
                <w:rFonts w:eastAsia="仿宋_GB2312"/>
                <w:color w:val="auto"/>
                <w:sz w:val="28"/>
                <w:szCs w:val="28"/>
                <w:highlight w:val="none"/>
              </w:rPr>
            </w:pPr>
            <w:r>
              <w:rPr>
                <w:rFonts w:hint="eastAsia" w:eastAsia="仿宋_GB2312"/>
                <w:color w:val="auto"/>
                <w:sz w:val="28"/>
                <w:szCs w:val="28"/>
                <w:highlight w:val="none"/>
              </w:rPr>
              <w:t>环境条件</w:t>
            </w:r>
          </w:p>
        </w:tc>
        <w:tc>
          <w:tcPr>
            <w:tcW w:w="6300" w:type="dxa"/>
            <w:vAlign w:val="center"/>
          </w:tcPr>
          <w:p w14:paraId="6153F00C">
            <w:pPr>
              <w:spacing w:line="400" w:lineRule="exact"/>
              <w:jc w:val="left"/>
              <w:rPr>
                <w:rFonts w:eastAsia="仿宋_GB2312"/>
                <w:color w:val="auto"/>
                <w:sz w:val="28"/>
                <w:szCs w:val="28"/>
                <w:highlight w:val="none"/>
              </w:rPr>
            </w:pPr>
            <w:r>
              <w:rPr>
                <w:rFonts w:hint="eastAsia" w:eastAsia="仿宋_GB2312"/>
                <w:color w:val="auto"/>
                <w:sz w:val="28"/>
                <w:szCs w:val="28"/>
                <w:highlight w:val="none"/>
              </w:rPr>
              <w:t>有可能造成局部环境温度升高。</w:t>
            </w:r>
          </w:p>
        </w:tc>
      </w:tr>
      <w:tr w14:paraId="05FF8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8748" w:type="dxa"/>
            <w:gridSpan w:val="2"/>
            <w:vAlign w:val="center"/>
          </w:tcPr>
          <w:p w14:paraId="142FBA01">
            <w:pPr>
              <w:spacing w:line="400" w:lineRule="exact"/>
              <w:rPr>
                <w:rFonts w:eastAsia="仿宋_GB2312"/>
                <w:b/>
                <w:color w:val="auto"/>
                <w:sz w:val="28"/>
                <w:szCs w:val="28"/>
                <w:highlight w:val="none"/>
              </w:rPr>
            </w:pPr>
            <w:r>
              <w:rPr>
                <w:rFonts w:hint="eastAsia" w:eastAsia="仿宋_GB2312"/>
                <w:b/>
                <w:color w:val="auto"/>
                <w:sz w:val="28"/>
                <w:szCs w:val="28"/>
                <w:highlight w:val="none"/>
              </w:rPr>
              <w:t>与医疗器械使用有关的危害</w:t>
            </w:r>
          </w:p>
        </w:tc>
      </w:tr>
      <w:tr w14:paraId="3D975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5" w:hRule="atLeast"/>
          <w:jc w:val="center"/>
        </w:trPr>
        <w:tc>
          <w:tcPr>
            <w:tcW w:w="2448" w:type="dxa"/>
            <w:vAlign w:val="center"/>
          </w:tcPr>
          <w:p w14:paraId="36933DD8">
            <w:pPr>
              <w:spacing w:line="400" w:lineRule="exact"/>
              <w:jc w:val="center"/>
              <w:rPr>
                <w:rFonts w:eastAsia="仿宋_GB2312"/>
                <w:color w:val="auto"/>
                <w:sz w:val="28"/>
                <w:szCs w:val="28"/>
                <w:highlight w:val="none"/>
              </w:rPr>
            </w:pPr>
            <w:r>
              <w:rPr>
                <w:rFonts w:hint="eastAsia" w:eastAsia="仿宋_GB2312"/>
                <w:color w:val="auto"/>
                <w:sz w:val="28"/>
                <w:szCs w:val="28"/>
                <w:highlight w:val="none"/>
              </w:rPr>
              <w:t>不适当的标记</w:t>
            </w:r>
          </w:p>
        </w:tc>
        <w:tc>
          <w:tcPr>
            <w:tcW w:w="6300" w:type="dxa"/>
            <w:vAlign w:val="center"/>
          </w:tcPr>
          <w:p w14:paraId="49B84762">
            <w:pPr>
              <w:spacing w:line="400" w:lineRule="exact"/>
              <w:rPr>
                <w:rFonts w:eastAsia="仿宋_GB2312"/>
                <w:color w:val="auto"/>
                <w:sz w:val="28"/>
                <w:szCs w:val="28"/>
                <w:highlight w:val="none"/>
              </w:rPr>
            </w:pPr>
            <w:r>
              <w:rPr>
                <w:rFonts w:hint="eastAsia" w:eastAsia="仿宋_GB2312"/>
                <w:color w:val="auto"/>
                <w:sz w:val="28"/>
                <w:szCs w:val="28"/>
                <w:highlight w:val="none"/>
              </w:rPr>
              <w:t>外部和内部标记不全面、标记不正确或不能够清楚易认，以及标记不能够永久贴牢。</w:t>
            </w:r>
          </w:p>
        </w:tc>
      </w:tr>
      <w:tr w14:paraId="5D056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91" w:hRule="atLeast"/>
          <w:jc w:val="center"/>
        </w:trPr>
        <w:tc>
          <w:tcPr>
            <w:tcW w:w="2448" w:type="dxa"/>
            <w:vAlign w:val="center"/>
          </w:tcPr>
          <w:p w14:paraId="713628BB">
            <w:pPr>
              <w:spacing w:line="400" w:lineRule="exact"/>
              <w:jc w:val="center"/>
              <w:rPr>
                <w:rFonts w:eastAsia="仿宋_GB2312"/>
                <w:color w:val="auto"/>
                <w:sz w:val="28"/>
                <w:szCs w:val="28"/>
                <w:highlight w:val="none"/>
              </w:rPr>
            </w:pPr>
            <w:r>
              <w:rPr>
                <w:rFonts w:hint="eastAsia" w:eastAsia="仿宋_GB2312"/>
                <w:color w:val="auto"/>
                <w:sz w:val="28"/>
                <w:szCs w:val="28"/>
                <w:highlight w:val="none"/>
              </w:rPr>
              <w:t>不适当的操作说明</w:t>
            </w:r>
          </w:p>
        </w:tc>
        <w:tc>
          <w:tcPr>
            <w:tcW w:w="6300" w:type="dxa"/>
            <w:vAlign w:val="center"/>
          </w:tcPr>
          <w:p w14:paraId="45C573FC">
            <w:pPr>
              <w:widowControl/>
              <w:spacing w:line="400" w:lineRule="exact"/>
              <w:jc w:val="left"/>
              <w:rPr>
                <w:rFonts w:eastAsia="仿宋_GB2312"/>
                <w:color w:val="auto"/>
                <w:sz w:val="28"/>
                <w:szCs w:val="28"/>
                <w:highlight w:val="none"/>
              </w:rPr>
            </w:pPr>
            <w:r>
              <w:rPr>
                <w:rFonts w:hint="eastAsia" w:eastAsia="仿宋_GB2312"/>
                <w:color w:val="auto"/>
                <w:sz w:val="28"/>
                <w:szCs w:val="28"/>
                <w:highlight w:val="none"/>
              </w:rPr>
              <w:t>缺少必要的警告说明和详细的使用方法；</w:t>
            </w:r>
          </w:p>
          <w:p w14:paraId="42FF73AC">
            <w:pPr>
              <w:spacing w:line="400" w:lineRule="exact"/>
              <w:rPr>
                <w:rFonts w:eastAsia="仿宋_GB2312"/>
                <w:color w:val="auto"/>
                <w:sz w:val="28"/>
                <w:szCs w:val="28"/>
                <w:highlight w:val="none"/>
              </w:rPr>
            </w:pPr>
            <w:r>
              <w:rPr>
                <w:rFonts w:hint="eastAsia" w:eastAsia="仿宋_GB2312"/>
                <w:color w:val="auto"/>
                <w:sz w:val="28"/>
                <w:szCs w:val="28"/>
                <w:highlight w:val="none"/>
              </w:rPr>
              <w:t>缺少详细的日常使用维护规范。</w:t>
            </w:r>
          </w:p>
        </w:tc>
      </w:tr>
      <w:tr w14:paraId="6244B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0" w:hRule="atLeast"/>
          <w:jc w:val="center"/>
        </w:trPr>
        <w:tc>
          <w:tcPr>
            <w:tcW w:w="2448" w:type="dxa"/>
            <w:vAlign w:val="center"/>
          </w:tcPr>
          <w:p w14:paraId="3270D74D">
            <w:pPr>
              <w:spacing w:line="400" w:lineRule="exact"/>
              <w:jc w:val="center"/>
              <w:rPr>
                <w:rFonts w:eastAsia="仿宋_GB2312"/>
                <w:color w:val="auto"/>
                <w:sz w:val="28"/>
                <w:szCs w:val="28"/>
                <w:highlight w:val="none"/>
              </w:rPr>
            </w:pPr>
            <w:r>
              <w:rPr>
                <w:rFonts w:hint="eastAsia" w:eastAsia="仿宋_GB2312"/>
                <w:color w:val="auto"/>
                <w:sz w:val="28"/>
                <w:szCs w:val="28"/>
                <w:highlight w:val="none"/>
              </w:rPr>
              <w:t>由不熟练</w:t>
            </w:r>
            <w:r>
              <w:rPr>
                <w:rFonts w:eastAsia="仿宋_GB2312"/>
                <w:color w:val="auto"/>
                <w:sz w:val="28"/>
                <w:szCs w:val="28"/>
                <w:highlight w:val="none"/>
              </w:rPr>
              <w:t>/</w:t>
            </w:r>
            <w:r>
              <w:rPr>
                <w:rFonts w:hint="eastAsia" w:eastAsia="仿宋_GB2312"/>
                <w:color w:val="auto"/>
                <w:sz w:val="28"/>
                <w:szCs w:val="28"/>
                <w:highlight w:val="none"/>
              </w:rPr>
              <w:t>未经培训的人员使用</w:t>
            </w:r>
          </w:p>
        </w:tc>
        <w:tc>
          <w:tcPr>
            <w:tcW w:w="6300" w:type="dxa"/>
            <w:vAlign w:val="center"/>
          </w:tcPr>
          <w:p w14:paraId="2E0072E6">
            <w:pPr>
              <w:spacing w:line="400" w:lineRule="exact"/>
              <w:rPr>
                <w:rFonts w:eastAsia="仿宋_GB2312"/>
                <w:color w:val="auto"/>
                <w:sz w:val="28"/>
                <w:szCs w:val="28"/>
                <w:highlight w:val="none"/>
              </w:rPr>
            </w:pPr>
            <w:r>
              <w:rPr>
                <w:rFonts w:hint="eastAsia" w:eastAsia="仿宋_GB2312"/>
                <w:color w:val="auto"/>
                <w:sz w:val="28"/>
                <w:szCs w:val="28"/>
                <w:highlight w:val="none"/>
              </w:rPr>
              <w:t>使用人员操作不熟练、使用不当。</w:t>
            </w:r>
          </w:p>
        </w:tc>
      </w:tr>
      <w:tr w14:paraId="05DBC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1" w:hRule="atLeast"/>
          <w:jc w:val="center"/>
        </w:trPr>
        <w:tc>
          <w:tcPr>
            <w:tcW w:w="2448" w:type="dxa"/>
            <w:vAlign w:val="center"/>
          </w:tcPr>
          <w:p w14:paraId="014BE993">
            <w:pPr>
              <w:widowControl/>
              <w:spacing w:line="400" w:lineRule="exact"/>
              <w:jc w:val="center"/>
              <w:rPr>
                <w:rFonts w:eastAsia="仿宋_GB2312"/>
                <w:color w:val="auto"/>
                <w:sz w:val="28"/>
                <w:szCs w:val="28"/>
                <w:highlight w:val="none"/>
              </w:rPr>
            </w:pPr>
            <w:r>
              <w:rPr>
                <w:rFonts w:hint="eastAsia" w:eastAsia="仿宋_GB2312"/>
                <w:color w:val="auto"/>
                <w:sz w:val="28"/>
                <w:szCs w:val="28"/>
                <w:highlight w:val="none"/>
              </w:rPr>
              <w:t>不正确的指示</w:t>
            </w:r>
          </w:p>
        </w:tc>
        <w:tc>
          <w:tcPr>
            <w:tcW w:w="6300" w:type="dxa"/>
            <w:vAlign w:val="center"/>
          </w:tcPr>
          <w:p w14:paraId="584C656C">
            <w:pPr>
              <w:widowControl/>
              <w:spacing w:line="400" w:lineRule="exact"/>
              <w:jc w:val="left"/>
              <w:rPr>
                <w:rFonts w:eastAsia="仿宋_GB2312"/>
                <w:color w:val="auto"/>
                <w:kern w:val="0"/>
                <w:sz w:val="28"/>
                <w:szCs w:val="28"/>
                <w:highlight w:val="none"/>
              </w:rPr>
            </w:pPr>
            <w:r>
              <w:rPr>
                <w:rFonts w:hint="eastAsia" w:eastAsia="仿宋_GB2312"/>
                <w:color w:val="auto"/>
                <w:sz w:val="28"/>
                <w:szCs w:val="28"/>
                <w:highlight w:val="none"/>
                <w:lang w:val="en-US" w:eastAsia="zh-CN"/>
              </w:rPr>
              <w:t>浓度/压力</w:t>
            </w:r>
            <w:r>
              <w:rPr>
                <w:rFonts w:hint="eastAsia" w:eastAsia="仿宋_GB2312"/>
                <w:color w:val="auto"/>
                <w:sz w:val="28"/>
                <w:szCs w:val="28"/>
                <w:highlight w:val="none"/>
              </w:rPr>
              <w:t>显示或报警不准确。</w:t>
            </w:r>
          </w:p>
        </w:tc>
      </w:tr>
      <w:tr w14:paraId="42CCD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1" w:hRule="atLeast"/>
          <w:jc w:val="center"/>
        </w:trPr>
        <w:tc>
          <w:tcPr>
            <w:tcW w:w="8748" w:type="dxa"/>
            <w:gridSpan w:val="2"/>
            <w:vAlign w:val="center"/>
          </w:tcPr>
          <w:p w14:paraId="5ACE98E8">
            <w:pPr>
              <w:spacing w:line="400" w:lineRule="exact"/>
              <w:rPr>
                <w:rFonts w:eastAsia="仿宋_GB2312"/>
                <w:b/>
                <w:color w:val="auto"/>
                <w:sz w:val="28"/>
                <w:szCs w:val="28"/>
                <w:highlight w:val="none"/>
              </w:rPr>
            </w:pPr>
            <w:r>
              <w:rPr>
                <w:rFonts w:hint="eastAsia" w:eastAsia="仿宋_GB2312"/>
                <w:b/>
                <w:color w:val="auto"/>
                <w:sz w:val="28"/>
                <w:szCs w:val="28"/>
                <w:highlight w:val="none"/>
              </w:rPr>
              <w:t>不适当、不合适或过于复杂的使用者接口（人</w:t>
            </w:r>
            <w:r>
              <w:rPr>
                <w:rFonts w:eastAsia="仿宋_GB2312"/>
                <w:b/>
                <w:color w:val="auto"/>
                <w:sz w:val="28"/>
                <w:szCs w:val="28"/>
                <w:highlight w:val="none"/>
              </w:rPr>
              <w:t>/</w:t>
            </w:r>
            <w:r>
              <w:rPr>
                <w:rFonts w:hint="eastAsia" w:eastAsia="仿宋_GB2312"/>
                <w:b/>
                <w:color w:val="auto"/>
                <w:sz w:val="28"/>
                <w:szCs w:val="28"/>
                <w:highlight w:val="none"/>
              </w:rPr>
              <w:t>机交流）</w:t>
            </w:r>
          </w:p>
        </w:tc>
      </w:tr>
      <w:tr w14:paraId="7F347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3" w:hRule="atLeast"/>
          <w:jc w:val="center"/>
        </w:trPr>
        <w:tc>
          <w:tcPr>
            <w:tcW w:w="2448" w:type="dxa"/>
            <w:vAlign w:val="center"/>
          </w:tcPr>
          <w:p w14:paraId="4875A6F7">
            <w:pPr>
              <w:widowControl/>
              <w:spacing w:line="400" w:lineRule="exact"/>
              <w:jc w:val="center"/>
              <w:rPr>
                <w:rFonts w:eastAsia="仿宋_GB2312"/>
                <w:color w:val="auto"/>
                <w:sz w:val="28"/>
                <w:szCs w:val="28"/>
                <w:highlight w:val="none"/>
              </w:rPr>
            </w:pPr>
            <w:r>
              <w:rPr>
                <w:rFonts w:hint="eastAsia" w:eastAsia="仿宋_GB2312"/>
                <w:color w:val="auto"/>
                <w:sz w:val="28"/>
                <w:szCs w:val="28"/>
                <w:highlight w:val="none"/>
              </w:rPr>
              <w:t>复杂的操作系统</w:t>
            </w:r>
          </w:p>
        </w:tc>
        <w:tc>
          <w:tcPr>
            <w:tcW w:w="6300" w:type="dxa"/>
            <w:vAlign w:val="center"/>
          </w:tcPr>
          <w:p w14:paraId="64933A67">
            <w:pPr>
              <w:widowControl/>
              <w:spacing w:line="400" w:lineRule="exact"/>
              <w:jc w:val="left"/>
              <w:rPr>
                <w:rFonts w:eastAsia="仿宋_GB2312"/>
                <w:color w:val="auto"/>
                <w:sz w:val="28"/>
                <w:szCs w:val="28"/>
                <w:highlight w:val="none"/>
              </w:rPr>
            </w:pPr>
            <w:r>
              <w:rPr>
                <w:rFonts w:hint="eastAsia" w:eastAsia="仿宋_GB2312"/>
                <w:color w:val="auto"/>
                <w:sz w:val="28"/>
                <w:szCs w:val="28"/>
                <w:highlight w:val="none"/>
              </w:rPr>
              <w:t>操作过程过于复杂，使用操作时失误。</w:t>
            </w:r>
          </w:p>
        </w:tc>
      </w:tr>
      <w:tr w14:paraId="15732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3" w:hRule="atLeast"/>
          <w:jc w:val="center"/>
        </w:trPr>
        <w:tc>
          <w:tcPr>
            <w:tcW w:w="8748" w:type="dxa"/>
            <w:gridSpan w:val="2"/>
            <w:vAlign w:val="center"/>
          </w:tcPr>
          <w:p w14:paraId="1AF072DC">
            <w:pPr>
              <w:spacing w:line="400" w:lineRule="exact"/>
              <w:rPr>
                <w:rFonts w:eastAsia="仿宋_GB2312"/>
                <w:b/>
                <w:color w:val="auto"/>
                <w:sz w:val="28"/>
                <w:szCs w:val="28"/>
                <w:highlight w:val="none"/>
              </w:rPr>
            </w:pPr>
            <w:r>
              <w:rPr>
                <w:rFonts w:hint="eastAsia" w:eastAsia="仿宋_GB2312"/>
                <w:b/>
                <w:color w:val="auto"/>
                <w:sz w:val="28"/>
                <w:szCs w:val="28"/>
                <w:highlight w:val="none"/>
              </w:rPr>
              <w:t>功能性失效、维护和老化引起的危害</w:t>
            </w:r>
          </w:p>
        </w:tc>
      </w:tr>
      <w:tr w14:paraId="41CBD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98" w:hRule="atLeast"/>
          <w:jc w:val="center"/>
        </w:trPr>
        <w:tc>
          <w:tcPr>
            <w:tcW w:w="2448" w:type="dxa"/>
            <w:vAlign w:val="center"/>
          </w:tcPr>
          <w:p w14:paraId="7EAC11D2">
            <w:pPr>
              <w:spacing w:line="400" w:lineRule="exact"/>
              <w:jc w:val="center"/>
              <w:rPr>
                <w:rFonts w:eastAsia="仿宋_GB2312"/>
                <w:color w:val="auto"/>
                <w:sz w:val="28"/>
                <w:szCs w:val="28"/>
                <w:highlight w:val="none"/>
              </w:rPr>
            </w:pPr>
            <w:r>
              <w:rPr>
                <w:rFonts w:hint="eastAsia" w:eastAsia="仿宋_GB2312"/>
                <w:color w:val="auto"/>
                <w:sz w:val="28"/>
                <w:szCs w:val="28"/>
                <w:highlight w:val="none"/>
              </w:rPr>
              <w:t>维护规范缺少或不适当</w:t>
            </w:r>
          </w:p>
        </w:tc>
        <w:tc>
          <w:tcPr>
            <w:tcW w:w="6300" w:type="dxa"/>
            <w:vAlign w:val="center"/>
          </w:tcPr>
          <w:p w14:paraId="2A34AC89">
            <w:pPr>
              <w:spacing w:line="400" w:lineRule="exact"/>
              <w:rPr>
                <w:rFonts w:eastAsia="仿宋_GB2312"/>
                <w:color w:val="auto"/>
                <w:sz w:val="28"/>
                <w:szCs w:val="28"/>
                <w:highlight w:val="none"/>
              </w:rPr>
            </w:pPr>
            <w:r>
              <w:rPr>
                <w:rFonts w:hint="eastAsia" w:eastAsia="仿宋_GB2312"/>
                <w:color w:val="auto"/>
                <w:sz w:val="28"/>
                <w:szCs w:val="28"/>
                <w:highlight w:val="none"/>
              </w:rPr>
              <w:t>说明书中有关维护、保养等内容不明确。如：清洗、预防性检查、保养以及保养周期等。</w:t>
            </w:r>
          </w:p>
        </w:tc>
      </w:tr>
      <w:tr w14:paraId="75008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8" w:hRule="atLeast"/>
          <w:jc w:val="center"/>
        </w:trPr>
        <w:tc>
          <w:tcPr>
            <w:tcW w:w="2448" w:type="dxa"/>
            <w:vAlign w:val="center"/>
          </w:tcPr>
          <w:p w14:paraId="44384466">
            <w:pPr>
              <w:pStyle w:val="8"/>
              <w:spacing w:after="0" w:line="400" w:lineRule="exact"/>
              <w:jc w:val="center"/>
              <w:rPr>
                <w:rFonts w:eastAsia="仿宋_GB2312"/>
                <w:color w:val="auto"/>
                <w:kern w:val="2"/>
                <w:sz w:val="28"/>
                <w:szCs w:val="28"/>
                <w:highlight w:val="none"/>
              </w:rPr>
            </w:pPr>
            <w:r>
              <w:rPr>
                <w:rFonts w:hint="eastAsia" w:eastAsia="仿宋_GB2312"/>
                <w:color w:val="auto"/>
                <w:kern w:val="2"/>
                <w:sz w:val="28"/>
                <w:szCs w:val="28"/>
                <w:highlight w:val="none"/>
              </w:rPr>
              <w:t>对医疗器械寿命的终止缺少适当的决定</w:t>
            </w:r>
          </w:p>
        </w:tc>
        <w:tc>
          <w:tcPr>
            <w:tcW w:w="6300" w:type="dxa"/>
            <w:vAlign w:val="center"/>
          </w:tcPr>
          <w:p w14:paraId="3DA4C403">
            <w:pPr>
              <w:spacing w:line="400" w:lineRule="exact"/>
              <w:rPr>
                <w:rFonts w:eastAsia="仿宋_GB2312"/>
                <w:color w:val="auto"/>
                <w:sz w:val="28"/>
                <w:szCs w:val="28"/>
                <w:highlight w:val="none"/>
              </w:rPr>
            </w:pPr>
            <w:r>
              <w:rPr>
                <w:rFonts w:hint="eastAsia" w:eastAsia="仿宋_GB2312"/>
                <w:color w:val="auto"/>
                <w:sz w:val="28"/>
                <w:szCs w:val="28"/>
                <w:highlight w:val="none"/>
              </w:rPr>
              <w:t>对设备的使用寿命或终止使用的条件没有明确规定，未明确关键部件的使用寿命，如电磁阀、加热装置、过滤器及密封圈等。</w:t>
            </w:r>
          </w:p>
        </w:tc>
      </w:tr>
    </w:tbl>
    <w:p w14:paraId="4EA12403">
      <w:pPr>
        <w:pStyle w:val="44"/>
        <w:tabs>
          <w:tab w:val="left" w:pos="360"/>
          <w:tab w:val="left" w:pos="952"/>
          <w:tab w:val="left" w:pos="1078"/>
          <w:tab w:val="left" w:pos="1140"/>
        </w:tabs>
        <w:autoSpaceDE w:val="0"/>
        <w:autoSpaceDN w:val="0"/>
        <w:adjustRightInd w:val="0"/>
        <w:spacing w:line="520" w:lineRule="exact"/>
        <w:ind w:firstLine="0" w:firstLineChars="0"/>
        <w:rPr>
          <w:rFonts w:hint="eastAsia" w:eastAsia="黑体" w:cs="仿宋_GB2312"/>
          <w:color w:val="auto"/>
          <w:sz w:val="28"/>
          <w:szCs w:val="28"/>
          <w:highlight w:val="none"/>
          <w:lang w:val="en-US" w:eastAsia="zh-CN"/>
        </w:rPr>
      </w:pPr>
    </w:p>
    <w:sectPr>
      <w:headerReference r:id="rId3" w:type="default"/>
      <w:footerReference r:id="rId4" w:type="default"/>
      <w:footerReference r:id="rId5" w:type="even"/>
      <w:pgSz w:w="11906" w:h="16838"/>
      <w:pgMar w:top="1701" w:right="1588" w:bottom="1701" w:left="1588" w:header="851" w:footer="1208" w:gutter="0"/>
      <w:lnNumType w:countBy="1" w:restart="continuou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5BD889">
    <w:pPr>
      <w:pStyle w:val="12"/>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0125FF">
                          <w:pPr>
                            <w:pStyle w:val="12"/>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40125FF">
                    <w:pPr>
                      <w:pStyle w:val="12"/>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628E22">
    <w:pPr>
      <w:pStyle w:val="12"/>
      <w:ind w:right="1120"/>
      <w:jc w:val="both"/>
      <w:rPr>
        <w:sz w:val="28"/>
      </w:rPr>
    </w:pPr>
    <w:r>
      <w:rPr>
        <w:sz w:val="2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167794">
                          <w:pPr>
                            <w:pStyle w:val="12"/>
                          </w:pPr>
                          <w:r>
                            <w:t xml:space="preserve">— </w:t>
                          </w:r>
                          <w:r>
                            <w:fldChar w:fldCharType="begin"/>
                          </w:r>
                          <w:r>
                            <w:instrText xml:space="preserve"> PAGE  \* MERGEFORMAT </w:instrText>
                          </w:r>
                          <w:r>
                            <w:fldChar w:fldCharType="separate"/>
                          </w:r>
                          <w:r>
                            <w:t>8</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02167794">
                    <w:pPr>
                      <w:pStyle w:val="12"/>
                    </w:pPr>
                    <w:r>
                      <w:t xml:space="preserve">— </w:t>
                    </w:r>
                    <w:r>
                      <w:fldChar w:fldCharType="begin"/>
                    </w:r>
                    <w:r>
                      <w:instrText xml:space="preserve"> PAGE  \* MERGEFORMAT </w:instrText>
                    </w:r>
                    <w:r>
                      <w:fldChar w:fldCharType="separate"/>
                    </w:r>
                    <w:r>
                      <w:t>8</w:t>
                    </w:r>
                    <w:r>
                      <w:fldChar w:fldCharType="end"/>
                    </w:r>
                    <w:r>
                      <w:t xml:space="preserve"> —</w:t>
                    </w:r>
                  </w:p>
                </w:txbxContent>
              </v:textbox>
            </v:shape>
          </w:pict>
        </mc:Fallback>
      </mc:AlternateContent>
    </w:r>
  </w:p>
  <w:sdt>
    <w:sdtPr>
      <w:id w:val="147457866"/>
    </w:sdtPr>
    <w:sdtContent>
      <w:p w14:paraId="538B0911">
        <w:pPr>
          <w:pStyle w:val="12"/>
          <w:ind w:right="1120"/>
          <w:jc w:val="both"/>
        </w:pP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E3C8C0">
    <w:pPr>
      <w:pStyle w:val="13"/>
      <w:pBdr>
        <w:bottom w:val="none" w:color="auto" w:sz="0" w:space="0"/>
      </w:pBdr>
    </w:pPr>
  </w:p>
  <w:p w14:paraId="1B997692"/>
  <w:p w14:paraId="69668C9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F36767"/>
    <w:multiLevelType w:val="singleLevel"/>
    <w:tmpl w:val="93F36767"/>
    <w:lvl w:ilvl="0" w:tentative="0">
      <w:start w:val="4"/>
      <w:numFmt w:val="chineseCounting"/>
      <w:suff w:val="nothing"/>
      <w:lvlText w:val="（%1）"/>
      <w:lvlJc w:val="left"/>
      <w:rPr>
        <w:rFonts w:hint="eastAsia"/>
      </w:rPr>
    </w:lvl>
  </w:abstractNum>
  <w:abstractNum w:abstractNumId="1">
    <w:nsid w:val="22804A3D"/>
    <w:multiLevelType w:val="multilevel"/>
    <w:tmpl w:val="22804A3D"/>
    <w:lvl w:ilvl="0" w:tentative="0">
      <w:start w:val="1"/>
      <w:numFmt w:val="decimal"/>
      <w:lvlText w:val="[%1]"/>
      <w:lvlJc w:val="left"/>
      <w:pPr>
        <w:ind w:left="1320" w:hanging="720"/>
      </w:pPr>
      <w:rPr>
        <w:rFonts w:hint="default"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trackRevisions w:val="1"/>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A3ZDQwMmNiOWFlYzZjYTcwOWJiZGQ0YTA5ODBmZGUifQ=="/>
  </w:docVars>
  <w:rsids>
    <w:rsidRoot w:val="00B82D92"/>
    <w:rsid w:val="00000301"/>
    <w:rsid w:val="00000C81"/>
    <w:rsid w:val="00000E07"/>
    <w:rsid w:val="000018E6"/>
    <w:rsid w:val="00003A35"/>
    <w:rsid w:val="00005385"/>
    <w:rsid w:val="00011B2E"/>
    <w:rsid w:val="0001495C"/>
    <w:rsid w:val="00014E9C"/>
    <w:rsid w:val="000155FE"/>
    <w:rsid w:val="00042160"/>
    <w:rsid w:val="00046E1E"/>
    <w:rsid w:val="00047CC0"/>
    <w:rsid w:val="00054A6F"/>
    <w:rsid w:val="00056F22"/>
    <w:rsid w:val="0006342A"/>
    <w:rsid w:val="0007219D"/>
    <w:rsid w:val="0009218D"/>
    <w:rsid w:val="00093BDB"/>
    <w:rsid w:val="000963AE"/>
    <w:rsid w:val="00096AAF"/>
    <w:rsid w:val="000A1434"/>
    <w:rsid w:val="000A3C6C"/>
    <w:rsid w:val="000B1B70"/>
    <w:rsid w:val="000B6B50"/>
    <w:rsid w:val="000D57E7"/>
    <w:rsid w:val="000E25B1"/>
    <w:rsid w:val="000E566A"/>
    <w:rsid w:val="000E6B99"/>
    <w:rsid w:val="000F1D66"/>
    <w:rsid w:val="00101CDE"/>
    <w:rsid w:val="00112C3E"/>
    <w:rsid w:val="001145BC"/>
    <w:rsid w:val="001224D7"/>
    <w:rsid w:val="00123CE0"/>
    <w:rsid w:val="00125A15"/>
    <w:rsid w:val="001266BD"/>
    <w:rsid w:val="0013165F"/>
    <w:rsid w:val="001351CF"/>
    <w:rsid w:val="00135FA4"/>
    <w:rsid w:val="00140049"/>
    <w:rsid w:val="00141230"/>
    <w:rsid w:val="00147FDC"/>
    <w:rsid w:val="001646C8"/>
    <w:rsid w:val="001652D7"/>
    <w:rsid w:val="001705B1"/>
    <w:rsid w:val="001710BC"/>
    <w:rsid w:val="00171E00"/>
    <w:rsid w:val="00176283"/>
    <w:rsid w:val="001779F8"/>
    <w:rsid w:val="0018257B"/>
    <w:rsid w:val="00184750"/>
    <w:rsid w:val="001A2128"/>
    <w:rsid w:val="001A4ED9"/>
    <w:rsid w:val="001A74AB"/>
    <w:rsid w:val="001B0BA8"/>
    <w:rsid w:val="001B36C5"/>
    <w:rsid w:val="001C29D2"/>
    <w:rsid w:val="001C64D1"/>
    <w:rsid w:val="001C6F8A"/>
    <w:rsid w:val="001D6C1F"/>
    <w:rsid w:val="001E02D3"/>
    <w:rsid w:val="001E0CDD"/>
    <w:rsid w:val="001F0DF5"/>
    <w:rsid w:val="001F4B93"/>
    <w:rsid w:val="001F554C"/>
    <w:rsid w:val="001F5E8A"/>
    <w:rsid w:val="00214C70"/>
    <w:rsid w:val="0022042C"/>
    <w:rsid w:val="0022138B"/>
    <w:rsid w:val="00225E2D"/>
    <w:rsid w:val="00231C4C"/>
    <w:rsid w:val="00245A1C"/>
    <w:rsid w:val="00250580"/>
    <w:rsid w:val="00252ADB"/>
    <w:rsid w:val="00253E00"/>
    <w:rsid w:val="002556E1"/>
    <w:rsid w:val="00267E6B"/>
    <w:rsid w:val="00274B65"/>
    <w:rsid w:val="00277DB1"/>
    <w:rsid w:val="00284293"/>
    <w:rsid w:val="0028630B"/>
    <w:rsid w:val="00294E55"/>
    <w:rsid w:val="00295877"/>
    <w:rsid w:val="002A3584"/>
    <w:rsid w:val="002A5759"/>
    <w:rsid w:val="002A5B85"/>
    <w:rsid w:val="002A5DE6"/>
    <w:rsid w:val="002A6160"/>
    <w:rsid w:val="002B7415"/>
    <w:rsid w:val="002C67E8"/>
    <w:rsid w:val="002E1F43"/>
    <w:rsid w:val="003028C5"/>
    <w:rsid w:val="00321EA4"/>
    <w:rsid w:val="00330896"/>
    <w:rsid w:val="00341F1D"/>
    <w:rsid w:val="003453B6"/>
    <w:rsid w:val="00351A39"/>
    <w:rsid w:val="00356AAE"/>
    <w:rsid w:val="00361692"/>
    <w:rsid w:val="00375AF5"/>
    <w:rsid w:val="00376D7D"/>
    <w:rsid w:val="00377F00"/>
    <w:rsid w:val="00382587"/>
    <w:rsid w:val="00383775"/>
    <w:rsid w:val="003860CA"/>
    <w:rsid w:val="00391110"/>
    <w:rsid w:val="003913E5"/>
    <w:rsid w:val="00396247"/>
    <w:rsid w:val="003A2250"/>
    <w:rsid w:val="003A434E"/>
    <w:rsid w:val="003A6461"/>
    <w:rsid w:val="003B0428"/>
    <w:rsid w:val="003B4099"/>
    <w:rsid w:val="003B4E49"/>
    <w:rsid w:val="003B6048"/>
    <w:rsid w:val="003D3C40"/>
    <w:rsid w:val="003D7217"/>
    <w:rsid w:val="003E61AF"/>
    <w:rsid w:val="003F4FED"/>
    <w:rsid w:val="003F68E0"/>
    <w:rsid w:val="00404E52"/>
    <w:rsid w:val="00407D74"/>
    <w:rsid w:val="00410A18"/>
    <w:rsid w:val="004139BF"/>
    <w:rsid w:val="00414063"/>
    <w:rsid w:val="00414BBE"/>
    <w:rsid w:val="00426136"/>
    <w:rsid w:val="004316A6"/>
    <w:rsid w:val="004360A0"/>
    <w:rsid w:val="004376D5"/>
    <w:rsid w:val="004404A7"/>
    <w:rsid w:val="0044272F"/>
    <w:rsid w:val="004433B0"/>
    <w:rsid w:val="0044340C"/>
    <w:rsid w:val="00450392"/>
    <w:rsid w:val="004544CE"/>
    <w:rsid w:val="00461F7B"/>
    <w:rsid w:val="00462527"/>
    <w:rsid w:val="0047114C"/>
    <w:rsid w:val="0047148D"/>
    <w:rsid w:val="0047283A"/>
    <w:rsid w:val="00477235"/>
    <w:rsid w:val="00477D37"/>
    <w:rsid w:val="004932D0"/>
    <w:rsid w:val="004947D5"/>
    <w:rsid w:val="004A6DB9"/>
    <w:rsid w:val="004A7ECB"/>
    <w:rsid w:val="004B4A07"/>
    <w:rsid w:val="004B711E"/>
    <w:rsid w:val="004C393E"/>
    <w:rsid w:val="004C4593"/>
    <w:rsid w:val="004C5BF7"/>
    <w:rsid w:val="004C7312"/>
    <w:rsid w:val="004D4BC3"/>
    <w:rsid w:val="004D6562"/>
    <w:rsid w:val="004F0BF5"/>
    <w:rsid w:val="004F47C7"/>
    <w:rsid w:val="005027DC"/>
    <w:rsid w:val="00503259"/>
    <w:rsid w:val="0051292D"/>
    <w:rsid w:val="00513EE3"/>
    <w:rsid w:val="00517FE9"/>
    <w:rsid w:val="00525CD8"/>
    <w:rsid w:val="00526CB2"/>
    <w:rsid w:val="00533610"/>
    <w:rsid w:val="005337B5"/>
    <w:rsid w:val="00534E13"/>
    <w:rsid w:val="00540757"/>
    <w:rsid w:val="00541E74"/>
    <w:rsid w:val="005437E7"/>
    <w:rsid w:val="00544594"/>
    <w:rsid w:val="00545030"/>
    <w:rsid w:val="00546B64"/>
    <w:rsid w:val="00550F0D"/>
    <w:rsid w:val="00563471"/>
    <w:rsid w:val="005649D4"/>
    <w:rsid w:val="00564D12"/>
    <w:rsid w:val="00566B84"/>
    <w:rsid w:val="00571C56"/>
    <w:rsid w:val="00572122"/>
    <w:rsid w:val="00576AC5"/>
    <w:rsid w:val="0058749A"/>
    <w:rsid w:val="005943B0"/>
    <w:rsid w:val="00595D94"/>
    <w:rsid w:val="00596449"/>
    <w:rsid w:val="00597A70"/>
    <w:rsid w:val="005A70DC"/>
    <w:rsid w:val="005A7A2B"/>
    <w:rsid w:val="005B00D2"/>
    <w:rsid w:val="005B473A"/>
    <w:rsid w:val="005C3A36"/>
    <w:rsid w:val="005C3DC4"/>
    <w:rsid w:val="005D20E0"/>
    <w:rsid w:val="005D27DC"/>
    <w:rsid w:val="005E393A"/>
    <w:rsid w:val="005E45FD"/>
    <w:rsid w:val="005F66AB"/>
    <w:rsid w:val="005F79B3"/>
    <w:rsid w:val="00611B2A"/>
    <w:rsid w:val="00612BA0"/>
    <w:rsid w:val="00615231"/>
    <w:rsid w:val="006168E0"/>
    <w:rsid w:val="006248C0"/>
    <w:rsid w:val="0063086C"/>
    <w:rsid w:val="00633865"/>
    <w:rsid w:val="006478BF"/>
    <w:rsid w:val="00655C54"/>
    <w:rsid w:val="0065669F"/>
    <w:rsid w:val="006635EA"/>
    <w:rsid w:val="00664859"/>
    <w:rsid w:val="00671670"/>
    <w:rsid w:val="006724C0"/>
    <w:rsid w:val="00672925"/>
    <w:rsid w:val="00681758"/>
    <w:rsid w:val="006821B9"/>
    <w:rsid w:val="006824B3"/>
    <w:rsid w:val="006832A1"/>
    <w:rsid w:val="006843F6"/>
    <w:rsid w:val="00684416"/>
    <w:rsid w:val="0068686F"/>
    <w:rsid w:val="00694FB5"/>
    <w:rsid w:val="006966E0"/>
    <w:rsid w:val="006A10A9"/>
    <w:rsid w:val="006A3C4D"/>
    <w:rsid w:val="006A5A40"/>
    <w:rsid w:val="006B1AB7"/>
    <w:rsid w:val="006B5A92"/>
    <w:rsid w:val="006C118A"/>
    <w:rsid w:val="006D1909"/>
    <w:rsid w:val="006D210C"/>
    <w:rsid w:val="006D76C0"/>
    <w:rsid w:val="006E0845"/>
    <w:rsid w:val="006E5A4A"/>
    <w:rsid w:val="006F6D77"/>
    <w:rsid w:val="00704FD0"/>
    <w:rsid w:val="007161BD"/>
    <w:rsid w:val="00721DBA"/>
    <w:rsid w:val="007237DD"/>
    <w:rsid w:val="00735202"/>
    <w:rsid w:val="007375AF"/>
    <w:rsid w:val="0073764A"/>
    <w:rsid w:val="00741105"/>
    <w:rsid w:val="0074288D"/>
    <w:rsid w:val="00743639"/>
    <w:rsid w:val="007471B4"/>
    <w:rsid w:val="007544FC"/>
    <w:rsid w:val="00755D15"/>
    <w:rsid w:val="00755F37"/>
    <w:rsid w:val="00760A83"/>
    <w:rsid w:val="00770D55"/>
    <w:rsid w:val="00777345"/>
    <w:rsid w:val="007850F9"/>
    <w:rsid w:val="0079048D"/>
    <w:rsid w:val="00791C50"/>
    <w:rsid w:val="007A4C05"/>
    <w:rsid w:val="007C64AD"/>
    <w:rsid w:val="007C74FC"/>
    <w:rsid w:val="007D6665"/>
    <w:rsid w:val="007D67BC"/>
    <w:rsid w:val="007D7A38"/>
    <w:rsid w:val="007E401F"/>
    <w:rsid w:val="007E60BD"/>
    <w:rsid w:val="007E624C"/>
    <w:rsid w:val="007E7967"/>
    <w:rsid w:val="007F2768"/>
    <w:rsid w:val="007F27A2"/>
    <w:rsid w:val="007F703D"/>
    <w:rsid w:val="0080221B"/>
    <w:rsid w:val="008064AE"/>
    <w:rsid w:val="008130C6"/>
    <w:rsid w:val="00815148"/>
    <w:rsid w:val="00827A3C"/>
    <w:rsid w:val="0083376E"/>
    <w:rsid w:val="0084008D"/>
    <w:rsid w:val="00843663"/>
    <w:rsid w:val="008457B6"/>
    <w:rsid w:val="00846A38"/>
    <w:rsid w:val="00852C82"/>
    <w:rsid w:val="00852ED1"/>
    <w:rsid w:val="00853CC7"/>
    <w:rsid w:val="008548A6"/>
    <w:rsid w:val="00857E49"/>
    <w:rsid w:val="00864A59"/>
    <w:rsid w:val="008652DC"/>
    <w:rsid w:val="00871F13"/>
    <w:rsid w:val="00873BBC"/>
    <w:rsid w:val="00875564"/>
    <w:rsid w:val="0087684D"/>
    <w:rsid w:val="008801BD"/>
    <w:rsid w:val="008805AB"/>
    <w:rsid w:val="008849C3"/>
    <w:rsid w:val="00891B1D"/>
    <w:rsid w:val="00891DBA"/>
    <w:rsid w:val="008967FF"/>
    <w:rsid w:val="008970AB"/>
    <w:rsid w:val="008A332C"/>
    <w:rsid w:val="008A434F"/>
    <w:rsid w:val="008B009D"/>
    <w:rsid w:val="008B2CC5"/>
    <w:rsid w:val="008B4A55"/>
    <w:rsid w:val="008C080D"/>
    <w:rsid w:val="008C1982"/>
    <w:rsid w:val="008C3DA1"/>
    <w:rsid w:val="008D21C7"/>
    <w:rsid w:val="008D37E8"/>
    <w:rsid w:val="008D71FC"/>
    <w:rsid w:val="008E0F56"/>
    <w:rsid w:val="008E2959"/>
    <w:rsid w:val="008E4ACE"/>
    <w:rsid w:val="008E5784"/>
    <w:rsid w:val="008E66F6"/>
    <w:rsid w:val="008E690A"/>
    <w:rsid w:val="008F768C"/>
    <w:rsid w:val="009072D7"/>
    <w:rsid w:val="00912015"/>
    <w:rsid w:val="00915EBE"/>
    <w:rsid w:val="009162AA"/>
    <w:rsid w:val="00916407"/>
    <w:rsid w:val="00920233"/>
    <w:rsid w:val="0092337D"/>
    <w:rsid w:val="00924905"/>
    <w:rsid w:val="0092667B"/>
    <w:rsid w:val="00926F45"/>
    <w:rsid w:val="00927A41"/>
    <w:rsid w:val="00936D89"/>
    <w:rsid w:val="00945E9D"/>
    <w:rsid w:val="009462DF"/>
    <w:rsid w:val="00946338"/>
    <w:rsid w:val="00946941"/>
    <w:rsid w:val="00947673"/>
    <w:rsid w:val="00950E88"/>
    <w:rsid w:val="009529D8"/>
    <w:rsid w:val="00953231"/>
    <w:rsid w:val="00961560"/>
    <w:rsid w:val="00963107"/>
    <w:rsid w:val="00963E5A"/>
    <w:rsid w:val="00964B55"/>
    <w:rsid w:val="0096598F"/>
    <w:rsid w:val="00966DC8"/>
    <w:rsid w:val="0097245A"/>
    <w:rsid w:val="009737C4"/>
    <w:rsid w:val="00975EE3"/>
    <w:rsid w:val="00985DCA"/>
    <w:rsid w:val="0098604D"/>
    <w:rsid w:val="0098743B"/>
    <w:rsid w:val="009910BF"/>
    <w:rsid w:val="00991BCE"/>
    <w:rsid w:val="00994C69"/>
    <w:rsid w:val="009A5125"/>
    <w:rsid w:val="009A7372"/>
    <w:rsid w:val="009A7879"/>
    <w:rsid w:val="009B41CD"/>
    <w:rsid w:val="009B4206"/>
    <w:rsid w:val="009B44C6"/>
    <w:rsid w:val="009B5A8D"/>
    <w:rsid w:val="009C7A40"/>
    <w:rsid w:val="009C7CAD"/>
    <w:rsid w:val="009D0241"/>
    <w:rsid w:val="009E1911"/>
    <w:rsid w:val="009F1866"/>
    <w:rsid w:val="009F299F"/>
    <w:rsid w:val="009F3E9E"/>
    <w:rsid w:val="00A02F5E"/>
    <w:rsid w:val="00A03E1C"/>
    <w:rsid w:val="00A06816"/>
    <w:rsid w:val="00A10156"/>
    <w:rsid w:val="00A14401"/>
    <w:rsid w:val="00A35038"/>
    <w:rsid w:val="00A3620D"/>
    <w:rsid w:val="00A53E22"/>
    <w:rsid w:val="00A56F07"/>
    <w:rsid w:val="00A630A9"/>
    <w:rsid w:val="00A63FFE"/>
    <w:rsid w:val="00A74258"/>
    <w:rsid w:val="00A75068"/>
    <w:rsid w:val="00A75CC7"/>
    <w:rsid w:val="00A87455"/>
    <w:rsid w:val="00A928FD"/>
    <w:rsid w:val="00A931FB"/>
    <w:rsid w:val="00AA33BC"/>
    <w:rsid w:val="00AA4A62"/>
    <w:rsid w:val="00AA50FD"/>
    <w:rsid w:val="00AB19AF"/>
    <w:rsid w:val="00AB22AA"/>
    <w:rsid w:val="00AC05F9"/>
    <w:rsid w:val="00AC0BA7"/>
    <w:rsid w:val="00AC2B65"/>
    <w:rsid w:val="00AC6E8E"/>
    <w:rsid w:val="00AD0B81"/>
    <w:rsid w:val="00AD112C"/>
    <w:rsid w:val="00AD7175"/>
    <w:rsid w:val="00AD7E1D"/>
    <w:rsid w:val="00AF050B"/>
    <w:rsid w:val="00AF362E"/>
    <w:rsid w:val="00AF37FC"/>
    <w:rsid w:val="00AF4A6C"/>
    <w:rsid w:val="00AF73FE"/>
    <w:rsid w:val="00AF74B1"/>
    <w:rsid w:val="00B04639"/>
    <w:rsid w:val="00B0471A"/>
    <w:rsid w:val="00B07270"/>
    <w:rsid w:val="00B20620"/>
    <w:rsid w:val="00B206E6"/>
    <w:rsid w:val="00B20EA1"/>
    <w:rsid w:val="00B252C2"/>
    <w:rsid w:val="00B31AC2"/>
    <w:rsid w:val="00B369A1"/>
    <w:rsid w:val="00B40D6E"/>
    <w:rsid w:val="00B43583"/>
    <w:rsid w:val="00B4393F"/>
    <w:rsid w:val="00B43AB8"/>
    <w:rsid w:val="00B453A8"/>
    <w:rsid w:val="00B51D78"/>
    <w:rsid w:val="00B53DE5"/>
    <w:rsid w:val="00B544B8"/>
    <w:rsid w:val="00B62D96"/>
    <w:rsid w:val="00B728D2"/>
    <w:rsid w:val="00B757B5"/>
    <w:rsid w:val="00B76641"/>
    <w:rsid w:val="00B80E30"/>
    <w:rsid w:val="00B81A7D"/>
    <w:rsid w:val="00B82D92"/>
    <w:rsid w:val="00B83EA8"/>
    <w:rsid w:val="00BA356B"/>
    <w:rsid w:val="00BA61BA"/>
    <w:rsid w:val="00BA78C0"/>
    <w:rsid w:val="00BB1B50"/>
    <w:rsid w:val="00BC22D0"/>
    <w:rsid w:val="00BC39AD"/>
    <w:rsid w:val="00BC60FC"/>
    <w:rsid w:val="00BC6C7A"/>
    <w:rsid w:val="00BD0136"/>
    <w:rsid w:val="00BD299E"/>
    <w:rsid w:val="00BD5486"/>
    <w:rsid w:val="00BD61E9"/>
    <w:rsid w:val="00BF0EAC"/>
    <w:rsid w:val="00BF25F0"/>
    <w:rsid w:val="00C01105"/>
    <w:rsid w:val="00C2006D"/>
    <w:rsid w:val="00C2293B"/>
    <w:rsid w:val="00C22AAC"/>
    <w:rsid w:val="00C379CD"/>
    <w:rsid w:val="00C43A75"/>
    <w:rsid w:val="00C51C8B"/>
    <w:rsid w:val="00C54DFD"/>
    <w:rsid w:val="00C57696"/>
    <w:rsid w:val="00C60ED5"/>
    <w:rsid w:val="00C80FA8"/>
    <w:rsid w:val="00C821B7"/>
    <w:rsid w:val="00C82514"/>
    <w:rsid w:val="00C864C7"/>
    <w:rsid w:val="00C914E5"/>
    <w:rsid w:val="00C92145"/>
    <w:rsid w:val="00C944BB"/>
    <w:rsid w:val="00CA5C04"/>
    <w:rsid w:val="00CA5E24"/>
    <w:rsid w:val="00CB4E4A"/>
    <w:rsid w:val="00CB6C05"/>
    <w:rsid w:val="00CD1923"/>
    <w:rsid w:val="00CD2B25"/>
    <w:rsid w:val="00CD49C5"/>
    <w:rsid w:val="00CD7E01"/>
    <w:rsid w:val="00CE2D42"/>
    <w:rsid w:val="00CE5FE2"/>
    <w:rsid w:val="00CF50AE"/>
    <w:rsid w:val="00CF5299"/>
    <w:rsid w:val="00CF63CE"/>
    <w:rsid w:val="00CF651A"/>
    <w:rsid w:val="00D022F3"/>
    <w:rsid w:val="00D04B38"/>
    <w:rsid w:val="00D218B0"/>
    <w:rsid w:val="00D23449"/>
    <w:rsid w:val="00D30715"/>
    <w:rsid w:val="00D32349"/>
    <w:rsid w:val="00D44EA8"/>
    <w:rsid w:val="00D51555"/>
    <w:rsid w:val="00D5160B"/>
    <w:rsid w:val="00D52B5E"/>
    <w:rsid w:val="00D61791"/>
    <w:rsid w:val="00D61E93"/>
    <w:rsid w:val="00D65ACD"/>
    <w:rsid w:val="00D66336"/>
    <w:rsid w:val="00D674F0"/>
    <w:rsid w:val="00D742A1"/>
    <w:rsid w:val="00D80A55"/>
    <w:rsid w:val="00D82B56"/>
    <w:rsid w:val="00D86461"/>
    <w:rsid w:val="00D93239"/>
    <w:rsid w:val="00DA614B"/>
    <w:rsid w:val="00DC4FC0"/>
    <w:rsid w:val="00DC5A86"/>
    <w:rsid w:val="00DD060A"/>
    <w:rsid w:val="00DD2CFA"/>
    <w:rsid w:val="00DE07EF"/>
    <w:rsid w:val="00DE520A"/>
    <w:rsid w:val="00DF2D4D"/>
    <w:rsid w:val="00DF49CD"/>
    <w:rsid w:val="00DF5845"/>
    <w:rsid w:val="00E00CAF"/>
    <w:rsid w:val="00E054E3"/>
    <w:rsid w:val="00E06EBB"/>
    <w:rsid w:val="00E07852"/>
    <w:rsid w:val="00E101C1"/>
    <w:rsid w:val="00E21AD8"/>
    <w:rsid w:val="00E242DF"/>
    <w:rsid w:val="00E30A2D"/>
    <w:rsid w:val="00E346F9"/>
    <w:rsid w:val="00E45F26"/>
    <w:rsid w:val="00E564AB"/>
    <w:rsid w:val="00E56EA7"/>
    <w:rsid w:val="00E57901"/>
    <w:rsid w:val="00E77FCC"/>
    <w:rsid w:val="00E80BA2"/>
    <w:rsid w:val="00E82945"/>
    <w:rsid w:val="00E94168"/>
    <w:rsid w:val="00EA2AF2"/>
    <w:rsid w:val="00EB2B00"/>
    <w:rsid w:val="00EB48CC"/>
    <w:rsid w:val="00EC0513"/>
    <w:rsid w:val="00EC1A71"/>
    <w:rsid w:val="00EC6622"/>
    <w:rsid w:val="00ED0C06"/>
    <w:rsid w:val="00ED13B0"/>
    <w:rsid w:val="00ED4FEE"/>
    <w:rsid w:val="00ED5392"/>
    <w:rsid w:val="00EF2AB2"/>
    <w:rsid w:val="00EF34FD"/>
    <w:rsid w:val="00F018B6"/>
    <w:rsid w:val="00F070D4"/>
    <w:rsid w:val="00F20B44"/>
    <w:rsid w:val="00F21754"/>
    <w:rsid w:val="00F3380F"/>
    <w:rsid w:val="00F3540A"/>
    <w:rsid w:val="00F36410"/>
    <w:rsid w:val="00F364C4"/>
    <w:rsid w:val="00F5081A"/>
    <w:rsid w:val="00F52EAC"/>
    <w:rsid w:val="00F52ED8"/>
    <w:rsid w:val="00F550B5"/>
    <w:rsid w:val="00F601FA"/>
    <w:rsid w:val="00F61998"/>
    <w:rsid w:val="00F66341"/>
    <w:rsid w:val="00F755AA"/>
    <w:rsid w:val="00F9366F"/>
    <w:rsid w:val="00F9510B"/>
    <w:rsid w:val="00F96310"/>
    <w:rsid w:val="00FA159C"/>
    <w:rsid w:val="00FA18ED"/>
    <w:rsid w:val="00FA1DF8"/>
    <w:rsid w:val="00FA248E"/>
    <w:rsid w:val="00FB6BAB"/>
    <w:rsid w:val="00FB7DF7"/>
    <w:rsid w:val="00FC0DB9"/>
    <w:rsid w:val="00FC75E1"/>
    <w:rsid w:val="00FD5E80"/>
    <w:rsid w:val="00FD5F27"/>
    <w:rsid w:val="00FD6015"/>
    <w:rsid w:val="00FD7442"/>
    <w:rsid w:val="00FE424E"/>
    <w:rsid w:val="00FE52F7"/>
    <w:rsid w:val="00FF30F0"/>
    <w:rsid w:val="00FF4FE2"/>
    <w:rsid w:val="01290C83"/>
    <w:rsid w:val="01C91966"/>
    <w:rsid w:val="0487796D"/>
    <w:rsid w:val="05A507D3"/>
    <w:rsid w:val="0606064F"/>
    <w:rsid w:val="06350552"/>
    <w:rsid w:val="06F34C05"/>
    <w:rsid w:val="07036F2A"/>
    <w:rsid w:val="07115CA7"/>
    <w:rsid w:val="077A651B"/>
    <w:rsid w:val="09564A84"/>
    <w:rsid w:val="09A90CA7"/>
    <w:rsid w:val="09D75580"/>
    <w:rsid w:val="09ED3723"/>
    <w:rsid w:val="0A3D62A2"/>
    <w:rsid w:val="0A493094"/>
    <w:rsid w:val="0AB32DF2"/>
    <w:rsid w:val="0ABE7054"/>
    <w:rsid w:val="0AF63245"/>
    <w:rsid w:val="0B3A6B14"/>
    <w:rsid w:val="0B500328"/>
    <w:rsid w:val="0BF83E1A"/>
    <w:rsid w:val="0C7D537A"/>
    <w:rsid w:val="0C8F05DD"/>
    <w:rsid w:val="0EA17E9A"/>
    <w:rsid w:val="0F76123D"/>
    <w:rsid w:val="0F8F237B"/>
    <w:rsid w:val="0FCF47BF"/>
    <w:rsid w:val="1092555E"/>
    <w:rsid w:val="119968E7"/>
    <w:rsid w:val="11C4686E"/>
    <w:rsid w:val="1237181D"/>
    <w:rsid w:val="12B0052F"/>
    <w:rsid w:val="12CA1EF2"/>
    <w:rsid w:val="12D03CC6"/>
    <w:rsid w:val="12D3646A"/>
    <w:rsid w:val="13145838"/>
    <w:rsid w:val="13B25776"/>
    <w:rsid w:val="14151BEB"/>
    <w:rsid w:val="14B66E59"/>
    <w:rsid w:val="15937129"/>
    <w:rsid w:val="15C16841"/>
    <w:rsid w:val="15F00449"/>
    <w:rsid w:val="16C62F2D"/>
    <w:rsid w:val="16F15C7B"/>
    <w:rsid w:val="175279D0"/>
    <w:rsid w:val="17B0376D"/>
    <w:rsid w:val="17C26F0A"/>
    <w:rsid w:val="17F6314D"/>
    <w:rsid w:val="1904793D"/>
    <w:rsid w:val="19CC6629"/>
    <w:rsid w:val="1A967057"/>
    <w:rsid w:val="1AE74234"/>
    <w:rsid w:val="1B6C00C4"/>
    <w:rsid w:val="1B770817"/>
    <w:rsid w:val="1B9B5ECD"/>
    <w:rsid w:val="1C2F24A4"/>
    <w:rsid w:val="1C5A0B0F"/>
    <w:rsid w:val="1C6B2111"/>
    <w:rsid w:val="1CF848DE"/>
    <w:rsid w:val="1DE07F6B"/>
    <w:rsid w:val="1E006691"/>
    <w:rsid w:val="1F4E48FE"/>
    <w:rsid w:val="1FD912C6"/>
    <w:rsid w:val="20085C13"/>
    <w:rsid w:val="200A42EE"/>
    <w:rsid w:val="20112117"/>
    <w:rsid w:val="20782CC3"/>
    <w:rsid w:val="20A91472"/>
    <w:rsid w:val="227119CC"/>
    <w:rsid w:val="22985DCE"/>
    <w:rsid w:val="22AF1211"/>
    <w:rsid w:val="22C6498E"/>
    <w:rsid w:val="22DC15B8"/>
    <w:rsid w:val="2300797C"/>
    <w:rsid w:val="234A0B93"/>
    <w:rsid w:val="2399664A"/>
    <w:rsid w:val="23DC1B5F"/>
    <w:rsid w:val="241734F3"/>
    <w:rsid w:val="24D87D63"/>
    <w:rsid w:val="26DE74F5"/>
    <w:rsid w:val="26F66679"/>
    <w:rsid w:val="26FD0AA0"/>
    <w:rsid w:val="2728327D"/>
    <w:rsid w:val="273C0D50"/>
    <w:rsid w:val="27B01329"/>
    <w:rsid w:val="27F07414"/>
    <w:rsid w:val="282456C1"/>
    <w:rsid w:val="28896A8E"/>
    <w:rsid w:val="28B7285C"/>
    <w:rsid w:val="29D17C38"/>
    <w:rsid w:val="2B011EAB"/>
    <w:rsid w:val="2BE03E2F"/>
    <w:rsid w:val="2C08782D"/>
    <w:rsid w:val="2C4057DD"/>
    <w:rsid w:val="2C5863F2"/>
    <w:rsid w:val="2CB76CC5"/>
    <w:rsid w:val="2CD02C41"/>
    <w:rsid w:val="2D5000C0"/>
    <w:rsid w:val="2DE95D45"/>
    <w:rsid w:val="2E1B7DFC"/>
    <w:rsid w:val="2E915175"/>
    <w:rsid w:val="2EEE0998"/>
    <w:rsid w:val="2FEE3B30"/>
    <w:rsid w:val="2FF24BE6"/>
    <w:rsid w:val="30262905"/>
    <w:rsid w:val="3096029B"/>
    <w:rsid w:val="310B3A83"/>
    <w:rsid w:val="312B7C81"/>
    <w:rsid w:val="313E2272"/>
    <w:rsid w:val="328462DC"/>
    <w:rsid w:val="330A5E79"/>
    <w:rsid w:val="332E5807"/>
    <w:rsid w:val="33622A74"/>
    <w:rsid w:val="33A70C01"/>
    <w:rsid w:val="343D1B12"/>
    <w:rsid w:val="346C4BFE"/>
    <w:rsid w:val="354A13F3"/>
    <w:rsid w:val="358058DF"/>
    <w:rsid w:val="35987004"/>
    <w:rsid w:val="362808B9"/>
    <w:rsid w:val="36712734"/>
    <w:rsid w:val="36A8681D"/>
    <w:rsid w:val="36E84627"/>
    <w:rsid w:val="371B2546"/>
    <w:rsid w:val="37313B18"/>
    <w:rsid w:val="37A543D8"/>
    <w:rsid w:val="38666DBE"/>
    <w:rsid w:val="38CF2BC1"/>
    <w:rsid w:val="3994265B"/>
    <w:rsid w:val="39D75063"/>
    <w:rsid w:val="3AC455FA"/>
    <w:rsid w:val="3BAB412E"/>
    <w:rsid w:val="3CB27178"/>
    <w:rsid w:val="3CC6758C"/>
    <w:rsid w:val="3D6C09D0"/>
    <w:rsid w:val="3E483328"/>
    <w:rsid w:val="3E5D36C8"/>
    <w:rsid w:val="3E816862"/>
    <w:rsid w:val="3FBA32DC"/>
    <w:rsid w:val="3FEA2069"/>
    <w:rsid w:val="402F009C"/>
    <w:rsid w:val="40D85140"/>
    <w:rsid w:val="41075929"/>
    <w:rsid w:val="41112B20"/>
    <w:rsid w:val="413B66C4"/>
    <w:rsid w:val="42B951B1"/>
    <w:rsid w:val="42CB2E75"/>
    <w:rsid w:val="439508F1"/>
    <w:rsid w:val="43AB04F5"/>
    <w:rsid w:val="44D3399E"/>
    <w:rsid w:val="451851EA"/>
    <w:rsid w:val="45743950"/>
    <w:rsid w:val="45A07A0A"/>
    <w:rsid w:val="45AB52A0"/>
    <w:rsid w:val="46574824"/>
    <w:rsid w:val="46F661E4"/>
    <w:rsid w:val="46F755EC"/>
    <w:rsid w:val="47C32F6C"/>
    <w:rsid w:val="48962BA2"/>
    <w:rsid w:val="48C7608A"/>
    <w:rsid w:val="49215138"/>
    <w:rsid w:val="49C64593"/>
    <w:rsid w:val="4A954FBD"/>
    <w:rsid w:val="4AD36F68"/>
    <w:rsid w:val="4AFB3E18"/>
    <w:rsid w:val="4B581FEE"/>
    <w:rsid w:val="4B993B57"/>
    <w:rsid w:val="4C6B55AC"/>
    <w:rsid w:val="4C721DDE"/>
    <w:rsid w:val="4C866699"/>
    <w:rsid w:val="4D1D5914"/>
    <w:rsid w:val="4D387556"/>
    <w:rsid w:val="4D7856EE"/>
    <w:rsid w:val="4EEC2762"/>
    <w:rsid w:val="4EFF2AFC"/>
    <w:rsid w:val="4F914FAA"/>
    <w:rsid w:val="50796A6D"/>
    <w:rsid w:val="50D17F23"/>
    <w:rsid w:val="50F25547"/>
    <w:rsid w:val="51611D43"/>
    <w:rsid w:val="51D84E64"/>
    <w:rsid w:val="51DA2D5B"/>
    <w:rsid w:val="527C1F8D"/>
    <w:rsid w:val="535E6088"/>
    <w:rsid w:val="538A6632"/>
    <w:rsid w:val="53A476F3"/>
    <w:rsid w:val="5418705D"/>
    <w:rsid w:val="547A493E"/>
    <w:rsid w:val="54B65F95"/>
    <w:rsid w:val="54BC3E1A"/>
    <w:rsid w:val="54F66697"/>
    <w:rsid w:val="5550144A"/>
    <w:rsid w:val="56C15B33"/>
    <w:rsid w:val="573E7810"/>
    <w:rsid w:val="57860A7E"/>
    <w:rsid w:val="584C035A"/>
    <w:rsid w:val="590003CE"/>
    <w:rsid w:val="59746C0F"/>
    <w:rsid w:val="599D7A79"/>
    <w:rsid w:val="5A9A1D10"/>
    <w:rsid w:val="5ABD2B5A"/>
    <w:rsid w:val="5BE25A0B"/>
    <w:rsid w:val="5C081447"/>
    <w:rsid w:val="5C3C4C0B"/>
    <w:rsid w:val="5C457828"/>
    <w:rsid w:val="5C596F8D"/>
    <w:rsid w:val="5C8A6E3A"/>
    <w:rsid w:val="5CA759C8"/>
    <w:rsid w:val="5D0358FA"/>
    <w:rsid w:val="5D057546"/>
    <w:rsid w:val="5D431CCF"/>
    <w:rsid w:val="5D6623C9"/>
    <w:rsid w:val="5D6B29C2"/>
    <w:rsid w:val="5D7A1978"/>
    <w:rsid w:val="5DB04800"/>
    <w:rsid w:val="5DBD5C3C"/>
    <w:rsid w:val="5E750614"/>
    <w:rsid w:val="5EB70672"/>
    <w:rsid w:val="5EEE5625"/>
    <w:rsid w:val="5F431836"/>
    <w:rsid w:val="605B6BA4"/>
    <w:rsid w:val="60636B31"/>
    <w:rsid w:val="60CD5858"/>
    <w:rsid w:val="61124005"/>
    <w:rsid w:val="612E4AA0"/>
    <w:rsid w:val="612F57CE"/>
    <w:rsid w:val="61374CBF"/>
    <w:rsid w:val="61AC6CB5"/>
    <w:rsid w:val="62254213"/>
    <w:rsid w:val="62AC7433"/>
    <w:rsid w:val="630755A9"/>
    <w:rsid w:val="63E15DFA"/>
    <w:rsid w:val="63F13817"/>
    <w:rsid w:val="653A4F45"/>
    <w:rsid w:val="658E07B7"/>
    <w:rsid w:val="65B654C1"/>
    <w:rsid w:val="65CE23AE"/>
    <w:rsid w:val="65E53207"/>
    <w:rsid w:val="66EC2D12"/>
    <w:rsid w:val="67863289"/>
    <w:rsid w:val="68DA10C7"/>
    <w:rsid w:val="696E2F06"/>
    <w:rsid w:val="6A5B6B38"/>
    <w:rsid w:val="6B7A6AB3"/>
    <w:rsid w:val="6BAF3CFB"/>
    <w:rsid w:val="6BE40D80"/>
    <w:rsid w:val="6BFE6A1B"/>
    <w:rsid w:val="6C0270E4"/>
    <w:rsid w:val="6C97118E"/>
    <w:rsid w:val="6C9A0D6A"/>
    <w:rsid w:val="6D1C66E8"/>
    <w:rsid w:val="6D33191C"/>
    <w:rsid w:val="6E813C8B"/>
    <w:rsid w:val="6F12155D"/>
    <w:rsid w:val="702B76B3"/>
    <w:rsid w:val="70AD6993"/>
    <w:rsid w:val="71174C6C"/>
    <w:rsid w:val="711C66C3"/>
    <w:rsid w:val="711E0227"/>
    <w:rsid w:val="71281749"/>
    <w:rsid w:val="72530EFA"/>
    <w:rsid w:val="726C64A6"/>
    <w:rsid w:val="72D646DC"/>
    <w:rsid w:val="73BB501D"/>
    <w:rsid w:val="73D22A5F"/>
    <w:rsid w:val="74402617"/>
    <w:rsid w:val="744425D0"/>
    <w:rsid w:val="74EC6F74"/>
    <w:rsid w:val="74F037BB"/>
    <w:rsid w:val="75267662"/>
    <w:rsid w:val="75513ECC"/>
    <w:rsid w:val="75766244"/>
    <w:rsid w:val="76A72C39"/>
    <w:rsid w:val="76F75EBB"/>
    <w:rsid w:val="77063BD1"/>
    <w:rsid w:val="78C37D6C"/>
    <w:rsid w:val="78F34B53"/>
    <w:rsid w:val="78F75A10"/>
    <w:rsid w:val="7980036C"/>
    <w:rsid w:val="799C5FA2"/>
    <w:rsid w:val="79A43DD4"/>
    <w:rsid w:val="7A7A46D8"/>
    <w:rsid w:val="7AC346EA"/>
    <w:rsid w:val="7AFA58C1"/>
    <w:rsid w:val="7B4707E1"/>
    <w:rsid w:val="7BA07EF1"/>
    <w:rsid w:val="7D1876CA"/>
    <w:rsid w:val="7D410C93"/>
    <w:rsid w:val="7D8E0949"/>
    <w:rsid w:val="7DD97789"/>
    <w:rsid w:val="7EC108AA"/>
    <w:rsid w:val="7F093589"/>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semiHidden="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qFormat="1" w:unhideWhenUsed="0"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99"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99" w:semiHidden="0" w:name="Body Text Indent 3"/>
    <w:lsdException w:uiPriority="99" w:name="Block Text"/>
    <w:lsdException w:qFormat="1" w:unhideWhenUsed="0" w:uiPriority="99" w:semiHidden="0" w:name="Hyperlink"/>
    <w:lsdException w:uiPriority="99" w:name="FollowedHyperlink"/>
    <w:lsdException w:qFormat="1" w:unhideWhenUsed="0" w:uiPriority="99" w:semiHidden="0" w:name="Strong"/>
    <w:lsdException w:qFormat="1" w:unhideWhenUsed="0" w:uiPriority="99" w:semiHidden="0" w:name="Emphasis"/>
    <w:lsdException w:uiPriority="99" w:name="Document Map"/>
    <w:lsdException w:qFormat="1"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6"/>
    <w:autoRedefine/>
    <w:qFormat/>
    <w:uiPriority w:val="99"/>
    <w:pPr>
      <w:keepNext/>
      <w:keepLines/>
      <w:spacing w:before="340" w:after="330" w:line="578" w:lineRule="auto"/>
      <w:outlineLvl w:val="0"/>
    </w:pPr>
    <w:rPr>
      <w:b/>
      <w:bCs/>
      <w:kern w:val="44"/>
      <w:sz w:val="44"/>
      <w:szCs w:val="44"/>
    </w:rPr>
  </w:style>
  <w:style w:type="paragraph" w:styleId="4">
    <w:name w:val="heading 2"/>
    <w:basedOn w:val="1"/>
    <w:next w:val="1"/>
    <w:unhideWhenUsed/>
    <w:qFormat/>
    <w:locked/>
    <w:uiPriority w:val="0"/>
    <w:pPr>
      <w:spacing w:beforeAutospacing="1" w:afterAutospacing="1"/>
      <w:jc w:val="left"/>
      <w:outlineLvl w:val="1"/>
    </w:pPr>
    <w:rPr>
      <w:rFonts w:hint="eastAsia" w:ascii="宋体" w:hAnsi="宋体"/>
      <w:b/>
      <w:bCs/>
      <w:kern w:val="0"/>
      <w:sz w:val="36"/>
      <w:szCs w:val="36"/>
    </w:rPr>
  </w:style>
  <w:style w:type="paragraph" w:styleId="5">
    <w:name w:val="heading 3"/>
    <w:basedOn w:val="1"/>
    <w:next w:val="1"/>
    <w:semiHidden/>
    <w:unhideWhenUsed/>
    <w:qFormat/>
    <w:locked/>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No Spacing"/>
    <w:qFormat/>
    <w:uiPriority w:val="0"/>
    <w:pPr>
      <w:adjustRightInd w:val="0"/>
      <w:snapToGrid w:val="0"/>
    </w:pPr>
    <w:rPr>
      <w:rFonts w:ascii="Tahoma" w:hAnsi="Tahoma" w:eastAsia="微软雅黑" w:cs="Times New Roman"/>
      <w:sz w:val="22"/>
      <w:szCs w:val="22"/>
      <w:lang w:val="en-US" w:eastAsia="zh-CN" w:bidi="ar-SA"/>
    </w:rPr>
  </w:style>
  <w:style w:type="paragraph" w:styleId="6">
    <w:name w:val="caption"/>
    <w:basedOn w:val="1"/>
    <w:next w:val="1"/>
    <w:autoRedefine/>
    <w:qFormat/>
    <w:uiPriority w:val="99"/>
    <w:rPr>
      <w:rFonts w:ascii="Cambria" w:hAnsi="Cambria" w:eastAsia="黑体"/>
      <w:sz w:val="20"/>
      <w:szCs w:val="20"/>
    </w:rPr>
  </w:style>
  <w:style w:type="paragraph" w:styleId="7">
    <w:name w:val="annotation text"/>
    <w:basedOn w:val="1"/>
    <w:link w:val="39"/>
    <w:autoRedefine/>
    <w:qFormat/>
    <w:uiPriority w:val="99"/>
    <w:pPr>
      <w:jc w:val="left"/>
    </w:pPr>
    <w:rPr>
      <w:sz w:val="24"/>
    </w:rPr>
  </w:style>
  <w:style w:type="paragraph" w:styleId="8">
    <w:name w:val="Body Text"/>
    <w:basedOn w:val="1"/>
    <w:link w:val="28"/>
    <w:autoRedefine/>
    <w:qFormat/>
    <w:uiPriority w:val="99"/>
    <w:pPr>
      <w:spacing w:after="120"/>
    </w:pPr>
    <w:rPr>
      <w:kern w:val="0"/>
      <w:sz w:val="20"/>
    </w:rPr>
  </w:style>
  <w:style w:type="paragraph" w:styleId="9">
    <w:name w:val="Body Text Indent"/>
    <w:basedOn w:val="1"/>
    <w:link w:val="27"/>
    <w:autoRedefine/>
    <w:qFormat/>
    <w:uiPriority w:val="99"/>
    <w:pPr>
      <w:widowControl/>
      <w:spacing w:line="360" w:lineRule="auto"/>
      <w:ind w:firstLine="570"/>
    </w:pPr>
    <w:rPr>
      <w:sz w:val="24"/>
    </w:rPr>
  </w:style>
  <w:style w:type="paragraph" w:styleId="10">
    <w:name w:val="Plain Text"/>
    <w:basedOn w:val="1"/>
    <w:unhideWhenUsed/>
    <w:qFormat/>
    <w:uiPriority w:val="99"/>
    <w:rPr>
      <w:rFonts w:ascii="宋体" w:hAnsi="Courier New" w:cs="Courier New"/>
      <w:szCs w:val="21"/>
    </w:rPr>
  </w:style>
  <w:style w:type="paragraph" w:styleId="11">
    <w:name w:val="Balloon Text"/>
    <w:basedOn w:val="1"/>
    <w:link w:val="31"/>
    <w:autoRedefine/>
    <w:semiHidden/>
    <w:qFormat/>
    <w:uiPriority w:val="99"/>
    <w:rPr>
      <w:kern w:val="0"/>
      <w:sz w:val="2"/>
    </w:rPr>
  </w:style>
  <w:style w:type="paragraph" w:styleId="12">
    <w:name w:val="footer"/>
    <w:basedOn w:val="1"/>
    <w:link w:val="34"/>
    <w:autoRedefine/>
    <w:qFormat/>
    <w:uiPriority w:val="99"/>
    <w:pPr>
      <w:tabs>
        <w:tab w:val="center" w:pos="4153"/>
        <w:tab w:val="right" w:pos="8306"/>
      </w:tabs>
      <w:wordWrap w:val="0"/>
      <w:snapToGrid w:val="0"/>
      <w:jc w:val="right"/>
    </w:pPr>
    <w:rPr>
      <w:kern w:val="0"/>
      <w:sz w:val="28"/>
      <w:szCs w:val="28"/>
    </w:rPr>
  </w:style>
  <w:style w:type="paragraph" w:styleId="13">
    <w:name w:val="header"/>
    <w:basedOn w:val="1"/>
    <w:link w:val="38"/>
    <w:autoRedefine/>
    <w:qFormat/>
    <w:uiPriority w:val="99"/>
    <w:pPr>
      <w:pBdr>
        <w:bottom w:val="single" w:color="auto" w:sz="6" w:space="1"/>
      </w:pBdr>
      <w:tabs>
        <w:tab w:val="center" w:pos="4153"/>
        <w:tab w:val="right" w:pos="8306"/>
      </w:tabs>
      <w:snapToGrid w:val="0"/>
      <w:jc w:val="center"/>
    </w:pPr>
    <w:rPr>
      <w:kern w:val="0"/>
      <w:sz w:val="18"/>
      <w:szCs w:val="18"/>
    </w:rPr>
  </w:style>
  <w:style w:type="paragraph" w:styleId="14">
    <w:name w:val="footnote text"/>
    <w:basedOn w:val="1"/>
    <w:link w:val="33"/>
    <w:autoRedefine/>
    <w:semiHidden/>
    <w:qFormat/>
    <w:uiPriority w:val="99"/>
    <w:pPr>
      <w:snapToGrid w:val="0"/>
      <w:jc w:val="left"/>
    </w:pPr>
    <w:rPr>
      <w:kern w:val="0"/>
      <w:sz w:val="18"/>
      <w:szCs w:val="18"/>
    </w:rPr>
  </w:style>
  <w:style w:type="paragraph" w:styleId="15">
    <w:name w:val="Body Text Indent 3"/>
    <w:basedOn w:val="1"/>
    <w:link w:val="29"/>
    <w:autoRedefine/>
    <w:qFormat/>
    <w:uiPriority w:val="99"/>
    <w:pPr>
      <w:spacing w:after="120"/>
      <w:ind w:left="420" w:leftChars="200"/>
    </w:pPr>
    <w:rPr>
      <w:kern w:val="0"/>
      <w:sz w:val="16"/>
      <w:szCs w:val="16"/>
    </w:rPr>
  </w:style>
  <w:style w:type="paragraph" w:styleId="16">
    <w:name w:val="Normal (Web)"/>
    <w:basedOn w:val="1"/>
    <w:autoRedefine/>
    <w:qFormat/>
    <w:uiPriority w:val="99"/>
    <w:pPr>
      <w:widowControl/>
      <w:spacing w:before="100" w:beforeAutospacing="1" w:after="100" w:afterAutospacing="1"/>
      <w:jc w:val="left"/>
    </w:pPr>
    <w:rPr>
      <w:rFonts w:ascii="宋体" w:hAnsi="宋体" w:cs="宋体"/>
      <w:kern w:val="0"/>
      <w:sz w:val="24"/>
    </w:rPr>
  </w:style>
  <w:style w:type="paragraph" w:styleId="17">
    <w:name w:val="annotation subject"/>
    <w:basedOn w:val="7"/>
    <w:next w:val="7"/>
    <w:link w:val="40"/>
    <w:autoRedefine/>
    <w:qFormat/>
    <w:uiPriority w:val="99"/>
    <w:rPr>
      <w:b/>
      <w:bCs/>
    </w:rPr>
  </w:style>
  <w:style w:type="table" w:styleId="19">
    <w:name w:val="Table Grid"/>
    <w:basedOn w:val="18"/>
    <w:autoRedefine/>
    <w:qFormat/>
    <w:uiPriority w:val="99"/>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1">
    <w:name w:val="Strong"/>
    <w:autoRedefine/>
    <w:qFormat/>
    <w:uiPriority w:val="99"/>
    <w:rPr>
      <w:rFonts w:cs="Times New Roman"/>
      <w:b/>
    </w:rPr>
  </w:style>
  <w:style w:type="character" w:styleId="22">
    <w:name w:val="page number"/>
    <w:autoRedefine/>
    <w:qFormat/>
    <w:uiPriority w:val="99"/>
    <w:rPr>
      <w:rFonts w:cs="Times New Roman"/>
    </w:rPr>
  </w:style>
  <w:style w:type="character" w:styleId="23">
    <w:name w:val="Emphasis"/>
    <w:autoRedefine/>
    <w:qFormat/>
    <w:uiPriority w:val="99"/>
    <w:rPr>
      <w:rFonts w:cs="Times New Roman"/>
      <w:color w:val="CC0000"/>
    </w:rPr>
  </w:style>
  <w:style w:type="character" w:styleId="24">
    <w:name w:val="Hyperlink"/>
    <w:autoRedefine/>
    <w:qFormat/>
    <w:uiPriority w:val="99"/>
    <w:rPr>
      <w:rFonts w:cs="Times New Roman"/>
      <w:color w:val="0000FF"/>
      <w:u w:val="single"/>
    </w:rPr>
  </w:style>
  <w:style w:type="character" w:styleId="25">
    <w:name w:val="annotation reference"/>
    <w:basedOn w:val="20"/>
    <w:autoRedefine/>
    <w:semiHidden/>
    <w:qFormat/>
    <w:uiPriority w:val="99"/>
    <w:rPr>
      <w:rFonts w:cs="Times New Roman"/>
      <w:sz w:val="21"/>
    </w:rPr>
  </w:style>
  <w:style w:type="character" w:customStyle="1" w:styleId="26">
    <w:name w:val="标题 1 字符"/>
    <w:link w:val="3"/>
    <w:autoRedefine/>
    <w:qFormat/>
    <w:locked/>
    <w:uiPriority w:val="99"/>
    <w:rPr>
      <w:rFonts w:eastAsia="宋体"/>
      <w:b/>
      <w:kern w:val="44"/>
      <w:sz w:val="44"/>
      <w:lang w:val="en-US" w:eastAsia="zh-CN"/>
    </w:rPr>
  </w:style>
  <w:style w:type="character" w:customStyle="1" w:styleId="27">
    <w:name w:val="正文文本缩进 字符"/>
    <w:link w:val="9"/>
    <w:autoRedefine/>
    <w:qFormat/>
    <w:locked/>
    <w:uiPriority w:val="99"/>
    <w:rPr>
      <w:rFonts w:eastAsia="宋体"/>
      <w:kern w:val="2"/>
      <w:sz w:val="24"/>
      <w:lang w:val="en-US" w:eastAsia="zh-CN"/>
    </w:rPr>
  </w:style>
  <w:style w:type="character" w:customStyle="1" w:styleId="28">
    <w:name w:val="正文文本 字符"/>
    <w:link w:val="8"/>
    <w:autoRedefine/>
    <w:semiHidden/>
    <w:qFormat/>
    <w:locked/>
    <w:uiPriority w:val="99"/>
    <w:rPr>
      <w:sz w:val="24"/>
    </w:rPr>
  </w:style>
  <w:style w:type="character" w:customStyle="1" w:styleId="29">
    <w:name w:val="正文文本缩进 3 字符"/>
    <w:link w:val="15"/>
    <w:autoRedefine/>
    <w:semiHidden/>
    <w:qFormat/>
    <w:locked/>
    <w:uiPriority w:val="99"/>
    <w:rPr>
      <w:sz w:val="16"/>
    </w:rPr>
  </w:style>
  <w:style w:type="paragraph" w:customStyle="1" w:styleId="30">
    <w:name w:val="封面标准名称"/>
    <w:autoRedefine/>
    <w:qFormat/>
    <w:uiPriority w:val="99"/>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character" w:customStyle="1" w:styleId="31">
    <w:name w:val="批注框文本 字符"/>
    <w:link w:val="11"/>
    <w:autoRedefine/>
    <w:semiHidden/>
    <w:qFormat/>
    <w:locked/>
    <w:uiPriority w:val="99"/>
    <w:rPr>
      <w:sz w:val="2"/>
    </w:rPr>
  </w:style>
  <w:style w:type="character" w:customStyle="1" w:styleId="32">
    <w:name w:val="Char Char4"/>
    <w:autoRedefine/>
    <w:qFormat/>
    <w:uiPriority w:val="99"/>
    <w:rPr>
      <w:rFonts w:eastAsia="宋体"/>
      <w:kern w:val="2"/>
      <w:sz w:val="24"/>
      <w:lang w:val="en-US" w:eastAsia="zh-CN"/>
    </w:rPr>
  </w:style>
  <w:style w:type="character" w:customStyle="1" w:styleId="33">
    <w:name w:val="脚注文本 字符"/>
    <w:link w:val="14"/>
    <w:autoRedefine/>
    <w:semiHidden/>
    <w:qFormat/>
    <w:locked/>
    <w:uiPriority w:val="99"/>
    <w:rPr>
      <w:sz w:val="18"/>
    </w:rPr>
  </w:style>
  <w:style w:type="character" w:customStyle="1" w:styleId="34">
    <w:name w:val="页脚 字符"/>
    <w:link w:val="12"/>
    <w:autoRedefine/>
    <w:qFormat/>
    <w:locked/>
    <w:uiPriority w:val="99"/>
    <w:rPr>
      <w:sz w:val="28"/>
      <w:szCs w:val="28"/>
    </w:rPr>
  </w:style>
  <w:style w:type="paragraph" w:customStyle="1" w:styleId="35">
    <w:name w:val="段"/>
    <w:link w:val="36"/>
    <w:autoRedefine/>
    <w:qFormat/>
    <w:uiPriority w:val="99"/>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36">
    <w:name w:val="段 Char"/>
    <w:link w:val="35"/>
    <w:autoRedefine/>
    <w:qFormat/>
    <w:locked/>
    <w:uiPriority w:val="99"/>
    <w:rPr>
      <w:rFonts w:ascii="宋体"/>
      <w:sz w:val="21"/>
      <w:lang w:val="en-US" w:eastAsia="zh-CN"/>
    </w:rPr>
  </w:style>
  <w:style w:type="character" w:customStyle="1" w:styleId="37">
    <w:name w:val="f101"/>
    <w:autoRedefine/>
    <w:qFormat/>
    <w:uiPriority w:val="99"/>
    <w:rPr>
      <w:spacing w:val="500"/>
      <w:sz w:val="24"/>
    </w:rPr>
  </w:style>
  <w:style w:type="character" w:customStyle="1" w:styleId="38">
    <w:name w:val="页眉 字符"/>
    <w:link w:val="13"/>
    <w:autoRedefine/>
    <w:semiHidden/>
    <w:qFormat/>
    <w:locked/>
    <w:uiPriority w:val="99"/>
    <w:rPr>
      <w:sz w:val="18"/>
    </w:rPr>
  </w:style>
  <w:style w:type="character" w:customStyle="1" w:styleId="39">
    <w:name w:val="批注文字 字符"/>
    <w:link w:val="7"/>
    <w:autoRedefine/>
    <w:qFormat/>
    <w:locked/>
    <w:uiPriority w:val="99"/>
    <w:rPr>
      <w:kern w:val="2"/>
      <w:sz w:val="24"/>
    </w:rPr>
  </w:style>
  <w:style w:type="character" w:customStyle="1" w:styleId="40">
    <w:name w:val="批注主题 字符"/>
    <w:link w:val="17"/>
    <w:autoRedefine/>
    <w:qFormat/>
    <w:locked/>
    <w:uiPriority w:val="99"/>
    <w:rPr>
      <w:b/>
      <w:kern w:val="2"/>
      <w:sz w:val="24"/>
    </w:rPr>
  </w:style>
  <w:style w:type="character" w:customStyle="1" w:styleId="41">
    <w:name w:val="apple-converted-space"/>
    <w:autoRedefine/>
    <w:qFormat/>
    <w:uiPriority w:val="99"/>
  </w:style>
  <w:style w:type="character" w:customStyle="1" w:styleId="42">
    <w:name w:val="new"/>
    <w:autoRedefine/>
    <w:qFormat/>
    <w:uiPriority w:val="99"/>
  </w:style>
  <w:style w:type="character" w:customStyle="1" w:styleId="43">
    <w:name w:val="highlight"/>
    <w:autoRedefine/>
    <w:qFormat/>
    <w:uiPriority w:val="99"/>
  </w:style>
  <w:style w:type="paragraph" w:customStyle="1" w:styleId="44">
    <w:name w:val="列出段落1"/>
    <w:basedOn w:val="1"/>
    <w:autoRedefine/>
    <w:qFormat/>
    <w:uiPriority w:val="99"/>
    <w:pPr>
      <w:ind w:firstLine="420" w:firstLineChars="200"/>
    </w:pPr>
  </w:style>
  <w:style w:type="paragraph" w:customStyle="1" w:styleId="45">
    <w:name w:val="无间隔1"/>
    <w:autoRedefine/>
    <w:qFormat/>
    <w:uiPriority w:val="1"/>
    <w:pPr>
      <w:jc w:val="both"/>
    </w:pPr>
    <w:rPr>
      <w:rFonts w:ascii="Arial" w:hAnsi="Arial" w:eastAsia="宋体" w:cs="Arial"/>
      <w:sz w:val="18"/>
      <w:szCs w:val="18"/>
      <w:lang w:val="en-US" w:eastAsia="zh-CN" w:bidi="ar-SA"/>
    </w:rPr>
  </w:style>
  <w:style w:type="paragraph" w:customStyle="1" w:styleId="46">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F627D39-2B73-4BED-90D5-8D5A690F440B}">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17</Pages>
  <Words>7296</Words>
  <Characters>7916</Characters>
  <Lines>1</Lines>
  <Paragraphs>1</Paragraphs>
  <TotalTime>5</TotalTime>
  <ScaleCrop>false</ScaleCrop>
  <LinksUpToDate>false</LinksUpToDate>
  <CharactersWithSpaces>7969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2026-03-19T05:38:00Z</dcterms:created>
  <dc:creator>user</dc:creator>
  <cp:lastModifiedBy>RR</cp:lastModifiedBy>
  <cp:lastPrinted>2026-05-28T02:08:00Z</cp:lastPrinted>
  <dcterms:modified xsi:type="dcterms:W3CDTF">2026-08-11T07:42:56Z</dcterms:modified>
  <dc:title>大型蒸汽灭菌器产品注册技术指导原则</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FD244A717C6D4F219DB429C16BF704F0_13</vt:lpwstr>
  </property>
  <property fmtid="{D5CDD505-2E9C-101B-9397-08002B2CF9AE}" pid="4" name="KSOTemplateDocerSaveRecord">
    <vt:lpwstr>eyJoZGlkIjoiNzliMjAzYjQ3NzUzMDViMTc0MGQ3MjQzMTE0MTkxNGMiLCJ1c2VySWQiOiIxNDE4MzgxMTQzIn0=</vt:lpwstr>
  </property>
</Properties>
</file>