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1AF26F" w14:textId="77777777" w:rsidR="005B4851" w:rsidRDefault="005D084F">
      <w:pPr>
        <w:spacing w:line="520" w:lineRule="exact"/>
        <w:ind w:rightChars="-32" w:right="-67"/>
        <w:jc w:val="center"/>
        <w:rPr>
          <w:rFonts w:eastAsia="方正小标宋简体"/>
          <w:color w:val="000000"/>
          <w:sz w:val="44"/>
          <w:szCs w:val="44"/>
        </w:rPr>
      </w:pPr>
      <w:r>
        <w:rPr>
          <w:rFonts w:eastAsia="方正小标宋简体" w:hint="eastAsia"/>
          <w:color w:val="000000"/>
          <w:sz w:val="44"/>
          <w:szCs w:val="44"/>
        </w:rPr>
        <w:t>起搏系统分析</w:t>
      </w:r>
      <w:proofErr w:type="gramStart"/>
      <w:r>
        <w:rPr>
          <w:rFonts w:eastAsia="方正小标宋简体" w:hint="eastAsia"/>
          <w:color w:val="000000"/>
          <w:sz w:val="44"/>
          <w:szCs w:val="44"/>
        </w:rPr>
        <w:t>仪注册</w:t>
      </w:r>
      <w:proofErr w:type="gramEnd"/>
      <w:r>
        <w:rPr>
          <w:rFonts w:eastAsia="方正小标宋简体" w:hint="eastAsia"/>
          <w:color w:val="000000"/>
          <w:sz w:val="44"/>
          <w:szCs w:val="44"/>
        </w:rPr>
        <w:t>审查指导原则</w:t>
      </w:r>
    </w:p>
    <w:p w14:paraId="2DA832EA" w14:textId="77777777" w:rsidR="005B4851" w:rsidRDefault="005D084F">
      <w:pPr>
        <w:spacing w:line="520" w:lineRule="exact"/>
        <w:ind w:rightChars="-32" w:right="-67"/>
        <w:jc w:val="center"/>
        <w:rPr>
          <w:rFonts w:eastAsia="方正小标宋简体"/>
          <w:color w:val="000000"/>
          <w:sz w:val="44"/>
          <w:szCs w:val="44"/>
        </w:rPr>
      </w:pPr>
      <w:r>
        <w:rPr>
          <w:rFonts w:eastAsia="方正小标宋简体" w:hint="eastAsia"/>
          <w:color w:val="000000"/>
          <w:sz w:val="44"/>
          <w:szCs w:val="44"/>
        </w:rPr>
        <w:t>（征求意见稿）</w:t>
      </w:r>
    </w:p>
    <w:p w14:paraId="522E46EF" w14:textId="77777777" w:rsidR="005B4851" w:rsidRPr="00103534" w:rsidRDefault="005B4851">
      <w:pPr>
        <w:spacing w:line="520" w:lineRule="exact"/>
        <w:jc w:val="center"/>
        <w:rPr>
          <w:rFonts w:eastAsia="方正小标宋_GBK"/>
          <w:sz w:val="36"/>
          <w:szCs w:val="36"/>
        </w:rPr>
      </w:pPr>
    </w:p>
    <w:p w14:paraId="0DDA90F5" w14:textId="77777777" w:rsidR="005B4851" w:rsidRDefault="005D084F">
      <w:pPr>
        <w:overflowPunct w:val="0"/>
        <w:autoSpaceDE w:val="0"/>
        <w:autoSpaceDN w:val="0"/>
        <w:spacing w:line="520" w:lineRule="exact"/>
        <w:ind w:firstLineChars="200" w:firstLine="640"/>
        <w:outlineLvl w:val="0"/>
        <w:rPr>
          <w:rFonts w:eastAsia="仿宋_GB2312" w:cs="仿宋_GB2312"/>
          <w:snapToGrid w:val="0"/>
          <w:kern w:val="0"/>
          <w:sz w:val="32"/>
          <w:szCs w:val="32"/>
        </w:rPr>
      </w:pPr>
      <w:r>
        <w:rPr>
          <w:rFonts w:eastAsia="仿宋_GB2312" w:cs="仿宋_GB2312" w:hint="eastAsia"/>
          <w:snapToGrid w:val="0"/>
          <w:kern w:val="0"/>
          <w:sz w:val="32"/>
          <w:szCs w:val="32"/>
        </w:rPr>
        <w:t>本指导原则旨在指导注册申请人对起搏系统分析仪产品注册申报资料的准备及撰写，同时也为技术审评部门对注册申报资料的审评提供参考。</w:t>
      </w:r>
    </w:p>
    <w:p w14:paraId="3E7023B3" w14:textId="77777777" w:rsidR="005B4851" w:rsidRDefault="005D084F">
      <w:pPr>
        <w:overflowPunct w:val="0"/>
        <w:autoSpaceDE w:val="0"/>
        <w:autoSpaceDN w:val="0"/>
        <w:spacing w:line="520" w:lineRule="exact"/>
        <w:ind w:firstLineChars="200" w:firstLine="640"/>
        <w:outlineLvl w:val="0"/>
        <w:rPr>
          <w:rFonts w:eastAsia="仿宋_GB2312" w:cs="仿宋_GB2312"/>
          <w:snapToGrid w:val="0"/>
          <w:kern w:val="0"/>
          <w:sz w:val="32"/>
          <w:szCs w:val="32"/>
        </w:rPr>
      </w:pPr>
      <w:r>
        <w:rPr>
          <w:rFonts w:eastAsia="仿宋_GB2312" w:cs="仿宋_GB2312" w:hint="eastAsia"/>
          <w:snapToGrid w:val="0"/>
          <w:kern w:val="0"/>
          <w:sz w:val="32"/>
          <w:szCs w:val="32"/>
        </w:rPr>
        <w:t>本指导原则是对起搏系统分析仪产品的注册申报资料的一般要求，申请人应依据产品的具体特性确定其中的内容是否适用。若不适用，需具体阐述其理由及相应的科学依据，并依据具体的产品特性对注册申报资料的内容进行充实和细化。</w:t>
      </w:r>
    </w:p>
    <w:p w14:paraId="40D10B8F" w14:textId="77777777" w:rsidR="005B4851" w:rsidRDefault="005D084F">
      <w:pPr>
        <w:overflowPunct w:val="0"/>
        <w:autoSpaceDE w:val="0"/>
        <w:autoSpaceDN w:val="0"/>
        <w:spacing w:line="520" w:lineRule="exact"/>
        <w:ind w:firstLineChars="200" w:firstLine="640"/>
        <w:outlineLvl w:val="0"/>
        <w:rPr>
          <w:rFonts w:eastAsia="仿宋_GB2312" w:cs="仿宋_GB2312"/>
          <w:snapToGrid w:val="0"/>
          <w:kern w:val="0"/>
          <w:sz w:val="32"/>
          <w:szCs w:val="32"/>
        </w:rPr>
      </w:pPr>
      <w:r>
        <w:rPr>
          <w:rFonts w:eastAsia="仿宋_GB2312" w:cs="仿宋_GB2312" w:hint="eastAsia"/>
          <w:snapToGrid w:val="0"/>
          <w:kern w:val="0"/>
          <w:sz w:val="32"/>
          <w:szCs w:val="32"/>
        </w:rPr>
        <w:t>本指导原则是</w:t>
      </w:r>
      <w:proofErr w:type="gramStart"/>
      <w:r>
        <w:rPr>
          <w:rFonts w:eastAsia="仿宋_GB2312" w:cs="仿宋_GB2312" w:hint="eastAsia"/>
          <w:snapToGrid w:val="0"/>
          <w:kern w:val="0"/>
          <w:sz w:val="32"/>
          <w:szCs w:val="32"/>
        </w:rPr>
        <w:t>供注册</w:t>
      </w:r>
      <w:proofErr w:type="gramEnd"/>
      <w:r>
        <w:rPr>
          <w:rFonts w:eastAsia="仿宋_GB2312" w:cs="仿宋_GB2312" w:hint="eastAsia"/>
          <w:snapToGrid w:val="0"/>
          <w:kern w:val="0"/>
          <w:sz w:val="32"/>
          <w:szCs w:val="32"/>
        </w:rPr>
        <w:t>申请人和技术审评人员使用的指导性文件，但不包括注册审批所涉及的行政事项，亦不作为法规强制执行，应在遵循相关法规的前提下使用本指导原则。如果有能够满足相关法规要求的其他方法，也可以采用，但是需要提供详细的研究资料和验证资料。</w:t>
      </w:r>
    </w:p>
    <w:p w14:paraId="59F2F4EE" w14:textId="77777777" w:rsidR="005B4851" w:rsidRDefault="005D084F">
      <w:pPr>
        <w:overflowPunct w:val="0"/>
        <w:autoSpaceDE w:val="0"/>
        <w:autoSpaceDN w:val="0"/>
        <w:spacing w:line="520" w:lineRule="exact"/>
        <w:ind w:firstLineChars="200" w:firstLine="640"/>
        <w:outlineLvl w:val="0"/>
        <w:rPr>
          <w:rFonts w:eastAsia="仿宋_GB2312" w:cs="仿宋_GB2312"/>
          <w:snapToGrid w:val="0"/>
          <w:kern w:val="0"/>
          <w:sz w:val="32"/>
          <w:szCs w:val="32"/>
        </w:rPr>
      </w:pPr>
      <w:r>
        <w:rPr>
          <w:rFonts w:eastAsia="仿宋_GB2312" w:cs="仿宋_GB2312" w:hint="eastAsia"/>
          <w:snapToGrid w:val="0"/>
          <w:kern w:val="0"/>
          <w:sz w:val="32"/>
          <w:szCs w:val="32"/>
        </w:rPr>
        <w:t>本指导原则是在现行法规和标准体系以及当前认知水平下制定的，随着法规和标准的不断完善，以及科学技术的不断发展，本指导原则相关内容也将进行适时的调整。</w:t>
      </w:r>
    </w:p>
    <w:p w14:paraId="7673A211" w14:textId="77777777" w:rsidR="005B4851" w:rsidRDefault="005D084F">
      <w:pPr>
        <w:overflowPunct w:val="0"/>
        <w:autoSpaceDE w:val="0"/>
        <w:autoSpaceDN w:val="0"/>
        <w:spacing w:line="520" w:lineRule="exact"/>
        <w:ind w:firstLineChars="200" w:firstLine="640"/>
        <w:outlineLvl w:val="0"/>
        <w:rPr>
          <w:rFonts w:eastAsia="黑体"/>
          <w:snapToGrid w:val="0"/>
          <w:kern w:val="0"/>
          <w:sz w:val="32"/>
          <w:szCs w:val="32"/>
        </w:rPr>
      </w:pPr>
      <w:r>
        <w:rPr>
          <w:rFonts w:eastAsia="黑体" w:hint="eastAsia"/>
          <w:snapToGrid w:val="0"/>
          <w:kern w:val="0"/>
          <w:sz w:val="32"/>
          <w:szCs w:val="32"/>
        </w:rPr>
        <w:t>一、</w:t>
      </w:r>
      <w:r>
        <w:rPr>
          <w:rFonts w:eastAsia="黑体"/>
          <w:snapToGrid w:val="0"/>
          <w:kern w:val="0"/>
          <w:sz w:val="32"/>
          <w:szCs w:val="32"/>
        </w:rPr>
        <w:t>适用范围</w:t>
      </w:r>
    </w:p>
    <w:p w14:paraId="5BC16CE0" w14:textId="77777777" w:rsidR="005B4851" w:rsidRDefault="005D084F">
      <w:pPr>
        <w:overflowPunct w:val="0"/>
        <w:autoSpaceDE w:val="0"/>
        <w:autoSpaceDN w:val="0"/>
        <w:spacing w:line="520" w:lineRule="exact"/>
        <w:ind w:firstLineChars="200" w:firstLine="640"/>
        <w:outlineLvl w:val="0"/>
        <w:rPr>
          <w:rFonts w:eastAsia="仿宋_GB2312" w:cs="仿宋_GB2312"/>
          <w:snapToGrid w:val="0"/>
          <w:kern w:val="0"/>
          <w:sz w:val="32"/>
          <w:szCs w:val="32"/>
        </w:rPr>
      </w:pPr>
      <w:bookmarkStart w:id="0" w:name="_Toc432753645"/>
      <w:r>
        <w:rPr>
          <w:rFonts w:eastAsia="仿宋_GB2312" w:cs="仿宋_GB2312" w:hint="eastAsia"/>
          <w:snapToGrid w:val="0"/>
          <w:kern w:val="0"/>
          <w:sz w:val="32"/>
          <w:szCs w:val="32"/>
        </w:rPr>
        <w:t>本指导原则适用于起搏系统分析仪，分类编码</w:t>
      </w:r>
      <w:r>
        <w:rPr>
          <w:rFonts w:eastAsia="仿宋_GB2312" w:cs="仿宋_GB2312" w:hint="eastAsia"/>
          <w:snapToGrid w:val="0"/>
          <w:kern w:val="0"/>
          <w:sz w:val="32"/>
          <w:szCs w:val="32"/>
        </w:rPr>
        <w:t>12-01-10</w:t>
      </w:r>
      <w:r>
        <w:rPr>
          <w:rFonts w:eastAsia="仿宋_GB2312" w:cs="仿宋_GB2312" w:hint="eastAsia"/>
          <w:snapToGrid w:val="0"/>
          <w:kern w:val="0"/>
          <w:sz w:val="32"/>
          <w:szCs w:val="32"/>
        </w:rPr>
        <w:t>，产品管理类别为</w:t>
      </w:r>
      <w:r>
        <w:rPr>
          <w:rFonts w:eastAsia="仿宋_GB2312" w:cs="仿宋_GB2312" w:hint="eastAsia"/>
          <w:snapToGrid w:val="0"/>
          <w:kern w:val="0"/>
          <w:sz w:val="32"/>
          <w:szCs w:val="32"/>
        </w:rPr>
        <w:t>II</w:t>
      </w:r>
      <w:r>
        <w:rPr>
          <w:rFonts w:eastAsia="仿宋_GB2312" w:cs="仿宋_GB2312" w:hint="eastAsia"/>
          <w:snapToGrid w:val="0"/>
          <w:kern w:val="0"/>
          <w:sz w:val="32"/>
          <w:szCs w:val="32"/>
        </w:rPr>
        <w:t>类。</w:t>
      </w:r>
    </w:p>
    <w:p w14:paraId="61CE3B87" w14:textId="77777777" w:rsidR="005B4851" w:rsidRDefault="005D084F">
      <w:pPr>
        <w:overflowPunct w:val="0"/>
        <w:autoSpaceDE w:val="0"/>
        <w:autoSpaceDN w:val="0"/>
        <w:spacing w:line="520" w:lineRule="exact"/>
        <w:ind w:firstLineChars="200" w:firstLine="640"/>
        <w:outlineLvl w:val="0"/>
        <w:rPr>
          <w:rFonts w:eastAsia="仿宋_GB2312" w:cs="仿宋_GB2312"/>
          <w:snapToGrid w:val="0"/>
          <w:kern w:val="0"/>
          <w:sz w:val="32"/>
          <w:szCs w:val="32"/>
        </w:rPr>
      </w:pPr>
      <w:r>
        <w:rPr>
          <w:rFonts w:eastAsia="仿宋_GB2312" w:cs="仿宋_GB2312" w:hint="eastAsia"/>
          <w:snapToGrid w:val="0"/>
          <w:kern w:val="0"/>
          <w:sz w:val="32"/>
          <w:szCs w:val="32"/>
        </w:rPr>
        <w:t>心脏节律管理程控设备（下称“程控仪”）中含有起搏系统分析功能的，相关部分适用本指导原则。</w:t>
      </w:r>
    </w:p>
    <w:p w14:paraId="56B3E698" w14:textId="34122F04" w:rsidR="005B4851" w:rsidRDefault="00A76D28" w:rsidP="00A76D28">
      <w:pPr>
        <w:overflowPunct w:val="0"/>
        <w:autoSpaceDE w:val="0"/>
        <w:autoSpaceDN w:val="0"/>
        <w:spacing w:line="520" w:lineRule="exact"/>
        <w:ind w:firstLineChars="200" w:firstLine="640"/>
        <w:outlineLvl w:val="0"/>
        <w:rPr>
          <w:rFonts w:eastAsia="仿宋_GB2312" w:cs="仿宋_GB2312"/>
          <w:snapToGrid w:val="0"/>
          <w:kern w:val="0"/>
          <w:sz w:val="32"/>
          <w:szCs w:val="32"/>
        </w:rPr>
      </w:pPr>
      <w:r w:rsidRPr="00A76D28">
        <w:rPr>
          <w:rFonts w:eastAsia="仿宋_GB2312" w:cs="仿宋_GB2312" w:hint="eastAsia"/>
          <w:snapToGrid w:val="0"/>
          <w:kern w:val="0"/>
          <w:sz w:val="32"/>
          <w:szCs w:val="32"/>
        </w:rPr>
        <w:t>如果设备兼具起搏系统分析功能和临时起搏用途，起搏系统分析功能相关部分</w:t>
      </w:r>
      <w:r>
        <w:rPr>
          <w:rFonts w:eastAsia="仿宋_GB2312" w:cs="仿宋_GB2312" w:hint="eastAsia"/>
          <w:snapToGrid w:val="0"/>
          <w:kern w:val="0"/>
          <w:sz w:val="32"/>
          <w:szCs w:val="32"/>
        </w:rPr>
        <w:t>可参照</w:t>
      </w:r>
      <w:r w:rsidRPr="00A76D28">
        <w:rPr>
          <w:rFonts w:eastAsia="仿宋_GB2312" w:cs="仿宋_GB2312" w:hint="eastAsia"/>
          <w:snapToGrid w:val="0"/>
          <w:kern w:val="0"/>
          <w:sz w:val="32"/>
          <w:szCs w:val="32"/>
        </w:rPr>
        <w:t>于本指导原则</w:t>
      </w:r>
      <w:r w:rsidR="005D084F">
        <w:rPr>
          <w:rFonts w:eastAsia="仿宋_GB2312" w:cs="仿宋_GB2312" w:hint="eastAsia"/>
          <w:snapToGrid w:val="0"/>
          <w:kern w:val="0"/>
          <w:sz w:val="32"/>
          <w:szCs w:val="32"/>
        </w:rPr>
        <w:t>。</w:t>
      </w:r>
    </w:p>
    <w:p w14:paraId="0ECB05BF" w14:textId="77777777" w:rsidR="005B4851" w:rsidRDefault="005D084F">
      <w:pPr>
        <w:overflowPunct w:val="0"/>
        <w:autoSpaceDE w:val="0"/>
        <w:autoSpaceDN w:val="0"/>
        <w:spacing w:line="520" w:lineRule="exact"/>
        <w:ind w:firstLineChars="200" w:firstLine="640"/>
        <w:outlineLvl w:val="0"/>
        <w:rPr>
          <w:rFonts w:eastAsia="黑体"/>
          <w:snapToGrid w:val="0"/>
          <w:kern w:val="0"/>
          <w:sz w:val="32"/>
          <w:szCs w:val="32"/>
        </w:rPr>
      </w:pPr>
      <w:r>
        <w:rPr>
          <w:rFonts w:eastAsia="黑体" w:hint="eastAsia"/>
          <w:snapToGrid w:val="0"/>
          <w:kern w:val="0"/>
          <w:sz w:val="32"/>
          <w:szCs w:val="32"/>
        </w:rPr>
        <w:lastRenderedPageBreak/>
        <w:t>二、注册</w:t>
      </w:r>
      <w:r>
        <w:rPr>
          <w:rFonts w:eastAsia="黑体"/>
          <w:snapToGrid w:val="0"/>
          <w:kern w:val="0"/>
          <w:sz w:val="32"/>
          <w:szCs w:val="32"/>
        </w:rPr>
        <w:t>审查要点</w:t>
      </w:r>
    </w:p>
    <w:p w14:paraId="75B316B8" w14:textId="77777777" w:rsidR="005B4851" w:rsidRDefault="005D084F">
      <w:pPr>
        <w:overflowPunct w:val="0"/>
        <w:autoSpaceDE w:val="0"/>
        <w:autoSpaceDN w:val="0"/>
        <w:spacing w:line="520" w:lineRule="exact"/>
        <w:ind w:firstLineChars="200" w:firstLine="640"/>
        <w:outlineLvl w:val="0"/>
        <w:rPr>
          <w:rFonts w:eastAsia="楷体_GB2312"/>
          <w:color w:val="000000"/>
          <w:sz w:val="32"/>
          <w:szCs w:val="32"/>
        </w:rPr>
      </w:pPr>
      <w:r>
        <w:rPr>
          <w:rFonts w:eastAsia="楷体_GB2312" w:hint="eastAsia"/>
          <w:color w:val="000000"/>
          <w:sz w:val="32"/>
          <w:szCs w:val="32"/>
        </w:rPr>
        <w:t>（一）监管信息</w:t>
      </w:r>
    </w:p>
    <w:p w14:paraId="4F7A2B6F" w14:textId="77777777" w:rsidR="005B4851" w:rsidRDefault="005D084F">
      <w:pPr>
        <w:overflowPunct w:val="0"/>
        <w:autoSpaceDE w:val="0"/>
        <w:autoSpaceDN w:val="0"/>
        <w:spacing w:line="520" w:lineRule="exact"/>
        <w:ind w:firstLineChars="200" w:firstLine="640"/>
        <w:rPr>
          <w:rFonts w:eastAsia="仿宋_GB2312"/>
          <w:snapToGrid w:val="0"/>
          <w:color w:val="000000"/>
          <w:kern w:val="0"/>
          <w:sz w:val="32"/>
          <w:szCs w:val="32"/>
        </w:rPr>
      </w:pPr>
      <w:r>
        <w:rPr>
          <w:rFonts w:eastAsia="仿宋_GB2312" w:hint="eastAsia"/>
          <w:color w:val="000000"/>
          <w:sz w:val="32"/>
          <w:szCs w:val="32"/>
        </w:rPr>
        <w:t>明确申请表中</w:t>
      </w:r>
      <w:r>
        <w:rPr>
          <w:rFonts w:eastAsia="仿宋_GB2312"/>
          <w:snapToGrid w:val="0"/>
          <w:color w:val="000000"/>
          <w:kern w:val="0"/>
          <w:sz w:val="32"/>
          <w:szCs w:val="32"/>
        </w:rPr>
        <w:t>产品名称</w:t>
      </w:r>
      <w:r>
        <w:rPr>
          <w:rFonts w:eastAsia="仿宋_GB2312" w:hint="eastAsia"/>
          <w:snapToGrid w:val="0"/>
          <w:color w:val="000000"/>
          <w:kern w:val="0"/>
          <w:sz w:val="32"/>
          <w:szCs w:val="32"/>
        </w:rPr>
        <w:t>、</w:t>
      </w:r>
      <w:r>
        <w:rPr>
          <w:rFonts w:eastAsia="仿宋_GB2312"/>
          <w:snapToGrid w:val="0"/>
          <w:color w:val="000000"/>
          <w:kern w:val="0"/>
          <w:sz w:val="32"/>
          <w:szCs w:val="32"/>
        </w:rPr>
        <w:t>管理类别、分类编码</w:t>
      </w:r>
      <w:r>
        <w:rPr>
          <w:rFonts w:eastAsia="仿宋_GB2312" w:hint="eastAsia"/>
          <w:snapToGrid w:val="0"/>
          <w:color w:val="000000"/>
          <w:kern w:val="0"/>
          <w:sz w:val="32"/>
          <w:szCs w:val="32"/>
        </w:rPr>
        <w:t>、型号规格、产品组成等信息</w:t>
      </w:r>
      <w:r>
        <w:rPr>
          <w:rFonts w:eastAsia="仿宋_GB2312"/>
          <w:snapToGrid w:val="0"/>
          <w:color w:val="000000"/>
          <w:kern w:val="0"/>
          <w:sz w:val="32"/>
          <w:szCs w:val="32"/>
        </w:rPr>
        <w:t>。</w:t>
      </w:r>
    </w:p>
    <w:p w14:paraId="1CDAD3B9"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1</w:t>
      </w:r>
      <w:r>
        <w:rPr>
          <w:rFonts w:eastAsia="仿宋_GB2312"/>
          <w:snapToGrid w:val="0"/>
          <w:kern w:val="0"/>
          <w:sz w:val="32"/>
          <w:szCs w:val="32"/>
        </w:rPr>
        <w:t>.</w:t>
      </w:r>
      <w:r>
        <w:rPr>
          <w:rFonts w:eastAsia="仿宋_GB2312" w:hint="eastAsia"/>
          <w:snapToGrid w:val="0"/>
          <w:kern w:val="0"/>
          <w:sz w:val="32"/>
          <w:szCs w:val="32"/>
        </w:rPr>
        <w:t>产品名称</w:t>
      </w:r>
    </w:p>
    <w:p w14:paraId="6D361037" w14:textId="6B3AA023"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起搏系统分析仪的命名可采用《医疗器械分类目录》的通用名称，或以产品结构和预期目的为依据命名，</w:t>
      </w:r>
      <w:r w:rsidR="00BC0400">
        <w:rPr>
          <w:rFonts w:eastAsia="仿宋_GB2312" w:hint="eastAsia"/>
          <w:snapToGrid w:val="0"/>
          <w:kern w:val="0"/>
          <w:sz w:val="32"/>
          <w:szCs w:val="32"/>
        </w:rPr>
        <w:t>例如：</w:t>
      </w:r>
      <w:r w:rsidR="00BC0400" w:rsidRPr="00BC0400">
        <w:rPr>
          <w:rFonts w:eastAsia="仿宋_GB2312" w:hint="eastAsia"/>
          <w:snapToGrid w:val="0"/>
          <w:kern w:val="0"/>
          <w:sz w:val="32"/>
          <w:szCs w:val="32"/>
        </w:rPr>
        <w:t>起搏系统分析仪</w:t>
      </w:r>
      <w:r w:rsidR="00BC0400">
        <w:rPr>
          <w:rFonts w:eastAsia="仿宋_GB2312" w:hint="eastAsia"/>
          <w:snapToGrid w:val="0"/>
          <w:kern w:val="0"/>
          <w:sz w:val="32"/>
          <w:szCs w:val="32"/>
        </w:rPr>
        <w:t>、双腔起搏系统分析仪。</w:t>
      </w:r>
      <w:r>
        <w:rPr>
          <w:rFonts w:eastAsia="仿宋_GB2312" w:hint="eastAsia"/>
          <w:snapToGrid w:val="0"/>
          <w:kern w:val="0"/>
          <w:sz w:val="32"/>
          <w:szCs w:val="32"/>
        </w:rPr>
        <w:t>应符合《医疗器械通用名称命名规则》等相关法规的要求。</w:t>
      </w:r>
    </w:p>
    <w:p w14:paraId="3486B9F6"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2.</w:t>
      </w:r>
      <w:r>
        <w:rPr>
          <w:rFonts w:eastAsia="仿宋_GB2312" w:hint="eastAsia"/>
          <w:snapToGrid w:val="0"/>
          <w:kern w:val="0"/>
          <w:sz w:val="32"/>
          <w:szCs w:val="32"/>
        </w:rPr>
        <w:t>分类编码</w:t>
      </w:r>
    </w:p>
    <w:p w14:paraId="4535EC05"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依据《医疗器械分类目录》，起搏系统分析仪的管理类别为</w:t>
      </w:r>
      <w:r>
        <w:rPr>
          <w:rFonts w:eastAsia="仿宋_GB2312" w:hint="eastAsia"/>
          <w:snapToGrid w:val="0"/>
          <w:kern w:val="0"/>
          <w:sz w:val="32"/>
          <w:szCs w:val="32"/>
        </w:rPr>
        <w:t>II</w:t>
      </w:r>
      <w:r>
        <w:rPr>
          <w:rFonts w:eastAsia="仿宋_GB2312" w:hint="eastAsia"/>
          <w:snapToGrid w:val="0"/>
          <w:kern w:val="0"/>
          <w:sz w:val="32"/>
          <w:szCs w:val="32"/>
        </w:rPr>
        <w:t>类，分类编码为</w:t>
      </w:r>
      <w:r>
        <w:rPr>
          <w:rFonts w:eastAsia="仿宋_GB2312" w:hint="eastAsia"/>
          <w:snapToGrid w:val="0"/>
          <w:kern w:val="0"/>
          <w:sz w:val="32"/>
          <w:szCs w:val="32"/>
        </w:rPr>
        <w:t>12-01-10</w:t>
      </w:r>
      <w:r>
        <w:rPr>
          <w:rFonts w:eastAsia="仿宋_GB2312" w:hint="eastAsia"/>
          <w:snapToGrid w:val="0"/>
          <w:kern w:val="0"/>
          <w:sz w:val="32"/>
          <w:szCs w:val="32"/>
        </w:rPr>
        <w:t>。</w:t>
      </w:r>
      <w:r>
        <w:rPr>
          <w:rFonts w:eastAsia="仿宋_GB2312" w:hint="eastAsia"/>
          <w:snapToGrid w:val="0"/>
          <w:kern w:val="0"/>
          <w:sz w:val="32"/>
          <w:szCs w:val="32"/>
        </w:rPr>
        <w:t xml:space="preserve"> </w:t>
      </w:r>
    </w:p>
    <w:p w14:paraId="31E8D161"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3.</w:t>
      </w:r>
      <w:r>
        <w:rPr>
          <w:rFonts w:eastAsia="仿宋_GB2312" w:hint="eastAsia"/>
          <w:snapToGrid w:val="0"/>
          <w:kern w:val="0"/>
          <w:sz w:val="32"/>
          <w:szCs w:val="32"/>
        </w:rPr>
        <w:t>注册单元划分的原则</w:t>
      </w:r>
    </w:p>
    <w:p w14:paraId="4D78123B"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该类产品通常为单独申报，如有多个型号，可按照《医疗器械注册单元划分指导原则》，注册单元划分着重考虑产品的技术原理、结构组成、性能指标及适用范围等因素。</w:t>
      </w:r>
    </w:p>
    <w:p w14:paraId="2AC7E8A4" w14:textId="77777777" w:rsidR="005B4851" w:rsidRDefault="005D084F">
      <w:pPr>
        <w:overflowPunct w:val="0"/>
        <w:autoSpaceDE w:val="0"/>
        <w:autoSpaceDN w:val="0"/>
        <w:spacing w:line="520" w:lineRule="exact"/>
        <w:ind w:left="221" w:firstLine="200"/>
        <w:outlineLvl w:val="1"/>
        <w:rPr>
          <w:rFonts w:eastAsia="楷体_GB2312"/>
          <w:color w:val="000000"/>
          <w:sz w:val="32"/>
          <w:szCs w:val="32"/>
        </w:rPr>
      </w:pPr>
      <w:r>
        <w:rPr>
          <w:rFonts w:eastAsia="楷体_GB2312" w:hint="eastAsia"/>
          <w:color w:val="000000"/>
          <w:sz w:val="32"/>
          <w:szCs w:val="32"/>
        </w:rPr>
        <w:t>（二）综述</w:t>
      </w:r>
      <w:r>
        <w:rPr>
          <w:rFonts w:eastAsia="楷体_GB2312"/>
          <w:color w:val="000000"/>
          <w:sz w:val="32"/>
          <w:szCs w:val="32"/>
        </w:rPr>
        <w:t>资料</w:t>
      </w:r>
    </w:p>
    <w:p w14:paraId="7212A443" w14:textId="77777777" w:rsidR="005B4851" w:rsidRDefault="005D084F">
      <w:pPr>
        <w:pStyle w:val="af7"/>
        <w:overflowPunct w:val="0"/>
        <w:autoSpaceDE w:val="0"/>
        <w:autoSpaceDN w:val="0"/>
        <w:spacing w:line="520" w:lineRule="exact"/>
        <w:ind w:right="210" w:firstLine="640"/>
        <w:outlineLvl w:val="2"/>
        <w:rPr>
          <w:rFonts w:ascii="Times New Roman" w:eastAsia="楷体_GB2312" w:hAnsi="Times New Roman"/>
          <w:color w:val="000000"/>
          <w:sz w:val="32"/>
          <w:szCs w:val="32"/>
        </w:rPr>
      </w:pPr>
      <w:r>
        <w:rPr>
          <w:rFonts w:ascii="Times New Roman" w:eastAsia="楷体_GB2312" w:hAnsi="Times New Roman" w:hint="eastAsia"/>
          <w:color w:val="000000"/>
          <w:sz w:val="32"/>
          <w:szCs w:val="32"/>
        </w:rPr>
        <w:t>1.</w:t>
      </w:r>
      <w:bookmarkEnd w:id="0"/>
      <w:r>
        <w:rPr>
          <w:rFonts w:ascii="Times New Roman" w:eastAsia="仿宋_GB2312" w:hAnsi="Times New Roman" w:hint="eastAsia"/>
          <w:color w:val="000000"/>
          <w:sz w:val="32"/>
          <w:szCs w:val="32"/>
        </w:rPr>
        <w:t>产品描述</w:t>
      </w:r>
    </w:p>
    <w:p w14:paraId="04146BA8"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1.1</w:t>
      </w:r>
      <w:r>
        <w:rPr>
          <w:rFonts w:ascii="Times New Roman" w:eastAsia="仿宋_GB2312" w:hAnsi="Times New Roman" w:hint="eastAsia"/>
          <w:snapToGrid w:val="0"/>
          <w:kern w:val="0"/>
          <w:sz w:val="32"/>
          <w:szCs w:val="32"/>
        </w:rPr>
        <w:t>器械及操作原理描述</w:t>
      </w:r>
    </w:p>
    <w:p w14:paraId="28BF0D13" w14:textId="77777777" w:rsidR="005B4851" w:rsidRDefault="005D084F">
      <w:pPr>
        <w:pStyle w:val="af7"/>
        <w:overflowPunct w:val="0"/>
        <w:autoSpaceDE w:val="0"/>
        <w:autoSpaceDN w:val="0"/>
        <w:spacing w:line="520" w:lineRule="exact"/>
        <w:ind w:right="21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1.1.1</w:t>
      </w:r>
      <w:r>
        <w:rPr>
          <w:rFonts w:ascii="Times New Roman" w:eastAsia="仿宋_GB2312" w:hAnsi="Times New Roman"/>
          <w:snapToGrid w:val="0"/>
          <w:kern w:val="0"/>
          <w:sz w:val="32"/>
          <w:szCs w:val="32"/>
        </w:rPr>
        <w:t>工作原理</w:t>
      </w:r>
    </w:p>
    <w:p w14:paraId="1520D6A0"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需详述产品的工作原理，例如：起搏系统分析仪通过患者电缆（及无菌延长线）连接植入式心脏起搏电极导线，经由电极测量起搏阻抗、</w:t>
      </w:r>
      <w:r>
        <w:rPr>
          <w:rFonts w:eastAsia="仿宋_GB2312" w:hint="eastAsia"/>
          <w:snapToGrid w:val="0"/>
          <w:kern w:val="0"/>
          <w:sz w:val="32"/>
          <w:szCs w:val="32"/>
        </w:rPr>
        <w:t>P</w:t>
      </w:r>
      <w:r>
        <w:rPr>
          <w:rFonts w:eastAsia="仿宋_GB2312" w:hint="eastAsia"/>
          <w:snapToGrid w:val="0"/>
          <w:kern w:val="0"/>
          <w:sz w:val="32"/>
          <w:szCs w:val="32"/>
        </w:rPr>
        <w:t>波</w:t>
      </w:r>
      <w:r>
        <w:rPr>
          <w:rFonts w:eastAsia="仿宋_GB2312" w:hint="eastAsia"/>
          <w:snapToGrid w:val="0"/>
          <w:kern w:val="0"/>
          <w:sz w:val="32"/>
          <w:szCs w:val="32"/>
        </w:rPr>
        <w:t>/R</w:t>
      </w:r>
      <w:r>
        <w:rPr>
          <w:rFonts w:eastAsia="仿宋_GB2312" w:hint="eastAsia"/>
          <w:snapToGrid w:val="0"/>
          <w:kern w:val="0"/>
          <w:sz w:val="32"/>
          <w:szCs w:val="32"/>
        </w:rPr>
        <w:t>波幅度及起搏阈值等参数，为植入式心脏起搏器（或植入式心律转复除颤器）起搏电极导线的植入提供参考，以此综合评估电极位置的电学性能是否满足临床植入要求。起搏系统分析仪根据通道数的不同，可</w:t>
      </w:r>
      <w:r>
        <w:rPr>
          <w:rFonts w:eastAsia="仿宋_GB2312" w:hint="eastAsia"/>
          <w:snapToGrid w:val="0"/>
          <w:kern w:val="0"/>
          <w:sz w:val="32"/>
          <w:szCs w:val="32"/>
        </w:rPr>
        <w:lastRenderedPageBreak/>
        <w:t>进行单腔（心室或心房）的测试，或同时进行双腔、三腔的测试。</w:t>
      </w:r>
    </w:p>
    <w:p w14:paraId="2FADF836"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1.1.2</w:t>
      </w:r>
      <w:r>
        <w:rPr>
          <w:rFonts w:eastAsia="仿宋_GB2312"/>
          <w:snapToGrid w:val="0"/>
          <w:kern w:val="0"/>
          <w:sz w:val="32"/>
          <w:szCs w:val="32"/>
        </w:rPr>
        <w:t>结构组成</w:t>
      </w:r>
    </w:p>
    <w:p w14:paraId="1B2D3F36" w14:textId="47229BB5" w:rsidR="00F06EAA" w:rsidRDefault="00F06EAA" w:rsidP="00F06EAA">
      <w:pPr>
        <w:overflowPunct w:val="0"/>
        <w:autoSpaceDE w:val="0"/>
        <w:autoSpaceDN w:val="0"/>
        <w:spacing w:line="520" w:lineRule="exact"/>
        <w:ind w:firstLineChars="200" w:firstLine="640"/>
        <w:outlineLvl w:val="2"/>
        <w:rPr>
          <w:rFonts w:eastAsia="仿宋_GB2312"/>
          <w:snapToGrid w:val="0"/>
          <w:kern w:val="0"/>
          <w:sz w:val="32"/>
          <w:szCs w:val="32"/>
        </w:rPr>
      </w:pPr>
      <w:r w:rsidRPr="00F06EAA">
        <w:rPr>
          <w:rFonts w:eastAsia="仿宋_GB2312" w:hint="eastAsia"/>
          <w:snapToGrid w:val="0"/>
          <w:kern w:val="0"/>
          <w:sz w:val="32"/>
          <w:szCs w:val="32"/>
        </w:rPr>
        <w:t>产品通常由分析仪主机和</w:t>
      </w:r>
      <w:r>
        <w:rPr>
          <w:rFonts w:eastAsia="仿宋_GB2312" w:hint="eastAsia"/>
          <w:snapToGrid w:val="0"/>
          <w:kern w:val="0"/>
          <w:sz w:val="32"/>
          <w:szCs w:val="32"/>
        </w:rPr>
        <w:t>附件组成。附件可包括</w:t>
      </w:r>
      <w:r w:rsidRPr="00F06EAA">
        <w:rPr>
          <w:rFonts w:eastAsia="仿宋_GB2312" w:hint="eastAsia"/>
          <w:snapToGrid w:val="0"/>
          <w:kern w:val="0"/>
          <w:sz w:val="32"/>
          <w:szCs w:val="32"/>
        </w:rPr>
        <w:t>患者电缆、电缆适配器、无菌延长线</w:t>
      </w:r>
      <w:r>
        <w:rPr>
          <w:rFonts w:eastAsia="仿宋_GB2312" w:hint="eastAsia"/>
          <w:snapToGrid w:val="0"/>
          <w:kern w:val="0"/>
          <w:sz w:val="32"/>
          <w:szCs w:val="32"/>
        </w:rPr>
        <w:t>等</w:t>
      </w:r>
      <w:r w:rsidRPr="00F06EAA">
        <w:rPr>
          <w:rFonts w:eastAsia="仿宋_GB2312" w:hint="eastAsia"/>
          <w:snapToGrid w:val="0"/>
          <w:kern w:val="0"/>
          <w:sz w:val="32"/>
          <w:szCs w:val="32"/>
        </w:rPr>
        <w:t>。</w:t>
      </w:r>
    </w:p>
    <w:p w14:paraId="1CEEFE5E" w14:textId="47DA1BF2" w:rsidR="005B4851" w:rsidRDefault="00F06EAA">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申请人</w:t>
      </w:r>
      <w:r w:rsidR="005D084F">
        <w:rPr>
          <w:rFonts w:eastAsia="仿宋_GB2312" w:hint="eastAsia"/>
          <w:snapToGrid w:val="0"/>
          <w:kern w:val="0"/>
          <w:sz w:val="32"/>
          <w:szCs w:val="32"/>
        </w:rPr>
        <w:t>需明确产品结构及组成、主要功能及其组成部件（含软件）及所有附件的功能、产品图示（含标识、接口、操控面板、应用部分等细节），以及区别于其他同类产品的特征等内容。含有多个组成部分的，应说明其连接或组装关系。若产品含有无菌部件</w:t>
      </w:r>
      <w:r w:rsidR="006A4399">
        <w:rPr>
          <w:rFonts w:eastAsia="仿宋_GB2312" w:hint="eastAsia"/>
          <w:snapToGrid w:val="0"/>
          <w:kern w:val="0"/>
          <w:sz w:val="32"/>
          <w:szCs w:val="32"/>
        </w:rPr>
        <w:t>（如，无菌延长线）</w:t>
      </w:r>
      <w:r w:rsidR="005D084F">
        <w:rPr>
          <w:rFonts w:eastAsia="仿宋_GB2312" w:hint="eastAsia"/>
          <w:snapToGrid w:val="0"/>
          <w:kern w:val="0"/>
          <w:sz w:val="32"/>
          <w:szCs w:val="32"/>
        </w:rPr>
        <w:t>，</w:t>
      </w:r>
      <w:r w:rsidR="006A4399">
        <w:rPr>
          <w:rFonts w:eastAsia="仿宋_GB2312" w:hint="eastAsia"/>
          <w:snapToGrid w:val="0"/>
          <w:kern w:val="0"/>
          <w:sz w:val="32"/>
          <w:szCs w:val="32"/>
        </w:rPr>
        <w:t>需</w:t>
      </w:r>
      <w:r w:rsidR="005D084F">
        <w:rPr>
          <w:rFonts w:eastAsia="仿宋_GB2312" w:hint="eastAsia"/>
          <w:snapToGrid w:val="0"/>
          <w:kern w:val="0"/>
          <w:sz w:val="32"/>
          <w:szCs w:val="32"/>
        </w:rPr>
        <w:t>说明</w:t>
      </w:r>
      <w:r w:rsidR="005D084F">
        <w:rPr>
          <w:rFonts w:eastAsia="仿宋_GB2312"/>
          <w:bCs/>
          <w:color w:val="000000"/>
          <w:sz w:val="32"/>
          <w:szCs w:val="32"/>
        </w:rPr>
        <w:t>灭菌方式（描述灭菌实施者、灭菌方法、灭菌有效期）</w:t>
      </w:r>
      <w:r w:rsidR="005D084F">
        <w:rPr>
          <w:rFonts w:eastAsia="仿宋_GB2312" w:hint="eastAsia"/>
          <w:bCs/>
          <w:color w:val="000000"/>
          <w:sz w:val="32"/>
          <w:szCs w:val="32"/>
        </w:rPr>
        <w:t>。</w:t>
      </w:r>
    </w:p>
    <w:p w14:paraId="157960FB"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1</w:t>
      </w:r>
      <w:r>
        <w:rPr>
          <w:rFonts w:ascii="Times New Roman" w:eastAsia="仿宋_GB2312" w:hAnsi="Times New Roman"/>
          <w:snapToGrid w:val="0"/>
          <w:kern w:val="0"/>
          <w:sz w:val="32"/>
          <w:szCs w:val="32"/>
        </w:rPr>
        <w:t>.2</w:t>
      </w:r>
      <w:r>
        <w:rPr>
          <w:rFonts w:ascii="Times New Roman" w:eastAsia="仿宋_GB2312" w:hAnsi="Times New Roman"/>
          <w:snapToGrid w:val="0"/>
          <w:kern w:val="0"/>
          <w:sz w:val="32"/>
          <w:szCs w:val="32"/>
        </w:rPr>
        <w:t>型号规格</w:t>
      </w:r>
    </w:p>
    <w:p w14:paraId="7FA1B375"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对于存在多种型号规格的产品，应当明确各型号规格的区别。应当采用对比表或带有说明性文字的图片、图表，描述各种型号规格的结构组成（或配置）、功能、产品特征和运行模式、技术参数等内容。</w:t>
      </w:r>
    </w:p>
    <w:p w14:paraId="466663CE"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1.3</w:t>
      </w:r>
      <w:r>
        <w:rPr>
          <w:rFonts w:ascii="Times New Roman" w:eastAsia="仿宋_GB2312" w:hAnsi="Times New Roman" w:hint="eastAsia"/>
          <w:snapToGrid w:val="0"/>
          <w:kern w:val="0"/>
          <w:sz w:val="32"/>
          <w:szCs w:val="32"/>
        </w:rPr>
        <w:t>包装说明</w:t>
      </w:r>
    </w:p>
    <w:p w14:paraId="0708A370" w14:textId="77777777" w:rsidR="005B4851" w:rsidRDefault="005D084F">
      <w:pPr>
        <w:spacing w:line="520" w:lineRule="exact"/>
        <w:ind w:firstLineChars="200" w:firstLine="640"/>
        <w:outlineLvl w:val="2"/>
        <w:rPr>
          <w:rFonts w:eastAsia="仿宋_GB2312"/>
          <w:color w:val="000000"/>
          <w:sz w:val="32"/>
          <w:szCs w:val="32"/>
        </w:rPr>
      </w:pPr>
      <w:r>
        <w:rPr>
          <w:rFonts w:eastAsia="仿宋_GB2312"/>
          <w:color w:val="000000"/>
          <w:sz w:val="32"/>
          <w:szCs w:val="32"/>
        </w:rPr>
        <w:t>说明所有产品组成的包装信息。对于无菌</w:t>
      </w:r>
      <w:r>
        <w:rPr>
          <w:rFonts w:eastAsia="仿宋_GB2312" w:hint="eastAsia"/>
          <w:color w:val="000000"/>
          <w:sz w:val="32"/>
          <w:szCs w:val="32"/>
        </w:rPr>
        <w:t>部件</w:t>
      </w:r>
      <w:r>
        <w:rPr>
          <w:rFonts w:eastAsia="仿宋_GB2312"/>
          <w:color w:val="000000"/>
          <w:sz w:val="32"/>
          <w:szCs w:val="32"/>
        </w:rPr>
        <w:t>，应当说明其</w:t>
      </w:r>
      <w:r>
        <w:rPr>
          <w:rFonts w:eastAsia="仿宋_GB2312"/>
          <w:sz w:val="32"/>
          <w:szCs w:val="32"/>
        </w:rPr>
        <w:t>无菌屏障系统</w:t>
      </w:r>
      <w:r>
        <w:rPr>
          <w:rFonts w:eastAsia="仿宋_GB2312"/>
          <w:color w:val="000000"/>
          <w:sz w:val="32"/>
          <w:szCs w:val="32"/>
        </w:rPr>
        <w:t>的信息</w:t>
      </w:r>
      <w:r>
        <w:rPr>
          <w:rFonts w:eastAsia="仿宋_GB2312" w:hint="eastAsia"/>
          <w:color w:val="000000"/>
          <w:sz w:val="32"/>
          <w:szCs w:val="32"/>
        </w:rPr>
        <w:t>。</w:t>
      </w:r>
    </w:p>
    <w:p w14:paraId="1A00409E" w14:textId="77777777" w:rsidR="005B4851" w:rsidRDefault="005D084F">
      <w:pPr>
        <w:spacing w:line="520" w:lineRule="exact"/>
        <w:ind w:firstLineChars="200" w:firstLine="640"/>
        <w:outlineLvl w:val="2"/>
        <w:rPr>
          <w:rFonts w:eastAsia="仿宋_GB2312"/>
        </w:rPr>
      </w:pPr>
      <w:r>
        <w:rPr>
          <w:rFonts w:eastAsia="仿宋_GB2312" w:hint="eastAsia"/>
          <w:color w:val="000000"/>
          <w:sz w:val="32"/>
          <w:szCs w:val="32"/>
        </w:rPr>
        <w:t>2.</w:t>
      </w:r>
      <w:r>
        <w:rPr>
          <w:rFonts w:eastAsia="仿宋_GB2312" w:hint="eastAsia"/>
          <w:color w:val="000000"/>
          <w:sz w:val="32"/>
          <w:szCs w:val="32"/>
        </w:rPr>
        <w:t>适用范围和禁忌证</w:t>
      </w:r>
    </w:p>
    <w:p w14:paraId="01C1D578"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2.1</w:t>
      </w:r>
      <w:r>
        <w:rPr>
          <w:rFonts w:ascii="Times New Roman" w:eastAsia="仿宋_GB2312" w:hAnsi="Times New Roman"/>
          <w:snapToGrid w:val="0"/>
          <w:kern w:val="0"/>
          <w:sz w:val="32"/>
          <w:szCs w:val="32"/>
        </w:rPr>
        <w:t>适用范围</w:t>
      </w:r>
    </w:p>
    <w:p w14:paraId="7B2EC05C" w14:textId="36FBADE4" w:rsidR="005B4851" w:rsidRDefault="008F2014" w:rsidP="008F2014">
      <w:pPr>
        <w:spacing w:line="520" w:lineRule="exact"/>
        <w:ind w:firstLineChars="200" w:firstLine="640"/>
        <w:outlineLvl w:val="2"/>
        <w:rPr>
          <w:rFonts w:eastAsia="仿宋_GB2312"/>
          <w:color w:val="000000"/>
          <w:sz w:val="32"/>
          <w:szCs w:val="32"/>
        </w:rPr>
      </w:pPr>
      <w:r w:rsidRPr="008F2014">
        <w:rPr>
          <w:rFonts w:eastAsia="仿宋_GB2312" w:hint="eastAsia"/>
          <w:color w:val="000000"/>
          <w:sz w:val="32"/>
          <w:szCs w:val="32"/>
        </w:rPr>
        <w:t>产品适用于在植入式心脏起搏系统及植入式心脏除颤系统植入过程中，对植入式起搏电极导线及具有起搏和感知功能的除颤电极导线的植入状态进行分析。</w:t>
      </w:r>
      <w:r w:rsidR="005D084F">
        <w:rPr>
          <w:rFonts w:eastAsia="仿宋_GB2312" w:hint="eastAsia"/>
          <w:color w:val="000000"/>
          <w:sz w:val="32"/>
          <w:szCs w:val="32"/>
        </w:rPr>
        <w:t xml:space="preserve"> </w:t>
      </w:r>
    </w:p>
    <w:p w14:paraId="5C0D5E08" w14:textId="6AE4E9FB" w:rsidR="006A4399" w:rsidRPr="006A4399" w:rsidRDefault="006A4399" w:rsidP="006A4399">
      <w:pPr>
        <w:spacing w:line="520" w:lineRule="exact"/>
        <w:ind w:firstLineChars="200" w:firstLine="640"/>
        <w:outlineLvl w:val="2"/>
        <w:rPr>
          <w:rFonts w:eastAsia="仿宋_GB2312"/>
          <w:color w:val="000000"/>
          <w:sz w:val="32"/>
          <w:szCs w:val="32"/>
        </w:rPr>
      </w:pPr>
      <w:r w:rsidRPr="006A4399">
        <w:rPr>
          <w:rFonts w:eastAsia="仿宋_GB2312" w:hint="eastAsia"/>
          <w:color w:val="000000"/>
          <w:sz w:val="32"/>
          <w:szCs w:val="32"/>
        </w:rPr>
        <w:t>如</w:t>
      </w:r>
      <w:r>
        <w:rPr>
          <w:rFonts w:eastAsia="仿宋_GB2312" w:hint="eastAsia"/>
          <w:color w:val="000000"/>
          <w:sz w:val="32"/>
          <w:szCs w:val="32"/>
        </w:rPr>
        <w:t>产品</w:t>
      </w:r>
      <w:r w:rsidRPr="006A4399">
        <w:rPr>
          <w:rFonts w:eastAsia="仿宋_GB2312" w:hint="eastAsia"/>
          <w:color w:val="000000"/>
          <w:sz w:val="32"/>
          <w:szCs w:val="32"/>
        </w:rPr>
        <w:t>适配三腔植入系统</w:t>
      </w:r>
      <w:r>
        <w:rPr>
          <w:rFonts w:eastAsia="仿宋_GB2312" w:hint="eastAsia"/>
          <w:color w:val="000000"/>
          <w:sz w:val="32"/>
          <w:szCs w:val="32"/>
        </w:rPr>
        <w:t>，可描述为</w:t>
      </w:r>
      <w:r w:rsidRPr="006A4399">
        <w:rPr>
          <w:rFonts w:eastAsia="仿宋_GB2312" w:hint="eastAsia"/>
          <w:color w:val="000000"/>
          <w:sz w:val="32"/>
          <w:szCs w:val="32"/>
        </w:rPr>
        <w:t>适用于在植入式心脏起搏</w:t>
      </w:r>
      <w:r w:rsidR="001002CB" w:rsidRPr="008F2014">
        <w:rPr>
          <w:rFonts w:eastAsia="仿宋_GB2312" w:hint="eastAsia"/>
          <w:color w:val="000000"/>
          <w:sz w:val="32"/>
          <w:szCs w:val="32"/>
        </w:rPr>
        <w:t>系统</w:t>
      </w:r>
      <w:r w:rsidRPr="006A4399">
        <w:rPr>
          <w:rFonts w:eastAsia="仿宋_GB2312" w:hint="eastAsia"/>
          <w:color w:val="000000"/>
          <w:sz w:val="32"/>
          <w:szCs w:val="32"/>
        </w:rPr>
        <w:t>（包括心脏再同步治疗设备）</w:t>
      </w:r>
      <w:r w:rsidR="001002CB" w:rsidRPr="008F2014">
        <w:rPr>
          <w:rFonts w:eastAsia="仿宋_GB2312" w:hint="eastAsia"/>
          <w:color w:val="000000"/>
          <w:sz w:val="32"/>
          <w:szCs w:val="32"/>
        </w:rPr>
        <w:t>及植入式心脏除颤</w:t>
      </w:r>
      <w:r w:rsidR="001002CB" w:rsidRPr="008F2014">
        <w:rPr>
          <w:rFonts w:eastAsia="仿宋_GB2312" w:hint="eastAsia"/>
          <w:color w:val="000000"/>
          <w:sz w:val="32"/>
          <w:szCs w:val="32"/>
        </w:rPr>
        <w:lastRenderedPageBreak/>
        <w:t>系统</w:t>
      </w:r>
      <w:r w:rsidRPr="006A4399">
        <w:rPr>
          <w:rFonts w:eastAsia="仿宋_GB2312" w:hint="eastAsia"/>
          <w:color w:val="000000"/>
          <w:sz w:val="32"/>
          <w:szCs w:val="32"/>
        </w:rPr>
        <w:t>植入过程中对植入式电极导线</w:t>
      </w:r>
      <w:r w:rsidR="001002CB" w:rsidRPr="008F2014">
        <w:rPr>
          <w:rFonts w:eastAsia="仿宋_GB2312" w:hint="eastAsia"/>
          <w:color w:val="000000"/>
          <w:sz w:val="32"/>
          <w:szCs w:val="32"/>
        </w:rPr>
        <w:t>及具有起搏和感知功能的除颤电极导线的植入状态进行分析</w:t>
      </w:r>
      <w:r>
        <w:rPr>
          <w:rFonts w:eastAsia="仿宋_GB2312" w:hint="eastAsia"/>
          <w:color w:val="000000"/>
          <w:sz w:val="32"/>
          <w:szCs w:val="32"/>
        </w:rPr>
        <w:t>。</w:t>
      </w:r>
    </w:p>
    <w:p w14:paraId="1D1CBA6A" w14:textId="1CD02FBC" w:rsidR="007962CA" w:rsidRDefault="007962CA" w:rsidP="007962CA">
      <w:pPr>
        <w:spacing w:line="520" w:lineRule="exact"/>
        <w:ind w:firstLineChars="200" w:firstLine="640"/>
        <w:outlineLvl w:val="2"/>
        <w:rPr>
          <w:rFonts w:eastAsia="仿宋_GB2312"/>
          <w:color w:val="000000"/>
          <w:sz w:val="32"/>
          <w:szCs w:val="32"/>
        </w:rPr>
      </w:pPr>
      <w:r>
        <w:rPr>
          <w:rFonts w:eastAsia="仿宋_GB2312" w:hint="eastAsia"/>
          <w:color w:val="000000"/>
          <w:sz w:val="32"/>
          <w:szCs w:val="32"/>
        </w:rPr>
        <w:t>对于含有起搏系统分析模块的程控仪，须在产品适用范围中体现上述适用范围描述。</w:t>
      </w:r>
    </w:p>
    <w:p w14:paraId="204DDF7F" w14:textId="53C3D2FB" w:rsidR="00B608F4" w:rsidRDefault="00B608F4" w:rsidP="00B608F4">
      <w:pPr>
        <w:spacing w:line="520" w:lineRule="exact"/>
        <w:ind w:firstLineChars="200" w:firstLine="640"/>
        <w:outlineLvl w:val="2"/>
        <w:rPr>
          <w:rFonts w:eastAsia="仿宋_GB2312"/>
          <w:color w:val="000000"/>
          <w:sz w:val="32"/>
          <w:szCs w:val="32"/>
        </w:rPr>
      </w:pPr>
      <w:r>
        <w:rPr>
          <w:rFonts w:eastAsia="仿宋_GB2312" w:hint="eastAsia"/>
          <w:color w:val="000000"/>
          <w:sz w:val="32"/>
          <w:szCs w:val="32"/>
        </w:rPr>
        <w:t>对</w:t>
      </w:r>
      <w:r w:rsidRPr="00B608F4">
        <w:rPr>
          <w:rFonts w:eastAsia="仿宋_GB2312" w:hint="eastAsia"/>
          <w:color w:val="000000"/>
          <w:sz w:val="32"/>
          <w:szCs w:val="32"/>
        </w:rPr>
        <w:t>于与特定设备配合使用的起搏系统分析仪，需明确限定关系。如</w:t>
      </w:r>
      <w:r w:rsidR="007962CA">
        <w:rPr>
          <w:rFonts w:eastAsia="仿宋_GB2312" w:hint="eastAsia"/>
          <w:color w:val="000000"/>
          <w:sz w:val="32"/>
          <w:szCs w:val="32"/>
        </w:rPr>
        <w:t>，</w:t>
      </w:r>
      <w:r>
        <w:rPr>
          <w:rFonts w:eastAsia="仿宋_GB2312" w:hint="eastAsia"/>
          <w:color w:val="000000"/>
          <w:sz w:val="32"/>
          <w:szCs w:val="32"/>
        </w:rPr>
        <w:t>产品适用于在植入式心脏起搏</w:t>
      </w:r>
      <w:r w:rsidR="001002CB" w:rsidRPr="008F2014">
        <w:rPr>
          <w:rFonts w:eastAsia="仿宋_GB2312" w:hint="eastAsia"/>
          <w:color w:val="000000"/>
          <w:sz w:val="32"/>
          <w:szCs w:val="32"/>
        </w:rPr>
        <w:t>系统及植入式心脏除颤系统</w:t>
      </w:r>
      <w:bookmarkStart w:id="1" w:name="_GoBack"/>
      <w:bookmarkEnd w:id="1"/>
      <w:r>
        <w:rPr>
          <w:rFonts w:eastAsia="仿宋_GB2312" w:hint="eastAsia"/>
          <w:color w:val="000000"/>
          <w:sz w:val="32"/>
          <w:szCs w:val="32"/>
        </w:rPr>
        <w:t>植入过程中对植入式起搏电极导线</w:t>
      </w:r>
      <w:r w:rsidR="001002CB" w:rsidRPr="008F2014">
        <w:rPr>
          <w:rFonts w:eastAsia="仿宋_GB2312" w:hint="eastAsia"/>
          <w:color w:val="000000"/>
          <w:sz w:val="32"/>
          <w:szCs w:val="32"/>
        </w:rPr>
        <w:t>及具有起搏和感知功能的除颤电极导线</w:t>
      </w:r>
      <w:r w:rsidR="001002CB">
        <w:rPr>
          <w:rFonts w:eastAsia="仿宋_GB2312" w:hint="eastAsia"/>
          <w:color w:val="000000"/>
          <w:sz w:val="32"/>
          <w:szCs w:val="32"/>
        </w:rPr>
        <w:t>的</w:t>
      </w:r>
      <w:r>
        <w:rPr>
          <w:rFonts w:eastAsia="仿宋_GB2312" w:hint="eastAsia"/>
          <w:color w:val="000000"/>
          <w:sz w:val="32"/>
          <w:szCs w:val="32"/>
        </w:rPr>
        <w:t>植入状态进行分析。只可与</w:t>
      </w:r>
      <w:r>
        <w:rPr>
          <w:rFonts w:eastAsia="仿宋_GB2312" w:hint="eastAsia"/>
          <w:color w:val="000000"/>
          <w:sz w:val="32"/>
          <w:szCs w:val="32"/>
        </w:rPr>
        <w:t>XXX</w:t>
      </w:r>
      <w:r>
        <w:rPr>
          <w:rFonts w:eastAsia="仿宋_GB2312" w:hint="eastAsia"/>
          <w:color w:val="000000"/>
          <w:sz w:val="32"/>
          <w:szCs w:val="32"/>
        </w:rPr>
        <w:t>型</w:t>
      </w:r>
      <w:r w:rsidR="00BD3E57">
        <w:rPr>
          <w:rFonts w:eastAsia="仿宋_GB2312" w:cs="仿宋_GB2312" w:hint="eastAsia"/>
          <w:snapToGrid w:val="0"/>
          <w:kern w:val="0"/>
          <w:sz w:val="32"/>
          <w:szCs w:val="32"/>
        </w:rPr>
        <w:t>心脏节律管理程控设备</w:t>
      </w:r>
      <w:r>
        <w:rPr>
          <w:rFonts w:eastAsia="仿宋_GB2312" w:hint="eastAsia"/>
          <w:color w:val="000000"/>
          <w:sz w:val="32"/>
          <w:szCs w:val="32"/>
        </w:rPr>
        <w:t>配合使用。</w:t>
      </w:r>
    </w:p>
    <w:p w14:paraId="19429977" w14:textId="7306D082" w:rsidR="005B4851" w:rsidRDefault="00BD7986" w:rsidP="006A4399">
      <w:pPr>
        <w:pStyle w:val="a0"/>
        <w:rPr>
          <w:rFonts w:ascii="Times New Roman" w:eastAsia="仿宋_GB2312" w:hAnsi="Times New Roman"/>
          <w:snapToGrid w:val="0"/>
          <w:sz w:val="32"/>
          <w:szCs w:val="32"/>
        </w:rPr>
      </w:pPr>
      <w:r>
        <w:rPr>
          <w:rFonts w:hint="eastAsia"/>
        </w:rPr>
        <w:t xml:space="preserve">   </w:t>
      </w:r>
      <w:r w:rsidR="006A4399">
        <w:rPr>
          <w:rFonts w:hint="eastAsia"/>
        </w:rPr>
        <w:t xml:space="preserve">   </w:t>
      </w:r>
      <w:r w:rsidR="005D084F">
        <w:rPr>
          <w:rFonts w:ascii="Times New Roman" w:eastAsia="仿宋_GB2312" w:hAnsi="Times New Roman" w:hint="eastAsia"/>
          <w:snapToGrid w:val="0"/>
          <w:sz w:val="32"/>
          <w:szCs w:val="32"/>
        </w:rPr>
        <w:t>2.2</w:t>
      </w:r>
      <w:r w:rsidR="005D084F">
        <w:rPr>
          <w:rFonts w:ascii="Times New Roman" w:eastAsia="仿宋_GB2312" w:hAnsi="Times New Roman"/>
          <w:snapToGrid w:val="0"/>
          <w:color w:val="000000"/>
          <w:sz w:val="32"/>
          <w:szCs w:val="32"/>
        </w:rPr>
        <w:t>预期使用环境</w:t>
      </w:r>
    </w:p>
    <w:p w14:paraId="6A706EC9" w14:textId="77777777" w:rsidR="005B4851" w:rsidRDefault="005D084F">
      <w:pPr>
        <w:overflowPunct w:val="0"/>
        <w:autoSpaceDE w:val="0"/>
        <w:autoSpaceDN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需</w:t>
      </w:r>
      <w:r>
        <w:rPr>
          <w:rFonts w:eastAsia="仿宋_GB2312"/>
          <w:snapToGrid w:val="0"/>
          <w:kern w:val="0"/>
          <w:sz w:val="32"/>
          <w:szCs w:val="32"/>
        </w:rPr>
        <w:t>明确设备使用场</w:t>
      </w:r>
      <w:r>
        <w:rPr>
          <w:rFonts w:eastAsia="仿宋_GB2312" w:hint="eastAsia"/>
          <w:snapToGrid w:val="0"/>
          <w:kern w:val="0"/>
          <w:sz w:val="32"/>
          <w:szCs w:val="32"/>
        </w:rPr>
        <w:t>所</w:t>
      </w:r>
      <w:r>
        <w:rPr>
          <w:rFonts w:eastAsia="仿宋_GB2312"/>
          <w:snapToGrid w:val="0"/>
          <w:kern w:val="0"/>
          <w:sz w:val="32"/>
          <w:szCs w:val="32"/>
        </w:rPr>
        <w:t>和使用环境要求。</w:t>
      </w:r>
    </w:p>
    <w:p w14:paraId="00A6032D"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eastAsia="仿宋_GB2312"/>
          <w:snapToGrid w:val="0"/>
          <w:kern w:val="0"/>
          <w:sz w:val="32"/>
          <w:szCs w:val="32"/>
        </w:rPr>
        <w:t>使用环境要求</w:t>
      </w:r>
      <w:r>
        <w:rPr>
          <w:rFonts w:eastAsia="仿宋_GB2312" w:hint="eastAsia"/>
          <w:snapToGrid w:val="0"/>
          <w:kern w:val="0"/>
          <w:sz w:val="32"/>
          <w:szCs w:val="32"/>
        </w:rPr>
        <w:t>需</w:t>
      </w:r>
      <w:r>
        <w:rPr>
          <w:rFonts w:eastAsia="仿宋_GB2312"/>
          <w:snapToGrid w:val="0"/>
          <w:kern w:val="0"/>
          <w:sz w:val="32"/>
          <w:szCs w:val="32"/>
        </w:rPr>
        <w:t>至少包括：</w:t>
      </w:r>
      <w:r>
        <w:rPr>
          <w:rFonts w:eastAsia="仿宋_GB2312" w:hint="eastAsia"/>
          <w:snapToGrid w:val="0"/>
          <w:kern w:val="0"/>
          <w:sz w:val="32"/>
          <w:szCs w:val="32"/>
        </w:rPr>
        <w:t>推荐</w:t>
      </w:r>
      <w:r>
        <w:rPr>
          <w:rFonts w:eastAsia="仿宋_GB2312"/>
          <w:snapToGrid w:val="0"/>
          <w:kern w:val="0"/>
          <w:sz w:val="32"/>
          <w:szCs w:val="32"/>
        </w:rPr>
        <w:t>的硬件使用的适宜温</w:t>
      </w:r>
      <w:r>
        <w:rPr>
          <w:rFonts w:ascii="Times New Roman" w:eastAsia="仿宋_GB2312" w:hAnsi="Times New Roman"/>
          <w:snapToGrid w:val="0"/>
          <w:kern w:val="0"/>
          <w:sz w:val="32"/>
          <w:szCs w:val="32"/>
        </w:rPr>
        <w:t>度、湿度、大气压</w:t>
      </w:r>
      <w:r>
        <w:rPr>
          <w:rFonts w:ascii="Times New Roman" w:eastAsia="仿宋_GB2312" w:hAnsi="Times New Roman" w:hint="eastAsia"/>
          <w:snapToGrid w:val="0"/>
          <w:kern w:val="0"/>
          <w:sz w:val="32"/>
          <w:szCs w:val="32"/>
        </w:rPr>
        <w:t>、光照</w:t>
      </w:r>
      <w:r>
        <w:rPr>
          <w:rFonts w:ascii="Times New Roman" w:eastAsia="仿宋_GB2312" w:hAnsi="Times New Roman"/>
          <w:snapToGrid w:val="0"/>
          <w:kern w:val="0"/>
          <w:sz w:val="32"/>
          <w:szCs w:val="32"/>
        </w:rPr>
        <w:t>条件。</w:t>
      </w:r>
    </w:p>
    <w:p w14:paraId="40F9C244"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2.3</w:t>
      </w:r>
      <w:r>
        <w:rPr>
          <w:rFonts w:ascii="Times New Roman" w:eastAsia="仿宋_GB2312" w:hAnsi="Times New Roman" w:hint="eastAsia"/>
          <w:snapToGrid w:val="0"/>
          <w:kern w:val="0"/>
          <w:sz w:val="32"/>
          <w:szCs w:val="32"/>
        </w:rPr>
        <w:t>禁忌证</w:t>
      </w:r>
    </w:p>
    <w:p w14:paraId="50CB9C4B" w14:textId="77777777" w:rsidR="00C230DA" w:rsidRDefault="00C230DA" w:rsidP="00C230DA">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sidRPr="00C230DA">
        <w:rPr>
          <w:rFonts w:ascii="Times New Roman" w:eastAsia="仿宋_GB2312" w:hAnsi="Times New Roman" w:hint="eastAsia"/>
          <w:snapToGrid w:val="0"/>
          <w:kern w:val="0"/>
          <w:sz w:val="32"/>
          <w:szCs w:val="32"/>
        </w:rPr>
        <w:t>起搏系统分析</w:t>
      </w:r>
      <w:proofErr w:type="gramStart"/>
      <w:r w:rsidRPr="00C230DA">
        <w:rPr>
          <w:rFonts w:ascii="Times New Roman" w:eastAsia="仿宋_GB2312" w:hAnsi="Times New Roman" w:hint="eastAsia"/>
          <w:snapToGrid w:val="0"/>
          <w:kern w:val="0"/>
          <w:sz w:val="32"/>
          <w:szCs w:val="32"/>
        </w:rPr>
        <w:t>仪本身</w:t>
      </w:r>
      <w:proofErr w:type="gramEnd"/>
      <w:r w:rsidRPr="00C230DA">
        <w:rPr>
          <w:rFonts w:ascii="Times New Roman" w:eastAsia="仿宋_GB2312" w:hAnsi="Times New Roman" w:hint="eastAsia"/>
          <w:snapToGrid w:val="0"/>
          <w:kern w:val="0"/>
          <w:sz w:val="32"/>
          <w:szCs w:val="32"/>
        </w:rPr>
        <w:t>无特定禁忌症，其使用禁忌与植入式起搏器或除颤器的植入禁忌相同。</w:t>
      </w:r>
    </w:p>
    <w:p w14:paraId="6D8C13B1" w14:textId="47B83A2F" w:rsidR="005B4851" w:rsidRDefault="005D084F" w:rsidP="00C230DA">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不能将</w:t>
      </w:r>
      <w:r w:rsidR="00C230DA" w:rsidRPr="00C230DA">
        <w:rPr>
          <w:rFonts w:ascii="Times New Roman" w:eastAsia="仿宋_GB2312" w:hAnsi="Times New Roman" w:hint="eastAsia"/>
          <w:snapToGrid w:val="0"/>
          <w:kern w:val="0"/>
          <w:sz w:val="32"/>
          <w:szCs w:val="32"/>
        </w:rPr>
        <w:t>起搏系统分析仪</w:t>
      </w:r>
      <w:r>
        <w:rPr>
          <w:rFonts w:ascii="Times New Roman" w:eastAsia="仿宋_GB2312" w:hAnsi="Times New Roman" w:hint="eastAsia"/>
          <w:snapToGrid w:val="0"/>
          <w:kern w:val="0"/>
          <w:sz w:val="32"/>
          <w:szCs w:val="32"/>
        </w:rPr>
        <w:t>作</w:t>
      </w:r>
      <w:r w:rsidR="00C230DA">
        <w:rPr>
          <w:rFonts w:ascii="Times New Roman" w:eastAsia="仿宋_GB2312" w:hAnsi="Times New Roman" w:hint="eastAsia"/>
          <w:snapToGrid w:val="0"/>
          <w:kern w:val="0"/>
          <w:sz w:val="32"/>
          <w:szCs w:val="32"/>
        </w:rPr>
        <w:t>为</w:t>
      </w:r>
      <w:r>
        <w:rPr>
          <w:rFonts w:ascii="Times New Roman" w:eastAsia="仿宋_GB2312" w:hAnsi="Times New Roman" w:hint="eastAsia"/>
          <w:snapToGrid w:val="0"/>
          <w:kern w:val="0"/>
          <w:sz w:val="32"/>
          <w:szCs w:val="32"/>
        </w:rPr>
        <w:t>体外起搏器使用。</w:t>
      </w:r>
    </w:p>
    <w:p w14:paraId="63A400A1"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2.4</w:t>
      </w:r>
      <w:r>
        <w:rPr>
          <w:rFonts w:ascii="Times New Roman" w:eastAsia="仿宋_GB2312" w:hAnsi="Times New Roman" w:hint="eastAsia"/>
          <w:snapToGrid w:val="0"/>
          <w:kern w:val="0"/>
          <w:sz w:val="32"/>
          <w:szCs w:val="32"/>
        </w:rPr>
        <w:t>其他需要说明的内容</w:t>
      </w:r>
    </w:p>
    <w:p w14:paraId="33F316A3"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如适用（如外接程控仪、外接心电监护设备用以显示腔内心电图等），需明确与申报产品联合使用实现预期用途的其他产品的详细信息，包括制造商、型号规格、注册证号等。</w:t>
      </w:r>
    </w:p>
    <w:p w14:paraId="3D1B4D16"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2.5</w:t>
      </w:r>
      <w:r>
        <w:rPr>
          <w:rFonts w:ascii="Times New Roman" w:eastAsia="仿宋_GB2312" w:hAnsi="Times New Roman" w:hint="eastAsia"/>
          <w:snapToGrid w:val="0"/>
          <w:kern w:val="0"/>
          <w:sz w:val="32"/>
          <w:szCs w:val="32"/>
        </w:rPr>
        <w:t>产品的不良事件历史记录</w:t>
      </w:r>
    </w:p>
    <w:p w14:paraId="7F4EEE87" w14:textId="77777777" w:rsidR="005B4851" w:rsidRDefault="005D084F">
      <w:pPr>
        <w:pStyle w:val="af7"/>
        <w:overflowPunct w:val="0"/>
        <w:autoSpaceDE w:val="0"/>
        <w:autoSpaceDN w:val="0"/>
        <w:spacing w:line="520" w:lineRule="exact"/>
        <w:ind w:right="210" w:firstLine="640"/>
        <w:outlineLvl w:val="3"/>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根据相关企业的总结与设备相关的不良事件包括但不限于以下：不适当的感知阈值或起搏阈值的设置可能引起的不适当起搏；不适当的起搏频率输出引起的心律失常；</w:t>
      </w:r>
      <w:r>
        <w:rPr>
          <w:rFonts w:ascii="Times New Roman" w:eastAsia="仿宋_GB2312" w:hAnsi="Times New Roman" w:hint="eastAsia"/>
          <w:snapToGrid w:val="0"/>
          <w:kern w:val="0"/>
          <w:sz w:val="32"/>
          <w:szCs w:val="32"/>
        </w:rPr>
        <w:lastRenderedPageBreak/>
        <w:t>起搏突然停止导致心搏停止。与连接缆</w:t>
      </w:r>
      <w:proofErr w:type="gramStart"/>
      <w:r>
        <w:rPr>
          <w:rFonts w:ascii="Times New Roman" w:eastAsia="仿宋_GB2312" w:hAnsi="Times New Roman" w:hint="eastAsia"/>
          <w:snapToGrid w:val="0"/>
          <w:kern w:val="0"/>
          <w:sz w:val="32"/>
          <w:szCs w:val="32"/>
        </w:rPr>
        <w:t>线相关</w:t>
      </w:r>
      <w:proofErr w:type="gramEnd"/>
      <w:r>
        <w:rPr>
          <w:rFonts w:ascii="Times New Roman" w:eastAsia="仿宋_GB2312" w:hAnsi="Times New Roman" w:hint="eastAsia"/>
          <w:snapToGrid w:val="0"/>
          <w:kern w:val="0"/>
          <w:sz w:val="32"/>
          <w:szCs w:val="32"/>
        </w:rPr>
        <w:t>的不良反应包括但不限于以下：连接缆线断裂或接触不良导致设备功能失常。</w:t>
      </w:r>
    </w:p>
    <w:p w14:paraId="096BECA4" w14:textId="77777777" w:rsidR="005B4851" w:rsidRDefault="005D084F">
      <w:pPr>
        <w:overflowPunct w:val="0"/>
        <w:autoSpaceDE w:val="0"/>
        <w:autoSpaceDN w:val="0"/>
        <w:spacing w:line="520" w:lineRule="exact"/>
        <w:ind w:left="221" w:firstLine="200"/>
        <w:outlineLvl w:val="1"/>
        <w:rPr>
          <w:rFonts w:eastAsia="楷体_GB2312"/>
          <w:color w:val="000000"/>
          <w:sz w:val="32"/>
          <w:szCs w:val="32"/>
        </w:rPr>
      </w:pPr>
      <w:bookmarkStart w:id="2" w:name="_Toc432753649"/>
      <w:r>
        <w:rPr>
          <w:rFonts w:eastAsia="楷体_GB2312" w:hint="eastAsia"/>
          <w:color w:val="000000"/>
          <w:sz w:val="32"/>
          <w:szCs w:val="32"/>
        </w:rPr>
        <w:t>（三）非</w:t>
      </w:r>
      <w:r>
        <w:rPr>
          <w:rFonts w:eastAsia="楷体_GB2312"/>
          <w:color w:val="000000"/>
          <w:sz w:val="32"/>
          <w:szCs w:val="32"/>
        </w:rPr>
        <w:t>临床</w:t>
      </w:r>
      <w:r>
        <w:rPr>
          <w:rFonts w:eastAsia="楷体_GB2312" w:hint="eastAsia"/>
          <w:color w:val="000000"/>
          <w:sz w:val="32"/>
          <w:szCs w:val="32"/>
        </w:rPr>
        <w:t>资料</w:t>
      </w:r>
    </w:p>
    <w:p w14:paraId="147BFD08"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1.</w:t>
      </w:r>
      <w:r>
        <w:rPr>
          <w:rFonts w:eastAsia="仿宋_GB2312" w:hint="eastAsia"/>
          <w:snapToGrid w:val="0"/>
          <w:kern w:val="0"/>
          <w:sz w:val="32"/>
          <w:szCs w:val="32"/>
        </w:rPr>
        <w:t>产品风险</w:t>
      </w:r>
      <w:bookmarkEnd w:id="2"/>
      <w:r>
        <w:rPr>
          <w:rFonts w:eastAsia="仿宋_GB2312" w:hint="eastAsia"/>
          <w:snapToGrid w:val="0"/>
          <w:kern w:val="0"/>
          <w:sz w:val="32"/>
          <w:szCs w:val="32"/>
        </w:rPr>
        <w:t>管理资料</w:t>
      </w:r>
    </w:p>
    <w:p w14:paraId="2B04AC30" w14:textId="77777777" w:rsidR="005B4851" w:rsidRDefault="005D084F">
      <w:pPr>
        <w:overflowPunct w:val="0"/>
        <w:autoSpaceDE w:val="0"/>
        <w:autoSpaceDN w:val="0"/>
        <w:adjustRightInd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申请人可参考</w:t>
      </w:r>
      <w:r>
        <w:rPr>
          <w:rFonts w:eastAsia="仿宋_GB2312" w:hint="eastAsia"/>
          <w:snapToGrid w:val="0"/>
          <w:kern w:val="0"/>
          <w:sz w:val="32"/>
          <w:szCs w:val="32"/>
        </w:rPr>
        <w:t>GB/T 42062</w:t>
      </w:r>
      <w:r>
        <w:rPr>
          <w:rFonts w:eastAsia="仿宋_GB2312" w:hint="eastAsia"/>
          <w:snapToGrid w:val="0"/>
          <w:kern w:val="0"/>
          <w:sz w:val="32"/>
          <w:szCs w:val="32"/>
        </w:rPr>
        <w:t>《医疗器械风险管理对医疗器械的应用》及</w:t>
      </w:r>
      <w:r>
        <w:rPr>
          <w:rFonts w:eastAsia="仿宋_GB2312" w:hint="eastAsia"/>
          <w:snapToGrid w:val="0"/>
          <w:kern w:val="0"/>
          <w:sz w:val="32"/>
          <w:szCs w:val="32"/>
        </w:rPr>
        <w:t>YY/T 1437</w:t>
      </w:r>
      <w:r>
        <w:rPr>
          <w:rFonts w:eastAsia="仿宋_GB2312" w:hint="eastAsia"/>
          <w:snapToGrid w:val="0"/>
          <w:kern w:val="0"/>
          <w:sz w:val="32"/>
          <w:szCs w:val="32"/>
        </w:rPr>
        <w:t>《医疗器械</w:t>
      </w:r>
      <w:r>
        <w:rPr>
          <w:rFonts w:eastAsia="仿宋_GB2312" w:hint="eastAsia"/>
          <w:snapToGrid w:val="0"/>
          <w:kern w:val="0"/>
          <w:sz w:val="32"/>
          <w:szCs w:val="32"/>
        </w:rPr>
        <w:t xml:space="preserve"> GB/T 42062</w:t>
      </w:r>
      <w:r>
        <w:rPr>
          <w:rFonts w:eastAsia="仿宋_GB2312" w:hint="eastAsia"/>
          <w:snapToGrid w:val="0"/>
          <w:kern w:val="0"/>
          <w:sz w:val="32"/>
          <w:szCs w:val="32"/>
        </w:rPr>
        <w:t>应用指南》标准对产品进行全生命周期风险管理，提交风险管理资料。</w:t>
      </w:r>
    </w:p>
    <w:p w14:paraId="2B9C9DC9" w14:textId="77777777" w:rsidR="005B4851" w:rsidRDefault="005D084F">
      <w:pPr>
        <w:overflowPunct w:val="0"/>
        <w:autoSpaceDE w:val="0"/>
        <w:autoSpaceDN w:val="0"/>
        <w:adjustRightInd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结合产品自身设计特点、临床用途及使用场景，充分识别与安全有关的特征，进行风险分析、评价及控制。风险控制的方案与实施、综合剩余风险的评价可参考</w:t>
      </w:r>
      <w:r>
        <w:rPr>
          <w:rFonts w:eastAsia="仿宋_GB2312" w:hint="eastAsia"/>
          <w:snapToGrid w:val="0"/>
          <w:kern w:val="0"/>
          <w:sz w:val="32"/>
          <w:szCs w:val="32"/>
        </w:rPr>
        <w:t>GB/T 42062</w:t>
      </w:r>
      <w:r>
        <w:rPr>
          <w:rFonts w:eastAsia="仿宋_GB2312" w:hint="eastAsia"/>
          <w:snapToGrid w:val="0"/>
          <w:kern w:val="0"/>
          <w:sz w:val="32"/>
          <w:szCs w:val="32"/>
        </w:rPr>
        <w:t>《医疗器械风险管理对医疗器械的应用》标准第</w:t>
      </w:r>
      <w:r>
        <w:rPr>
          <w:rFonts w:eastAsia="仿宋_GB2312" w:hint="eastAsia"/>
          <w:snapToGrid w:val="0"/>
          <w:kern w:val="0"/>
          <w:sz w:val="32"/>
          <w:szCs w:val="32"/>
        </w:rPr>
        <w:t>7</w:t>
      </w:r>
      <w:r>
        <w:rPr>
          <w:rFonts w:eastAsia="仿宋_GB2312" w:hint="eastAsia"/>
          <w:snapToGrid w:val="0"/>
          <w:kern w:val="0"/>
          <w:sz w:val="32"/>
          <w:szCs w:val="32"/>
        </w:rPr>
        <w:t>、第</w:t>
      </w:r>
      <w:r>
        <w:rPr>
          <w:rFonts w:eastAsia="仿宋_GB2312" w:hint="eastAsia"/>
          <w:snapToGrid w:val="0"/>
          <w:kern w:val="0"/>
          <w:sz w:val="32"/>
          <w:szCs w:val="32"/>
        </w:rPr>
        <w:t>8</w:t>
      </w:r>
      <w:r>
        <w:rPr>
          <w:rFonts w:eastAsia="仿宋_GB2312" w:hint="eastAsia"/>
          <w:snapToGrid w:val="0"/>
          <w:kern w:val="0"/>
          <w:sz w:val="32"/>
          <w:szCs w:val="32"/>
        </w:rPr>
        <w:t>章的相关要求。</w:t>
      </w:r>
    </w:p>
    <w:p w14:paraId="6C62EBBF" w14:textId="77777777" w:rsidR="005B4851" w:rsidRDefault="005D084F">
      <w:pPr>
        <w:tabs>
          <w:tab w:val="left" w:pos="8040"/>
        </w:tabs>
        <w:spacing w:line="520" w:lineRule="exact"/>
        <w:ind w:firstLineChars="200" w:firstLine="640"/>
        <w:rPr>
          <w:rFonts w:eastAsia="仿宋_GB2312"/>
          <w:color w:val="000000"/>
          <w:sz w:val="32"/>
          <w:szCs w:val="28"/>
        </w:rPr>
      </w:pPr>
      <w:bookmarkStart w:id="3" w:name="_Toc432753650"/>
      <w:r>
        <w:rPr>
          <w:rFonts w:eastAsia="仿宋_GB2312" w:hint="eastAsia"/>
          <w:color w:val="000000"/>
          <w:sz w:val="32"/>
          <w:szCs w:val="28"/>
        </w:rPr>
        <w:t>申请人应确保</w:t>
      </w:r>
      <w:proofErr w:type="gramStart"/>
      <w:r>
        <w:rPr>
          <w:rFonts w:eastAsia="仿宋_GB2312" w:hint="eastAsia"/>
          <w:color w:val="000000"/>
          <w:sz w:val="32"/>
          <w:szCs w:val="28"/>
        </w:rPr>
        <w:t>各风险</w:t>
      </w:r>
      <w:proofErr w:type="gramEnd"/>
      <w:r>
        <w:rPr>
          <w:rFonts w:eastAsia="仿宋_GB2312" w:hint="eastAsia"/>
          <w:color w:val="000000"/>
          <w:sz w:val="32"/>
          <w:szCs w:val="28"/>
        </w:rPr>
        <w:t>的可追溯性，提供</w:t>
      </w:r>
      <w:proofErr w:type="gramStart"/>
      <w:r>
        <w:rPr>
          <w:rFonts w:eastAsia="仿宋_GB2312" w:hint="eastAsia"/>
          <w:color w:val="000000"/>
          <w:sz w:val="32"/>
          <w:szCs w:val="28"/>
        </w:rPr>
        <w:t>各风险</w:t>
      </w:r>
      <w:proofErr w:type="gramEnd"/>
      <w:r>
        <w:rPr>
          <w:rFonts w:eastAsia="仿宋_GB2312" w:hint="eastAsia"/>
          <w:color w:val="000000"/>
          <w:sz w:val="32"/>
          <w:szCs w:val="28"/>
        </w:rPr>
        <w:t>及综合剩余风险的可接受准则，确认</w:t>
      </w:r>
      <w:proofErr w:type="gramStart"/>
      <w:r>
        <w:rPr>
          <w:rFonts w:eastAsia="仿宋_GB2312" w:hint="eastAsia"/>
          <w:color w:val="000000"/>
          <w:sz w:val="32"/>
          <w:szCs w:val="28"/>
        </w:rPr>
        <w:t>各风险</w:t>
      </w:r>
      <w:proofErr w:type="gramEnd"/>
      <w:r>
        <w:rPr>
          <w:rFonts w:eastAsia="仿宋_GB2312" w:hint="eastAsia"/>
          <w:color w:val="000000"/>
          <w:sz w:val="32"/>
          <w:szCs w:val="28"/>
        </w:rPr>
        <w:t>及综合剩余风险可接受。</w:t>
      </w:r>
    </w:p>
    <w:p w14:paraId="69FBE72D" w14:textId="77777777" w:rsidR="005B4851" w:rsidRDefault="005D084F">
      <w:pPr>
        <w:spacing w:line="520" w:lineRule="exact"/>
        <w:ind w:firstLineChars="200" w:firstLine="640"/>
        <w:rPr>
          <w:rFonts w:eastAsia="仿宋_GB2312"/>
          <w:color w:val="000000"/>
          <w:sz w:val="32"/>
          <w:szCs w:val="32"/>
        </w:rPr>
      </w:pPr>
      <w:r>
        <w:rPr>
          <w:rFonts w:eastAsia="仿宋_GB2312" w:hint="eastAsia"/>
          <w:color w:val="000000"/>
          <w:sz w:val="32"/>
          <w:szCs w:val="32"/>
        </w:rPr>
        <w:t>1.</w:t>
      </w:r>
      <w:r>
        <w:rPr>
          <w:rFonts w:eastAsia="仿宋_GB2312"/>
          <w:color w:val="000000"/>
          <w:sz w:val="32"/>
          <w:szCs w:val="32"/>
        </w:rPr>
        <w:t>1</w:t>
      </w:r>
      <w:r>
        <w:rPr>
          <w:rFonts w:eastAsia="仿宋_GB2312" w:hint="eastAsia"/>
          <w:color w:val="000000"/>
          <w:sz w:val="32"/>
          <w:szCs w:val="32"/>
        </w:rPr>
        <w:t>风险分析：包括医疗器械适用范围和与安全性有关特征的识别、危害的识别、估计每个危害处境的风险。</w:t>
      </w:r>
    </w:p>
    <w:p w14:paraId="206BC042"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1.</w:t>
      </w:r>
      <w:r>
        <w:rPr>
          <w:rFonts w:eastAsia="仿宋_GB2312" w:hint="eastAsia"/>
          <w:color w:val="000000"/>
          <w:sz w:val="32"/>
          <w:szCs w:val="32"/>
        </w:rPr>
        <w:t>2</w:t>
      </w:r>
      <w:r>
        <w:rPr>
          <w:rFonts w:eastAsia="仿宋_GB2312" w:hint="eastAsia"/>
          <w:color w:val="000000"/>
          <w:sz w:val="32"/>
          <w:szCs w:val="32"/>
        </w:rPr>
        <w:t>风险评价：对于每个已识别的危害处境，评价和决定是否需要降低风险，若需要，描述如何进行相应风险控制。</w:t>
      </w:r>
    </w:p>
    <w:p w14:paraId="3C35BFC4"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1.</w:t>
      </w:r>
      <w:r>
        <w:rPr>
          <w:rFonts w:eastAsia="仿宋_GB2312" w:hint="eastAsia"/>
          <w:color w:val="000000"/>
          <w:sz w:val="32"/>
          <w:szCs w:val="32"/>
        </w:rPr>
        <w:t>3</w:t>
      </w:r>
      <w:r>
        <w:rPr>
          <w:rFonts w:eastAsia="仿宋_GB2312" w:hint="eastAsia"/>
          <w:color w:val="000000"/>
          <w:sz w:val="32"/>
          <w:szCs w:val="32"/>
        </w:rPr>
        <w:t>风险控制：描述为降低风险所执行风险控制的相关内容。</w:t>
      </w:r>
    </w:p>
    <w:p w14:paraId="04950FFC"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1.</w:t>
      </w:r>
      <w:r>
        <w:rPr>
          <w:rFonts w:eastAsia="仿宋_GB2312" w:hint="eastAsia"/>
          <w:color w:val="000000"/>
          <w:sz w:val="32"/>
          <w:szCs w:val="32"/>
        </w:rPr>
        <w:t>4</w:t>
      </w:r>
      <w:r>
        <w:rPr>
          <w:rFonts w:eastAsia="仿宋_GB2312" w:hint="eastAsia"/>
          <w:color w:val="000000"/>
          <w:sz w:val="32"/>
          <w:szCs w:val="32"/>
        </w:rPr>
        <w:t>任何一个或多个剩余风险的可接受性评定。</w:t>
      </w:r>
    </w:p>
    <w:p w14:paraId="20C5AC3E"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1.5</w:t>
      </w:r>
      <w:r>
        <w:rPr>
          <w:rFonts w:eastAsia="仿宋_GB2312" w:hint="eastAsia"/>
          <w:color w:val="000000"/>
          <w:sz w:val="32"/>
          <w:szCs w:val="32"/>
        </w:rPr>
        <w:t>与产品受益相比，综合评价产品风险可接受。</w:t>
      </w:r>
    </w:p>
    <w:p w14:paraId="459C2A8F" w14:textId="77777777" w:rsidR="005B4851" w:rsidRDefault="005D084F">
      <w:pPr>
        <w:spacing w:line="520" w:lineRule="exact"/>
        <w:ind w:firstLineChars="200" w:firstLine="640"/>
        <w:rPr>
          <w:rFonts w:eastAsia="仿宋_GB2312"/>
          <w:color w:val="000000"/>
          <w:sz w:val="32"/>
          <w:szCs w:val="32"/>
        </w:rPr>
      </w:pPr>
      <w:r>
        <w:rPr>
          <w:rFonts w:eastAsia="仿宋_GB2312" w:hint="eastAsia"/>
          <w:color w:val="000000"/>
          <w:sz w:val="32"/>
          <w:szCs w:val="32"/>
        </w:rPr>
        <w:t>起搏系统分析仪的危险示例见附件</w:t>
      </w:r>
      <w:r>
        <w:rPr>
          <w:rFonts w:eastAsia="仿宋_GB2312" w:hint="eastAsia"/>
          <w:color w:val="000000"/>
          <w:sz w:val="32"/>
          <w:szCs w:val="32"/>
        </w:rPr>
        <w:t>1</w:t>
      </w:r>
      <w:r>
        <w:rPr>
          <w:rFonts w:eastAsia="仿宋_GB2312" w:hint="eastAsia"/>
          <w:color w:val="000000"/>
          <w:sz w:val="32"/>
          <w:szCs w:val="32"/>
        </w:rPr>
        <w:t>表格。</w:t>
      </w:r>
    </w:p>
    <w:bookmarkEnd w:id="3"/>
    <w:p w14:paraId="1EE14C7B" w14:textId="77777777" w:rsidR="005B4851" w:rsidRDefault="005D084F">
      <w:pPr>
        <w:spacing w:line="520" w:lineRule="exact"/>
        <w:ind w:firstLineChars="200" w:firstLine="640"/>
        <w:outlineLvl w:val="1"/>
        <w:rPr>
          <w:rFonts w:eastAsia="仿宋_GB2312"/>
          <w:color w:val="000000"/>
          <w:sz w:val="32"/>
          <w:szCs w:val="32"/>
        </w:rPr>
      </w:pPr>
      <w:r>
        <w:rPr>
          <w:rFonts w:eastAsia="仿宋_GB2312"/>
          <w:color w:val="000000"/>
          <w:sz w:val="32"/>
          <w:szCs w:val="32"/>
        </w:rPr>
        <w:t>2.</w:t>
      </w:r>
      <w:r>
        <w:rPr>
          <w:rFonts w:hint="eastAsia"/>
        </w:rPr>
        <w:t xml:space="preserve"> </w:t>
      </w:r>
      <w:r>
        <w:rPr>
          <w:rFonts w:eastAsia="仿宋_GB2312" w:hint="eastAsia"/>
          <w:color w:val="000000"/>
          <w:sz w:val="32"/>
          <w:szCs w:val="32"/>
        </w:rPr>
        <w:t>产品技术要求及检验报告</w:t>
      </w:r>
    </w:p>
    <w:p w14:paraId="2A2F9A94" w14:textId="77777777" w:rsidR="005B4851" w:rsidRDefault="005D084F">
      <w:pPr>
        <w:overflowPunct w:val="0"/>
        <w:autoSpaceDE w:val="0"/>
        <w:autoSpaceDN w:val="0"/>
        <w:spacing w:line="520" w:lineRule="exact"/>
        <w:ind w:firstLineChars="200" w:firstLine="640"/>
        <w:outlineLvl w:val="3"/>
        <w:rPr>
          <w:rFonts w:eastAsia="仿宋_GB2312"/>
          <w:snapToGrid w:val="0"/>
          <w:kern w:val="0"/>
          <w:sz w:val="32"/>
          <w:szCs w:val="32"/>
        </w:rPr>
      </w:pPr>
      <w:r>
        <w:rPr>
          <w:rFonts w:eastAsia="仿宋_GB2312" w:hint="eastAsia"/>
          <w:snapToGrid w:val="0"/>
          <w:kern w:val="0"/>
          <w:sz w:val="32"/>
          <w:szCs w:val="32"/>
        </w:rPr>
        <w:t>2.1</w:t>
      </w:r>
      <w:r>
        <w:rPr>
          <w:rFonts w:eastAsia="仿宋_GB2312"/>
          <w:snapToGrid w:val="0"/>
          <w:kern w:val="0"/>
          <w:sz w:val="32"/>
          <w:szCs w:val="32"/>
        </w:rPr>
        <w:t>产品技术要求</w:t>
      </w:r>
    </w:p>
    <w:p w14:paraId="09445AB2" w14:textId="77777777" w:rsidR="005B4851" w:rsidRDefault="005D084F">
      <w:pPr>
        <w:overflowPunct w:val="0"/>
        <w:autoSpaceDE w:val="0"/>
        <w:autoSpaceDN w:val="0"/>
        <w:spacing w:line="520" w:lineRule="exact"/>
        <w:ind w:firstLineChars="200" w:firstLine="640"/>
        <w:rPr>
          <w:rFonts w:eastAsia="仿宋_GB2312"/>
          <w:snapToGrid w:val="0"/>
          <w:kern w:val="0"/>
          <w:sz w:val="32"/>
          <w:szCs w:val="32"/>
        </w:rPr>
      </w:pPr>
      <w:r>
        <w:rPr>
          <w:rFonts w:eastAsia="仿宋_GB2312"/>
          <w:snapToGrid w:val="0"/>
          <w:kern w:val="0"/>
          <w:sz w:val="32"/>
          <w:szCs w:val="32"/>
        </w:rPr>
        <w:lastRenderedPageBreak/>
        <w:t>产品技术要求</w:t>
      </w:r>
      <w:r>
        <w:rPr>
          <w:rFonts w:eastAsia="仿宋_GB2312" w:hint="eastAsia"/>
          <w:snapToGrid w:val="0"/>
          <w:kern w:val="0"/>
          <w:sz w:val="32"/>
          <w:szCs w:val="32"/>
        </w:rPr>
        <w:t>应依据</w:t>
      </w:r>
      <w:r>
        <w:rPr>
          <w:rFonts w:eastAsia="仿宋_GB2312"/>
          <w:snapToGrid w:val="0"/>
          <w:kern w:val="0"/>
          <w:sz w:val="32"/>
          <w:szCs w:val="32"/>
        </w:rPr>
        <w:t>《医疗器械产品技术要求编写指导原则》进行编制。</w:t>
      </w:r>
      <w:r>
        <w:rPr>
          <w:rFonts w:eastAsia="仿宋_GB2312" w:hint="eastAsia"/>
          <w:snapToGrid w:val="0"/>
          <w:kern w:val="0"/>
          <w:sz w:val="32"/>
          <w:szCs w:val="32"/>
        </w:rPr>
        <w:t>本指导原则列出</w:t>
      </w:r>
      <w:r>
        <w:rPr>
          <w:rFonts w:eastAsia="仿宋_GB2312" w:hint="eastAsia"/>
          <w:color w:val="000000"/>
          <w:sz w:val="32"/>
          <w:szCs w:val="32"/>
        </w:rPr>
        <w:t>起搏系统分析仪</w:t>
      </w:r>
      <w:r>
        <w:rPr>
          <w:rFonts w:eastAsia="仿宋_GB2312" w:hint="eastAsia"/>
          <w:snapToGrid w:val="0"/>
          <w:kern w:val="0"/>
          <w:sz w:val="32"/>
          <w:szCs w:val="32"/>
        </w:rPr>
        <w:t>的典型指标要求，在不低于相关国家标准、行业标准、法律法规要求的前提下，可根据自身产品的技术特点制定适用的性能指标要求。若产品具有其他部件或功能，应不低于相应国家标准和行业标准要求。</w:t>
      </w:r>
    </w:p>
    <w:p w14:paraId="3740924B" w14:textId="77777777" w:rsidR="005B4851" w:rsidRDefault="005D084F">
      <w:pPr>
        <w:spacing w:line="520" w:lineRule="exact"/>
        <w:ind w:firstLineChars="200" w:firstLine="640"/>
      </w:pPr>
      <w:r>
        <w:rPr>
          <w:rFonts w:eastAsia="仿宋_GB2312" w:hint="eastAsia"/>
          <w:sz w:val="32"/>
          <w:szCs w:val="32"/>
        </w:rPr>
        <w:t>若有起</w:t>
      </w:r>
      <w:r>
        <w:rPr>
          <w:rFonts w:eastAsia="仿宋_GB2312" w:hint="eastAsia"/>
          <w:color w:val="000000"/>
          <w:sz w:val="32"/>
          <w:szCs w:val="32"/>
        </w:rPr>
        <w:t>搏系统分析仪</w:t>
      </w:r>
      <w:r>
        <w:rPr>
          <w:rFonts w:eastAsia="仿宋_GB2312" w:hint="eastAsia"/>
          <w:sz w:val="32"/>
          <w:szCs w:val="32"/>
        </w:rPr>
        <w:t>适用的相关标准修订</w:t>
      </w:r>
      <w:r>
        <w:rPr>
          <w:rFonts w:eastAsia="仿宋_GB2312"/>
          <w:sz w:val="32"/>
          <w:szCs w:val="32"/>
        </w:rPr>
        <w:t>/</w:t>
      </w:r>
      <w:r>
        <w:rPr>
          <w:rFonts w:eastAsia="仿宋_GB2312" w:hint="eastAsia"/>
          <w:sz w:val="32"/>
          <w:szCs w:val="32"/>
        </w:rPr>
        <w:t>发布实施的，应符合现行有效标准要求。</w:t>
      </w:r>
    </w:p>
    <w:p w14:paraId="4F45304C" w14:textId="3AE826D4" w:rsidR="005B4851" w:rsidRDefault="005D084F">
      <w:pPr>
        <w:pStyle w:val="af7"/>
        <w:overflowPunct w:val="0"/>
        <w:autoSpaceDE w:val="0"/>
        <w:autoSpaceDN w:val="0"/>
        <w:spacing w:line="520" w:lineRule="exact"/>
        <w:ind w:right="21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2.1.1</w:t>
      </w:r>
      <w:r w:rsidR="00103534" w:rsidRPr="00103534">
        <w:rPr>
          <w:rFonts w:ascii="Times New Roman" w:eastAsia="仿宋_GB2312" w:hAnsi="Times New Roman" w:hint="eastAsia"/>
          <w:snapToGrid w:val="0"/>
          <w:kern w:val="0"/>
          <w:sz w:val="32"/>
          <w:szCs w:val="32"/>
        </w:rPr>
        <w:t>产品型号规格及其划分说明</w:t>
      </w:r>
    </w:p>
    <w:p w14:paraId="5350A34A" w14:textId="77777777" w:rsidR="005B4851" w:rsidRDefault="005D084F">
      <w:pPr>
        <w:overflowPunct w:val="0"/>
        <w:autoSpaceDE w:val="0"/>
        <w:autoSpaceDN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说明产品的型号、规格，明确产品型号、规格的划分说明，明确不同型号产品的差异。明确软件发布版本和版本命名规则。软件版本命名规则应能区分重大软件更新和轻微软件更新，其中重大软件更新列举常见典型情况。</w:t>
      </w:r>
    </w:p>
    <w:p w14:paraId="54094E78" w14:textId="77777777" w:rsidR="005B4851" w:rsidRDefault="005D084F">
      <w:pPr>
        <w:pStyle w:val="af7"/>
        <w:overflowPunct w:val="0"/>
        <w:autoSpaceDE w:val="0"/>
        <w:autoSpaceDN w:val="0"/>
        <w:spacing w:line="520" w:lineRule="exact"/>
        <w:ind w:right="21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2.1.2</w:t>
      </w:r>
      <w:r>
        <w:rPr>
          <w:rFonts w:ascii="Times New Roman" w:eastAsia="仿宋_GB2312" w:hAnsi="Times New Roman" w:hint="eastAsia"/>
          <w:snapToGrid w:val="0"/>
          <w:kern w:val="0"/>
          <w:sz w:val="32"/>
          <w:szCs w:val="32"/>
        </w:rPr>
        <w:t>性能指标</w:t>
      </w:r>
    </w:p>
    <w:p w14:paraId="47BE4985" w14:textId="77777777" w:rsidR="005B4851" w:rsidRDefault="005D084F">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建议包括但不限于下述指标要求：</w:t>
      </w:r>
    </w:p>
    <w:p w14:paraId="4A32C75D" w14:textId="174A03F6" w:rsidR="005B4851" w:rsidRDefault="00B61954">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w:t>
      </w:r>
      <w:r>
        <w:rPr>
          <w:rFonts w:eastAsia="仿宋_GB2312" w:hint="eastAsia"/>
          <w:snapToGrid w:val="0"/>
          <w:kern w:val="0"/>
          <w:sz w:val="32"/>
          <w:szCs w:val="32"/>
        </w:rPr>
        <w:t>1</w:t>
      </w:r>
      <w:r>
        <w:rPr>
          <w:rFonts w:eastAsia="仿宋_GB2312" w:hint="eastAsia"/>
          <w:snapToGrid w:val="0"/>
          <w:kern w:val="0"/>
          <w:sz w:val="32"/>
          <w:szCs w:val="32"/>
        </w:rPr>
        <w:t>）</w:t>
      </w:r>
      <w:r w:rsidR="005D084F">
        <w:rPr>
          <w:rFonts w:eastAsia="仿宋_GB2312" w:hint="eastAsia"/>
          <w:snapToGrid w:val="0"/>
          <w:kern w:val="0"/>
          <w:sz w:val="32"/>
          <w:szCs w:val="32"/>
        </w:rPr>
        <w:t>工作数据的准确性（包括脉冲幅度范围及误差、脉冲宽度范围及误差、脉冲频率范围及误差、感知灵敏度范围及误差、</w:t>
      </w:r>
      <w:r w:rsidR="00A53ECF">
        <w:rPr>
          <w:rFonts w:eastAsia="仿宋_GB2312" w:hint="eastAsia"/>
          <w:snapToGrid w:val="0"/>
          <w:kern w:val="0"/>
          <w:sz w:val="32"/>
          <w:szCs w:val="32"/>
        </w:rPr>
        <w:t>起搏电极</w:t>
      </w:r>
      <w:r w:rsidR="005D084F">
        <w:rPr>
          <w:rFonts w:eastAsia="仿宋_GB2312" w:hint="eastAsia"/>
          <w:snapToGrid w:val="0"/>
          <w:kern w:val="0"/>
          <w:sz w:val="32"/>
          <w:szCs w:val="32"/>
        </w:rPr>
        <w:t>阻抗测量范围及误差、</w:t>
      </w:r>
      <w:r w:rsidR="005D084F">
        <w:rPr>
          <w:rFonts w:eastAsia="仿宋_GB2312" w:hint="eastAsia"/>
          <w:snapToGrid w:val="0"/>
          <w:kern w:val="0"/>
          <w:sz w:val="32"/>
          <w:szCs w:val="32"/>
        </w:rPr>
        <w:t>P/R</w:t>
      </w:r>
      <w:r w:rsidR="005D084F">
        <w:rPr>
          <w:rFonts w:eastAsia="仿宋_GB2312" w:hint="eastAsia"/>
          <w:snapToGrid w:val="0"/>
          <w:kern w:val="0"/>
          <w:sz w:val="32"/>
          <w:szCs w:val="32"/>
        </w:rPr>
        <w:t>波幅度的测量范围及误差</w:t>
      </w:r>
      <w:r w:rsidR="00B55F15">
        <w:rPr>
          <w:rFonts w:eastAsia="仿宋_GB2312" w:hint="eastAsia"/>
          <w:snapToGrid w:val="0"/>
          <w:kern w:val="0"/>
          <w:sz w:val="32"/>
          <w:szCs w:val="32"/>
        </w:rPr>
        <w:t>、</w:t>
      </w:r>
      <w:r w:rsidR="005D084F">
        <w:rPr>
          <w:rFonts w:eastAsia="仿宋_GB2312" w:hint="eastAsia"/>
          <w:snapToGrid w:val="0"/>
          <w:kern w:val="0"/>
          <w:sz w:val="32"/>
          <w:szCs w:val="32"/>
        </w:rPr>
        <w:t>）</w:t>
      </w:r>
      <w:r w:rsidR="00B55F15">
        <w:rPr>
          <w:rFonts w:eastAsia="仿宋_GB2312" w:hint="eastAsia"/>
          <w:snapToGrid w:val="0"/>
          <w:kern w:val="0"/>
          <w:sz w:val="32"/>
          <w:szCs w:val="32"/>
        </w:rPr>
        <w:t>；对于具备双腔同步测试功能的</w:t>
      </w:r>
      <w:r w:rsidR="00B55F15">
        <w:rPr>
          <w:rFonts w:eastAsia="仿宋_GB2312" w:hint="eastAsia"/>
          <w:sz w:val="32"/>
          <w:szCs w:val="32"/>
        </w:rPr>
        <w:t>起</w:t>
      </w:r>
      <w:r w:rsidR="00B55F15">
        <w:rPr>
          <w:rFonts w:eastAsia="仿宋_GB2312" w:hint="eastAsia"/>
          <w:color w:val="000000"/>
          <w:sz w:val="32"/>
          <w:szCs w:val="32"/>
        </w:rPr>
        <w:t>搏系统分析仪</w:t>
      </w:r>
      <w:r w:rsidR="00B55F15">
        <w:rPr>
          <w:rFonts w:eastAsia="仿宋_GB2312" w:hint="eastAsia"/>
          <w:snapToGrid w:val="0"/>
          <w:kern w:val="0"/>
          <w:sz w:val="32"/>
          <w:szCs w:val="32"/>
        </w:rPr>
        <w:t>，应规定其心房与心室测试脉冲之间的</w:t>
      </w:r>
      <w:r w:rsidR="00B55F15">
        <w:rPr>
          <w:rFonts w:eastAsia="仿宋_GB2312" w:hint="eastAsia"/>
          <w:snapToGrid w:val="0"/>
          <w:kern w:val="0"/>
          <w:sz w:val="32"/>
          <w:szCs w:val="32"/>
        </w:rPr>
        <w:t>AV</w:t>
      </w:r>
      <w:r w:rsidR="00B55F15">
        <w:rPr>
          <w:rFonts w:eastAsia="仿宋_GB2312" w:hint="eastAsia"/>
          <w:snapToGrid w:val="0"/>
          <w:kern w:val="0"/>
          <w:sz w:val="32"/>
          <w:szCs w:val="32"/>
        </w:rPr>
        <w:t>间期及误差；对于具备三腔同步测试功能的分析仪，应规定其左、右心室测试脉冲之间的室间间期及误差。</w:t>
      </w:r>
    </w:p>
    <w:p w14:paraId="56C21B24" w14:textId="4A461835" w:rsidR="005B4851" w:rsidRDefault="00B61954">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w:t>
      </w:r>
      <w:r>
        <w:rPr>
          <w:rFonts w:eastAsia="仿宋_GB2312" w:hint="eastAsia"/>
          <w:snapToGrid w:val="0"/>
          <w:kern w:val="0"/>
          <w:sz w:val="32"/>
          <w:szCs w:val="32"/>
        </w:rPr>
        <w:t>2</w:t>
      </w:r>
      <w:r>
        <w:rPr>
          <w:rFonts w:eastAsia="仿宋_GB2312" w:hint="eastAsia"/>
          <w:snapToGrid w:val="0"/>
          <w:kern w:val="0"/>
          <w:sz w:val="32"/>
          <w:szCs w:val="32"/>
        </w:rPr>
        <w:t>）</w:t>
      </w:r>
      <w:r w:rsidR="005D084F">
        <w:rPr>
          <w:rFonts w:eastAsia="仿宋_GB2312" w:hint="eastAsia"/>
          <w:snapToGrid w:val="0"/>
          <w:kern w:val="0"/>
          <w:sz w:val="32"/>
          <w:szCs w:val="32"/>
        </w:rPr>
        <w:t>紧急起搏模式。</w:t>
      </w:r>
      <w:r w:rsidR="005D084F">
        <w:rPr>
          <w:rFonts w:eastAsia="仿宋_GB2312" w:hint="eastAsia"/>
          <w:snapToGrid w:val="0"/>
          <w:kern w:val="0"/>
          <w:sz w:val="32"/>
          <w:szCs w:val="32"/>
        </w:rPr>
        <w:t xml:space="preserve">  </w:t>
      </w:r>
    </w:p>
    <w:p w14:paraId="43DEF3C6" w14:textId="1FD25017" w:rsidR="005B4851" w:rsidRDefault="00B61954">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w:t>
      </w:r>
      <w:r>
        <w:rPr>
          <w:rFonts w:eastAsia="仿宋_GB2312" w:hint="eastAsia"/>
          <w:snapToGrid w:val="0"/>
          <w:kern w:val="0"/>
          <w:sz w:val="32"/>
          <w:szCs w:val="32"/>
        </w:rPr>
        <w:t>3</w:t>
      </w:r>
      <w:r>
        <w:rPr>
          <w:rFonts w:eastAsia="仿宋_GB2312" w:hint="eastAsia"/>
          <w:snapToGrid w:val="0"/>
          <w:kern w:val="0"/>
          <w:sz w:val="32"/>
          <w:szCs w:val="32"/>
        </w:rPr>
        <w:t>）</w:t>
      </w:r>
      <w:r w:rsidR="005D084F">
        <w:rPr>
          <w:rFonts w:eastAsia="仿宋_GB2312" w:hint="eastAsia"/>
          <w:snapToGrid w:val="0"/>
          <w:kern w:val="0"/>
          <w:sz w:val="32"/>
          <w:szCs w:val="32"/>
        </w:rPr>
        <w:t>具有腔内心电图功能的产品，建议包括</w:t>
      </w:r>
      <w:r w:rsidR="005D084F">
        <w:rPr>
          <w:rFonts w:eastAsia="仿宋_GB2312" w:hint="eastAsia"/>
          <w:snapToGrid w:val="0"/>
          <w:kern w:val="0"/>
          <w:sz w:val="32"/>
          <w:szCs w:val="32"/>
        </w:rPr>
        <w:t>E</w:t>
      </w:r>
      <w:r w:rsidR="00B55F15">
        <w:rPr>
          <w:rFonts w:eastAsia="仿宋_GB2312" w:hint="eastAsia"/>
          <w:snapToGrid w:val="0"/>
          <w:kern w:val="0"/>
          <w:sz w:val="32"/>
          <w:szCs w:val="32"/>
        </w:rPr>
        <w:t>GM</w:t>
      </w:r>
      <w:r w:rsidR="005D084F">
        <w:rPr>
          <w:rFonts w:eastAsia="仿宋_GB2312" w:hint="eastAsia"/>
          <w:snapToGrid w:val="0"/>
          <w:kern w:val="0"/>
          <w:sz w:val="32"/>
          <w:szCs w:val="32"/>
        </w:rPr>
        <w:t>通道增益、干扰抑制滤波指标。</w:t>
      </w:r>
      <w:r w:rsidR="005D084F">
        <w:rPr>
          <w:rFonts w:eastAsia="仿宋_GB2312" w:hint="eastAsia"/>
          <w:snapToGrid w:val="0"/>
          <w:kern w:val="0"/>
          <w:sz w:val="32"/>
          <w:szCs w:val="32"/>
        </w:rPr>
        <w:t xml:space="preserve"> </w:t>
      </w:r>
    </w:p>
    <w:p w14:paraId="1927A6DA" w14:textId="4865A62F" w:rsidR="005B4851" w:rsidRDefault="00B61954">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w:t>
      </w:r>
      <w:r>
        <w:rPr>
          <w:rFonts w:eastAsia="仿宋_GB2312" w:hint="eastAsia"/>
          <w:snapToGrid w:val="0"/>
          <w:kern w:val="0"/>
          <w:sz w:val="32"/>
          <w:szCs w:val="32"/>
        </w:rPr>
        <w:t>4</w:t>
      </w:r>
      <w:r>
        <w:rPr>
          <w:rFonts w:eastAsia="仿宋_GB2312" w:hint="eastAsia"/>
          <w:snapToGrid w:val="0"/>
          <w:kern w:val="0"/>
          <w:sz w:val="32"/>
          <w:szCs w:val="32"/>
        </w:rPr>
        <w:t>）</w:t>
      </w:r>
      <w:r w:rsidR="005D084F">
        <w:rPr>
          <w:rFonts w:eastAsia="仿宋_GB2312" w:hint="eastAsia"/>
          <w:snapToGrid w:val="0"/>
          <w:kern w:val="0"/>
          <w:sz w:val="32"/>
          <w:szCs w:val="32"/>
        </w:rPr>
        <w:t>具有软件功能的产品，应根据《医疗器械软件注</w:t>
      </w:r>
      <w:r w:rsidR="005D084F">
        <w:rPr>
          <w:rFonts w:eastAsia="仿宋_GB2312" w:hint="eastAsia"/>
          <w:snapToGrid w:val="0"/>
          <w:kern w:val="0"/>
          <w:sz w:val="32"/>
          <w:szCs w:val="32"/>
        </w:rPr>
        <w:lastRenderedPageBreak/>
        <w:t>册审查指导原则（</w:t>
      </w:r>
      <w:r w:rsidR="005D084F">
        <w:rPr>
          <w:rFonts w:eastAsia="仿宋_GB2312" w:hint="eastAsia"/>
          <w:snapToGrid w:val="0"/>
          <w:kern w:val="0"/>
          <w:sz w:val="32"/>
          <w:szCs w:val="32"/>
        </w:rPr>
        <w:t>2022</w:t>
      </w:r>
      <w:r w:rsidR="005D084F">
        <w:rPr>
          <w:rFonts w:eastAsia="仿宋_GB2312" w:hint="eastAsia"/>
          <w:snapToGrid w:val="0"/>
          <w:kern w:val="0"/>
          <w:sz w:val="32"/>
          <w:szCs w:val="32"/>
        </w:rPr>
        <w:t>年修订版）》的要求，明确软件的功能、使用限制、接口、访问控制、运行环境（若适用）、性能效率（若适用）等要求。</w:t>
      </w:r>
      <w:r w:rsidR="005D084F">
        <w:rPr>
          <w:rFonts w:eastAsia="仿宋_GB2312" w:hint="eastAsia"/>
          <w:snapToGrid w:val="0"/>
          <w:kern w:val="0"/>
          <w:sz w:val="32"/>
          <w:szCs w:val="32"/>
        </w:rPr>
        <w:t xml:space="preserve"> </w:t>
      </w:r>
    </w:p>
    <w:p w14:paraId="5AE1BCB9" w14:textId="5294446E" w:rsidR="005B4851" w:rsidRDefault="00B61954">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w:t>
      </w:r>
      <w:r>
        <w:rPr>
          <w:rFonts w:eastAsia="仿宋_GB2312" w:hint="eastAsia"/>
          <w:snapToGrid w:val="0"/>
          <w:kern w:val="0"/>
          <w:sz w:val="32"/>
          <w:szCs w:val="32"/>
        </w:rPr>
        <w:t>5</w:t>
      </w:r>
      <w:r>
        <w:rPr>
          <w:rFonts w:eastAsia="仿宋_GB2312" w:hint="eastAsia"/>
          <w:snapToGrid w:val="0"/>
          <w:kern w:val="0"/>
          <w:sz w:val="32"/>
          <w:szCs w:val="32"/>
        </w:rPr>
        <w:t>）</w:t>
      </w:r>
      <w:r w:rsidR="005D084F">
        <w:rPr>
          <w:rFonts w:eastAsia="仿宋_GB2312" w:hint="eastAsia"/>
          <w:snapToGrid w:val="0"/>
          <w:kern w:val="0"/>
          <w:sz w:val="32"/>
          <w:szCs w:val="32"/>
        </w:rPr>
        <w:t>产品电气安全应符合</w:t>
      </w:r>
      <w:r w:rsidR="005D084F">
        <w:rPr>
          <w:rFonts w:eastAsia="仿宋_GB2312" w:hint="eastAsia"/>
          <w:snapToGrid w:val="0"/>
          <w:kern w:val="0"/>
          <w:sz w:val="32"/>
          <w:szCs w:val="32"/>
        </w:rPr>
        <w:t>GB 9706.1</w:t>
      </w:r>
      <w:r w:rsidR="005D084F">
        <w:rPr>
          <w:rFonts w:eastAsia="仿宋_GB2312" w:hint="eastAsia"/>
          <w:snapToGrid w:val="0"/>
          <w:kern w:val="0"/>
          <w:sz w:val="32"/>
          <w:szCs w:val="32"/>
        </w:rPr>
        <w:t>《医用电气设备</w:t>
      </w:r>
      <w:r w:rsidR="005D084F">
        <w:rPr>
          <w:rFonts w:eastAsia="仿宋_GB2312" w:hint="eastAsia"/>
          <w:snapToGrid w:val="0"/>
          <w:kern w:val="0"/>
          <w:sz w:val="32"/>
          <w:szCs w:val="32"/>
        </w:rPr>
        <w:t xml:space="preserve"> </w:t>
      </w:r>
      <w:r w:rsidR="005D084F">
        <w:rPr>
          <w:rFonts w:eastAsia="仿宋_GB2312" w:hint="eastAsia"/>
          <w:snapToGrid w:val="0"/>
          <w:kern w:val="0"/>
          <w:sz w:val="32"/>
          <w:szCs w:val="32"/>
        </w:rPr>
        <w:t>第</w:t>
      </w:r>
      <w:r w:rsidR="005D084F">
        <w:rPr>
          <w:rFonts w:eastAsia="仿宋_GB2312" w:hint="eastAsia"/>
          <w:snapToGrid w:val="0"/>
          <w:kern w:val="0"/>
          <w:sz w:val="32"/>
          <w:szCs w:val="32"/>
        </w:rPr>
        <w:t>1</w:t>
      </w:r>
      <w:r w:rsidR="005D084F">
        <w:rPr>
          <w:rFonts w:eastAsia="仿宋_GB2312" w:hint="eastAsia"/>
          <w:snapToGrid w:val="0"/>
          <w:kern w:val="0"/>
          <w:sz w:val="32"/>
          <w:szCs w:val="32"/>
        </w:rPr>
        <w:t>部分</w:t>
      </w:r>
      <w:r w:rsidR="005D084F">
        <w:rPr>
          <w:rFonts w:eastAsia="仿宋_GB2312" w:hint="eastAsia"/>
          <w:snapToGrid w:val="0"/>
          <w:kern w:val="0"/>
          <w:sz w:val="32"/>
          <w:szCs w:val="32"/>
        </w:rPr>
        <w:t>:</w:t>
      </w:r>
      <w:r w:rsidR="005D084F">
        <w:rPr>
          <w:rFonts w:eastAsia="仿宋_GB2312" w:hint="eastAsia"/>
          <w:snapToGrid w:val="0"/>
          <w:kern w:val="0"/>
          <w:sz w:val="32"/>
          <w:szCs w:val="32"/>
        </w:rPr>
        <w:t>基本安全和基本性能的通用要求》，其应用部分应规定为</w:t>
      </w:r>
      <w:r w:rsidR="005D084F">
        <w:rPr>
          <w:rFonts w:eastAsia="仿宋_GB2312" w:hint="eastAsia"/>
          <w:snapToGrid w:val="0"/>
          <w:kern w:val="0"/>
          <w:sz w:val="32"/>
          <w:szCs w:val="32"/>
        </w:rPr>
        <w:t>CF</w:t>
      </w:r>
      <w:r w:rsidR="005D084F">
        <w:rPr>
          <w:rFonts w:eastAsia="仿宋_GB2312" w:hint="eastAsia"/>
          <w:snapToGrid w:val="0"/>
          <w:kern w:val="0"/>
          <w:sz w:val="32"/>
          <w:szCs w:val="32"/>
        </w:rPr>
        <w:t>型防除</w:t>
      </w:r>
      <w:proofErr w:type="gramStart"/>
      <w:r w:rsidR="005D084F">
        <w:rPr>
          <w:rFonts w:eastAsia="仿宋_GB2312" w:hint="eastAsia"/>
          <w:snapToGrid w:val="0"/>
          <w:kern w:val="0"/>
          <w:sz w:val="32"/>
          <w:szCs w:val="32"/>
        </w:rPr>
        <w:t>颤</w:t>
      </w:r>
      <w:proofErr w:type="gramEnd"/>
      <w:r w:rsidR="005D084F">
        <w:rPr>
          <w:rFonts w:eastAsia="仿宋_GB2312" w:hint="eastAsia"/>
          <w:snapToGrid w:val="0"/>
          <w:kern w:val="0"/>
          <w:sz w:val="32"/>
          <w:szCs w:val="32"/>
        </w:rPr>
        <w:t>应用部分。产品有信号输入输出接口时，应注意与应用部分电路的隔离。</w:t>
      </w:r>
    </w:p>
    <w:p w14:paraId="2B5AC073" w14:textId="2562E3CE" w:rsidR="005B4851" w:rsidRDefault="00B61954">
      <w:pPr>
        <w:overflowPunct w:val="0"/>
        <w:autoSpaceDE w:val="0"/>
        <w:autoSpaceDN w:val="0"/>
        <w:spacing w:line="520" w:lineRule="exact"/>
        <w:ind w:firstLineChars="200" w:firstLine="640"/>
        <w:outlineLvl w:val="2"/>
        <w:rPr>
          <w:rFonts w:eastAsia="仿宋_GB2312"/>
          <w:snapToGrid w:val="0"/>
          <w:kern w:val="0"/>
          <w:sz w:val="32"/>
          <w:szCs w:val="32"/>
        </w:rPr>
      </w:pPr>
      <w:r>
        <w:rPr>
          <w:rFonts w:eastAsia="仿宋_GB2312" w:hint="eastAsia"/>
          <w:snapToGrid w:val="0"/>
          <w:kern w:val="0"/>
          <w:sz w:val="32"/>
          <w:szCs w:val="32"/>
        </w:rPr>
        <w:t>（</w:t>
      </w:r>
      <w:r>
        <w:rPr>
          <w:rFonts w:eastAsia="仿宋_GB2312" w:hint="eastAsia"/>
          <w:snapToGrid w:val="0"/>
          <w:kern w:val="0"/>
          <w:sz w:val="32"/>
          <w:szCs w:val="32"/>
        </w:rPr>
        <w:t>6</w:t>
      </w:r>
      <w:r>
        <w:rPr>
          <w:rFonts w:eastAsia="仿宋_GB2312" w:hint="eastAsia"/>
          <w:snapToGrid w:val="0"/>
          <w:kern w:val="0"/>
          <w:sz w:val="32"/>
          <w:szCs w:val="32"/>
        </w:rPr>
        <w:t>）</w:t>
      </w:r>
      <w:r w:rsidR="005D084F">
        <w:rPr>
          <w:rFonts w:eastAsia="仿宋_GB2312" w:hint="eastAsia"/>
          <w:snapToGrid w:val="0"/>
          <w:kern w:val="0"/>
          <w:sz w:val="32"/>
          <w:szCs w:val="32"/>
        </w:rPr>
        <w:t>产品电磁兼容应符合</w:t>
      </w:r>
      <w:r w:rsidR="005D084F">
        <w:rPr>
          <w:rFonts w:eastAsia="仿宋_GB2312" w:hint="eastAsia"/>
          <w:snapToGrid w:val="0"/>
          <w:kern w:val="0"/>
          <w:sz w:val="32"/>
          <w:szCs w:val="32"/>
        </w:rPr>
        <w:t>YY 9706.102</w:t>
      </w:r>
      <w:r w:rsidR="005D084F">
        <w:rPr>
          <w:rFonts w:eastAsia="仿宋_GB2312" w:hint="eastAsia"/>
          <w:snapToGrid w:val="0"/>
          <w:kern w:val="0"/>
          <w:sz w:val="32"/>
          <w:szCs w:val="32"/>
        </w:rPr>
        <w:t>《医用电气设备第</w:t>
      </w:r>
      <w:r w:rsidR="005D084F">
        <w:rPr>
          <w:rFonts w:eastAsia="仿宋_GB2312" w:hint="eastAsia"/>
          <w:snapToGrid w:val="0"/>
          <w:kern w:val="0"/>
          <w:sz w:val="32"/>
          <w:szCs w:val="32"/>
        </w:rPr>
        <w:t>1-2</w:t>
      </w:r>
      <w:r w:rsidR="005D084F">
        <w:rPr>
          <w:rFonts w:eastAsia="仿宋_GB2312" w:hint="eastAsia"/>
          <w:snapToGrid w:val="0"/>
          <w:kern w:val="0"/>
          <w:sz w:val="32"/>
          <w:szCs w:val="32"/>
        </w:rPr>
        <w:t>部分</w:t>
      </w:r>
      <w:r w:rsidR="005D084F">
        <w:rPr>
          <w:rFonts w:eastAsia="仿宋_GB2312" w:hint="eastAsia"/>
          <w:snapToGrid w:val="0"/>
          <w:kern w:val="0"/>
          <w:sz w:val="32"/>
          <w:szCs w:val="32"/>
        </w:rPr>
        <w:t>:</w:t>
      </w:r>
      <w:r w:rsidR="005D084F">
        <w:rPr>
          <w:rFonts w:eastAsia="仿宋_GB2312" w:hint="eastAsia"/>
          <w:snapToGrid w:val="0"/>
          <w:kern w:val="0"/>
          <w:sz w:val="32"/>
          <w:szCs w:val="32"/>
        </w:rPr>
        <w:t>基本安全和基本性能的通用要求并列标准</w:t>
      </w:r>
      <w:r w:rsidR="005D084F">
        <w:rPr>
          <w:rFonts w:eastAsia="仿宋_GB2312" w:hint="eastAsia"/>
          <w:snapToGrid w:val="0"/>
          <w:kern w:val="0"/>
          <w:sz w:val="32"/>
          <w:szCs w:val="32"/>
        </w:rPr>
        <w:t>:</w:t>
      </w:r>
      <w:r w:rsidR="005D084F">
        <w:rPr>
          <w:rFonts w:eastAsia="仿宋_GB2312" w:hint="eastAsia"/>
          <w:snapToGrid w:val="0"/>
          <w:kern w:val="0"/>
          <w:sz w:val="32"/>
          <w:szCs w:val="32"/>
        </w:rPr>
        <w:t>电磁兼容要求和试验》。</w:t>
      </w:r>
    </w:p>
    <w:p w14:paraId="7AE1D105" w14:textId="77777777" w:rsidR="005B4851" w:rsidRDefault="005D084F">
      <w:pPr>
        <w:spacing w:line="520" w:lineRule="exact"/>
        <w:ind w:firstLineChars="200" w:firstLine="640"/>
        <w:outlineLvl w:val="1"/>
        <w:rPr>
          <w:rFonts w:eastAsia="仿宋_GB2312"/>
          <w:color w:val="000000"/>
          <w:sz w:val="32"/>
          <w:szCs w:val="32"/>
        </w:rPr>
      </w:pPr>
      <w:r>
        <w:rPr>
          <w:rFonts w:eastAsia="仿宋_GB2312"/>
          <w:color w:val="000000"/>
          <w:sz w:val="32"/>
          <w:szCs w:val="32"/>
        </w:rPr>
        <w:t>3.</w:t>
      </w:r>
      <w:r>
        <w:rPr>
          <w:rFonts w:eastAsia="仿宋_GB2312"/>
          <w:color w:val="000000"/>
          <w:sz w:val="32"/>
          <w:szCs w:val="32"/>
        </w:rPr>
        <w:t>同一注册单元内注册检验代表产品确定原则和实例</w:t>
      </w:r>
    </w:p>
    <w:p w14:paraId="3D27BEA1" w14:textId="77777777" w:rsidR="005B4851" w:rsidRDefault="005D084F">
      <w:pPr>
        <w:overflowPunct w:val="0"/>
        <w:autoSpaceDE w:val="0"/>
        <w:autoSpaceDN w:val="0"/>
        <w:adjustRightInd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同一注册单元内所检验的产品应当是能够代表</w:t>
      </w:r>
      <w:proofErr w:type="gramStart"/>
      <w:r>
        <w:rPr>
          <w:rFonts w:eastAsia="仿宋_GB2312" w:hint="eastAsia"/>
          <w:snapToGrid w:val="0"/>
          <w:kern w:val="0"/>
          <w:sz w:val="32"/>
          <w:szCs w:val="32"/>
        </w:rPr>
        <w:t>本注册</w:t>
      </w:r>
      <w:proofErr w:type="gramEnd"/>
      <w:r>
        <w:rPr>
          <w:rFonts w:eastAsia="仿宋_GB2312" w:hint="eastAsia"/>
          <w:snapToGrid w:val="0"/>
          <w:kern w:val="0"/>
          <w:sz w:val="32"/>
          <w:szCs w:val="32"/>
        </w:rPr>
        <w:t>单元内其他产品安全性和有效性的典型产品，其功能最齐全、或结构最复杂、或风险最高。</w:t>
      </w:r>
    </w:p>
    <w:p w14:paraId="336785D9" w14:textId="77777777" w:rsidR="005B4851" w:rsidRDefault="005D084F">
      <w:pPr>
        <w:spacing w:line="520" w:lineRule="exact"/>
        <w:ind w:firstLineChars="200" w:firstLine="640"/>
        <w:outlineLvl w:val="1"/>
        <w:rPr>
          <w:rFonts w:eastAsia="仿宋_GB2312"/>
          <w:color w:val="000000"/>
          <w:sz w:val="32"/>
          <w:szCs w:val="32"/>
        </w:rPr>
      </w:pPr>
      <w:r>
        <w:rPr>
          <w:rFonts w:eastAsia="仿宋_GB2312"/>
          <w:color w:val="000000"/>
          <w:sz w:val="32"/>
          <w:szCs w:val="32"/>
        </w:rPr>
        <w:t>4.</w:t>
      </w:r>
      <w:r>
        <w:rPr>
          <w:rFonts w:eastAsia="仿宋_GB2312" w:hint="eastAsia"/>
          <w:color w:val="000000"/>
          <w:sz w:val="32"/>
          <w:szCs w:val="32"/>
        </w:rPr>
        <w:t>研究资料</w:t>
      </w:r>
    </w:p>
    <w:p w14:paraId="46D3D9B6"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4.1</w:t>
      </w:r>
      <w:r>
        <w:rPr>
          <w:rFonts w:eastAsia="仿宋_GB2312"/>
          <w:color w:val="000000"/>
          <w:sz w:val="32"/>
          <w:szCs w:val="32"/>
        </w:rPr>
        <w:t>产品性能研究</w:t>
      </w:r>
    </w:p>
    <w:p w14:paraId="0D2B7E0D" w14:textId="238554CB" w:rsidR="005B4851" w:rsidRDefault="00461018">
      <w:pPr>
        <w:overflowPunct w:val="0"/>
        <w:autoSpaceDE w:val="0"/>
        <w:autoSpaceDN w:val="0"/>
        <w:adjustRightInd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说明</w:t>
      </w:r>
      <w:r w:rsidR="005D084F">
        <w:rPr>
          <w:rFonts w:eastAsia="仿宋_GB2312" w:hint="eastAsia"/>
          <w:snapToGrid w:val="0"/>
          <w:kern w:val="0"/>
          <w:sz w:val="32"/>
          <w:szCs w:val="32"/>
        </w:rPr>
        <w:t>产品技术要求（包括规格参数和性能要求）中各性能指标的设定依据、所采用的标准或方法、采用的原因及理论基础（如参考相关起搏器的参数）。</w:t>
      </w:r>
    </w:p>
    <w:p w14:paraId="53BEA993" w14:textId="77777777" w:rsidR="005B4851" w:rsidRDefault="005D084F">
      <w:pPr>
        <w:spacing w:line="520" w:lineRule="exact"/>
        <w:ind w:firstLineChars="200" w:firstLine="640"/>
        <w:rPr>
          <w:rFonts w:eastAsia="仿宋_GB2312"/>
          <w:bCs/>
          <w:color w:val="000000"/>
          <w:sz w:val="32"/>
          <w:szCs w:val="28"/>
        </w:rPr>
      </w:pPr>
      <w:r>
        <w:rPr>
          <w:rFonts w:eastAsia="仿宋_GB2312"/>
          <w:color w:val="000000"/>
          <w:sz w:val="32"/>
          <w:szCs w:val="28"/>
        </w:rPr>
        <w:t>4.2</w:t>
      </w:r>
      <w:r>
        <w:rPr>
          <w:rFonts w:eastAsia="仿宋_GB2312" w:hint="eastAsia"/>
          <w:bCs/>
          <w:color w:val="000000"/>
          <w:sz w:val="32"/>
          <w:szCs w:val="28"/>
        </w:rPr>
        <w:t>生物学特性研究</w:t>
      </w:r>
    </w:p>
    <w:p w14:paraId="7379C2E7" w14:textId="77777777" w:rsidR="005B4851" w:rsidRDefault="005D084F">
      <w:pPr>
        <w:overflowPunct w:val="0"/>
        <w:autoSpaceDE w:val="0"/>
        <w:autoSpaceDN w:val="0"/>
        <w:adjustRightInd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如适用，申请人应根据</w:t>
      </w:r>
      <w:r>
        <w:rPr>
          <w:rFonts w:eastAsia="仿宋_GB2312" w:hint="eastAsia"/>
          <w:snapToGrid w:val="0"/>
          <w:kern w:val="0"/>
          <w:sz w:val="32"/>
          <w:szCs w:val="32"/>
        </w:rPr>
        <w:t>GB/T 16886</w:t>
      </w:r>
      <w:r>
        <w:rPr>
          <w:rFonts w:eastAsia="仿宋_GB2312" w:hint="eastAsia"/>
          <w:snapToGrid w:val="0"/>
          <w:kern w:val="0"/>
          <w:sz w:val="32"/>
          <w:szCs w:val="32"/>
        </w:rPr>
        <w:t>系列标准对产品结构组成中与患者</w:t>
      </w:r>
      <w:r>
        <w:rPr>
          <w:rFonts w:eastAsia="仿宋_GB2312" w:hint="eastAsia"/>
          <w:snapToGrid w:val="0"/>
          <w:kern w:val="0"/>
          <w:sz w:val="32"/>
          <w:szCs w:val="32"/>
        </w:rPr>
        <w:t>/</w:t>
      </w:r>
      <w:r>
        <w:rPr>
          <w:rFonts w:eastAsia="仿宋_GB2312" w:hint="eastAsia"/>
          <w:snapToGrid w:val="0"/>
          <w:kern w:val="0"/>
          <w:sz w:val="32"/>
          <w:szCs w:val="32"/>
        </w:rPr>
        <w:t>使用者接触部分进行生物学评价。</w:t>
      </w:r>
    </w:p>
    <w:p w14:paraId="230C68F5" w14:textId="77777777" w:rsidR="005B4851" w:rsidRDefault="005D084F">
      <w:pPr>
        <w:spacing w:line="520" w:lineRule="exact"/>
        <w:ind w:firstLineChars="200" w:firstLine="640"/>
        <w:rPr>
          <w:rFonts w:eastAsia="仿宋_GB2312"/>
          <w:bCs/>
          <w:color w:val="000000"/>
          <w:sz w:val="32"/>
          <w:szCs w:val="28"/>
        </w:rPr>
      </w:pPr>
      <w:r>
        <w:rPr>
          <w:rFonts w:eastAsia="仿宋_GB2312"/>
          <w:color w:val="000000"/>
          <w:sz w:val="32"/>
          <w:szCs w:val="28"/>
        </w:rPr>
        <w:t>4.3</w:t>
      </w:r>
      <w:r>
        <w:rPr>
          <w:rFonts w:eastAsia="仿宋_GB2312"/>
          <w:color w:val="000000"/>
          <w:sz w:val="32"/>
          <w:szCs w:val="32"/>
        </w:rPr>
        <w:t>清洁、消毒、灭菌研究</w:t>
      </w:r>
    </w:p>
    <w:p w14:paraId="6CD39CC5" w14:textId="77777777"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应提供推荐的产品清洁和消毒方法、推荐使用的清洁消毒剂及其确定依据，并提供清洁和消毒的验证资料。</w:t>
      </w:r>
    </w:p>
    <w:p w14:paraId="03C9F46E" w14:textId="77777777"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若产品附件（通常为无菌延长线）涉及灭菌，制造商应</w:t>
      </w:r>
      <w:r>
        <w:rPr>
          <w:rFonts w:eastAsia="仿宋_GB2312" w:hint="eastAsia"/>
          <w:color w:val="000000"/>
          <w:sz w:val="32"/>
          <w:szCs w:val="28"/>
        </w:rPr>
        <w:lastRenderedPageBreak/>
        <w:t>当明确推荐的灭菌工艺（方法和参数）以及所推荐方法确定的依据及验证的相关研究资料。</w:t>
      </w:r>
    </w:p>
    <w:p w14:paraId="09130954" w14:textId="77777777" w:rsidR="005B4851" w:rsidRDefault="005D084F">
      <w:pPr>
        <w:overflowPunct w:val="0"/>
        <w:autoSpaceDE w:val="0"/>
        <w:autoSpaceDN w:val="0"/>
        <w:spacing w:line="520" w:lineRule="exact"/>
        <w:ind w:firstLineChars="200" w:firstLine="640"/>
        <w:outlineLvl w:val="2"/>
        <w:rPr>
          <w:rFonts w:eastAsia="仿宋_GB2312" w:cs="仿宋_GB2312"/>
          <w:snapToGrid w:val="0"/>
          <w:kern w:val="0"/>
          <w:sz w:val="32"/>
          <w:szCs w:val="32"/>
        </w:rPr>
      </w:pPr>
      <w:r>
        <w:rPr>
          <w:rFonts w:eastAsia="仿宋_GB2312"/>
          <w:color w:val="000000"/>
          <w:sz w:val="32"/>
          <w:szCs w:val="28"/>
        </w:rPr>
        <w:t>4.</w:t>
      </w:r>
      <w:r>
        <w:rPr>
          <w:rFonts w:eastAsia="仿宋_GB2312" w:hint="eastAsia"/>
          <w:color w:val="000000"/>
          <w:sz w:val="32"/>
          <w:szCs w:val="28"/>
        </w:rPr>
        <w:t>4</w:t>
      </w:r>
      <w:r>
        <w:rPr>
          <w:rFonts w:eastAsia="仿宋_GB2312" w:cs="仿宋_GB2312" w:hint="eastAsia"/>
          <w:snapToGrid w:val="0"/>
          <w:kern w:val="0"/>
          <w:sz w:val="32"/>
          <w:szCs w:val="32"/>
        </w:rPr>
        <w:t>软件</w:t>
      </w:r>
      <w:r>
        <w:rPr>
          <w:rFonts w:eastAsia="仿宋_GB2312" w:cs="仿宋_GB2312"/>
          <w:snapToGrid w:val="0"/>
          <w:kern w:val="0"/>
          <w:sz w:val="32"/>
          <w:szCs w:val="32"/>
        </w:rPr>
        <w:t>研究</w:t>
      </w:r>
    </w:p>
    <w:p w14:paraId="7CFBC7CD" w14:textId="77777777"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产品如包含软件组件，应按《医疗器械软件注册审查指导原则（</w:t>
      </w:r>
      <w:r>
        <w:rPr>
          <w:rFonts w:eastAsia="仿宋_GB2312" w:hint="eastAsia"/>
          <w:color w:val="000000"/>
          <w:sz w:val="32"/>
          <w:szCs w:val="28"/>
        </w:rPr>
        <w:t>2022</w:t>
      </w:r>
      <w:r>
        <w:rPr>
          <w:rFonts w:eastAsia="仿宋_GB2312" w:hint="eastAsia"/>
          <w:color w:val="000000"/>
          <w:sz w:val="32"/>
          <w:szCs w:val="28"/>
        </w:rPr>
        <w:t>版）》的要求提交软件研究资料。根据该类产品的软件风险程度，建议软件安全性级别为严重（</w:t>
      </w:r>
      <w:r>
        <w:rPr>
          <w:rFonts w:eastAsia="仿宋_GB2312" w:hint="eastAsia"/>
          <w:color w:val="000000"/>
          <w:sz w:val="32"/>
          <w:szCs w:val="28"/>
        </w:rPr>
        <w:t>C</w:t>
      </w:r>
      <w:r>
        <w:rPr>
          <w:rFonts w:eastAsia="仿宋_GB2312" w:hint="eastAsia"/>
          <w:color w:val="000000"/>
          <w:sz w:val="32"/>
          <w:szCs w:val="28"/>
        </w:rPr>
        <w:t>）级。</w:t>
      </w:r>
    </w:p>
    <w:p w14:paraId="5AE49A54" w14:textId="25B61E21"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软件组件</w:t>
      </w:r>
      <w:proofErr w:type="gramStart"/>
      <w:r>
        <w:rPr>
          <w:rFonts w:eastAsia="仿宋_GB2312" w:hint="eastAsia"/>
          <w:color w:val="000000"/>
          <w:sz w:val="32"/>
          <w:szCs w:val="28"/>
        </w:rPr>
        <w:t>如运行</w:t>
      </w:r>
      <w:proofErr w:type="gramEnd"/>
      <w:r>
        <w:rPr>
          <w:rFonts w:eastAsia="仿宋_GB2312" w:hint="eastAsia"/>
          <w:color w:val="000000"/>
          <w:sz w:val="32"/>
          <w:szCs w:val="28"/>
        </w:rPr>
        <w:t>于移动计算终端，应按照《移动医疗器械注册技术审查指导原则（</w:t>
      </w:r>
      <w:r>
        <w:rPr>
          <w:rFonts w:eastAsia="仿宋_GB2312" w:hint="eastAsia"/>
          <w:color w:val="000000"/>
          <w:sz w:val="32"/>
          <w:szCs w:val="28"/>
        </w:rPr>
        <w:t>2025</w:t>
      </w:r>
      <w:r>
        <w:rPr>
          <w:rFonts w:eastAsia="仿宋_GB2312" w:hint="eastAsia"/>
          <w:color w:val="000000"/>
          <w:sz w:val="32"/>
          <w:szCs w:val="28"/>
        </w:rPr>
        <w:t>年修订版）》的要求提交移动医疗</w:t>
      </w:r>
      <w:r w:rsidR="00D86D7D">
        <w:rPr>
          <w:rFonts w:eastAsia="仿宋_GB2312" w:hint="eastAsia"/>
          <w:color w:val="000000"/>
          <w:sz w:val="32"/>
          <w:szCs w:val="28"/>
        </w:rPr>
        <w:t>器械</w:t>
      </w:r>
      <w:r>
        <w:rPr>
          <w:rFonts w:eastAsia="仿宋_GB2312" w:hint="eastAsia"/>
          <w:color w:val="000000"/>
          <w:sz w:val="32"/>
          <w:szCs w:val="28"/>
        </w:rPr>
        <w:t>研究资料。</w:t>
      </w:r>
    </w:p>
    <w:p w14:paraId="5587AF25" w14:textId="77777777"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如适用，应按照《医疗器械网络安全注册审查指导原则（</w:t>
      </w:r>
      <w:r>
        <w:rPr>
          <w:rFonts w:eastAsia="仿宋_GB2312" w:hint="eastAsia"/>
          <w:color w:val="000000"/>
          <w:sz w:val="32"/>
          <w:szCs w:val="28"/>
        </w:rPr>
        <w:t>2022</w:t>
      </w:r>
      <w:r>
        <w:rPr>
          <w:rFonts w:eastAsia="仿宋_GB2312" w:hint="eastAsia"/>
          <w:color w:val="000000"/>
          <w:sz w:val="32"/>
          <w:szCs w:val="28"/>
        </w:rPr>
        <w:t>年修订版）》提交网络安全研究资料。</w:t>
      </w:r>
    </w:p>
    <w:p w14:paraId="3E57CAC1" w14:textId="6D0900BF"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28"/>
        </w:rPr>
        <w:t>4.</w:t>
      </w:r>
      <w:r w:rsidR="00D86D7D">
        <w:rPr>
          <w:rFonts w:eastAsia="仿宋_GB2312" w:hint="eastAsia"/>
          <w:color w:val="000000"/>
          <w:sz w:val="32"/>
          <w:szCs w:val="28"/>
        </w:rPr>
        <w:t>5</w:t>
      </w:r>
      <w:r>
        <w:rPr>
          <w:rFonts w:eastAsia="仿宋_GB2312"/>
          <w:color w:val="000000"/>
          <w:sz w:val="32"/>
          <w:szCs w:val="32"/>
        </w:rPr>
        <w:t>稳定性研究</w:t>
      </w:r>
    </w:p>
    <w:p w14:paraId="251B8EA9" w14:textId="6649887B" w:rsidR="005B4851" w:rsidRDefault="005D084F">
      <w:pPr>
        <w:spacing w:line="520" w:lineRule="exact"/>
        <w:ind w:firstLineChars="200" w:firstLine="640"/>
        <w:rPr>
          <w:rFonts w:eastAsia="仿宋_GB2312"/>
          <w:bCs/>
          <w:color w:val="000000"/>
          <w:sz w:val="32"/>
          <w:szCs w:val="32"/>
        </w:rPr>
      </w:pPr>
      <w:r>
        <w:rPr>
          <w:rFonts w:eastAsia="仿宋_GB2312" w:hint="eastAsia"/>
          <w:bCs/>
          <w:color w:val="000000"/>
          <w:sz w:val="32"/>
          <w:szCs w:val="32"/>
        </w:rPr>
        <w:t>4</w:t>
      </w:r>
      <w:r>
        <w:rPr>
          <w:rFonts w:eastAsia="仿宋_GB2312"/>
          <w:bCs/>
          <w:color w:val="000000"/>
          <w:sz w:val="32"/>
          <w:szCs w:val="32"/>
        </w:rPr>
        <w:t>.</w:t>
      </w:r>
      <w:r w:rsidR="00D86D7D">
        <w:rPr>
          <w:rFonts w:eastAsia="仿宋_GB2312" w:hint="eastAsia"/>
          <w:bCs/>
          <w:color w:val="000000"/>
          <w:sz w:val="32"/>
          <w:szCs w:val="32"/>
        </w:rPr>
        <w:t>5</w:t>
      </w:r>
      <w:r>
        <w:rPr>
          <w:rFonts w:eastAsia="仿宋_GB2312" w:hint="eastAsia"/>
          <w:bCs/>
          <w:color w:val="000000"/>
          <w:sz w:val="32"/>
          <w:szCs w:val="32"/>
        </w:rPr>
        <w:t>.1</w:t>
      </w:r>
      <w:r>
        <w:rPr>
          <w:rFonts w:eastAsia="仿宋_GB2312"/>
          <w:bCs/>
          <w:color w:val="000000"/>
          <w:sz w:val="32"/>
          <w:szCs w:val="32"/>
        </w:rPr>
        <w:t>使用稳定性</w:t>
      </w:r>
    </w:p>
    <w:p w14:paraId="195732B6" w14:textId="77777777"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产品主机可参照《有源医疗器械使用期限注册技术审查指导原则》的要求进行。</w:t>
      </w:r>
    </w:p>
    <w:p w14:paraId="3C9EE9A6" w14:textId="57BDEDA1" w:rsidR="005B4851" w:rsidRDefault="005D084F">
      <w:pPr>
        <w:spacing w:line="520" w:lineRule="exact"/>
        <w:ind w:firstLineChars="200" w:firstLine="640"/>
        <w:rPr>
          <w:rFonts w:eastAsia="仿宋_GB2312"/>
          <w:color w:val="000000"/>
          <w:sz w:val="32"/>
          <w:szCs w:val="28"/>
        </w:rPr>
      </w:pPr>
      <w:r>
        <w:rPr>
          <w:rFonts w:eastAsia="仿宋_GB2312" w:hint="eastAsia"/>
          <w:color w:val="000000"/>
          <w:sz w:val="32"/>
          <w:szCs w:val="28"/>
        </w:rPr>
        <w:t>如产品采用不可更换的电池供电，应对电池寿命进行研究。如产品仅采用可充电的电池供电，应对电池</w:t>
      </w:r>
      <w:r w:rsidR="00461018">
        <w:rPr>
          <w:rFonts w:eastAsia="仿宋_GB2312" w:hint="eastAsia"/>
          <w:color w:val="000000"/>
          <w:sz w:val="32"/>
          <w:szCs w:val="28"/>
        </w:rPr>
        <w:t>在</w:t>
      </w:r>
      <w:r>
        <w:rPr>
          <w:rFonts w:eastAsia="仿宋_GB2312" w:hint="eastAsia"/>
          <w:color w:val="000000"/>
          <w:sz w:val="32"/>
          <w:szCs w:val="28"/>
        </w:rPr>
        <w:t>显示</w:t>
      </w:r>
      <w:r w:rsidR="00461018">
        <w:rPr>
          <w:rFonts w:eastAsia="仿宋_GB2312" w:hint="eastAsia"/>
          <w:color w:val="000000"/>
          <w:sz w:val="32"/>
          <w:szCs w:val="28"/>
        </w:rPr>
        <w:t>最低电压</w:t>
      </w:r>
      <w:r>
        <w:rPr>
          <w:rFonts w:eastAsia="仿宋_GB2312" w:hint="eastAsia"/>
          <w:color w:val="000000"/>
          <w:sz w:val="32"/>
          <w:szCs w:val="28"/>
        </w:rPr>
        <w:t>状态下</w:t>
      </w:r>
      <w:r w:rsidR="00461018">
        <w:rPr>
          <w:rFonts w:eastAsia="仿宋_GB2312" w:hint="eastAsia"/>
          <w:color w:val="000000"/>
          <w:sz w:val="32"/>
          <w:szCs w:val="28"/>
        </w:rPr>
        <w:t>具有可确保主机完成一次手术使用的电量进行验证。</w:t>
      </w:r>
    </w:p>
    <w:p w14:paraId="7913AC9B" w14:textId="3039FDD6" w:rsidR="005B4851" w:rsidRDefault="005D084F">
      <w:pPr>
        <w:spacing w:line="520" w:lineRule="exact"/>
        <w:ind w:firstLineChars="200" w:firstLine="640"/>
        <w:rPr>
          <w:rFonts w:eastAsia="仿宋_GB2312"/>
          <w:bCs/>
          <w:color w:val="000000"/>
          <w:sz w:val="32"/>
          <w:szCs w:val="32"/>
        </w:rPr>
      </w:pPr>
      <w:r>
        <w:rPr>
          <w:rFonts w:eastAsia="仿宋_GB2312" w:hint="eastAsia"/>
          <w:bCs/>
          <w:color w:val="000000"/>
          <w:sz w:val="32"/>
          <w:szCs w:val="32"/>
        </w:rPr>
        <w:t>4</w:t>
      </w:r>
      <w:r>
        <w:rPr>
          <w:rFonts w:eastAsia="仿宋_GB2312"/>
          <w:bCs/>
          <w:color w:val="000000"/>
          <w:sz w:val="32"/>
          <w:szCs w:val="32"/>
        </w:rPr>
        <w:t>.</w:t>
      </w:r>
      <w:r w:rsidR="00D86D7D">
        <w:rPr>
          <w:rFonts w:eastAsia="仿宋_GB2312" w:hint="eastAsia"/>
          <w:bCs/>
          <w:color w:val="000000"/>
          <w:sz w:val="32"/>
          <w:szCs w:val="32"/>
        </w:rPr>
        <w:t>5</w:t>
      </w:r>
      <w:r>
        <w:rPr>
          <w:rFonts w:eastAsia="仿宋_GB2312" w:hint="eastAsia"/>
          <w:bCs/>
          <w:color w:val="000000"/>
          <w:sz w:val="32"/>
          <w:szCs w:val="32"/>
        </w:rPr>
        <w:t>.2</w:t>
      </w:r>
      <w:r>
        <w:rPr>
          <w:rFonts w:eastAsia="仿宋_GB2312" w:hint="eastAsia"/>
          <w:bCs/>
          <w:color w:val="000000"/>
          <w:sz w:val="32"/>
          <w:szCs w:val="32"/>
        </w:rPr>
        <w:t>运输</w:t>
      </w:r>
      <w:r>
        <w:rPr>
          <w:rFonts w:eastAsia="仿宋_GB2312"/>
          <w:bCs/>
          <w:color w:val="000000"/>
          <w:sz w:val="32"/>
          <w:szCs w:val="32"/>
        </w:rPr>
        <w:t>稳定性</w:t>
      </w:r>
    </w:p>
    <w:p w14:paraId="18B4E3BF" w14:textId="77777777" w:rsidR="005B4851" w:rsidRDefault="005D084F">
      <w:pPr>
        <w:spacing w:line="520" w:lineRule="exact"/>
        <w:ind w:firstLineChars="200" w:firstLine="640"/>
        <w:rPr>
          <w:rFonts w:eastAsia="仿宋_GB2312"/>
          <w:bCs/>
          <w:color w:val="000000"/>
          <w:sz w:val="32"/>
          <w:szCs w:val="32"/>
        </w:rPr>
      </w:pPr>
      <w:r>
        <w:rPr>
          <w:rFonts w:eastAsia="仿宋_GB2312"/>
          <w:bCs/>
          <w:color w:val="000000"/>
          <w:sz w:val="32"/>
          <w:szCs w:val="32"/>
        </w:rPr>
        <w:t>应当提供运输稳定性和包装研究资料，证明在生产企业规定的运输条件下，运输过程中的环境条件（例如：</w:t>
      </w:r>
      <w:r>
        <w:rPr>
          <w:rFonts w:eastAsia="仿宋_GB2312" w:hint="eastAsia"/>
          <w:bCs/>
          <w:color w:val="000000"/>
          <w:sz w:val="32"/>
          <w:szCs w:val="32"/>
        </w:rPr>
        <w:t>冲击</w:t>
      </w:r>
      <w:r>
        <w:rPr>
          <w:rFonts w:eastAsia="仿宋_GB2312"/>
          <w:bCs/>
          <w:color w:val="000000"/>
          <w:sz w:val="32"/>
          <w:szCs w:val="32"/>
        </w:rPr>
        <w:t>、振动、温度和湿度的波动）不会对</w:t>
      </w:r>
      <w:r>
        <w:rPr>
          <w:rFonts w:eastAsia="仿宋_GB2312" w:hint="eastAsia"/>
          <w:bCs/>
          <w:color w:val="000000"/>
          <w:sz w:val="32"/>
          <w:szCs w:val="32"/>
        </w:rPr>
        <w:t>产品</w:t>
      </w:r>
      <w:r>
        <w:rPr>
          <w:rFonts w:eastAsia="仿宋_GB2312"/>
          <w:bCs/>
          <w:color w:val="000000"/>
          <w:sz w:val="32"/>
          <w:szCs w:val="32"/>
        </w:rPr>
        <w:t>的特性和性能造成不利影响。</w:t>
      </w:r>
      <w:r>
        <w:rPr>
          <w:rFonts w:eastAsia="仿宋_GB2312" w:hint="eastAsia"/>
          <w:bCs/>
          <w:color w:val="000000"/>
          <w:sz w:val="32"/>
          <w:szCs w:val="32"/>
        </w:rPr>
        <w:t>可依据有关国内、国际标准进行（如</w:t>
      </w:r>
      <w:r>
        <w:rPr>
          <w:rFonts w:eastAsia="仿宋_GB2312" w:hint="eastAsia"/>
          <w:bCs/>
          <w:color w:val="000000"/>
          <w:sz w:val="32"/>
          <w:szCs w:val="32"/>
        </w:rPr>
        <w:t>YY/T 0681.15</w:t>
      </w:r>
      <w:r>
        <w:rPr>
          <w:rFonts w:eastAsia="仿宋_GB2312" w:hint="eastAsia"/>
          <w:bCs/>
          <w:color w:val="000000"/>
          <w:sz w:val="32"/>
          <w:szCs w:val="32"/>
        </w:rPr>
        <w:t>、</w:t>
      </w:r>
      <w:r>
        <w:rPr>
          <w:rFonts w:eastAsia="仿宋_GB2312" w:hint="eastAsia"/>
          <w:bCs/>
          <w:color w:val="000000"/>
          <w:sz w:val="32"/>
          <w:szCs w:val="32"/>
        </w:rPr>
        <w:t>ASTM D4169</w:t>
      </w:r>
      <w:r>
        <w:rPr>
          <w:rFonts w:eastAsia="仿宋_GB2312" w:hint="eastAsia"/>
          <w:bCs/>
          <w:color w:val="000000"/>
          <w:sz w:val="32"/>
          <w:szCs w:val="32"/>
        </w:rPr>
        <w:t>等）包装研究，提交产品的包装验证报告。</w:t>
      </w:r>
    </w:p>
    <w:p w14:paraId="3ECF254C" w14:textId="15E946D4" w:rsidR="005B4851" w:rsidRDefault="005D084F">
      <w:pPr>
        <w:spacing w:line="520" w:lineRule="exact"/>
        <w:ind w:firstLineChars="200" w:firstLine="640"/>
        <w:rPr>
          <w:rFonts w:eastAsia="仿宋_GB2312"/>
          <w:color w:val="000000"/>
          <w:sz w:val="32"/>
          <w:szCs w:val="32"/>
        </w:rPr>
      </w:pPr>
      <w:r>
        <w:rPr>
          <w:rFonts w:eastAsia="仿宋_GB2312" w:hint="eastAsia"/>
          <w:bCs/>
          <w:color w:val="000000"/>
          <w:sz w:val="32"/>
          <w:szCs w:val="32"/>
        </w:rPr>
        <w:t>4</w:t>
      </w:r>
      <w:r>
        <w:rPr>
          <w:rFonts w:eastAsia="仿宋_GB2312"/>
          <w:bCs/>
          <w:color w:val="000000"/>
          <w:sz w:val="32"/>
          <w:szCs w:val="32"/>
        </w:rPr>
        <w:t>.</w:t>
      </w:r>
      <w:r w:rsidR="00D86D7D">
        <w:rPr>
          <w:rFonts w:eastAsia="仿宋_GB2312" w:hint="eastAsia"/>
          <w:bCs/>
          <w:color w:val="000000"/>
          <w:sz w:val="32"/>
          <w:szCs w:val="32"/>
        </w:rPr>
        <w:t>5</w:t>
      </w:r>
      <w:r>
        <w:rPr>
          <w:rFonts w:eastAsia="仿宋_GB2312" w:hint="eastAsia"/>
          <w:bCs/>
          <w:color w:val="000000"/>
          <w:sz w:val="32"/>
          <w:szCs w:val="32"/>
        </w:rPr>
        <w:t>.3</w:t>
      </w:r>
      <w:r>
        <w:rPr>
          <w:rFonts w:eastAsia="仿宋_GB2312"/>
          <w:color w:val="000000"/>
          <w:sz w:val="32"/>
          <w:szCs w:val="32"/>
        </w:rPr>
        <w:t>环境试验</w:t>
      </w:r>
    </w:p>
    <w:p w14:paraId="2289A9C9"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lastRenderedPageBreak/>
        <w:t>医用电器环境要求是评价产品在各种工作环境和模拟贮存、运输环境下的适应性，建议按照</w:t>
      </w:r>
      <w:r>
        <w:rPr>
          <w:rFonts w:eastAsia="仿宋_GB2312"/>
          <w:color w:val="000000"/>
          <w:sz w:val="32"/>
          <w:szCs w:val="32"/>
        </w:rPr>
        <w:t>GB/T</w:t>
      </w:r>
      <w:r>
        <w:rPr>
          <w:rFonts w:eastAsia="仿宋_GB2312" w:hint="eastAsia"/>
          <w:color w:val="000000"/>
          <w:sz w:val="32"/>
          <w:szCs w:val="32"/>
        </w:rPr>
        <w:t xml:space="preserve"> </w:t>
      </w:r>
      <w:r>
        <w:rPr>
          <w:rFonts w:eastAsia="仿宋_GB2312"/>
          <w:color w:val="000000"/>
          <w:sz w:val="32"/>
          <w:szCs w:val="32"/>
        </w:rPr>
        <w:t>14710</w:t>
      </w:r>
      <w:r>
        <w:rPr>
          <w:rFonts w:eastAsia="仿宋_GB2312" w:hint="eastAsia"/>
          <w:color w:val="000000"/>
          <w:sz w:val="32"/>
          <w:szCs w:val="32"/>
        </w:rPr>
        <w:t>《医用电器环境要求及试验方法》</w:t>
      </w:r>
      <w:r>
        <w:rPr>
          <w:rFonts w:eastAsia="仿宋_GB2312"/>
          <w:color w:val="000000"/>
          <w:sz w:val="32"/>
          <w:szCs w:val="32"/>
        </w:rPr>
        <w:t>的要求进行试验</w:t>
      </w:r>
      <w:r>
        <w:rPr>
          <w:rFonts w:eastAsia="仿宋_GB2312" w:hint="eastAsia"/>
          <w:color w:val="000000"/>
          <w:sz w:val="32"/>
          <w:szCs w:val="32"/>
        </w:rPr>
        <w:t>，提交相应研究资料。</w:t>
      </w:r>
    </w:p>
    <w:p w14:paraId="29A44995" w14:textId="4C9A641B"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4.</w:t>
      </w:r>
      <w:r w:rsidR="00D86D7D">
        <w:rPr>
          <w:rFonts w:eastAsia="仿宋_GB2312" w:hint="eastAsia"/>
          <w:color w:val="000000"/>
          <w:sz w:val="32"/>
          <w:szCs w:val="32"/>
        </w:rPr>
        <w:t>6</w:t>
      </w:r>
      <w:r>
        <w:rPr>
          <w:rFonts w:eastAsia="仿宋_GB2312" w:hint="eastAsia"/>
          <w:color w:val="000000"/>
          <w:sz w:val="32"/>
          <w:szCs w:val="32"/>
        </w:rPr>
        <w:t>联合使用</w:t>
      </w:r>
    </w:p>
    <w:p w14:paraId="5163BC40" w14:textId="0459DDB5" w:rsidR="005B4851" w:rsidRDefault="005D084F">
      <w:pPr>
        <w:spacing w:line="520" w:lineRule="exact"/>
        <w:ind w:firstLineChars="200" w:firstLine="640"/>
        <w:rPr>
          <w:rFonts w:eastAsia="仿宋_GB2312"/>
          <w:color w:val="000000"/>
          <w:sz w:val="32"/>
          <w:szCs w:val="32"/>
        </w:rPr>
      </w:pPr>
      <w:r>
        <w:rPr>
          <w:rFonts w:eastAsia="仿宋_GB2312" w:hint="eastAsia"/>
          <w:color w:val="000000"/>
          <w:sz w:val="32"/>
          <w:szCs w:val="32"/>
        </w:rPr>
        <w:t>产品如需外接设备以实现相关临床功能（如，</w:t>
      </w:r>
      <w:r w:rsidR="008D11A4">
        <w:rPr>
          <w:rFonts w:eastAsia="仿宋_GB2312" w:hint="eastAsia"/>
          <w:snapToGrid w:val="0"/>
          <w:kern w:val="0"/>
          <w:sz w:val="32"/>
          <w:szCs w:val="32"/>
        </w:rPr>
        <w:t>外接设备以显示腔内心电图</w:t>
      </w:r>
      <w:r w:rsidR="00B55F15">
        <w:rPr>
          <w:rFonts w:eastAsia="仿宋_GB2312" w:hint="eastAsia"/>
          <w:snapToGrid w:val="0"/>
          <w:kern w:val="0"/>
          <w:sz w:val="32"/>
          <w:szCs w:val="32"/>
        </w:rPr>
        <w:t>，</w:t>
      </w:r>
      <w:r w:rsidR="00B55F15" w:rsidRPr="00B55F15">
        <w:rPr>
          <w:rFonts w:eastAsia="仿宋_GB2312" w:hint="eastAsia"/>
          <w:snapToGrid w:val="0"/>
          <w:kern w:val="0"/>
          <w:sz w:val="32"/>
          <w:szCs w:val="32"/>
        </w:rPr>
        <w:t>外接程控仪进行参数设置和显示</w:t>
      </w:r>
      <w:r>
        <w:rPr>
          <w:rFonts w:eastAsia="仿宋_GB2312" w:hint="eastAsia"/>
          <w:color w:val="000000"/>
          <w:sz w:val="32"/>
          <w:szCs w:val="32"/>
        </w:rPr>
        <w:t>）</w:t>
      </w:r>
      <w:r>
        <w:rPr>
          <w:rFonts w:eastAsia="仿宋_GB2312" w:hint="eastAsia"/>
          <w:snapToGrid w:val="0"/>
          <w:kern w:val="0"/>
          <w:sz w:val="32"/>
          <w:szCs w:val="32"/>
        </w:rPr>
        <w:t>，</w:t>
      </w:r>
      <w:r>
        <w:rPr>
          <w:rFonts w:eastAsia="仿宋_GB2312" w:hint="eastAsia"/>
          <w:color w:val="000000"/>
          <w:sz w:val="32"/>
          <w:szCs w:val="32"/>
        </w:rPr>
        <w:t>应提交相应的研究、验证资料。</w:t>
      </w:r>
    </w:p>
    <w:p w14:paraId="4AE9FEC5" w14:textId="1284A7D1" w:rsidR="000D3940" w:rsidRDefault="000D3940" w:rsidP="000D3940">
      <w:pPr>
        <w:spacing w:line="520" w:lineRule="exact"/>
        <w:ind w:firstLineChars="200" w:firstLine="640"/>
        <w:rPr>
          <w:rFonts w:eastAsia="仿宋_GB2312"/>
          <w:color w:val="000000"/>
          <w:sz w:val="32"/>
          <w:szCs w:val="32"/>
        </w:rPr>
      </w:pPr>
      <w:r w:rsidRPr="000D3940">
        <w:rPr>
          <w:rFonts w:eastAsia="仿宋_GB2312" w:hint="eastAsia"/>
          <w:color w:val="000000"/>
          <w:sz w:val="32"/>
          <w:szCs w:val="32"/>
        </w:rPr>
        <w:t>联合使用</w:t>
      </w:r>
      <w:r w:rsidR="009912BD">
        <w:rPr>
          <w:rFonts w:eastAsia="仿宋_GB2312" w:hint="eastAsia"/>
          <w:color w:val="000000"/>
          <w:sz w:val="32"/>
          <w:szCs w:val="32"/>
        </w:rPr>
        <w:t>研究</w:t>
      </w:r>
      <w:r w:rsidRPr="000D3940">
        <w:rPr>
          <w:rFonts w:eastAsia="仿宋_GB2312" w:hint="eastAsia"/>
          <w:color w:val="000000"/>
          <w:sz w:val="32"/>
          <w:szCs w:val="32"/>
        </w:rPr>
        <w:t>资料</w:t>
      </w:r>
      <w:r>
        <w:rPr>
          <w:rFonts w:eastAsia="仿宋_GB2312" w:hint="eastAsia"/>
          <w:color w:val="000000"/>
          <w:sz w:val="32"/>
          <w:szCs w:val="32"/>
        </w:rPr>
        <w:t>中</w:t>
      </w:r>
      <w:r w:rsidR="009912BD">
        <w:rPr>
          <w:rFonts w:eastAsia="仿宋_GB2312" w:hint="eastAsia"/>
          <w:color w:val="000000"/>
          <w:sz w:val="32"/>
          <w:szCs w:val="32"/>
        </w:rPr>
        <w:t>说明设备注册信息（如适用）、</w:t>
      </w:r>
      <w:r w:rsidRPr="000D3940">
        <w:rPr>
          <w:rFonts w:eastAsia="仿宋_GB2312" w:hint="eastAsia"/>
          <w:color w:val="000000"/>
          <w:sz w:val="32"/>
          <w:szCs w:val="32"/>
        </w:rPr>
        <w:t>基本信息（连接类型、接口、协议、最低性能）、联合使用风险及控制措施、联合使用上的限制，兼容性研究等。</w:t>
      </w:r>
    </w:p>
    <w:p w14:paraId="0626B44D" w14:textId="4FC50C6F" w:rsidR="009912BD" w:rsidRPr="009912BD" w:rsidRDefault="009912BD" w:rsidP="009912BD">
      <w:pPr>
        <w:spacing w:line="520" w:lineRule="exact"/>
        <w:ind w:firstLineChars="200" w:firstLine="640"/>
        <w:rPr>
          <w:rFonts w:eastAsia="仿宋_GB2312"/>
          <w:color w:val="000000"/>
          <w:sz w:val="32"/>
          <w:szCs w:val="32"/>
        </w:rPr>
      </w:pPr>
      <w:r w:rsidRPr="000D3940">
        <w:rPr>
          <w:rFonts w:eastAsia="仿宋_GB2312" w:hint="eastAsia"/>
          <w:color w:val="000000"/>
          <w:sz w:val="32"/>
          <w:szCs w:val="32"/>
        </w:rPr>
        <w:t>联合使用</w:t>
      </w:r>
      <w:r>
        <w:rPr>
          <w:rFonts w:eastAsia="仿宋_GB2312" w:hint="eastAsia"/>
          <w:color w:val="000000"/>
          <w:sz w:val="32"/>
          <w:szCs w:val="32"/>
        </w:rPr>
        <w:t>验证资料需提供验证方案及验证报告。</w:t>
      </w:r>
    </w:p>
    <w:p w14:paraId="1D47D93B" w14:textId="3CA331CB" w:rsidR="005B4851" w:rsidRDefault="005D084F">
      <w:pPr>
        <w:spacing w:line="520" w:lineRule="exact"/>
        <w:ind w:firstLineChars="200" w:firstLine="640"/>
        <w:rPr>
          <w:rFonts w:eastAsia="仿宋_GB2312"/>
          <w:color w:val="000000"/>
          <w:sz w:val="32"/>
          <w:szCs w:val="32"/>
        </w:rPr>
      </w:pPr>
      <w:r>
        <w:rPr>
          <w:rFonts w:eastAsia="仿宋_GB2312" w:hint="eastAsia"/>
          <w:color w:val="000000"/>
          <w:sz w:val="32"/>
          <w:szCs w:val="32"/>
        </w:rPr>
        <w:t>4.</w:t>
      </w:r>
      <w:r w:rsidR="00D86D7D">
        <w:rPr>
          <w:rFonts w:eastAsia="仿宋_GB2312" w:hint="eastAsia"/>
          <w:color w:val="000000"/>
          <w:sz w:val="32"/>
          <w:szCs w:val="32"/>
        </w:rPr>
        <w:t>7</w:t>
      </w:r>
      <w:r>
        <w:rPr>
          <w:rFonts w:eastAsia="仿宋_GB2312" w:hint="eastAsia"/>
          <w:color w:val="000000"/>
          <w:sz w:val="32"/>
          <w:szCs w:val="32"/>
        </w:rPr>
        <w:t>可用性工程研究资料</w:t>
      </w:r>
    </w:p>
    <w:p w14:paraId="5192C7F3" w14:textId="5776AD5C" w:rsidR="005B4851" w:rsidRDefault="005D084F">
      <w:pPr>
        <w:spacing w:line="520" w:lineRule="exact"/>
        <w:ind w:firstLineChars="200" w:firstLine="640"/>
        <w:rPr>
          <w:rFonts w:eastAsia="仿宋_GB2312"/>
          <w:color w:val="000000"/>
          <w:sz w:val="32"/>
          <w:szCs w:val="32"/>
        </w:rPr>
      </w:pPr>
      <w:r>
        <w:rPr>
          <w:rFonts w:eastAsia="仿宋_GB2312" w:hint="eastAsia"/>
          <w:color w:val="000000"/>
          <w:sz w:val="32"/>
          <w:szCs w:val="32"/>
        </w:rPr>
        <w:t>产品属于</w:t>
      </w:r>
      <w:r w:rsidR="00EF78A8">
        <w:rPr>
          <w:rFonts w:eastAsia="仿宋_GB2312" w:hint="eastAsia"/>
          <w:color w:val="000000"/>
          <w:sz w:val="32"/>
          <w:szCs w:val="32"/>
        </w:rPr>
        <w:t>中</w:t>
      </w:r>
      <w:r w:rsidR="00B55F15">
        <w:rPr>
          <w:rFonts w:eastAsia="仿宋_GB2312" w:hint="eastAsia"/>
          <w:color w:val="000000"/>
          <w:sz w:val="32"/>
          <w:szCs w:val="32"/>
        </w:rPr>
        <w:t>等</w:t>
      </w:r>
      <w:r>
        <w:rPr>
          <w:rFonts w:eastAsia="仿宋_GB2312" w:hint="eastAsia"/>
          <w:color w:val="000000"/>
          <w:sz w:val="32"/>
          <w:szCs w:val="32"/>
        </w:rPr>
        <w:t>使用风险医疗器械，应参照《医疗器械可用性工程注册审查指导原则》提交使用错误评估报告，包括基本信息、使用风险级别、核心要素、同类医疗器械上市后使用问题分析、使用风险管理、结论等内容。若前期已开展可用性工程工作，亦可提交可用性工程研究报告，用于替代使用错误评估报告。</w:t>
      </w:r>
    </w:p>
    <w:p w14:paraId="69CA484F" w14:textId="77777777" w:rsidR="005B4851" w:rsidRDefault="005D084F">
      <w:pPr>
        <w:spacing w:line="520" w:lineRule="exact"/>
        <w:ind w:firstLineChars="200" w:firstLine="640"/>
        <w:rPr>
          <w:rFonts w:eastAsia="仿宋_GB2312"/>
          <w:color w:val="000000"/>
          <w:sz w:val="32"/>
          <w:szCs w:val="32"/>
        </w:rPr>
      </w:pPr>
      <w:r>
        <w:rPr>
          <w:rFonts w:eastAsia="仿宋_GB2312" w:hint="eastAsia"/>
          <w:color w:val="000000"/>
          <w:sz w:val="32"/>
          <w:szCs w:val="32"/>
        </w:rPr>
        <w:t>4.9</w:t>
      </w:r>
      <w:r>
        <w:rPr>
          <w:rFonts w:eastAsia="仿宋_GB2312" w:hint="eastAsia"/>
          <w:color w:val="000000"/>
          <w:sz w:val="32"/>
          <w:szCs w:val="32"/>
        </w:rPr>
        <w:t>动物试验</w:t>
      </w:r>
    </w:p>
    <w:p w14:paraId="7C1E350A" w14:textId="542C92DE" w:rsidR="005B4851" w:rsidRDefault="005D084F">
      <w:pPr>
        <w:spacing w:line="520" w:lineRule="exact"/>
        <w:ind w:firstLineChars="200" w:firstLine="640"/>
      </w:pPr>
      <w:r>
        <w:rPr>
          <w:rFonts w:eastAsia="仿宋_GB2312" w:hint="eastAsia"/>
          <w:color w:val="000000"/>
          <w:sz w:val="32"/>
          <w:szCs w:val="32"/>
        </w:rPr>
        <w:t>动物试验的目的主要是通过动物</w:t>
      </w:r>
      <w:r w:rsidR="0082662E">
        <w:rPr>
          <w:rFonts w:eastAsia="仿宋_GB2312" w:hint="eastAsia"/>
          <w:color w:val="000000"/>
          <w:sz w:val="32"/>
          <w:szCs w:val="32"/>
        </w:rPr>
        <w:t>试验</w:t>
      </w:r>
      <w:r>
        <w:rPr>
          <w:rFonts w:eastAsia="仿宋_GB2312" w:hint="eastAsia"/>
          <w:color w:val="000000"/>
          <w:sz w:val="32"/>
          <w:szCs w:val="32"/>
        </w:rPr>
        <w:t>来考察产品的安全性和有效性。起搏系统分析仪作为心脏植入式电子器械（</w:t>
      </w:r>
      <w:r>
        <w:rPr>
          <w:rFonts w:eastAsia="仿宋_GB2312"/>
          <w:color w:val="000000"/>
          <w:sz w:val="32"/>
          <w:szCs w:val="32"/>
        </w:rPr>
        <w:t>Cardiac implantable electronic device</w:t>
      </w:r>
      <w:r>
        <w:rPr>
          <w:rFonts w:eastAsia="仿宋_GB2312" w:hint="eastAsia"/>
          <w:color w:val="000000"/>
          <w:sz w:val="32"/>
          <w:szCs w:val="32"/>
        </w:rPr>
        <w:t>，</w:t>
      </w:r>
      <w:r>
        <w:rPr>
          <w:rFonts w:eastAsia="仿宋_GB2312"/>
          <w:color w:val="000000"/>
          <w:sz w:val="32"/>
          <w:szCs w:val="32"/>
        </w:rPr>
        <w:t>CIED</w:t>
      </w:r>
      <w:r>
        <w:rPr>
          <w:rFonts w:eastAsia="仿宋_GB2312" w:hint="eastAsia"/>
          <w:color w:val="000000"/>
          <w:sz w:val="32"/>
          <w:szCs w:val="32"/>
        </w:rPr>
        <w:t>）系统的一个组成部分进行开发和验证，该系统包括但不限于心脏节律管理设备程控仪、植入式电极导线以及植入式电子器械。</w:t>
      </w:r>
      <w:r w:rsidR="0082662E">
        <w:rPr>
          <w:rFonts w:eastAsia="仿宋_GB2312" w:hint="eastAsia"/>
          <w:color w:val="000000"/>
          <w:sz w:val="32"/>
          <w:szCs w:val="32"/>
        </w:rPr>
        <w:t>若</w:t>
      </w:r>
      <w:r>
        <w:rPr>
          <w:rFonts w:eastAsia="仿宋_GB2312" w:hint="eastAsia"/>
          <w:color w:val="000000"/>
          <w:sz w:val="32"/>
          <w:szCs w:val="32"/>
        </w:rPr>
        <w:t>该起搏系统分析仪</w:t>
      </w:r>
      <w:r w:rsidR="00957ED7">
        <w:rPr>
          <w:rFonts w:eastAsia="仿宋_GB2312" w:hint="eastAsia"/>
          <w:color w:val="000000"/>
          <w:sz w:val="32"/>
          <w:szCs w:val="32"/>
        </w:rPr>
        <w:t>具有全新的设计或基于全新的工作原理</w:t>
      </w:r>
      <w:r>
        <w:rPr>
          <w:rFonts w:eastAsia="仿宋_GB2312" w:hint="eastAsia"/>
          <w:color w:val="000000"/>
          <w:sz w:val="32"/>
          <w:szCs w:val="32"/>
        </w:rPr>
        <w:t>，</w:t>
      </w:r>
      <w:r w:rsidR="00663DCD" w:rsidRPr="00663DCD">
        <w:rPr>
          <w:rFonts w:eastAsia="仿宋_GB2312" w:hint="eastAsia"/>
          <w:color w:val="000000"/>
          <w:sz w:val="32"/>
          <w:szCs w:val="32"/>
        </w:rPr>
        <w:t>建议</w:t>
      </w:r>
      <w:r w:rsidR="00663DCD" w:rsidRPr="00663DCD">
        <w:rPr>
          <w:rFonts w:eastAsia="仿宋_GB2312" w:hint="eastAsia"/>
          <w:color w:val="000000"/>
          <w:sz w:val="32"/>
          <w:szCs w:val="32"/>
        </w:rPr>
        <w:lastRenderedPageBreak/>
        <w:t>按《医疗器械动物试验研究注册审查指导原则第一部分：决策原则（</w:t>
      </w:r>
      <w:r w:rsidR="00663DCD" w:rsidRPr="00663DCD">
        <w:rPr>
          <w:rFonts w:eastAsia="仿宋_GB2312" w:hint="eastAsia"/>
          <w:color w:val="000000"/>
          <w:sz w:val="32"/>
          <w:szCs w:val="32"/>
        </w:rPr>
        <w:t>2021</w:t>
      </w:r>
      <w:r w:rsidR="00663DCD" w:rsidRPr="00663DCD">
        <w:rPr>
          <w:rFonts w:eastAsia="仿宋_GB2312" w:hint="eastAsia"/>
          <w:color w:val="000000"/>
          <w:sz w:val="32"/>
          <w:szCs w:val="32"/>
        </w:rPr>
        <w:t>年修订版）》进行动物试验必要性的论证，按</w:t>
      </w:r>
      <w:r w:rsidR="00663DCD" w:rsidRPr="00663DCD">
        <w:rPr>
          <w:rFonts w:eastAsia="仿宋_GB2312" w:hint="eastAsia"/>
          <w:color w:val="000000"/>
          <w:sz w:val="32"/>
          <w:szCs w:val="32"/>
        </w:rPr>
        <w:t xml:space="preserve"> </w:t>
      </w:r>
      <w:r w:rsidR="00663DCD" w:rsidRPr="00663DCD">
        <w:rPr>
          <w:rFonts w:eastAsia="仿宋_GB2312" w:hint="eastAsia"/>
          <w:color w:val="000000"/>
          <w:sz w:val="32"/>
          <w:szCs w:val="32"/>
        </w:rPr>
        <w:t>《医疗器械动物试验研究注册审查指导原则</w:t>
      </w:r>
      <w:r w:rsidR="00663DCD" w:rsidRPr="00663DCD">
        <w:rPr>
          <w:rFonts w:eastAsia="仿宋_GB2312" w:hint="eastAsia"/>
          <w:color w:val="000000"/>
          <w:sz w:val="32"/>
          <w:szCs w:val="32"/>
        </w:rPr>
        <w:t xml:space="preserve"> </w:t>
      </w:r>
      <w:r w:rsidR="00663DCD" w:rsidRPr="00663DCD">
        <w:rPr>
          <w:rFonts w:eastAsia="仿宋_GB2312" w:hint="eastAsia"/>
          <w:color w:val="000000"/>
          <w:sz w:val="32"/>
          <w:szCs w:val="32"/>
        </w:rPr>
        <w:t>第二部分：试验设计、实施质量保证》要求开展动物试验</w:t>
      </w:r>
      <w:r>
        <w:rPr>
          <w:rFonts w:eastAsia="仿宋_GB2312" w:hint="eastAsia"/>
          <w:color w:val="000000"/>
          <w:sz w:val="32"/>
          <w:szCs w:val="32"/>
        </w:rPr>
        <w:t>。可在以其为辅助器械的</w:t>
      </w:r>
      <w:r>
        <w:rPr>
          <w:rFonts w:eastAsia="仿宋_GB2312" w:hint="eastAsia"/>
          <w:color w:val="000000"/>
          <w:sz w:val="32"/>
          <w:szCs w:val="32"/>
        </w:rPr>
        <w:t>CIED</w:t>
      </w:r>
      <w:r>
        <w:rPr>
          <w:rFonts w:eastAsia="仿宋_GB2312" w:hint="eastAsia"/>
          <w:color w:val="000000"/>
          <w:sz w:val="32"/>
          <w:szCs w:val="32"/>
        </w:rPr>
        <w:t>系统试验中，按其预期用途加以使用和评估。若起搏系统分析仪的安全性和有效性已</w:t>
      </w:r>
      <w:r w:rsidR="001F2F07">
        <w:rPr>
          <w:rFonts w:eastAsia="仿宋_GB2312" w:hint="eastAsia"/>
          <w:color w:val="000000"/>
          <w:sz w:val="32"/>
          <w:szCs w:val="32"/>
        </w:rPr>
        <w:t>在</w:t>
      </w:r>
      <w:r>
        <w:rPr>
          <w:rFonts w:eastAsia="仿宋_GB2312" w:hint="eastAsia"/>
          <w:color w:val="000000"/>
          <w:sz w:val="32"/>
          <w:szCs w:val="32"/>
        </w:rPr>
        <w:t>既往试验或临床使用中得到了证实，</w:t>
      </w:r>
      <w:r>
        <w:rPr>
          <w:rFonts w:eastAsia="仿宋_GB2312" w:hint="eastAsia"/>
          <w:sz w:val="32"/>
          <w:szCs w:val="32"/>
        </w:rPr>
        <w:t>或申报产品为前代产品基础上进行的改进或更新，对于前代产品已验证的内容无需</w:t>
      </w:r>
      <w:r w:rsidR="001F2F07">
        <w:rPr>
          <w:rFonts w:eastAsia="仿宋_GB2312" w:hint="eastAsia"/>
          <w:sz w:val="32"/>
          <w:szCs w:val="32"/>
        </w:rPr>
        <w:t>重复</w:t>
      </w:r>
      <w:r>
        <w:rPr>
          <w:rFonts w:eastAsia="仿宋_GB2312" w:hint="eastAsia"/>
          <w:sz w:val="32"/>
          <w:szCs w:val="32"/>
        </w:rPr>
        <w:t>开展动物试验，</w:t>
      </w:r>
      <w:r>
        <w:rPr>
          <w:rFonts w:eastAsia="仿宋_GB2312" w:hint="eastAsia"/>
          <w:color w:val="000000"/>
          <w:sz w:val="32"/>
          <w:szCs w:val="32"/>
        </w:rPr>
        <w:t>在此类情况下，应提供既往试验结果</w:t>
      </w:r>
      <w:r w:rsidR="001F2F07" w:rsidRPr="00423851">
        <w:rPr>
          <w:rFonts w:eastAsia="仿宋_GB2312" w:hint="eastAsia"/>
          <w:color w:val="000000"/>
          <w:sz w:val="32"/>
          <w:szCs w:val="32"/>
        </w:rPr>
        <w:t>适用于本次申报产品的合理性说明</w:t>
      </w:r>
      <w:r>
        <w:rPr>
          <w:rFonts w:eastAsia="仿宋_GB2312" w:hint="eastAsia"/>
          <w:color w:val="000000"/>
          <w:sz w:val="32"/>
          <w:szCs w:val="32"/>
        </w:rPr>
        <w:t>。</w:t>
      </w:r>
    </w:p>
    <w:p w14:paraId="1C31A1D5" w14:textId="77777777" w:rsidR="005B4851" w:rsidRDefault="005D084F">
      <w:pPr>
        <w:overflowPunct w:val="0"/>
        <w:autoSpaceDE w:val="0"/>
        <w:autoSpaceDN w:val="0"/>
        <w:spacing w:line="520" w:lineRule="exact"/>
        <w:ind w:left="221" w:firstLine="200"/>
        <w:outlineLvl w:val="1"/>
        <w:rPr>
          <w:rFonts w:eastAsia="楷体_GB2312"/>
          <w:color w:val="000000"/>
          <w:sz w:val="32"/>
          <w:szCs w:val="32"/>
        </w:rPr>
      </w:pPr>
      <w:r>
        <w:rPr>
          <w:rFonts w:eastAsia="楷体_GB2312"/>
          <w:color w:val="000000"/>
          <w:sz w:val="32"/>
          <w:szCs w:val="32"/>
        </w:rPr>
        <w:t>（四）临床评价资料</w:t>
      </w:r>
    </w:p>
    <w:p w14:paraId="4CEF1067" w14:textId="1EB8E6AA" w:rsidR="005B4851" w:rsidRDefault="005D084F">
      <w:pPr>
        <w:overflowPunct w:val="0"/>
        <w:autoSpaceDE w:val="0"/>
        <w:autoSpaceDN w:val="0"/>
        <w:spacing w:line="520" w:lineRule="exact"/>
        <w:ind w:firstLineChars="200" w:firstLine="640"/>
        <w:outlineLvl w:val="1"/>
        <w:rPr>
          <w:rFonts w:eastAsia="仿宋_GB2312"/>
          <w:color w:val="000000"/>
          <w:sz w:val="32"/>
          <w:szCs w:val="32"/>
        </w:rPr>
      </w:pPr>
      <w:r>
        <w:rPr>
          <w:rFonts w:eastAsia="仿宋_GB2312" w:hint="eastAsia"/>
          <w:sz w:val="32"/>
          <w:szCs w:val="32"/>
        </w:rPr>
        <w:t>该产品不在《</w:t>
      </w:r>
      <w:r w:rsidR="007620DB">
        <w:rPr>
          <w:rFonts w:eastAsia="仿宋_GB2312" w:hint="eastAsia"/>
          <w:snapToGrid w:val="0"/>
          <w:color w:val="000000"/>
          <w:kern w:val="0"/>
          <w:sz w:val="32"/>
          <w:szCs w:val="32"/>
        </w:rPr>
        <w:t>免于进行临床评价医疗器械目录</w:t>
      </w:r>
      <w:r>
        <w:rPr>
          <w:rFonts w:eastAsia="仿宋_GB2312" w:hint="eastAsia"/>
          <w:sz w:val="32"/>
          <w:szCs w:val="32"/>
        </w:rPr>
        <w:t>》的产品描述范围之内，申请人应按照</w:t>
      </w:r>
      <w:r>
        <w:rPr>
          <w:rFonts w:eastAsia="仿宋_GB2312" w:hint="eastAsia"/>
          <w:color w:val="000000"/>
          <w:sz w:val="32"/>
          <w:szCs w:val="32"/>
        </w:rPr>
        <w:t>《医疗器械临床评价技术指导原则》、《医疗器械临床评价等同性论证技术指导原则》等相关文件的要求开展临床评价</w:t>
      </w:r>
      <w:r>
        <w:rPr>
          <w:rFonts w:eastAsia="仿宋_GB2312"/>
          <w:color w:val="000000"/>
          <w:sz w:val="32"/>
          <w:szCs w:val="32"/>
        </w:rPr>
        <w:t>。</w:t>
      </w:r>
    </w:p>
    <w:p w14:paraId="73736A78" w14:textId="77777777" w:rsidR="005B4851" w:rsidRDefault="005D084F">
      <w:pPr>
        <w:overflowPunct w:val="0"/>
        <w:autoSpaceDE w:val="0"/>
        <w:autoSpaceDN w:val="0"/>
        <w:spacing w:line="520" w:lineRule="exact"/>
        <w:ind w:firstLineChars="200" w:firstLine="640"/>
        <w:outlineLvl w:val="1"/>
        <w:rPr>
          <w:rFonts w:eastAsia="仿宋_GB2312"/>
          <w:sz w:val="32"/>
          <w:szCs w:val="32"/>
        </w:rPr>
      </w:pPr>
      <w:r>
        <w:rPr>
          <w:rFonts w:eastAsia="仿宋_GB2312" w:hint="eastAsia"/>
          <w:sz w:val="32"/>
          <w:szCs w:val="32"/>
        </w:rPr>
        <w:t>1.</w:t>
      </w:r>
      <w:r>
        <w:rPr>
          <w:rFonts w:eastAsia="仿宋_GB2312" w:hint="eastAsia"/>
          <w:sz w:val="32"/>
          <w:szCs w:val="32"/>
        </w:rPr>
        <w:t>通过同品种医疗器械临床数据进行分析、评价</w:t>
      </w:r>
    </w:p>
    <w:p w14:paraId="228170FA" w14:textId="23606EB0" w:rsidR="00B2592B" w:rsidRDefault="000D3940" w:rsidP="00AC680D">
      <w:pPr>
        <w:overflowPunct w:val="0"/>
        <w:autoSpaceDE w:val="0"/>
        <w:autoSpaceDN w:val="0"/>
        <w:spacing w:line="520" w:lineRule="exact"/>
        <w:ind w:firstLineChars="200" w:firstLine="640"/>
        <w:outlineLvl w:val="1"/>
        <w:rPr>
          <w:rFonts w:eastAsia="仿宋_GB2312"/>
          <w:sz w:val="32"/>
          <w:szCs w:val="32"/>
        </w:rPr>
      </w:pPr>
      <w:r>
        <w:rPr>
          <w:rFonts w:eastAsia="仿宋_GB2312" w:hint="eastAsia"/>
          <w:sz w:val="32"/>
          <w:szCs w:val="32"/>
        </w:rPr>
        <w:t>根据《医疗器械临床评价技术指导原则》</w:t>
      </w:r>
      <w:r w:rsidR="00E433FF">
        <w:rPr>
          <w:rFonts w:eastAsia="仿宋_GB2312" w:hint="eastAsia"/>
          <w:sz w:val="32"/>
          <w:szCs w:val="32"/>
        </w:rPr>
        <w:t>，</w:t>
      </w:r>
      <w:r w:rsidR="005D084F">
        <w:rPr>
          <w:rFonts w:eastAsia="仿宋_GB2312" w:hint="eastAsia"/>
          <w:sz w:val="32"/>
          <w:szCs w:val="32"/>
        </w:rPr>
        <w:t>当对比器械的适用范围、技术指标和</w:t>
      </w:r>
      <w:r w:rsidR="005D084F">
        <w:rPr>
          <w:rFonts w:eastAsia="仿宋_GB2312" w:hint="eastAsia"/>
          <w:sz w:val="32"/>
          <w:szCs w:val="32"/>
        </w:rPr>
        <w:t>/</w:t>
      </w:r>
      <w:r w:rsidR="005D084F">
        <w:rPr>
          <w:rFonts w:eastAsia="仿宋_GB2312" w:hint="eastAsia"/>
          <w:sz w:val="32"/>
          <w:szCs w:val="32"/>
        </w:rPr>
        <w:t>或生物学特性与申报产品具有广泛相似性时，可将其视为同品种医疗器械。</w:t>
      </w:r>
    </w:p>
    <w:p w14:paraId="2BB20A38" w14:textId="34C506A4" w:rsidR="009859B3" w:rsidRPr="00A53ECF" w:rsidRDefault="009859B3" w:rsidP="00E433FF">
      <w:pPr>
        <w:overflowPunct w:val="0"/>
        <w:autoSpaceDE w:val="0"/>
        <w:autoSpaceDN w:val="0"/>
        <w:spacing w:line="520" w:lineRule="exact"/>
        <w:ind w:firstLineChars="200" w:firstLine="420"/>
        <w:outlineLvl w:val="1"/>
        <w:rPr>
          <w:rFonts w:eastAsia="仿宋_GB2312"/>
          <w:sz w:val="32"/>
          <w:szCs w:val="32"/>
        </w:rPr>
      </w:pPr>
      <w:r>
        <w:rPr>
          <w:rFonts w:hint="eastAsia"/>
        </w:rPr>
        <w:t xml:space="preserve">   </w:t>
      </w:r>
      <w:r w:rsidR="00B55F15" w:rsidRPr="00B55F15">
        <w:rPr>
          <w:rFonts w:eastAsia="仿宋_GB2312" w:hint="eastAsia"/>
          <w:sz w:val="32"/>
          <w:szCs w:val="32"/>
        </w:rPr>
        <w:t>重点关注产品的通道数量、起搏模式、工作数据的准确性（见前文</w:t>
      </w:r>
      <w:r w:rsidR="00B55F15" w:rsidRPr="00B55F15">
        <w:rPr>
          <w:rFonts w:eastAsia="仿宋_GB2312" w:hint="eastAsia"/>
          <w:sz w:val="32"/>
          <w:szCs w:val="32"/>
        </w:rPr>
        <w:t>2.1.2</w:t>
      </w:r>
      <w:r w:rsidR="00B55F15" w:rsidRPr="00B55F15">
        <w:rPr>
          <w:rFonts w:eastAsia="仿宋_GB2312" w:hint="eastAsia"/>
          <w:sz w:val="32"/>
          <w:szCs w:val="32"/>
        </w:rPr>
        <w:t>性能指标）。</w:t>
      </w:r>
      <w:r w:rsidR="00A233F8" w:rsidRPr="00A233F8">
        <w:rPr>
          <w:rFonts w:eastAsia="仿宋_GB2312" w:hint="eastAsia"/>
          <w:sz w:val="32"/>
          <w:szCs w:val="32"/>
        </w:rPr>
        <w:t>通道数量少的起搏系统分析仪可以选择通道数量更多的设备进行对比</w:t>
      </w:r>
      <w:r w:rsidR="00003B79">
        <w:rPr>
          <w:rFonts w:eastAsia="仿宋_GB2312" w:hint="eastAsia"/>
          <w:sz w:val="32"/>
          <w:szCs w:val="32"/>
        </w:rPr>
        <w:t>，因</w:t>
      </w:r>
      <w:r w:rsidR="00730640" w:rsidRPr="00730640">
        <w:rPr>
          <w:rFonts w:eastAsia="仿宋_GB2312" w:hint="eastAsia"/>
          <w:sz w:val="32"/>
          <w:szCs w:val="32"/>
        </w:rPr>
        <w:t>申报产品的适用范围包含于对比器械适用范围之中，技术特征属于对比器械技术特征的子集</w:t>
      </w:r>
      <w:r w:rsidR="00A233F8">
        <w:rPr>
          <w:rFonts w:eastAsia="仿宋_GB2312" w:hint="eastAsia"/>
          <w:sz w:val="32"/>
          <w:szCs w:val="32"/>
        </w:rPr>
        <w:t>（申请人应说明技术特征差异的作用和影响）</w:t>
      </w:r>
      <w:r w:rsidR="00B55F15">
        <w:rPr>
          <w:rFonts w:eastAsia="仿宋_GB2312" w:hint="eastAsia"/>
          <w:sz w:val="32"/>
          <w:szCs w:val="32"/>
        </w:rPr>
        <w:t>；</w:t>
      </w:r>
      <w:r w:rsidR="00B55F15" w:rsidRPr="00B55F15">
        <w:rPr>
          <w:rFonts w:eastAsia="仿宋_GB2312" w:hint="eastAsia"/>
          <w:sz w:val="32"/>
          <w:szCs w:val="32"/>
        </w:rPr>
        <w:t>反之，因对比器械通常无法覆盖多</w:t>
      </w:r>
      <w:r w:rsidR="00003B79">
        <w:rPr>
          <w:rFonts w:eastAsia="仿宋_GB2312" w:hint="eastAsia"/>
          <w:sz w:val="32"/>
          <w:szCs w:val="32"/>
        </w:rPr>
        <w:t>通道</w:t>
      </w:r>
      <w:r w:rsidR="00B55F15" w:rsidRPr="00B55F15">
        <w:rPr>
          <w:rFonts w:eastAsia="仿宋_GB2312" w:hint="eastAsia"/>
          <w:sz w:val="32"/>
          <w:szCs w:val="32"/>
        </w:rPr>
        <w:t>设备新增的功能和</w:t>
      </w:r>
      <w:r w:rsidR="00730640" w:rsidRPr="00730640">
        <w:rPr>
          <w:rFonts w:eastAsia="仿宋_GB2312"/>
          <w:sz w:val="32"/>
          <w:szCs w:val="32"/>
        </w:rPr>
        <w:t>伴随</w:t>
      </w:r>
      <w:r w:rsidR="00B55F15" w:rsidRPr="00B55F15">
        <w:rPr>
          <w:rFonts w:eastAsia="仿宋_GB2312" w:hint="eastAsia"/>
          <w:sz w:val="32"/>
          <w:szCs w:val="32"/>
        </w:rPr>
        <w:t>风险，故不宜以单</w:t>
      </w:r>
      <w:r w:rsidR="00003B79">
        <w:rPr>
          <w:rFonts w:eastAsia="仿宋_GB2312" w:hint="eastAsia"/>
          <w:sz w:val="32"/>
          <w:szCs w:val="32"/>
        </w:rPr>
        <w:t>通道</w:t>
      </w:r>
      <w:r w:rsidR="00B55F15" w:rsidRPr="00B55F15">
        <w:rPr>
          <w:rFonts w:eastAsia="仿宋_GB2312" w:hint="eastAsia"/>
          <w:sz w:val="32"/>
          <w:szCs w:val="32"/>
        </w:rPr>
        <w:t>或双</w:t>
      </w:r>
      <w:r w:rsidR="00003B79">
        <w:rPr>
          <w:rFonts w:eastAsia="仿宋_GB2312" w:hint="eastAsia"/>
          <w:sz w:val="32"/>
          <w:szCs w:val="32"/>
        </w:rPr>
        <w:t>通道</w:t>
      </w:r>
      <w:r w:rsidR="00B55F15" w:rsidRPr="00B55F15">
        <w:rPr>
          <w:rFonts w:eastAsia="仿宋_GB2312" w:hint="eastAsia"/>
          <w:sz w:val="32"/>
          <w:szCs w:val="32"/>
        </w:rPr>
        <w:t>设备作为对比器械</w:t>
      </w:r>
      <w:r w:rsidR="00B55F15" w:rsidRPr="00B55F15">
        <w:rPr>
          <w:rFonts w:eastAsia="仿宋_GB2312" w:hint="eastAsia"/>
          <w:sz w:val="32"/>
          <w:szCs w:val="32"/>
        </w:rPr>
        <w:lastRenderedPageBreak/>
        <w:t>来论证多</w:t>
      </w:r>
      <w:r w:rsidR="00003B79">
        <w:rPr>
          <w:rFonts w:eastAsia="仿宋_GB2312" w:hint="eastAsia"/>
          <w:sz w:val="32"/>
          <w:szCs w:val="32"/>
        </w:rPr>
        <w:t>通道</w:t>
      </w:r>
      <w:r w:rsidR="00B55F15" w:rsidRPr="00B55F15">
        <w:rPr>
          <w:rFonts w:eastAsia="仿宋_GB2312" w:hint="eastAsia"/>
          <w:sz w:val="32"/>
          <w:szCs w:val="32"/>
        </w:rPr>
        <w:t>设备的安全性有效性。</w:t>
      </w:r>
    </w:p>
    <w:p w14:paraId="0EECC322" w14:textId="77777777" w:rsidR="005B4851" w:rsidRDefault="005D084F">
      <w:pPr>
        <w:overflowPunct w:val="0"/>
        <w:autoSpaceDE w:val="0"/>
        <w:autoSpaceDN w:val="0"/>
        <w:spacing w:line="520" w:lineRule="exact"/>
        <w:ind w:firstLineChars="200" w:firstLine="640"/>
        <w:outlineLvl w:val="1"/>
        <w:rPr>
          <w:rFonts w:eastAsia="仿宋_GB2312"/>
          <w:sz w:val="32"/>
          <w:szCs w:val="32"/>
        </w:rPr>
      </w:pPr>
      <w:r>
        <w:rPr>
          <w:rFonts w:eastAsia="仿宋_GB2312" w:hint="eastAsia"/>
          <w:sz w:val="32"/>
          <w:szCs w:val="32"/>
        </w:rPr>
        <w:t>2.</w:t>
      </w:r>
      <w:r>
        <w:rPr>
          <w:rFonts w:eastAsia="仿宋_GB2312" w:hint="eastAsia"/>
          <w:sz w:val="32"/>
          <w:szCs w:val="32"/>
        </w:rPr>
        <w:t>通过临床试验数据进行分析评价</w:t>
      </w:r>
    </w:p>
    <w:p w14:paraId="043268D9" w14:textId="27A8272F" w:rsidR="005B4851" w:rsidRDefault="005D084F">
      <w:pPr>
        <w:overflowPunct w:val="0"/>
        <w:autoSpaceDE w:val="0"/>
        <w:autoSpaceDN w:val="0"/>
        <w:spacing w:line="520" w:lineRule="exact"/>
        <w:ind w:firstLineChars="200" w:firstLine="640"/>
        <w:outlineLvl w:val="1"/>
        <w:rPr>
          <w:rFonts w:eastAsia="仿宋_GB2312"/>
          <w:sz w:val="32"/>
          <w:szCs w:val="32"/>
        </w:rPr>
      </w:pPr>
      <w:r>
        <w:rPr>
          <w:rFonts w:eastAsia="仿宋_GB2312" w:hint="eastAsia"/>
          <w:sz w:val="32"/>
          <w:szCs w:val="32"/>
        </w:rPr>
        <w:t>通常</w:t>
      </w:r>
      <w:r>
        <w:rPr>
          <w:rFonts w:eastAsia="仿宋_GB2312" w:hint="eastAsia"/>
          <w:color w:val="000000"/>
          <w:sz w:val="32"/>
          <w:szCs w:val="32"/>
        </w:rPr>
        <w:t>起搏系统分析仪作为心脏植入式电子器械（</w:t>
      </w:r>
      <w:r>
        <w:rPr>
          <w:rFonts w:eastAsia="仿宋_GB2312"/>
          <w:color w:val="000000"/>
          <w:sz w:val="32"/>
          <w:szCs w:val="32"/>
        </w:rPr>
        <w:t>Cardiac implantable electronic device,</w:t>
      </w:r>
      <w:r w:rsidR="00924DDF">
        <w:rPr>
          <w:rFonts w:eastAsia="仿宋_GB2312" w:hint="eastAsia"/>
          <w:color w:val="000000"/>
          <w:sz w:val="32"/>
          <w:szCs w:val="32"/>
        </w:rPr>
        <w:t xml:space="preserve"> </w:t>
      </w:r>
      <w:r>
        <w:rPr>
          <w:rFonts w:eastAsia="仿宋_GB2312"/>
          <w:color w:val="000000"/>
          <w:sz w:val="32"/>
          <w:szCs w:val="32"/>
        </w:rPr>
        <w:t>CIED</w:t>
      </w:r>
      <w:r>
        <w:rPr>
          <w:rFonts w:eastAsia="仿宋_GB2312" w:hint="eastAsia"/>
          <w:color w:val="000000"/>
          <w:sz w:val="32"/>
          <w:szCs w:val="32"/>
        </w:rPr>
        <w:t>）系统的一个组成部分进行开发和验证</w:t>
      </w:r>
      <w:r>
        <w:rPr>
          <w:rFonts w:eastAsia="仿宋_GB2312" w:hint="eastAsia"/>
          <w:sz w:val="32"/>
          <w:szCs w:val="32"/>
        </w:rPr>
        <w:t>。</w:t>
      </w:r>
      <w:r>
        <w:rPr>
          <w:rFonts w:eastAsia="仿宋_GB2312" w:hint="eastAsia"/>
          <w:color w:val="000000"/>
          <w:sz w:val="32"/>
          <w:szCs w:val="32"/>
        </w:rPr>
        <w:t>可通过以其为辅助器械的</w:t>
      </w:r>
      <w:r>
        <w:rPr>
          <w:rFonts w:eastAsia="仿宋_GB2312" w:hint="eastAsia"/>
          <w:color w:val="000000"/>
          <w:sz w:val="32"/>
          <w:szCs w:val="32"/>
        </w:rPr>
        <w:t>CIED</w:t>
      </w:r>
      <w:r>
        <w:rPr>
          <w:rFonts w:eastAsia="仿宋_GB2312" w:hint="eastAsia"/>
          <w:color w:val="000000"/>
          <w:sz w:val="32"/>
          <w:szCs w:val="32"/>
        </w:rPr>
        <w:t>系统试验中，按其预期用途加以使用和评估。</w:t>
      </w:r>
      <w:r>
        <w:rPr>
          <w:rFonts w:eastAsia="仿宋_GB2312" w:hint="eastAsia"/>
          <w:sz w:val="32"/>
          <w:szCs w:val="32"/>
        </w:rPr>
        <w:t>注册申请人可提交</w:t>
      </w:r>
      <w:r>
        <w:rPr>
          <w:rFonts w:eastAsia="仿宋_GB2312" w:hint="eastAsia"/>
          <w:color w:val="000000"/>
          <w:sz w:val="32"/>
          <w:szCs w:val="32"/>
        </w:rPr>
        <w:t>心脏植入式电子器械</w:t>
      </w:r>
      <w:r>
        <w:rPr>
          <w:rFonts w:eastAsia="仿宋_GB2312" w:hint="eastAsia"/>
          <w:sz w:val="32"/>
          <w:szCs w:val="32"/>
        </w:rPr>
        <w:t>的临床试验报告，试验过程中所用起搏系统分析设备</w:t>
      </w:r>
      <w:proofErr w:type="gramStart"/>
      <w:r>
        <w:rPr>
          <w:rFonts w:eastAsia="仿宋_GB2312" w:hint="eastAsia"/>
          <w:sz w:val="32"/>
          <w:szCs w:val="32"/>
        </w:rPr>
        <w:t>需包括</w:t>
      </w:r>
      <w:proofErr w:type="gramEnd"/>
      <w:r>
        <w:rPr>
          <w:rFonts w:eastAsia="仿宋_GB2312" w:hint="eastAsia"/>
          <w:sz w:val="32"/>
          <w:szCs w:val="32"/>
        </w:rPr>
        <w:t>申报产品。</w:t>
      </w:r>
    </w:p>
    <w:p w14:paraId="2020168E" w14:textId="5F8E5237" w:rsidR="005B4851" w:rsidRDefault="005D084F">
      <w:pPr>
        <w:overflowPunct w:val="0"/>
        <w:autoSpaceDE w:val="0"/>
        <w:autoSpaceDN w:val="0"/>
        <w:spacing w:line="520" w:lineRule="exact"/>
        <w:ind w:firstLineChars="200" w:firstLine="640"/>
        <w:outlineLvl w:val="1"/>
        <w:rPr>
          <w:rFonts w:eastAsia="仿宋_GB2312"/>
          <w:sz w:val="32"/>
          <w:szCs w:val="32"/>
        </w:rPr>
      </w:pPr>
      <w:r>
        <w:rPr>
          <w:rFonts w:eastAsia="仿宋_GB2312" w:hint="eastAsia"/>
          <w:sz w:val="32"/>
          <w:szCs w:val="32"/>
        </w:rPr>
        <w:t>以附件形式提供伦理委员会批件</w:t>
      </w:r>
      <w:r w:rsidR="0082662E">
        <w:rPr>
          <w:rFonts w:eastAsia="仿宋_GB2312" w:hint="eastAsia"/>
          <w:sz w:val="32"/>
          <w:szCs w:val="32"/>
        </w:rPr>
        <w:t>、</w:t>
      </w:r>
      <w:r>
        <w:rPr>
          <w:rFonts w:eastAsia="仿宋_GB2312" w:hint="eastAsia"/>
          <w:sz w:val="32"/>
          <w:szCs w:val="32"/>
        </w:rPr>
        <w:t>临床试验方案、知情同意书样稿、临床试验报告。</w:t>
      </w:r>
    </w:p>
    <w:p w14:paraId="6CDE29EA" w14:textId="77777777" w:rsidR="005B4851" w:rsidRDefault="005D084F">
      <w:pPr>
        <w:overflowPunct w:val="0"/>
        <w:autoSpaceDE w:val="0"/>
        <w:autoSpaceDN w:val="0"/>
        <w:spacing w:line="520" w:lineRule="exact"/>
        <w:ind w:firstLineChars="200" w:firstLine="640"/>
        <w:outlineLvl w:val="1"/>
        <w:rPr>
          <w:rFonts w:eastAsia="楷体_GB2312"/>
          <w:color w:val="000000"/>
          <w:sz w:val="32"/>
          <w:szCs w:val="32"/>
        </w:rPr>
      </w:pPr>
      <w:r>
        <w:rPr>
          <w:rFonts w:eastAsia="楷体_GB2312" w:hint="eastAsia"/>
          <w:color w:val="000000"/>
          <w:sz w:val="32"/>
          <w:szCs w:val="32"/>
        </w:rPr>
        <w:t>（五）</w:t>
      </w:r>
      <w:r>
        <w:rPr>
          <w:rFonts w:eastAsia="楷体_GB2312"/>
          <w:color w:val="000000"/>
          <w:sz w:val="32"/>
          <w:szCs w:val="32"/>
        </w:rPr>
        <w:t>产品说明书和标签</w:t>
      </w:r>
      <w:r>
        <w:rPr>
          <w:rFonts w:eastAsia="楷体_GB2312" w:hint="eastAsia"/>
          <w:color w:val="000000"/>
          <w:sz w:val="32"/>
          <w:szCs w:val="32"/>
        </w:rPr>
        <w:t>样稿</w:t>
      </w:r>
    </w:p>
    <w:p w14:paraId="4B6BD2F4" w14:textId="4F58BD2F" w:rsidR="00C230DA" w:rsidRPr="00C230DA" w:rsidRDefault="00C230DA" w:rsidP="00C230DA">
      <w:pPr>
        <w:overflowPunct w:val="0"/>
        <w:autoSpaceDE w:val="0"/>
        <w:autoSpaceDN w:val="0"/>
        <w:spacing w:line="520" w:lineRule="exact"/>
        <w:ind w:firstLineChars="200" w:firstLine="640"/>
        <w:outlineLvl w:val="1"/>
        <w:rPr>
          <w:rFonts w:eastAsia="仿宋_GB2312"/>
          <w:sz w:val="32"/>
          <w:szCs w:val="32"/>
        </w:rPr>
      </w:pPr>
      <w:r w:rsidRPr="00C230DA">
        <w:rPr>
          <w:rFonts w:eastAsia="仿宋_GB2312" w:hint="eastAsia"/>
          <w:sz w:val="32"/>
          <w:szCs w:val="32"/>
        </w:rPr>
        <w:t>产品说明书一般包括使用说明书和技术说明书，两者可合并。说明书、标签和包装标识应符合《医疗器械说明书和标签管理规定》及相关标准的规定。</w:t>
      </w:r>
    </w:p>
    <w:p w14:paraId="3861F3C9" w14:textId="3BFDCA13" w:rsidR="005B4851" w:rsidRPr="00C230DA" w:rsidRDefault="00C230DA" w:rsidP="00C230DA">
      <w:pPr>
        <w:overflowPunct w:val="0"/>
        <w:autoSpaceDE w:val="0"/>
        <w:autoSpaceDN w:val="0"/>
        <w:spacing w:line="520" w:lineRule="exact"/>
        <w:ind w:firstLineChars="200" w:firstLine="640"/>
        <w:outlineLvl w:val="1"/>
        <w:rPr>
          <w:rFonts w:eastAsia="仿宋_GB2312"/>
          <w:sz w:val="32"/>
          <w:szCs w:val="32"/>
        </w:rPr>
      </w:pPr>
      <w:r w:rsidRPr="00C230DA">
        <w:rPr>
          <w:rFonts w:eastAsia="仿宋_GB2312" w:hint="eastAsia"/>
          <w:sz w:val="32"/>
          <w:szCs w:val="32"/>
        </w:rPr>
        <w:t>技术审评应重点审查两个方面：一是产品说明书对《医疗器械说明书和标签管理规定》中相应条目内容的符合性；二是产品组成、产品功能、适用范围、技术指标等信息与注册申报其他资料的一致性。</w:t>
      </w:r>
    </w:p>
    <w:p w14:paraId="620CB7C1" w14:textId="427B163A" w:rsidR="005B4851" w:rsidRDefault="005D084F">
      <w:pPr>
        <w:overflowPunct w:val="0"/>
        <w:autoSpaceDE w:val="0"/>
        <w:autoSpaceDN w:val="0"/>
        <w:spacing w:line="520" w:lineRule="exact"/>
        <w:ind w:firstLineChars="200" w:firstLine="640"/>
        <w:outlineLvl w:val="1"/>
        <w:rPr>
          <w:rFonts w:eastAsia="仿宋_GB2312"/>
          <w:sz w:val="32"/>
          <w:szCs w:val="32"/>
        </w:rPr>
      </w:pPr>
      <w:r>
        <w:rPr>
          <w:rFonts w:eastAsia="仿宋_GB2312" w:hint="eastAsia"/>
          <w:sz w:val="32"/>
          <w:szCs w:val="32"/>
        </w:rPr>
        <w:t>说明书的具体审查内容</w:t>
      </w:r>
      <w:r w:rsidR="0003044B">
        <w:rPr>
          <w:rFonts w:eastAsia="仿宋_GB2312" w:hint="eastAsia"/>
          <w:sz w:val="32"/>
          <w:szCs w:val="32"/>
        </w:rPr>
        <w:t>包括</w:t>
      </w:r>
      <w:r>
        <w:rPr>
          <w:rFonts w:eastAsia="仿宋_GB2312" w:hint="eastAsia"/>
          <w:sz w:val="32"/>
          <w:szCs w:val="32"/>
        </w:rPr>
        <w:t>：</w:t>
      </w:r>
    </w:p>
    <w:p w14:paraId="01E71A8E" w14:textId="7B49147C" w:rsidR="00644BD9" w:rsidRDefault="00644BD9" w:rsidP="00644BD9">
      <w:pPr>
        <w:spacing w:line="520" w:lineRule="exact"/>
        <w:ind w:firstLineChars="200" w:firstLine="640"/>
        <w:outlineLvl w:val="1"/>
        <w:rPr>
          <w:rFonts w:eastAsia="仿宋_GB2312"/>
          <w:sz w:val="32"/>
          <w:szCs w:val="32"/>
        </w:rPr>
      </w:pPr>
      <w:r w:rsidRPr="00644BD9">
        <w:rPr>
          <w:rFonts w:eastAsia="仿宋_GB2312" w:hint="eastAsia"/>
          <w:sz w:val="32"/>
          <w:szCs w:val="32"/>
        </w:rPr>
        <w:t>产品名称、概述、型号规格、产品组成、工作原理、主要结构及性能、技术参数、适用范围、工作条件、使用方法、注意事项、禁忌症、警示内容、清洁</w:t>
      </w:r>
      <w:r w:rsidRPr="00644BD9">
        <w:rPr>
          <w:rFonts w:eastAsia="仿宋_GB2312" w:hint="eastAsia"/>
          <w:sz w:val="32"/>
          <w:szCs w:val="32"/>
        </w:rPr>
        <w:t>/</w:t>
      </w:r>
      <w:r w:rsidRPr="00644BD9">
        <w:rPr>
          <w:rFonts w:eastAsia="仿宋_GB2312" w:hint="eastAsia"/>
          <w:sz w:val="32"/>
          <w:szCs w:val="32"/>
        </w:rPr>
        <w:t>消毒</w:t>
      </w:r>
      <w:r w:rsidRPr="00644BD9">
        <w:rPr>
          <w:rFonts w:eastAsia="仿宋_GB2312" w:hint="eastAsia"/>
          <w:sz w:val="32"/>
          <w:szCs w:val="32"/>
        </w:rPr>
        <w:t>/</w:t>
      </w:r>
      <w:r w:rsidRPr="00644BD9">
        <w:rPr>
          <w:rFonts w:eastAsia="仿宋_GB2312" w:hint="eastAsia"/>
          <w:sz w:val="32"/>
          <w:szCs w:val="32"/>
        </w:rPr>
        <w:t>灭菌、维护和保养、储运条件、生产日期、使用期限（有效期）、图示标记说明、外形图、结构图、标签和包装标识、生产企业名称、地址和联系方式、注册证编号、产品技术要求编号、生产许可证编号（如有）、配件</w:t>
      </w:r>
      <w:r w:rsidRPr="00644BD9">
        <w:rPr>
          <w:rFonts w:eastAsia="仿宋_GB2312" w:hint="eastAsia"/>
          <w:sz w:val="32"/>
          <w:szCs w:val="32"/>
        </w:rPr>
        <w:t>/</w:t>
      </w:r>
      <w:r w:rsidRPr="00644BD9">
        <w:rPr>
          <w:rFonts w:eastAsia="仿宋_GB2312" w:hint="eastAsia"/>
          <w:sz w:val="32"/>
          <w:szCs w:val="32"/>
        </w:rPr>
        <w:t>附件清单（如适用）等。</w:t>
      </w:r>
    </w:p>
    <w:p w14:paraId="2FE16332" w14:textId="19F26B7E" w:rsidR="005B4851" w:rsidRDefault="005D084F" w:rsidP="00644BD9">
      <w:pPr>
        <w:spacing w:line="520" w:lineRule="exact"/>
        <w:ind w:firstLineChars="200" w:firstLine="640"/>
        <w:outlineLvl w:val="1"/>
        <w:rPr>
          <w:rFonts w:eastAsia="楷体_GB2312"/>
          <w:bCs/>
          <w:iCs/>
          <w:color w:val="000000"/>
          <w:sz w:val="32"/>
          <w:szCs w:val="28"/>
        </w:rPr>
      </w:pPr>
      <w:r>
        <w:rPr>
          <w:rFonts w:eastAsia="楷体_GB2312"/>
          <w:bCs/>
          <w:iCs/>
          <w:color w:val="000000"/>
          <w:sz w:val="32"/>
          <w:szCs w:val="28"/>
        </w:rPr>
        <w:lastRenderedPageBreak/>
        <w:t>（六）质量管理体系文件</w:t>
      </w:r>
    </w:p>
    <w:p w14:paraId="4B966A07" w14:textId="77777777" w:rsidR="005B4851" w:rsidRDefault="005D084F">
      <w:pPr>
        <w:autoSpaceDE w:val="0"/>
        <w:autoSpaceDN w:val="0"/>
        <w:spacing w:line="520" w:lineRule="exact"/>
        <w:ind w:firstLineChars="200" w:firstLine="640"/>
        <w:rPr>
          <w:rFonts w:eastAsia="仿宋_GB2312"/>
          <w:color w:val="000000"/>
          <w:kern w:val="0"/>
          <w:sz w:val="32"/>
          <w:szCs w:val="32"/>
        </w:rPr>
      </w:pPr>
      <w:r>
        <w:rPr>
          <w:rFonts w:eastAsia="仿宋_GB2312" w:hint="eastAsia"/>
          <w:color w:val="000000"/>
          <w:kern w:val="0"/>
          <w:sz w:val="32"/>
          <w:szCs w:val="32"/>
        </w:rPr>
        <w:t>按照《关于公布医疗器械注册申报资料要求和批准证明文件格式的公告》提交相关文件。</w:t>
      </w:r>
    </w:p>
    <w:p w14:paraId="4DA378C2" w14:textId="77777777" w:rsidR="005B4851" w:rsidRDefault="005B4851">
      <w:pPr>
        <w:pStyle w:val="a0"/>
      </w:pPr>
    </w:p>
    <w:p w14:paraId="179D2E10" w14:textId="77777777" w:rsidR="00346FF7" w:rsidRDefault="00346FF7">
      <w:pPr>
        <w:widowControl/>
        <w:jc w:val="left"/>
        <w:rPr>
          <w:rFonts w:eastAsia="黑体" w:cs="仿宋_GB2312"/>
          <w:snapToGrid w:val="0"/>
          <w:kern w:val="0"/>
          <w:sz w:val="32"/>
          <w:szCs w:val="32"/>
        </w:rPr>
      </w:pPr>
      <w:r>
        <w:rPr>
          <w:rFonts w:eastAsia="黑体" w:cs="仿宋_GB2312"/>
          <w:snapToGrid w:val="0"/>
          <w:kern w:val="0"/>
          <w:sz w:val="32"/>
          <w:szCs w:val="32"/>
        </w:rPr>
        <w:br w:type="page"/>
      </w:r>
    </w:p>
    <w:p w14:paraId="33804F49" w14:textId="152DC2F7" w:rsidR="005B4851" w:rsidRDefault="005D084F">
      <w:pPr>
        <w:overflowPunct w:val="0"/>
        <w:autoSpaceDE w:val="0"/>
        <w:autoSpaceDN w:val="0"/>
        <w:spacing w:line="520" w:lineRule="exact"/>
        <w:ind w:firstLineChars="200" w:firstLine="640"/>
        <w:outlineLvl w:val="1"/>
        <w:rPr>
          <w:rFonts w:eastAsia="黑体" w:cs="仿宋_GB2312"/>
          <w:snapToGrid w:val="0"/>
          <w:kern w:val="0"/>
          <w:sz w:val="32"/>
          <w:szCs w:val="32"/>
        </w:rPr>
      </w:pPr>
      <w:r>
        <w:rPr>
          <w:rFonts w:eastAsia="黑体" w:cs="仿宋_GB2312" w:hint="eastAsia"/>
          <w:snapToGrid w:val="0"/>
          <w:kern w:val="0"/>
          <w:sz w:val="32"/>
          <w:szCs w:val="32"/>
        </w:rPr>
        <w:lastRenderedPageBreak/>
        <w:t>三</w:t>
      </w:r>
      <w:r>
        <w:rPr>
          <w:rFonts w:eastAsia="黑体" w:cs="仿宋_GB2312"/>
          <w:snapToGrid w:val="0"/>
          <w:kern w:val="0"/>
          <w:sz w:val="32"/>
          <w:szCs w:val="32"/>
        </w:rPr>
        <w:t>、参考文献</w:t>
      </w:r>
    </w:p>
    <w:p w14:paraId="10C0E17F"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[1]</w:t>
      </w:r>
      <w:r>
        <w:rPr>
          <w:rFonts w:eastAsia="仿宋_GB2312"/>
          <w:snapToGrid w:val="0"/>
          <w:color w:val="000000"/>
          <w:kern w:val="0"/>
          <w:sz w:val="32"/>
          <w:szCs w:val="32"/>
        </w:rPr>
        <w:t>中华人民共和国国务院</w:t>
      </w:r>
      <w:r>
        <w:rPr>
          <w:rFonts w:eastAsia="仿宋_GB2312"/>
          <w:snapToGrid w:val="0"/>
          <w:color w:val="000000"/>
          <w:kern w:val="0"/>
          <w:sz w:val="32"/>
          <w:szCs w:val="32"/>
        </w:rPr>
        <w:t>.</w:t>
      </w:r>
      <w:r>
        <w:rPr>
          <w:rFonts w:eastAsia="仿宋_GB2312"/>
          <w:snapToGrid w:val="0"/>
          <w:color w:val="000000"/>
          <w:kern w:val="0"/>
          <w:sz w:val="32"/>
          <w:szCs w:val="32"/>
        </w:rPr>
        <w:t>医疗器械监督管理条例</w:t>
      </w:r>
      <w:r>
        <w:rPr>
          <w:rFonts w:eastAsia="仿宋_GB2312"/>
          <w:snapToGrid w:val="0"/>
          <w:color w:val="000000"/>
          <w:kern w:val="0"/>
          <w:sz w:val="32"/>
          <w:szCs w:val="32"/>
        </w:rPr>
        <w:t>:</w:t>
      </w:r>
      <w:r>
        <w:rPr>
          <w:rFonts w:eastAsia="仿宋_GB2312"/>
          <w:snapToGrid w:val="0"/>
          <w:color w:val="000000"/>
          <w:kern w:val="0"/>
          <w:sz w:val="32"/>
          <w:szCs w:val="32"/>
        </w:rPr>
        <w:t>国务院令第</w:t>
      </w:r>
      <w:r>
        <w:rPr>
          <w:rFonts w:eastAsia="仿宋_GB2312"/>
          <w:snapToGrid w:val="0"/>
          <w:color w:val="000000"/>
          <w:kern w:val="0"/>
          <w:sz w:val="32"/>
          <w:szCs w:val="32"/>
        </w:rPr>
        <w:t>739</w:t>
      </w:r>
      <w:r>
        <w:rPr>
          <w:rFonts w:eastAsia="仿宋_GB2312"/>
          <w:snapToGrid w:val="0"/>
          <w:color w:val="000000"/>
          <w:kern w:val="0"/>
          <w:sz w:val="32"/>
          <w:szCs w:val="32"/>
        </w:rPr>
        <w:t>号</w:t>
      </w:r>
      <w:r>
        <w:rPr>
          <w:rFonts w:eastAsia="仿宋_GB2312"/>
          <w:snapToGrid w:val="0"/>
          <w:color w:val="000000"/>
          <w:kern w:val="0"/>
          <w:sz w:val="32"/>
          <w:szCs w:val="32"/>
        </w:rPr>
        <w:t>[Z].</w:t>
      </w:r>
    </w:p>
    <w:p w14:paraId="29C621EA"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[2]</w:t>
      </w:r>
      <w:r>
        <w:rPr>
          <w:rFonts w:eastAsia="仿宋_GB2312" w:hint="eastAsia"/>
          <w:snapToGrid w:val="0"/>
          <w:color w:val="000000"/>
          <w:kern w:val="0"/>
          <w:sz w:val="32"/>
          <w:szCs w:val="32"/>
        </w:rPr>
        <w:t>国家市场监督管理总局</w:t>
      </w:r>
      <w:r>
        <w:rPr>
          <w:rFonts w:eastAsia="仿宋_GB2312" w:hint="eastAsia"/>
          <w:snapToGrid w:val="0"/>
          <w:color w:val="000000"/>
          <w:kern w:val="0"/>
          <w:sz w:val="32"/>
          <w:szCs w:val="32"/>
        </w:rPr>
        <w:t>.</w:t>
      </w:r>
      <w:r>
        <w:rPr>
          <w:rFonts w:eastAsia="仿宋_GB2312" w:hint="eastAsia"/>
          <w:snapToGrid w:val="0"/>
          <w:color w:val="000000"/>
          <w:kern w:val="0"/>
          <w:sz w:val="32"/>
          <w:szCs w:val="32"/>
        </w:rPr>
        <w:t>医疗器械注册与备案管理办法</w:t>
      </w:r>
      <w:r>
        <w:rPr>
          <w:rFonts w:eastAsia="仿宋_GB2312" w:hint="eastAsia"/>
          <w:snapToGrid w:val="0"/>
          <w:color w:val="000000"/>
          <w:kern w:val="0"/>
          <w:sz w:val="32"/>
          <w:szCs w:val="32"/>
        </w:rPr>
        <w:t>:</w:t>
      </w:r>
      <w:r>
        <w:rPr>
          <w:rFonts w:eastAsia="仿宋_GB2312" w:hint="eastAsia"/>
          <w:snapToGrid w:val="0"/>
          <w:color w:val="000000"/>
          <w:kern w:val="0"/>
          <w:sz w:val="32"/>
          <w:szCs w:val="32"/>
        </w:rPr>
        <w:t>国家市场监督管理总局令第</w:t>
      </w:r>
      <w:r>
        <w:rPr>
          <w:rFonts w:eastAsia="仿宋_GB2312" w:hint="eastAsia"/>
          <w:snapToGrid w:val="0"/>
          <w:color w:val="000000"/>
          <w:kern w:val="0"/>
          <w:sz w:val="32"/>
          <w:szCs w:val="32"/>
        </w:rPr>
        <w:t>47</w:t>
      </w:r>
      <w:r>
        <w:rPr>
          <w:rFonts w:eastAsia="仿宋_GB2312" w:hint="eastAsia"/>
          <w:snapToGrid w:val="0"/>
          <w:color w:val="000000"/>
          <w:kern w:val="0"/>
          <w:sz w:val="32"/>
          <w:szCs w:val="32"/>
        </w:rPr>
        <w:t>号</w:t>
      </w:r>
      <w:r>
        <w:rPr>
          <w:rFonts w:eastAsia="仿宋_GB2312" w:hint="eastAsia"/>
          <w:snapToGrid w:val="0"/>
          <w:color w:val="000000"/>
          <w:kern w:val="0"/>
          <w:sz w:val="32"/>
          <w:szCs w:val="32"/>
        </w:rPr>
        <w:t>[Z].</w:t>
      </w:r>
    </w:p>
    <w:p w14:paraId="4B878513"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3</w:t>
      </w:r>
      <w:r>
        <w:rPr>
          <w:rFonts w:eastAsia="仿宋_GB2312"/>
          <w:snapToGrid w:val="0"/>
          <w:color w:val="000000"/>
          <w:kern w:val="0"/>
          <w:sz w:val="32"/>
          <w:szCs w:val="32"/>
        </w:rPr>
        <w:t>]</w:t>
      </w:r>
      <w:r>
        <w:rPr>
          <w:rFonts w:eastAsia="仿宋_GB2312" w:hint="eastAsia"/>
          <w:snapToGrid w:val="0"/>
          <w:color w:val="000000"/>
          <w:kern w:val="0"/>
          <w:sz w:val="32"/>
          <w:szCs w:val="32"/>
        </w:rPr>
        <w:t>国家食品药品监督管理总局</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医疗器械分类目录</w:t>
      </w:r>
      <w:r>
        <w:rPr>
          <w:rFonts w:eastAsia="仿宋_GB2312" w:hint="eastAsia"/>
          <w:snapToGrid w:val="0"/>
          <w:color w:val="000000"/>
          <w:kern w:val="0"/>
          <w:sz w:val="32"/>
          <w:szCs w:val="32"/>
        </w:rPr>
        <w:t>:</w:t>
      </w:r>
      <w:r>
        <w:rPr>
          <w:rFonts w:eastAsia="仿宋_GB2312" w:hint="eastAsia"/>
          <w:snapToGrid w:val="0"/>
          <w:color w:val="000000"/>
          <w:kern w:val="0"/>
          <w:sz w:val="32"/>
          <w:szCs w:val="32"/>
        </w:rPr>
        <w:t>国家食品药品监督管理总局公告</w:t>
      </w:r>
      <w:r>
        <w:rPr>
          <w:rFonts w:eastAsia="仿宋_GB2312" w:hint="eastAsia"/>
          <w:snapToGrid w:val="0"/>
          <w:color w:val="000000"/>
          <w:kern w:val="0"/>
          <w:sz w:val="32"/>
          <w:szCs w:val="32"/>
        </w:rPr>
        <w:t>2017</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104</w:t>
      </w:r>
      <w:r>
        <w:rPr>
          <w:rFonts w:eastAsia="仿宋_GB2312" w:hint="eastAsia"/>
          <w:snapToGrid w:val="0"/>
          <w:color w:val="000000"/>
          <w:kern w:val="0"/>
          <w:sz w:val="32"/>
          <w:szCs w:val="32"/>
        </w:rPr>
        <w:t>号</w:t>
      </w:r>
      <w:r>
        <w:rPr>
          <w:rFonts w:eastAsia="仿宋_GB2312" w:hint="eastAsia"/>
          <w:snapToGrid w:val="0"/>
          <w:color w:val="000000"/>
          <w:kern w:val="0"/>
          <w:sz w:val="32"/>
          <w:szCs w:val="32"/>
        </w:rPr>
        <w:t>[Z].</w:t>
      </w:r>
    </w:p>
    <w:p w14:paraId="5058CE65"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4</w:t>
      </w:r>
      <w:r>
        <w:rPr>
          <w:rFonts w:eastAsia="仿宋_GB2312"/>
          <w:snapToGrid w:val="0"/>
          <w:color w:val="000000"/>
          <w:kern w:val="0"/>
          <w:sz w:val="32"/>
          <w:szCs w:val="32"/>
        </w:rPr>
        <w:t>]</w:t>
      </w:r>
      <w:r>
        <w:rPr>
          <w:rFonts w:eastAsia="仿宋_GB2312" w:hint="eastAsia"/>
          <w:snapToGrid w:val="0"/>
          <w:color w:val="000000"/>
          <w:kern w:val="0"/>
          <w:sz w:val="32"/>
          <w:szCs w:val="32"/>
        </w:rPr>
        <w:t>国家食品药品监督管理总局</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医疗器械通用名称命名规则</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国家食品药品监督管理总局令第</w:t>
      </w:r>
      <w:r>
        <w:rPr>
          <w:rFonts w:eastAsia="仿宋_GB2312" w:hint="eastAsia"/>
          <w:snapToGrid w:val="0"/>
          <w:color w:val="000000"/>
          <w:kern w:val="0"/>
          <w:sz w:val="32"/>
          <w:szCs w:val="32"/>
        </w:rPr>
        <w:t>19</w:t>
      </w:r>
      <w:r>
        <w:rPr>
          <w:rFonts w:eastAsia="仿宋_GB2312" w:hint="eastAsia"/>
          <w:snapToGrid w:val="0"/>
          <w:color w:val="000000"/>
          <w:kern w:val="0"/>
          <w:sz w:val="32"/>
          <w:szCs w:val="32"/>
        </w:rPr>
        <w:t>号</w:t>
      </w:r>
      <w:r>
        <w:rPr>
          <w:rFonts w:eastAsia="仿宋_GB2312" w:hint="eastAsia"/>
          <w:snapToGrid w:val="0"/>
          <w:color w:val="000000"/>
          <w:kern w:val="0"/>
          <w:sz w:val="32"/>
          <w:szCs w:val="32"/>
        </w:rPr>
        <w:t>[Z].</w:t>
      </w:r>
    </w:p>
    <w:p w14:paraId="109D0459"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5</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国家药品监督管理局</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医疗器械通用名称命名指导原则</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国家药监局关于发布医疗器械通用名称命名指导原则的通告</w:t>
      </w:r>
      <w:r>
        <w:rPr>
          <w:rFonts w:eastAsia="仿宋_GB2312" w:hint="eastAsia"/>
          <w:snapToGrid w:val="0"/>
          <w:color w:val="000000"/>
          <w:kern w:val="0"/>
          <w:sz w:val="32"/>
          <w:szCs w:val="32"/>
        </w:rPr>
        <w:t>(2019</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99</w:t>
      </w:r>
      <w:r>
        <w:rPr>
          <w:rFonts w:eastAsia="仿宋_GB2312" w:hint="eastAsia"/>
          <w:snapToGrid w:val="0"/>
          <w:color w:val="000000"/>
          <w:kern w:val="0"/>
          <w:sz w:val="32"/>
          <w:szCs w:val="32"/>
        </w:rPr>
        <w:t>号</w:t>
      </w:r>
      <w:r>
        <w:rPr>
          <w:rFonts w:eastAsia="仿宋_GB2312" w:hint="eastAsia"/>
          <w:snapToGrid w:val="0"/>
          <w:color w:val="000000"/>
          <w:kern w:val="0"/>
          <w:sz w:val="32"/>
          <w:szCs w:val="32"/>
        </w:rPr>
        <w:t>) [Z].</w:t>
      </w:r>
    </w:p>
    <w:p w14:paraId="35947225"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6</w:t>
      </w:r>
      <w:r>
        <w:rPr>
          <w:rFonts w:eastAsia="仿宋_GB2312"/>
          <w:snapToGrid w:val="0"/>
          <w:color w:val="000000"/>
          <w:kern w:val="0"/>
          <w:sz w:val="32"/>
          <w:szCs w:val="32"/>
        </w:rPr>
        <w:t>]</w:t>
      </w:r>
      <w:r>
        <w:rPr>
          <w:rFonts w:eastAsia="仿宋_GB2312" w:hint="eastAsia"/>
          <w:snapToGrid w:val="0"/>
          <w:color w:val="000000"/>
          <w:kern w:val="0"/>
          <w:sz w:val="32"/>
          <w:szCs w:val="32"/>
        </w:rPr>
        <w:t>国家食品药品监督管理总局</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医疗器械注册单元划分指导原则</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国家食品药品监督管理总局通告</w:t>
      </w:r>
      <w:r>
        <w:rPr>
          <w:rFonts w:eastAsia="仿宋_GB2312" w:hint="eastAsia"/>
          <w:snapToGrid w:val="0"/>
          <w:color w:val="000000"/>
          <w:kern w:val="0"/>
          <w:sz w:val="32"/>
          <w:szCs w:val="32"/>
        </w:rPr>
        <w:t>2017</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187</w:t>
      </w:r>
      <w:r>
        <w:rPr>
          <w:rFonts w:eastAsia="仿宋_GB2312" w:hint="eastAsia"/>
          <w:snapToGrid w:val="0"/>
          <w:color w:val="000000"/>
          <w:kern w:val="0"/>
          <w:sz w:val="32"/>
          <w:szCs w:val="32"/>
        </w:rPr>
        <w:t>号</w:t>
      </w:r>
      <w:r>
        <w:rPr>
          <w:rFonts w:eastAsia="仿宋_GB2312" w:hint="eastAsia"/>
          <w:snapToGrid w:val="0"/>
          <w:color w:val="000000"/>
          <w:kern w:val="0"/>
          <w:sz w:val="32"/>
          <w:szCs w:val="32"/>
        </w:rPr>
        <w:t>[Z].</w:t>
      </w:r>
    </w:p>
    <w:p w14:paraId="6E989D8F"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7</w:t>
      </w:r>
      <w:r>
        <w:rPr>
          <w:rFonts w:eastAsia="仿宋_GB2312"/>
          <w:snapToGrid w:val="0"/>
          <w:color w:val="000000"/>
          <w:kern w:val="0"/>
          <w:sz w:val="32"/>
          <w:szCs w:val="32"/>
        </w:rPr>
        <w:t>]</w:t>
      </w:r>
      <w:r>
        <w:rPr>
          <w:rFonts w:eastAsia="仿宋_GB2312" w:hint="eastAsia"/>
          <w:snapToGrid w:val="0"/>
          <w:color w:val="000000"/>
          <w:kern w:val="0"/>
          <w:sz w:val="32"/>
          <w:szCs w:val="32"/>
        </w:rPr>
        <w:t>国家药品监督管理局</w:t>
      </w:r>
      <w:r>
        <w:rPr>
          <w:rFonts w:eastAsia="仿宋_GB2312" w:hint="eastAsia"/>
          <w:snapToGrid w:val="0"/>
          <w:color w:val="000000"/>
          <w:kern w:val="0"/>
          <w:sz w:val="32"/>
          <w:szCs w:val="32"/>
        </w:rPr>
        <w:t>.</w:t>
      </w:r>
      <w:r>
        <w:rPr>
          <w:rFonts w:eastAsia="仿宋_GB2312"/>
          <w:snapToGrid w:val="0"/>
          <w:color w:val="000000"/>
          <w:kern w:val="0"/>
          <w:sz w:val="32"/>
          <w:szCs w:val="32"/>
        </w:rPr>
        <w:t>医疗器械产品技术要求编写指导原则</w:t>
      </w:r>
      <w:r>
        <w:rPr>
          <w:rFonts w:eastAsia="仿宋_GB2312" w:hint="eastAsia"/>
          <w:snapToGrid w:val="0"/>
          <w:color w:val="000000"/>
          <w:kern w:val="0"/>
          <w:sz w:val="32"/>
          <w:szCs w:val="32"/>
        </w:rPr>
        <w:t>:</w:t>
      </w:r>
      <w:r>
        <w:rPr>
          <w:rFonts w:eastAsia="仿宋_GB2312" w:hint="eastAsia"/>
          <w:snapToGrid w:val="0"/>
          <w:color w:val="000000"/>
          <w:kern w:val="0"/>
          <w:sz w:val="32"/>
          <w:szCs w:val="32"/>
        </w:rPr>
        <w:t>国家药监局通告</w:t>
      </w:r>
      <w:r>
        <w:rPr>
          <w:rFonts w:eastAsia="仿宋_GB2312"/>
          <w:snapToGrid w:val="0"/>
          <w:color w:val="000000"/>
          <w:kern w:val="0"/>
          <w:sz w:val="32"/>
          <w:szCs w:val="32"/>
        </w:rPr>
        <w:t>20</w:t>
      </w:r>
      <w:r>
        <w:rPr>
          <w:rFonts w:eastAsia="仿宋_GB2312" w:hint="eastAsia"/>
          <w:snapToGrid w:val="0"/>
          <w:color w:val="000000"/>
          <w:kern w:val="0"/>
          <w:sz w:val="32"/>
          <w:szCs w:val="32"/>
        </w:rPr>
        <w:t>22</w:t>
      </w:r>
      <w:r>
        <w:rPr>
          <w:rFonts w:eastAsia="仿宋_GB2312"/>
          <w:snapToGrid w:val="0"/>
          <w:color w:val="000000"/>
          <w:kern w:val="0"/>
          <w:sz w:val="32"/>
          <w:szCs w:val="32"/>
        </w:rPr>
        <w:t>年第</w:t>
      </w:r>
      <w:r>
        <w:rPr>
          <w:rFonts w:eastAsia="仿宋_GB2312"/>
          <w:snapToGrid w:val="0"/>
          <w:color w:val="000000"/>
          <w:kern w:val="0"/>
          <w:sz w:val="32"/>
          <w:szCs w:val="32"/>
        </w:rPr>
        <w:t>8</w:t>
      </w:r>
      <w:r>
        <w:rPr>
          <w:rFonts w:eastAsia="仿宋_GB2312"/>
          <w:snapToGrid w:val="0"/>
          <w:color w:val="000000"/>
          <w:kern w:val="0"/>
          <w:sz w:val="32"/>
          <w:szCs w:val="32"/>
        </w:rPr>
        <w:t>号</w:t>
      </w:r>
      <w:r>
        <w:rPr>
          <w:rFonts w:eastAsia="仿宋_GB2312"/>
          <w:snapToGrid w:val="0"/>
          <w:color w:val="000000"/>
          <w:kern w:val="0"/>
          <w:sz w:val="32"/>
          <w:szCs w:val="32"/>
        </w:rPr>
        <w:t>[Z].</w:t>
      </w:r>
    </w:p>
    <w:p w14:paraId="53CADDF9"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8</w:t>
      </w:r>
      <w:r>
        <w:rPr>
          <w:rFonts w:eastAsia="仿宋_GB2312"/>
          <w:snapToGrid w:val="0"/>
          <w:color w:val="000000"/>
          <w:kern w:val="0"/>
          <w:sz w:val="32"/>
          <w:szCs w:val="32"/>
        </w:rPr>
        <w:t>]</w:t>
      </w:r>
      <w:r>
        <w:rPr>
          <w:rFonts w:eastAsia="仿宋_GB2312" w:hint="eastAsia"/>
          <w:snapToGrid w:val="0"/>
          <w:color w:val="000000"/>
          <w:kern w:val="0"/>
          <w:sz w:val="32"/>
          <w:szCs w:val="32"/>
        </w:rPr>
        <w:t>国家药品监督管理局</w:t>
      </w:r>
      <w:r>
        <w:rPr>
          <w:rFonts w:eastAsia="仿宋_GB2312" w:hint="eastAsia"/>
          <w:snapToGrid w:val="0"/>
          <w:color w:val="000000"/>
          <w:kern w:val="0"/>
          <w:sz w:val="32"/>
          <w:szCs w:val="32"/>
        </w:rPr>
        <w:t>.</w:t>
      </w:r>
      <w:r>
        <w:rPr>
          <w:rFonts w:eastAsia="仿宋_GB2312" w:hint="eastAsia"/>
          <w:snapToGrid w:val="0"/>
          <w:color w:val="000000"/>
          <w:kern w:val="0"/>
          <w:sz w:val="32"/>
          <w:szCs w:val="32"/>
        </w:rPr>
        <w:t>有源医疗器械使用期限注册技术审查指导原则</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国家药品监督管理局通告</w:t>
      </w:r>
      <w:r>
        <w:rPr>
          <w:rFonts w:eastAsia="仿宋_GB2312" w:hint="eastAsia"/>
          <w:snapToGrid w:val="0"/>
          <w:color w:val="000000"/>
          <w:kern w:val="0"/>
          <w:sz w:val="32"/>
          <w:szCs w:val="32"/>
        </w:rPr>
        <w:t>2019</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23</w:t>
      </w:r>
      <w:r>
        <w:rPr>
          <w:rFonts w:eastAsia="仿宋_GB2312" w:hint="eastAsia"/>
          <w:snapToGrid w:val="0"/>
          <w:color w:val="000000"/>
          <w:kern w:val="0"/>
          <w:sz w:val="32"/>
          <w:szCs w:val="32"/>
        </w:rPr>
        <w:t>号</w:t>
      </w:r>
      <w:r>
        <w:rPr>
          <w:rFonts w:eastAsia="仿宋_GB2312" w:hint="eastAsia"/>
          <w:snapToGrid w:val="0"/>
          <w:color w:val="000000"/>
          <w:kern w:val="0"/>
          <w:sz w:val="32"/>
          <w:szCs w:val="32"/>
        </w:rPr>
        <w:t xml:space="preserve"> [Z].</w:t>
      </w:r>
    </w:p>
    <w:p w14:paraId="1AEF871A"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9</w:t>
      </w:r>
      <w:r>
        <w:rPr>
          <w:rFonts w:eastAsia="仿宋_GB2312"/>
          <w:snapToGrid w:val="0"/>
          <w:color w:val="000000"/>
          <w:kern w:val="0"/>
          <w:sz w:val="32"/>
          <w:szCs w:val="32"/>
        </w:rPr>
        <w:t>]</w:t>
      </w:r>
      <w:r>
        <w:rPr>
          <w:rFonts w:eastAsia="仿宋_GB2312"/>
          <w:snapToGrid w:val="0"/>
          <w:color w:val="000000"/>
          <w:kern w:val="0"/>
          <w:sz w:val="32"/>
          <w:szCs w:val="32"/>
        </w:rPr>
        <w:t>国家药品监督管理局医疗器械技术审评中心</w:t>
      </w:r>
      <w:r>
        <w:rPr>
          <w:rFonts w:eastAsia="仿宋_GB2312"/>
          <w:snapToGrid w:val="0"/>
          <w:color w:val="000000"/>
          <w:kern w:val="0"/>
          <w:sz w:val="32"/>
          <w:szCs w:val="32"/>
        </w:rPr>
        <w:t>.</w:t>
      </w:r>
      <w:r>
        <w:rPr>
          <w:rFonts w:eastAsia="仿宋_GB2312"/>
          <w:snapToGrid w:val="0"/>
          <w:color w:val="000000"/>
          <w:kern w:val="0"/>
          <w:sz w:val="32"/>
          <w:szCs w:val="32"/>
        </w:rPr>
        <w:t>医疗器械软件注册审查指导原则（</w:t>
      </w:r>
      <w:r>
        <w:rPr>
          <w:rFonts w:eastAsia="仿宋_GB2312"/>
          <w:snapToGrid w:val="0"/>
          <w:color w:val="000000"/>
          <w:kern w:val="0"/>
          <w:sz w:val="32"/>
          <w:szCs w:val="32"/>
        </w:rPr>
        <w:t>2022</w:t>
      </w:r>
      <w:r>
        <w:rPr>
          <w:rFonts w:eastAsia="仿宋_GB2312"/>
          <w:snapToGrid w:val="0"/>
          <w:color w:val="000000"/>
          <w:kern w:val="0"/>
          <w:sz w:val="32"/>
          <w:szCs w:val="32"/>
        </w:rPr>
        <w:t>年修订版）</w:t>
      </w:r>
      <w:r>
        <w:rPr>
          <w:rFonts w:eastAsia="仿宋_GB2312"/>
          <w:snapToGrid w:val="0"/>
          <w:color w:val="000000"/>
          <w:kern w:val="0"/>
          <w:sz w:val="32"/>
          <w:szCs w:val="32"/>
        </w:rPr>
        <w:t xml:space="preserve">: </w:t>
      </w:r>
      <w:r>
        <w:rPr>
          <w:rFonts w:eastAsia="仿宋_GB2312"/>
          <w:snapToGrid w:val="0"/>
          <w:color w:val="000000"/>
          <w:kern w:val="0"/>
          <w:sz w:val="32"/>
          <w:szCs w:val="32"/>
        </w:rPr>
        <w:t>国家药品监督管理局医疗器械技术审评中心</w:t>
      </w:r>
      <w:r>
        <w:rPr>
          <w:rFonts w:eastAsia="仿宋_GB2312" w:hint="eastAsia"/>
          <w:snapToGrid w:val="0"/>
          <w:color w:val="000000"/>
          <w:kern w:val="0"/>
          <w:sz w:val="32"/>
          <w:szCs w:val="32"/>
        </w:rPr>
        <w:t>通</w:t>
      </w:r>
      <w:r>
        <w:rPr>
          <w:rFonts w:eastAsia="仿宋_GB2312"/>
          <w:snapToGrid w:val="0"/>
          <w:color w:val="000000"/>
          <w:kern w:val="0"/>
          <w:sz w:val="32"/>
          <w:szCs w:val="32"/>
        </w:rPr>
        <w:t>告</w:t>
      </w:r>
      <w:r>
        <w:rPr>
          <w:rFonts w:eastAsia="仿宋_GB2312"/>
          <w:snapToGrid w:val="0"/>
          <w:color w:val="000000"/>
          <w:kern w:val="0"/>
          <w:sz w:val="32"/>
          <w:szCs w:val="32"/>
        </w:rPr>
        <w:t>2022</w:t>
      </w:r>
      <w:r>
        <w:rPr>
          <w:rFonts w:eastAsia="仿宋_GB2312"/>
          <w:snapToGrid w:val="0"/>
          <w:color w:val="000000"/>
          <w:kern w:val="0"/>
          <w:sz w:val="32"/>
          <w:szCs w:val="32"/>
        </w:rPr>
        <w:t>年第</w:t>
      </w:r>
      <w:r>
        <w:rPr>
          <w:rFonts w:eastAsia="仿宋_GB2312"/>
          <w:snapToGrid w:val="0"/>
          <w:color w:val="000000"/>
          <w:kern w:val="0"/>
          <w:sz w:val="32"/>
          <w:szCs w:val="32"/>
        </w:rPr>
        <w:t>9</w:t>
      </w:r>
      <w:r>
        <w:rPr>
          <w:rFonts w:eastAsia="仿宋_GB2312"/>
          <w:snapToGrid w:val="0"/>
          <w:color w:val="000000"/>
          <w:kern w:val="0"/>
          <w:sz w:val="32"/>
          <w:szCs w:val="32"/>
        </w:rPr>
        <w:t>号</w:t>
      </w:r>
      <w:r>
        <w:rPr>
          <w:rFonts w:eastAsia="仿宋_GB2312"/>
          <w:snapToGrid w:val="0"/>
          <w:color w:val="000000"/>
          <w:kern w:val="0"/>
          <w:sz w:val="32"/>
          <w:szCs w:val="32"/>
        </w:rPr>
        <w:t>[Z].</w:t>
      </w:r>
    </w:p>
    <w:p w14:paraId="3A20D260"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10</w:t>
      </w:r>
      <w:r>
        <w:rPr>
          <w:rFonts w:eastAsia="仿宋_GB2312"/>
          <w:snapToGrid w:val="0"/>
          <w:color w:val="000000"/>
          <w:kern w:val="0"/>
          <w:sz w:val="32"/>
          <w:szCs w:val="32"/>
        </w:rPr>
        <w:t>]</w:t>
      </w:r>
      <w:r>
        <w:rPr>
          <w:rFonts w:eastAsia="仿宋_GB2312"/>
          <w:snapToGrid w:val="0"/>
          <w:color w:val="000000"/>
          <w:kern w:val="0"/>
          <w:sz w:val="32"/>
          <w:szCs w:val="32"/>
        </w:rPr>
        <w:t>国家药品监督管理局医疗器械技术审评中心</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移动医疗器械注册审查指导原则（</w:t>
      </w:r>
      <w:r>
        <w:rPr>
          <w:rFonts w:eastAsia="仿宋_GB2312" w:hint="eastAsia"/>
          <w:snapToGrid w:val="0"/>
          <w:color w:val="000000"/>
          <w:kern w:val="0"/>
          <w:sz w:val="32"/>
          <w:szCs w:val="32"/>
        </w:rPr>
        <w:t>2025</w:t>
      </w:r>
      <w:r>
        <w:rPr>
          <w:rFonts w:eastAsia="仿宋_GB2312" w:hint="eastAsia"/>
          <w:snapToGrid w:val="0"/>
          <w:color w:val="000000"/>
          <w:kern w:val="0"/>
          <w:sz w:val="32"/>
          <w:szCs w:val="32"/>
        </w:rPr>
        <w:t>年修订版）</w:t>
      </w:r>
      <w:r>
        <w:rPr>
          <w:rFonts w:eastAsia="仿宋_GB2312"/>
          <w:snapToGrid w:val="0"/>
          <w:color w:val="000000"/>
          <w:kern w:val="0"/>
          <w:sz w:val="32"/>
          <w:szCs w:val="32"/>
        </w:rPr>
        <w:t xml:space="preserve">: </w:t>
      </w:r>
      <w:r>
        <w:rPr>
          <w:rFonts w:eastAsia="仿宋_GB2312"/>
          <w:snapToGrid w:val="0"/>
          <w:color w:val="000000"/>
          <w:kern w:val="0"/>
          <w:sz w:val="32"/>
          <w:szCs w:val="32"/>
        </w:rPr>
        <w:t>国家药品监督管理局医疗器械技术审评中心</w:t>
      </w:r>
      <w:r>
        <w:rPr>
          <w:rFonts w:eastAsia="仿宋_GB2312" w:hint="eastAsia"/>
          <w:snapToGrid w:val="0"/>
          <w:color w:val="000000"/>
          <w:kern w:val="0"/>
          <w:sz w:val="32"/>
          <w:szCs w:val="32"/>
        </w:rPr>
        <w:t>通告</w:t>
      </w:r>
      <w:r>
        <w:rPr>
          <w:rFonts w:eastAsia="仿宋_GB2312"/>
          <w:snapToGrid w:val="0"/>
          <w:color w:val="000000"/>
          <w:kern w:val="0"/>
          <w:sz w:val="32"/>
          <w:szCs w:val="32"/>
        </w:rPr>
        <w:t>202</w:t>
      </w:r>
      <w:r>
        <w:rPr>
          <w:rFonts w:eastAsia="仿宋_GB2312" w:hint="eastAsia"/>
          <w:snapToGrid w:val="0"/>
          <w:color w:val="000000"/>
          <w:kern w:val="0"/>
          <w:sz w:val="32"/>
          <w:szCs w:val="32"/>
        </w:rPr>
        <w:t>5</w:t>
      </w:r>
      <w:r>
        <w:rPr>
          <w:rFonts w:eastAsia="仿宋_GB2312"/>
          <w:snapToGrid w:val="0"/>
          <w:color w:val="000000"/>
          <w:kern w:val="0"/>
          <w:sz w:val="32"/>
          <w:szCs w:val="32"/>
        </w:rPr>
        <w:t>年第</w:t>
      </w:r>
      <w:r>
        <w:rPr>
          <w:rFonts w:eastAsia="仿宋_GB2312"/>
          <w:snapToGrid w:val="0"/>
          <w:color w:val="000000"/>
          <w:kern w:val="0"/>
          <w:sz w:val="32"/>
          <w:szCs w:val="32"/>
        </w:rPr>
        <w:t>9</w:t>
      </w:r>
      <w:r>
        <w:rPr>
          <w:rFonts w:eastAsia="仿宋_GB2312"/>
          <w:snapToGrid w:val="0"/>
          <w:color w:val="000000"/>
          <w:kern w:val="0"/>
          <w:sz w:val="32"/>
          <w:szCs w:val="32"/>
        </w:rPr>
        <w:t>号</w:t>
      </w:r>
      <w:r>
        <w:rPr>
          <w:rFonts w:eastAsia="仿宋_GB2312"/>
          <w:snapToGrid w:val="0"/>
          <w:color w:val="000000"/>
          <w:kern w:val="0"/>
          <w:sz w:val="32"/>
          <w:szCs w:val="32"/>
        </w:rPr>
        <w:t>[Z].</w:t>
      </w:r>
    </w:p>
    <w:p w14:paraId="4CD7064F"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lastRenderedPageBreak/>
        <w:t>[</w:t>
      </w:r>
      <w:r>
        <w:rPr>
          <w:rFonts w:eastAsia="仿宋_GB2312" w:hint="eastAsia"/>
          <w:snapToGrid w:val="0"/>
          <w:color w:val="000000"/>
          <w:kern w:val="0"/>
          <w:sz w:val="32"/>
          <w:szCs w:val="32"/>
        </w:rPr>
        <w:t>11</w:t>
      </w:r>
      <w:r>
        <w:rPr>
          <w:rFonts w:eastAsia="仿宋_GB2312"/>
          <w:snapToGrid w:val="0"/>
          <w:color w:val="000000"/>
          <w:kern w:val="0"/>
          <w:sz w:val="32"/>
          <w:szCs w:val="32"/>
        </w:rPr>
        <w:t>]</w:t>
      </w:r>
      <w:r>
        <w:rPr>
          <w:rFonts w:eastAsia="仿宋_GB2312"/>
          <w:snapToGrid w:val="0"/>
          <w:color w:val="000000"/>
          <w:kern w:val="0"/>
          <w:sz w:val="32"/>
          <w:szCs w:val="32"/>
        </w:rPr>
        <w:t>国家药品监督管理局医疗器械技术审评中心</w:t>
      </w:r>
      <w:r>
        <w:rPr>
          <w:rFonts w:eastAsia="仿宋_GB2312"/>
          <w:snapToGrid w:val="0"/>
          <w:color w:val="000000"/>
          <w:kern w:val="0"/>
          <w:sz w:val="32"/>
          <w:szCs w:val="32"/>
        </w:rPr>
        <w:t>.</w:t>
      </w:r>
      <w:r>
        <w:rPr>
          <w:rFonts w:eastAsia="仿宋_GB2312"/>
          <w:snapToGrid w:val="0"/>
          <w:color w:val="000000"/>
          <w:kern w:val="0"/>
          <w:sz w:val="32"/>
          <w:szCs w:val="32"/>
        </w:rPr>
        <w:t>医疗器械网络安全注册审查指导原则（</w:t>
      </w:r>
      <w:r>
        <w:rPr>
          <w:rFonts w:eastAsia="仿宋_GB2312"/>
          <w:snapToGrid w:val="0"/>
          <w:color w:val="000000"/>
          <w:kern w:val="0"/>
          <w:sz w:val="32"/>
          <w:szCs w:val="32"/>
        </w:rPr>
        <w:t>2022</w:t>
      </w:r>
      <w:r>
        <w:rPr>
          <w:rFonts w:eastAsia="仿宋_GB2312"/>
          <w:snapToGrid w:val="0"/>
          <w:color w:val="000000"/>
          <w:kern w:val="0"/>
          <w:sz w:val="32"/>
          <w:szCs w:val="32"/>
        </w:rPr>
        <w:t>年修订版）</w:t>
      </w:r>
      <w:r>
        <w:rPr>
          <w:rFonts w:eastAsia="仿宋_GB2312"/>
          <w:snapToGrid w:val="0"/>
          <w:color w:val="000000"/>
          <w:kern w:val="0"/>
          <w:sz w:val="32"/>
          <w:szCs w:val="32"/>
        </w:rPr>
        <w:t xml:space="preserve">: </w:t>
      </w:r>
      <w:r>
        <w:rPr>
          <w:rFonts w:eastAsia="仿宋_GB2312"/>
          <w:snapToGrid w:val="0"/>
          <w:color w:val="000000"/>
          <w:kern w:val="0"/>
          <w:sz w:val="32"/>
          <w:szCs w:val="32"/>
        </w:rPr>
        <w:t>国家药品监督管理局医疗器械技术审评中心</w:t>
      </w:r>
      <w:r>
        <w:rPr>
          <w:rFonts w:eastAsia="仿宋_GB2312" w:hint="eastAsia"/>
          <w:snapToGrid w:val="0"/>
          <w:color w:val="000000"/>
          <w:kern w:val="0"/>
          <w:sz w:val="32"/>
          <w:szCs w:val="32"/>
        </w:rPr>
        <w:t>通</w:t>
      </w:r>
      <w:r>
        <w:rPr>
          <w:rFonts w:eastAsia="仿宋_GB2312"/>
          <w:snapToGrid w:val="0"/>
          <w:color w:val="000000"/>
          <w:kern w:val="0"/>
          <w:sz w:val="32"/>
          <w:szCs w:val="32"/>
        </w:rPr>
        <w:t>告</w:t>
      </w:r>
      <w:r>
        <w:rPr>
          <w:rFonts w:eastAsia="仿宋_GB2312"/>
          <w:snapToGrid w:val="0"/>
          <w:color w:val="000000"/>
          <w:kern w:val="0"/>
          <w:sz w:val="32"/>
          <w:szCs w:val="32"/>
        </w:rPr>
        <w:t>2022</w:t>
      </w:r>
      <w:r>
        <w:rPr>
          <w:rFonts w:eastAsia="仿宋_GB2312"/>
          <w:snapToGrid w:val="0"/>
          <w:color w:val="000000"/>
          <w:kern w:val="0"/>
          <w:sz w:val="32"/>
          <w:szCs w:val="32"/>
        </w:rPr>
        <w:t>年第</w:t>
      </w:r>
      <w:r>
        <w:rPr>
          <w:rFonts w:eastAsia="仿宋_GB2312"/>
          <w:snapToGrid w:val="0"/>
          <w:color w:val="000000"/>
          <w:kern w:val="0"/>
          <w:sz w:val="32"/>
          <w:szCs w:val="32"/>
        </w:rPr>
        <w:t>7</w:t>
      </w:r>
      <w:r>
        <w:rPr>
          <w:rFonts w:eastAsia="仿宋_GB2312"/>
          <w:snapToGrid w:val="0"/>
          <w:color w:val="000000"/>
          <w:kern w:val="0"/>
          <w:sz w:val="32"/>
          <w:szCs w:val="32"/>
        </w:rPr>
        <w:t>号</w:t>
      </w:r>
      <w:r>
        <w:rPr>
          <w:rFonts w:eastAsia="仿宋_GB2312"/>
          <w:snapToGrid w:val="0"/>
          <w:color w:val="000000"/>
          <w:kern w:val="0"/>
          <w:sz w:val="32"/>
          <w:szCs w:val="32"/>
        </w:rPr>
        <w:t>[Z].</w:t>
      </w:r>
    </w:p>
    <w:p w14:paraId="3D34948B"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12</w:t>
      </w:r>
      <w:r>
        <w:rPr>
          <w:rFonts w:eastAsia="仿宋_GB2312"/>
          <w:snapToGrid w:val="0"/>
          <w:color w:val="000000"/>
          <w:kern w:val="0"/>
          <w:sz w:val="32"/>
          <w:szCs w:val="32"/>
        </w:rPr>
        <w:t>]</w:t>
      </w:r>
      <w:r>
        <w:rPr>
          <w:rFonts w:eastAsia="仿宋_GB2312" w:hint="eastAsia"/>
          <w:snapToGrid w:val="0"/>
          <w:color w:val="000000"/>
          <w:kern w:val="0"/>
          <w:sz w:val="32"/>
          <w:szCs w:val="32"/>
        </w:rPr>
        <w:t>国家药品监督管理局</w:t>
      </w:r>
      <w:r>
        <w:rPr>
          <w:rFonts w:eastAsia="仿宋_GB2312" w:hint="eastAsia"/>
          <w:snapToGrid w:val="0"/>
          <w:color w:val="000000"/>
          <w:kern w:val="0"/>
          <w:sz w:val="32"/>
          <w:szCs w:val="32"/>
        </w:rPr>
        <w:t>.</w:t>
      </w:r>
      <w:r>
        <w:rPr>
          <w:rFonts w:eastAsia="仿宋_GB2312" w:hint="eastAsia"/>
          <w:snapToGrid w:val="0"/>
          <w:color w:val="000000"/>
          <w:kern w:val="0"/>
          <w:sz w:val="32"/>
          <w:szCs w:val="32"/>
        </w:rPr>
        <w:t>有源医疗器械使用期限注册技术审查指导原则</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国家药品监督管理局通告</w:t>
      </w:r>
      <w:r>
        <w:rPr>
          <w:rFonts w:eastAsia="仿宋_GB2312" w:hint="eastAsia"/>
          <w:snapToGrid w:val="0"/>
          <w:color w:val="000000"/>
          <w:kern w:val="0"/>
          <w:sz w:val="32"/>
          <w:szCs w:val="32"/>
        </w:rPr>
        <w:t>2019</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23</w:t>
      </w:r>
      <w:r>
        <w:rPr>
          <w:rFonts w:eastAsia="仿宋_GB2312" w:hint="eastAsia"/>
          <w:snapToGrid w:val="0"/>
          <w:color w:val="000000"/>
          <w:kern w:val="0"/>
          <w:sz w:val="32"/>
          <w:szCs w:val="32"/>
        </w:rPr>
        <w:t>号</w:t>
      </w:r>
      <w:r>
        <w:rPr>
          <w:rFonts w:eastAsia="仿宋_GB2312" w:hint="eastAsia"/>
          <w:snapToGrid w:val="0"/>
          <w:color w:val="000000"/>
          <w:kern w:val="0"/>
          <w:sz w:val="32"/>
          <w:szCs w:val="32"/>
        </w:rPr>
        <w:t xml:space="preserve"> [Z].</w:t>
      </w:r>
    </w:p>
    <w:p w14:paraId="19F4E6FE"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13</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国家药品监督管理局</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医疗器械动物试验研究注册审查指导原则第一部分：决策原则（</w:t>
      </w:r>
      <w:r>
        <w:rPr>
          <w:rFonts w:eastAsia="仿宋_GB2312" w:hint="eastAsia"/>
          <w:snapToGrid w:val="0"/>
          <w:color w:val="000000"/>
          <w:kern w:val="0"/>
          <w:sz w:val="32"/>
          <w:szCs w:val="32"/>
        </w:rPr>
        <w:t>2021</w:t>
      </w:r>
      <w:r>
        <w:rPr>
          <w:rFonts w:eastAsia="仿宋_GB2312" w:hint="eastAsia"/>
          <w:snapToGrid w:val="0"/>
          <w:color w:val="000000"/>
          <w:kern w:val="0"/>
          <w:sz w:val="32"/>
          <w:szCs w:val="32"/>
        </w:rPr>
        <w:t>年修订版）</w:t>
      </w:r>
      <w:r>
        <w:rPr>
          <w:rFonts w:eastAsia="仿宋_GB2312"/>
          <w:snapToGrid w:val="0"/>
          <w:color w:val="000000"/>
          <w:kern w:val="0"/>
          <w:sz w:val="32"/>
          <w:szCs w:val="32"/>
        </w:rPr>
        <w:t xml:space="preserve">: </w:t>
      </w:r>
      <w:r>
        <w:rPr>
          <w:rFonts w:eastAsia="仿宋_GB2312"/>
          <w:snapToGrid w:val="0"/>
          <w:color w:val="000000"/>
          <w:kern w:val="0"/>
          <w:sz w:val="32"/>
          <w:szCs w:val="32"/>
        </w:rPr>
        <w:t>国家药品监督管理局</w:t>
      </w:r>
      <w:r>
        <w:rPr>
          <w:rFonts w:eastAsia="仿宋_GB2312" w:hint="eastAsia"/>
          <w:snapToGrid w:val="0"/>
          <w:color w:val="000000"/>
          <w:kern w:val="0"/>
          <w:sz w:val="32"/>
          <w:szCs w:val="32"/>
        </w:rPr>
        <w:t>通</w:t>
      </w:r>
      <w:r>
        <w:rPr>
          <w:rFonts w:eastAsia="仿宋_GB2312"/>
          <w:snapToGrid w:val="0"/>
          <w:color w:val="000000"/>
          <w:kern w:val="0"/>
          <w:sz w:val="32"/>
          <w:szCs w:val="32"/>
        </w:rPr>
        <w:t>告</w:t>
      </w:r>
      <w:r>
        <w:rPr>
          <w:rFonts w:eastAsia="仿宋_GB2312" w:hint="eastAsia"/>
          <w:snapToGrid w:val="0"/>
          <w:color w:val="000000"/>
          <w:kern w:val="0"/>
          <w:sz w:val="32"/>
          <w:szCs w:val="32"/>
        </w:rPr>
        <w:t>2021</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75</w:t>
      </w:r>
      <w:r>
        <w:rPr>
          <w:rFonts w:eastAsia="仿宋_GB2312" w:hint="eastAsia"/>
          <w:snapToGrid w:val="0"/>
          <w:color w:val="000000"/>
          <w:kern w:val="0"/>
          <w:sz w:val="32"/>
          <w:szCs w:val="32"/>
        </w:rPr>
        <w:t>号</w:t>
      </w:r>
      <w:r>
        <w:rPr>
          <w:rFonts w:eastAsia="仿宋_GB2312"/>
          <w:snapToGrid w:val="0"/>
          <w:color w:val="000000"/>
          <w:kern w:val="0"/>
          <w:sz w:val="32"/>
          <w:szCs w:val="32"/>
        </w:rPr>
        <w:t>[Z].</w:t>
      </w:r>
    </w:p>
    <w:p w14:paraId="62C23714"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14</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国家药品监督管理局</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医疗器械动物试验研究注册审查指导原则第二部分：试验设计、实施质量保证</w:t>
      </w:r>
      <w:r>
        <w:rPr>
          <w:rFonts w:eastAsia="仿宋_GB2312"/>
          <w:snapToGrid w:val="0"/>
          <w:color w:val="000000"/>
          <w:kern w:val="0"/>
          <w:sz w:val="32"/>
          <w:szCs w:val="32"/>
        </w:rPr>
        <w:t xml:space="preserve">: </w:t>
      </w:r>
      <w:r>
        <w:rPr>
          <w:rFonts w:eastAsia="仿宋_GB2312"/>
          <w:snapToGrid w:val="0"/>
          <w:color w:val="000000"/>
          <w:kern w:val="0"/>
          <w:sz w:val="32"/>
          <w:szCs w:val="32"/>
        </w:rPr>
        <w:t>国家药品监督管理局</w:t>
      </w:r>
      <w:r>
        <w:rPr>
          <w:rFonts w:eastAsia="仿宋_GB2312" w:hint="eastAsia"/>
          <w:snapToGrid w:val="0"/>
          <w:color w:val="000000"/>
          <w:kern w:val="0"/>
          <w:sz w:val="32"/>
          <w:szCs w:val="32"/>
        </w:rPr>
        <w:t>通</w:t>
      </w:r>
      <w:r>
        <w:rPr>
          <w:rFonts w:eastAsia="仿宋_GB2312"/>
          <w:snapToGrid w:val="0"/>
          <w:color w:val="000000"/>
          <w:kern w:val="0"/>
          <w:sz w:val="32"/>
          <w:szCs w:val="32"/>
        </w:rPr>
        <w:t>告</w:t>
      </w:r>
      <w:r>
        <w:rPr>
          <w:rFonts w:eastAsia="仿宋_GB2312" w:hint="eastAsia"/>
          <w:snapToGrid w:val="0"/>
          <w:color w:val="000000"/>
          <w:kern w:val="0"/>
          <w:sz w:val="32"/>
          <w:szCs w:val="32"/>
        </w:rPr>
        <w:t>2021</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75</w:t>
      </w:r>
      <w:r>
        <w:rPr>
          <w:rFonts w:eastAsia="仿宋_GB2312" w:hint="eastAsia"/>
          <w:snapToGrid w:val="0"/>
          <w:color w:val="000000"/>
          <w:kern w:val="0"/>
          <w:sz w:val="32"/>
          <w:szCs w:val="32"/>
        </w:rPr>
        <w:t>号</w:t>
      </w:r>
      <w:r>
        <w:rPr>
          <w:rFonts w:eastAsia="仿宋_GB2312"/>
          <w:snapToGrid w:val="0"/>
          <w:color w:val="000000"/>
          <w:kern w:val="0"/>
          <w:sz w:val="32"/>
          <w:szCs w:val="32"/>
        </w:rPr>
        <w:t>[Z].</w:t>
      </w:r>
    </w:p>
    <w:p w14:paraId="50301F78"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15</w:t>
      </w:r>
      <w:r>
        <w:rPr>
          <w:rFonts w:eastAsia="仿宋_GB2312"/>
          <w:snapToGrid w:val="0"/>
          <w:color w:val="000000"/>
          <w:kern w:val="0"/>
          <w:sz w:val="32"/>
          <w:szCs w:val="32"/>
        </w:rPr>
        <w:t>]</w:t>
      </w:r>
      <w:r>
        <w:rPr>
          <w:rFonts w:eastAsia="仿宋_GB2312" w:hint="eastAsia"/>
          <w:snapToGrid w:val="0"/>
          <w:color w:val="000000"/>
          <w:kern w:val="0"/>
          <w:sz w:val="32"/>
          <w:szCs w:val="32"/>
        </w:rPr>
        <w:t>国家药品监督管理局</w:t>
      </w:r>
      <w:r>
        <w:rPr>
          <w:rFonts w:eastAsia="仿宋_GB2312" w:hint="eastAsia"/>
          <w:snapToGrid w:val="0"/>
          <w:color w:val="000000"/>
          <w:kern w:val="0"/>
          <w:sz w:val="32"/>
          <w:szCs w:val="32"/>
        </w:rPr>
        <w:t>.</w:t>
      </w:r>
      <w:r>
        <w:rPr>
          <w:rFonts w:eastAsia="仿宋_GB2312" w:hint="eastAsia"/>
          <w:snapToGrid w:val="0"/>
          <w:color w:val="000000"/>
          <w:kern w:val="0"/>
          <w:sz w:val="32"/>
          <w:szCs w:val="32"/>
        </w:rPr>
        <w:t>免于进行临床评价医疗器械目录</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国家药品监督管理局通告</w:t>
      </w:r>
      <w:r>
        <w:rPr>
          <w:rFonts w:eastAsia="仿宋_GB2312" w:hint="eastAsia"/>
          <w:snapToGrid w:val="0"/>
          <w:color w:val="000000"/>
          <w:kern w:val="0"/>
          <w:sz w:val="32"/>
          <w:szCs w:val="32"/>
        </w:rPr>
        <w:t>2025</w:t>
      </w:r>
      <w:r>
        <w:rPr>
          <w:rFonts w:eastAsia="仿宋_GB2312" w:hint="eastAsia"/>
          <w:snapToGrid w:val="0"/>
          <w:color w:val="000000"/>
          <w:kern w:val="0"/>
          <w:sz w:val="32"/>
          <w:szCs w:val="32"/>
        </w:rPr>
        <w:t>年第</w:t>
      </w:r>
      <w:r>
        <w:rPr>
          <w:rFonts w:eastAsia="仿宋_GB2312" w:hint="eastAsia"/>
          <w:snapToGrid w:val="0"/>
          <w:color w:val="000000"/>
          <w:kern w:val="0"/>
          <w:sz w:val="32"/>
          <w:szCs w:val="32"/>
        </w:rPr>
        <w:t>19</w:t>
      </w:r>
      <w:r>
        <w:rPr>
          <w:rFonts w:eastAsia="仿宋_GB2312" w:hint="eastAsia"/>
          <w:snapToGrid w:val="0"/>
          <w:color w:val="000000"/>
          <w:kern w:val="0"/>
          <w:sz w:val="32"/>
          <w:szCs w:val="32"/>
        </w:rPr>
        <w:t>号</w:t>
      </w:r>
      <w:r>
        <w:rPr>
          <w:rFonts w:eastAsia="仿宋_GB2312" w:hint="eastAsia"/>
          <w:snapToGrid w:val="0"/>
          <w:color w:val="000000"/>
          <w:kern w:val="0"/>
          <w:sz w:val="32"/>
          <w:szCs w:val="32"/>
        </w:rPr>
        <w:t>[Z].</w:t>
      </w:r>
    </w:p>
    <w:p w14:paraId="3DE73AD8"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16</w:t>
      </w:r>
      <w:r>
        <w:rPr>
          <w:rFonts w:eastAsia="仿宋_GB2312"/>
          <w:snapToGrid w:val="0"/>
          <w:color w:val="000000"/>
          <w:kern w:val="0"/>
          <w:sz w:val="32"/>
          <w:szCs w:val="32"/>
        </w:rPr>
        <w:t>]</w:t>
      </w:r>
      <w:r>
        <w:rPr>
          <w:rFonts w:eastAsia="仿宋_GB2312"/>
          <w:snapToGrid w:val="0"/>
          <w:color w:val="000000"/>
          <w:kern w:val="0"/>
          <w:sz w:val="32"/>
          <w:szCs w:val="32"/>
        </w:rPr>
        <w:t>国家药品监督管理局</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医疗器械临床评价技术指导原则</w:t>
      </w:r>
      <w:r>
        <w:rPr>
          <w:rFonts w:eastAsia="仿宋_GB2312"/>
          <w:snapToGrid w:val="0"/>
          <w:color w:val="000000"/>
          <w:kern w:val="0"/>
          <w:sz w:val="32"/>
          <w:szCs w:val="32"/>
        </w:rPr>
        <w:t>:</w:t>
      </w:r>
      <w:r>
        <w:rPr>
          <w:rFonts w:eastAsia="仿宋_GB2312"/>
          <w:snapToGrid w:val="0"/>
          <w:color w:val="000000"/>
          <w:kern w:val="0"/>
          <w:sz w:val="32"/>
          <w:szCs w:val="32"/>
        </w:rPr>
        <w:t>国家药监局通告</w:t>
      </w:r>
      <w:r>
        <w:rPr>
          <w:rFonts w:eastAsia="仿宋_GB2312"/>
          <w:snapToGrid w:val="0"/>
          <w:color w:val="000000"/>
          <w:kern w:val="0"/>
          <w:sz w:val="32"/>
          <w:szCs w:val="32"/>
        </w:rPr>
        <w:t>2021</w:t>
      </w:r>
      <w:r>
        <w:rPr>
          <w:rFonts w:eastAsia="仿宋_GB2312"/>
          <w:snapToGrid w:val="0"/>
          <w:color w:val="000000"/>
          <w:kern w:val="0"/>
          <w:sz w:val="32"/>
          <w:szCs w:val="32"/>
        </w:rPr>
        <w:t>年第</w:t>
      </w:r>
      <w:r>
        <w:rPr>
          <w:rFonts w:eastAsia="仿宋_GB2312"/>
          <w:snapToGrid w:val="0"/>
          <w:color w:val="000000"/>
          <w:kern w:val="0"/>
          <w:sz w:val="32"/>
          <w:szCs w:val="32"/>
        </w:rPr>
        <w:t>73</w:t>
      </w:r>
      <w:r>
        <w:rPr>
          <w:rFonts w:eastAsia="仿宋_GB2312"/>
          <w:snapToGrid w:val="0"/>
          <w:color w:val="000000"/>
          <w:kern w:val="0"/>
          <w:sz w:val="32"/>
          <w:szCs w:val="32"/>
        </w:rPr>
        <w:t>号</w:t>
      </w:r>
      <w:r>
        <w:rPr>
          <w:rFonts w:eastAsia="仿宋_GB2312"/>
          <w:snapToGrid w:val="0"/>
          <w:color w:val="000000"/>
          <w:kern w:val="0"/>
          <w:sz w:val="32"/>
          <w:szCs w:val="32"/>
        </w:rPr>
        <w:t>[Z].</w:t>
      </w:r>
    </w:p>
    <w:p w14:paraId="5650C4BB"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17</w:t>
      </w:r>
      <w:r>
        <w:rPr>
          <w:rFonts w:eastAsia="仿宋_GB2312"/>
          <w:snapToGrid w:val="0"/>
          <w:color w:val="000000"/>
          <w:kern w:val="0"/>
          <w:sz w:val="32"/>
          <w:szCs w:val="32"/>
        </w:rPr>
        <w:t>]</w:t>
      </w:r>
      <w:r>
        <w:rPr>
          <w:rFonts w:eastAsia="仿宋_GB2312"/>
          <w:snapToGrid w:val="0"/>
          <w:color w:val="000000"/>
          <w:kern w:val="0"/>
          <w:sz w:val="32"/>
          <w:szCs w:val="32"/>
        </w:rPr>
        <w:t>国家药品监督管理局</w:t>
      </w:r>
      <w:r>
        <w:rPr>
          <w:rFonts w:eastAsia="仿宋_GB2312"/>
          <w:snapToGrid w:val="0"/>
          <w:color w:val="000000"/>
          <w:kern w:val="0"/>
          <w:sz w:val="32"/>
          <w:szCs w:val="32"/>
        </w:rPr>
        <w:t>.</w:t>
      </w:r>
      <w:r>
        <w:rPr>
          <w:rFonts w:eastAsia="仿宋_GB2312" w:hint="eastAsia"/>
          <w:snapToGrid w:val="0"/>
          <w:color w:val="000000"/>
          <w:kern w:val="0"/>
          <w:sz w:val="32"/>
          <w:szCs w:val="32"/>
        </w:rPr>
        <w:t xml:space="preserve"> </w:t>
      </w:r>
      <w:r>
        <w:rPr>
          <w:rFonts w:eastAsia="仿宋_GB2312" w:hint="eastAsia"/>
          <w:snapToGrid w:val="0"/>
          <w:color w:val="000000"/>
          <w:kern w:val="0"/>
          <w:sz w:val="32"/>
          <w:szCs w:val="32"/>
        </w:rPr>
        <w:t>医疗器械临床评价等同性论证技术指导原则</w:t>
      </w:r>
      <w:r>
        <w:rPr>
          <w:rFonts w:eastAsia="仿宋_GB2312"/>
          <w:snapToGrid w:val="0"/>
          <w:color w:val="000000"/>
          <w:kern w:val="0"/>
          <w:sz w:val="32"/>
          <w:szCs w:val="32"/>
        </w:rPr>
        <w:t>:</w:t>
      </w:r>
      <w:r>
        <w:rPr>
          <w:rFonts w:eastAsia="仿宋_GB2312"/>
          <w:snapToGrid w:val="0"/>
          <w:color w:val="000000"/>
          <w:kern w:val="0"/>
          <w:sz w:val="32"/>
          <w:szCs w:val="32"/>
        </w:rPr>
        <w:t>国家药监局通告</w:t>
      </w:r>
      <w:r>
        <w:rPr>
          <w:rFonts w:eastAsia="仿宋_GB2312"/>
          <w:snapToGrid w:val="0"/>
          <w:color w:val="000000"/>
          <w:kern w:val="0"/>
          <w:sz w:val="32"/>
          <w:szCs w:val="32"/>
        </w:rPr>
        <w:t>2021</w:t>
      </w:r>
      <w:r>
        <w:rPr>
          <w:rFonts w:eastAsia="仿宋_GB2312"/>
          <w:snapToGrid w:val="0"/>
          <w:color w:val="000000"/>
          <w:kern w:val="0"/>
          <w:sz w:val="32"/>
          <w:szCs w:val="32"/>
        </w:rPr>
        <w:t>年第</w:t>
      </w:r>
      <w:r>
        <w:rPr>
          <w:rFonts w:eastAsia="仿宋_GB2312"/>
          <w:snapToGrid w:val="0"/>
          <w:color w:val="000000"/>
          <w:kern w:val="0"/>
          <w:sz w:val="32"/>
          <w:szCs w:val="32"/>
        </w:rPr>
        <w:t>73</w:t>
      </w:r>
      <w:r>
        <w:rPr>
          <w:rFonts w:eastAsia="仿宋_GB2312"/>
          <w:snapToGrid w:val="0"/>
          <w:color w:val="000000"/>
          <w:kern w:val="0"/>
          <w:sz w:val="32"/>
          <w:szCs w:val="32"/>
        </w:rPr>
        <w:t>号</w:t>
      </w:r>
      <w:r>
        <w:rPr>
          <w:rFonts w:eastAsia="仿宋_GB2312"/>
          <w:snapToGrid w:val="0"/>
          <w:color w:val="000000"/>
          <w:kern w:val="0"/>
          <w:sz w:val="32"/>
          <w:szCs w:val="32"/>
        </w:rPr>
        <w:t>[Z].</w:t>
      </w:r>
    </w:p>
    <w:p w14:paraId="17EA0D35"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snapToGrid w:val="0"/>
          <w:color w:val="000000"/>
          <w:kern w:val="0"/>
          <w:sz w:val="32"/>
          <w:szCs w:val="32"/>
        </w:rPr>
        <w:t>[</w:t>
      </w:r>
      <w:r>
        <w:rPr>
          <w:rFonts w:eastAsia="仿宋_GB2312" w:hint="eastAsia"/>
          <w:snapToGrid w:val="0"/>
          <w:color w:val="000000"/>
          <w:kern w:val="0"/>
          <w:sz w:val="32"/>
          <w:szCs w:val="32"/>
        </w:rPr>
        <w:t>18</w:t>
      </w:r>
      <w:r>
        <w:rPr>
          <w:rFonts w:eastAsia="仿宋_GB2312"/>
          <w:snapToGrid w:val="0"/>
          <w:color w:val="000000"/>
          <w:kern w:val="0"/>
          <w:sz w:val="32"/>
          <w:szCs w:val="32"/>
        </w:rPr>
        <w:t>]</w:t>
      </w:r>
      <w:r>
        <w:rPr>
          <w:rFonts w:eastAsia="仿宋_GB2312" w:hint="eastAsia"/>
          <w:snapToGrid w:val="0"/>
          <w:color w:val="000000"/>
          <w:kern w:val="0"/>
          <w:sz w:val="32"/>
          <w:szCs w:val="32"/>
        </w:rPr>
        <w:t>国家食品药品监督管理总局</w:t>
      </w:r>
      <w:r>
        <w:rPr>
          <w:rFonts w:eastAsia="仿宋_GB2312" w:hint="eastAsia"/>
          <w:snapToGrid w:val="0"/>
          <w:color w:val="000000"/>
          <w:kern w:val="0"/>
          <w:sz w:val="32"/>
          <w:szCs w:val="32"/>
        </w:rPr>
        <w:t>.</w:t>
      </w:r>
      <w:r>
        <w:rPr>
          <w:rFonts w:eastAsia="仿宋_GB2312" w:hint="eastAsia"/>
          <w:snapToGrid w:val="0"/>
          <w:color w:val="000000"/>
          <w:kern w:val="0"/>
          <w:sz w:val="32"/>
          <w:szCs w:val="32"/>
        </w:rPr>
        <w:t>医疗器械说明书和标签管理规定</w:t>
      </w:r>
      <w:r>
        <w:rPr>
          <w:rFonts w:eastAsia="仿宋_GB2312" w:hint="eastAsia"/>
          <w:snapToGrid w:val="0"/>
          <w:color w:val="000000"/>
          <w:kern w:val="0"/>
          <w:sz w:val="32"/>
          <w:szCs w:val="32"/>
        </w:rPr>
        <w:t>:</w:t>
      </w:r>
      <w:r>
        <w:rPr>
          <w:rFonts w:eastAsia="仿宋_GB2312" w:hint="eastAsia"/>
          <w:snapToGrid w:val="0"/>
          <w:color w:val="000000"/>
          <w:kern w:val="0"/>
          <w:sz w:val="32"/>
          <w:szCs w:val="32"/>
        </w:rPr>
        <w:t>国家食品药品监督管理总局令第</w:t>
      </w:r>
      <w:r>
        <w:rPr>
          <w:rFonts w:eastAsia="仿宋_GB2312" w:hint="eastAsia"/>
          <w:snapToGrid w:val="0"/>
          <w:color w:val="000000"/>
          <w:kern w:val="0"/>
          <w:sz w:val="32"/>
          <w:szCs w:val="32"/>
        </w:rPr>
        <w:t>6</w:t>
      </w:r>
      <w:r>
        <w:rPr>
          <w:rFonts w:eastAsia="仿宋_GB2312" w:hint="eastAsia"/>
          <w:snapToGrid w:val="0"/>
          <w:color w:val="000000"/>
          <w:kern w:val="0"/>
          <w:sz w:val="32"/>
          <w:szCs w:val="32"/>
        </w:rPr>
        <w:t>号</w:t>
      </w:r>
      <w:r>
        <w:rPr>
          <w:rFonts w:eastAsia="仿宋_GB2312" w:hint="eastAsia"/>
          <w:snapToGrid w:val="0"/>
          <w:color w:val="000000"/>
          <w:kern w:val="0"/>
          <w:sz w:val="32"/>
          <w:szCs w:val="32"/>
        </w:rPr>
        <w:t>[Z].</w:t>
      </w:r>
    </w:p>
    <w:p w14:paraId="1EB0A6D4" w14:textId="77777777" w:rsidR="005B4851" w:rsidRDefault="005D084F">
      <w:pPr>
        <w:spacing w:line="520" w:lineRule="exact"/>
        <w:ind w:rightChars="-32" w:right="-67" w:firstLineChars="200" w:firstLine="640"/>
        <w:rPr>
          <w:rFonts w:eastAsia="仿宋_GB2312"/>
          <w:snapToGrid w:val="0"/>
          <w:color w:val="000000"/>
          <w:kern w:val="0"/>
          <w:sz w:val="32"/>
          <w:szCs w:val="32"/>
        </w:rPr>
      </w:pPr>
      <w:r>
        <w:rPr>
          <w:rFonts w:eastAsia="仿宋_GB2312" w:hint="eastAsia"/>
          <w:snapToGrid w:val="0"/>
          <w:color w:val="000000"/>
          <w:kern w:val="0"/>
          <w:sz w:val="32"/>
          <w:szCs w:val="32"/>
        </w:rPr>
        <w:t>[19]</w:t>
      </w:r>
      <w:r>
        <w:rPr>
          <w:rFonts w:eastAsia="仿宋_GB2312" w:hint="eastAsia"/>
          <w:snapToGrid w:val="0"/>
          <w:color w:val="000000"/>
          <w:kern w:val="0"/>
          <w:sz w:val="32"/>
          <w:szCs w:val="32"/>
        </w:rPr>
        <w:t>国家药品监督管理局</w:t>
      </w:r>
      <w:r>
        <w:rPr>
          <w:rFonts w:eastAsia="仿宋_GB2312" w:hint="eastAsia"/>
          <w:snapToGrid w:val="0"/>
          <w:color w:val="000000"/>
          <w:kern w:val="0"/>
          <w:sz w:val="32"/>
          <w:szCs w:val="32"/>
        </w:rPr>
        <w:t>.</w:t>
      </w:r>
      <w:r>
        <w:rPr>
          <w:rFonts w:eastAsia="仿宋_GB2312"/>
          <w:snapToGrid w:val="0"/>
          <w:color w:val="000000"/>
          <w:kern w:val="0"/>
          <w:sz w:val="32"/>
          <w:szCs w:val="32"/>
        </w:rPr>
        <w:t xml:space="preserve"> </w:t>
      </w:r>
      <w:r>
        <w:rPr>
          <w:rFonts w:eastAsia="仿宋_GB2312"/>
          <w:snapToGrid w:val="0"/>
          <w:color w:val="000000"/>
          <w:kern w:val="0"/>
          <w:sz w:val="32"/>
          <w:szCs w:val="32"/>
        </w:rPr>
        <w:t>关于公布医疗器械注册申报资料要求和批准证明文件格式的公告</w:t>
      </w:r>
      <w:r>
        <w:rPr>
          <w:rFonts w:eastAsia="仿宋_GB2312"/>
          <w:snapToGrid w:val="0"/>
          <w:color w:val="000000"/>
          <w:kern w:val="0"/>
          <w:sz w:val="32"/>
          <w:szCs w:val="32"/>
        </w:rPr>
        <w:t>:</w:t>
      </w:r>
      <w:r>
        <w:rPr>
          <w:rFonts w:eastAsia="仿宋_GB2312"/>
          <w:snapToGrid w:val="0"/>
          <w:color w:val="000000"/>
          <w:kern w:val="0"/>
          <w:sz w:val="32"/>
          <w:szCs w:val="32"/>
        </w:rPr>
        <w:t>国家药品监督管理局公告</w:t>
      </w:r>
      <w:r>
        <w:rPr>
          <w:rFonts w:eastAsia="仿宋_GB2312"/>
          <w:snapToGrid w:val="0"/>
          <w:color w:val="000000"/>
          <w:kern w:val="0"/>
          <w:sz w:val="32"/>
          <w:szCs w:val="32"/>
        </w:rPr>
        <w:t>2021</w:t>
      </w:r>
      <w:r>
        <w:rPr>
          <w:rFonts w:eastAsia="仿宋_GB2312"/>
          <w:snapToGrid w:val="0"/>
          <w:color w:val="000000"/>
          <w:kern w:val="0"/>
          <w:sz w:val="32"/>
          <w:szCs w:val="32"/>
        </w:rPr>
        <w:t>年第</w:t>
      </w:r>
      <w:r>
        <w:rPr>
          <w:rFonts w:eastAsia="仿宋_GB2312"/>
          <w:snapToGrid w:val="0"/>
          <w:color w:val="000000"/>
          <w:kern w:val="0"/>
          <w:sz w:val="32"/>
          <w:szCs w:val="32"/>
        </w:rPr>
        <w:t>121</w:t>
      </w:r>
      <w:r>
        <w:rPr>
          <w:rFonts w:eastAsia="仿宋_GB2312"/>
          <w:snapToGrid w:val="0"/>
          <w:color w:val="000000"/>
          <w:kern w:val="0"/>
          <w:sz w:val="32"/>
          <w:szCs w:val="32"/>
        </w:rPr>
        <w:t>号</w:t>
      </w:r>
      <w:r>
        <w:rPr>
          <w:rFonts w:eastAsia="仿宋_GB2312"/>
          <w:snapToGrid w:val="0"/>
          <w:color w:val="000000"/>
          <w:kern w:val="0"/>
          <w:sz w:val="32"/>
          <w:szCs w:val="32"/>
        </w:rPr>
        <w:t>[Z].</w:t>
      </w:r>
    </w:p>
    <w:p w14:paraId="7B43519F" w14:textId="77777777" w:rsidR="005B4851" w:rsidRDefault="005D084F">
      <w:pPr>
        <w:overflowPunct w:val="0"/>
        <w:spacing w:line="520" w:lineRule="exact"/>
        <w:ind w:firstLine="648"/>
        <w:rPr>
          <w:rFonts w:eastAsia="仿宋_GB2312"/>
          <w:sz w:val="32"/>
          <w:szCs w:val="32"/>
        </w:rPr>
      </w:pPr>
      <w:r>
        <w:rPr>
          <w:rFonts w:eastAsia="仿宋_GB2312" w:hint="eastAsia"/>
          <w:sz w:val="32"/>
          <w:szCs w:val="32"/>
        </w:rPr>
        <w:t>[20] GB/T 42062,</w:t>
      </w:r>
      <w:r>
        <w:rPr>
          <w:rFonts w:eastAsia="仿宋_GB2312" w:hint="eastAsia"/>
          <w:sz w:val="32"/>
          <w:szCs w:val="32"/>
        </w:rPr>
        <w:t>医疗器械</w:t>
      </w:r>
      <w:r>
        <w:rPr>
          <w:rFonts w:eastAsia="仿宋_GB2312" w:hint="eastAsia"/>
          <w:sz w:val="32"/>
          <w:szCs w:val="32"/>
        </w:rPr>
        <w:t xml:space="preserve"> </w:t>
      </w:r>
      <w:r>
        <w:rPr>
          <w:rFonts w:eastAsia="仿宋_GB2312" w:hint="eastAsia"/>
          <w:sz w:val="32"/>
          <w:szCs w:val="32"/>
        </w:rPr>
        <w:t>风险管理对医疗器械的应用</w:t>
      </w:r>
      <w:r>
        <w:rPr>
          <w:rFonts w:eastAsia="仿宋_GB2312" w:hint="eastAsia"/>
          <w:sz w:val="32"/>
          <w:szCs w:val="32"/>
        </w:rPr>
        <w:t>[</w:t>
      </w:r>
      <w:r>
        <w:rPr>
          <w:rFonts w:eastAsia="仿宋_GB2312"/>
          <w:sz w:val="32"/>
          <w:szCs w:val="32"/>
        </w:rPr>
        <w:t>S].</w:t>
      </w:r>
    </w:p>
    <w:p w14:paraId="408A7BC5" w14:textId="77777777" w:rsidR="005B4851" w:rsidRDefault="005D084F">
      <w:pPr>
        <w:spacing w:line="520" w:lineRule="exact"/>
        <w:ind w:rightChars="-32" w:right="-67" w:firstLineChars="200" w:firstLine="640"/>
        <w:rPr>
          <w:rFonts w:eastAsia="仿宋_GB2312"/>
          <w:color w:val="000000"/>
          <w:sz w:val="32"/>
          <w:szCs w:val="32"/>
        </w:rPr>
      </w:pPr>
      <w:r>
        <w:rPr>
          <w:rFonts w:eastAsia="仿宋_GB2312" w:hint="eastAsia"/>
          <w:color w:val="000000"/>
          <w:sz w:val="32"/>
          <w:szCs w:val="32"/>
        </w:rPr>
        <w:t>[21] YY/T 1437,</w:t>
      </w:r>
      <w:r>
        <w:rPr>
          <w:rFonts w:eastAsia="仿宋_GB2312" w:hint="eastAsia"/>
          <w:color w:val="000000"/>
          <w:sz w:val="32"/>
          <w:szCs w:val="32"/>
        </w:rPr>
        <w:t>医疗器械</w:t>
      </w:r>
      <w:r>
        <w:rPr>
          <w:rFonts w:eastAsia="仿宋_GB2312" w:hint="eastAsia"/>
          <w:color w:val="000000"/>
          <w:sz w:val="32"/>
          <w:szCs w:val="32"/>
        </w:rPr>
        <w:t xml:space="preserve"> GB/T 42062</w:t>
      </w:r>
      <w:r>
        <w:rPr>
          <w:rFonts w:eastAsia="仿宋_GB2312" w:hint="eastAsia"/>
          <w:color w:val="000000"/>
          <w:sz w:val="32"/>
          <w:szCs w:val="32"/>
        </w:rPr>
        <w:t>应用指南</w:t>
      </w:r>
      <w:r>
        <w:rPr>
          <w:rFonts w:eastAsia="仿宋_GB2312" w:hint="eastAsia"/>
          <w:color w:val="000000"/>
          <w:sz w:val="32"/>
          <w:szCs w:val="32"/>
        </w:rPr>
        <w:t>[</w:t>
      </w:r>
      <w:r>
        <w:rPr>
          <w:rFonts w:eastAsia="仿宋_GB2312"/>
          <w:color w:val="000000"/>
          <w:sz w:val="32"/>
          <w:szCs w:val="32"/>
        </w:rPr>
        <w:t>S].</w:t>
      </w:r>
    </w:p>
    <w:p w14:paraId="02D9D598" w14:textId="77777777" w:rsidR="005B4851" w:rsidRDefault="005D084F">
      <w:pPr>
        <w:spacing w:line="520" w:lineRule="exact"/>
        <w:ind w:firstLineChars="200" w:firstLine="640"/>
      </w:pPr>
      <w:r>
        <w:rPr>
          <w:rFonts w:eastAsia="仿宋_GB2312"/>
          <w:color w:val="000000"/>
          <w:sz w:val="32"/>
          <w:szCs w:val="32"/>
        </w:rPr>
        <w:lastRenderedPageBreak/>
        <w:t>[</w:t>
      </w:r>
      <w:r>
        <w:rPr>
          <w:rFonts w:eastAsia="仿宋_GB2312" w:hint="eastAsia"/>
          <w:color w:val="000000"/>
          <w:sz w:val="32"/>
          <w:szCs w:val="32"/>
        </w:rPr>
        <w:t>22</w:t>
      </w:r>
      <w:r>
        <w:rPr>
          <w:rFonts w:eastAsia="仿宋_GB2312"/>
          <w:color w:val="000000"/>
          <w:sz w:val="32"/>
          <w:szCs w:val="32"/>
        </w:rPr>
        <w:t>]</w:t>
      </w:r>
      <w:r>
        <w:rPr>
          <w:rFonts w:eastAsia="仿宋_GB2312" w:hint="eastAsia"/>
          <w:snapToGrid w:val="0"/>
          <w:kern w:val="0"/>
          <w:sz w:val="32"/>
          <w:szCs w:val="32"/>
        </w:rPr>
        <w:t xml:space="preserve"> GB/T 16886.1</w:t>
      </w:r>
      <w:r>
        <w:rPr>
          <w:rFonts w:eastAsia="仿宋_GB2312"/>
          <w:color w:val="000000"/>
          <w:sz w:val="32"/>
          <w:szCs w:val="32"/>
        </w:rPr>
        <w:t>,</w:t>
      </w:r>
      <w:r>
        <w:rPr>
          <w:rFonts w:hint="eastAsia"/>
        </w:rPr>
        <w:t xml:space="preserve"> </w:t>
      </w:r>
      <w:r>
        <w:rPr>
          <w:rFonts w:eastAsia="仿宋_GB2312" w:hint="eastAsia"/>
          <w:color w:val="000000"/>
          <w:sz w:val="32"/>
          <w:szCs w:val="32"/>
        </w:rPr>
        <w:t>医疗器械生物学评价</w:t>
      </w:r>
      <w:r>
        <w:rPr>
          <w:rFonts w:eastAsia="仿宋_GB2312" w:hint="eastAsia"/>
          <w:color w:val="000000"/>
          <w:sz w:val="32"/>
          <w:szCs w:val="32"/>
        </w:rPr>
        <w:t xml:space="preserve"> </w:t>
      </w:r>
      <w:r>
        <w:rPr>
          <w:rFonts w:eastAsia="仿宋_GB2312" w:hint="eastAsia"/>
          <w:color w:val="000000"/>
          <w:sz w:val="32"/>
          <w:szCs w:val="32"/>
        </w:rPr>
        <w:t>第</w:t>
      </w:r>
      <w:r>
        <w:rPr>
          <w:rFonts w:eastAsia="仿宋_GB2312" w:hint="eastAsia"/>
          <w:color w:val="000000"/>
          <w:sz w:val="32"/>
          <w:szCs w:val="32"/>
        </w:rPr>
        <w:t>1</w:t>
      </w:r>
      <w:r>
        <w:rPr>
          <w:rFonts w:eastAsia="仿宋_GB2312" w:hint="eastAsia"/>
          <w:color w:val="000000"/>
          <w:sz w:val="32"/>
          <w:szCs w:val="32"/>
        </w:rPr>
        <w:t>部分：风险管理过程中的评价与试验</w:t>
      </w:r>
      <w:r>
        <w:rPr>
          <w:rFonts w:eastAsia="仿宋_GB2312"/>
          <w:color w:val="000000"/>
          <w:sz w:val="32"/>
          <w:szCs w:val="32"/>
        </w:rPr>
        <w:t>[S].</w:t>
      </w:r>
    </w:p>
    <w:p w14:paraId="033A7BD4"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w:t>
      </w:r>
      <w:r>
        <w:rPr>
          <w:rFonts w:eastAsia="仿宋_GB2312" w:hint="eastAsia"/>
          <w:color w:val="000000"/>
          <w:sz w:val="32"/>
          <w:szCs w:val="32"/>
        </w:rPr>
        <w:t>23</w:t>
      </w:r>
      <w:r>
        <w:rPr>
          <w:rFonts w:eastAsia="仿宋_GB2312"/>
          <w:color w:val="000000"/>
          <w:sz w:val="32"/>
          <w:szCs w:val="32"/>
        </w:rPr>
        <w:t>]GB 9706.1,</w:t>
      </w:r>
      <w:r>
        <w:rPr>
          <w:rFonts w:eastAsia="仿宋_GB2312"/>
          <w:color w:val="000000"/>
          <w:sz w:val="32"/>
          <w:szCs w:val="32"/>
        </w:rPr>
        <w:t>医用电气设备第</w:t>
      </w:r>
      <w:r>
        <w:rPr>
          <w:rFonts w:eastAsia="仿宋_GB2312"/>
          <w:color w:val="000000"/>
          <w:sz w:val="32"/>
          <w:szCs w:val="32"/>
        </w:rPr>
        <w:t>1</w:t>
      </w:r>
      <w:r>
        <w:rPr>
          <w:rFonts w:eastAsia="仿宋_GB2312"/>
          <w:color w:val="000000"/>
          <w:sz w:val="32"/>
          <w:szCs w:val="32"/>
        </w:rPr>
        <w:t>部分：基本安全和基本性能的通用要求</w:t>
      </w:r>
      <w:r>
        <w:rPr>
          <w:rFonts w:eastAsia="仿宋_GB2312"/>
          <w:color w:val="000000"/>
          <w:sz w:val="32"/>
          <w:szCs w:val="32"/>
        </w:rPr>
        <w:t>[S].</w:t>
      </w:r>
    </w:p>
    <w:p w14:paraId="7C56CEE7"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w:t>
      </w:r>
      <w:r>
        <w:rPr>
          <w:rFonts w:eastAsia="仿宋_GB2312" w:hint="eastAsia"/>
          <w:color w:val="000000"/>
          <w:sz w:val="32"/>
          <w:szCs w:val="32"/>
        </w:rPr>
        <w:t>24</w:t>
      </w:r>
      <w:r>
        <w:rPr>
          <w:rFonts w:eastAsia="仿宋_GB2312"/>
          <w:color w:val="000000"/>
          <w:sz w:val="32"/>
          <w:szCs w:val="32"/>
        </w:rPr>
        <w:t>]YY9706.102,</w:t>
      </w:r>
      <w:r>
        <w:rPr>
          <w:rFonts w:eastAsia="仿宋_GB2312"/>
          <w:color w:val="000000"/>
          <w:sz w:val="32"/>
          <w:szCs w:val="32"/>
        </w:rPr>
        <w:t>医用电气设备第</w:t>
      </w:r>
      <w:r>
        <w:rPr>
          <w:rFonts w:eastAsia="仿宋_GB2312"/>
          <w:color w:val="000000"/>
          <w:sz w:val="32"/>
          <w:szCs w:val="32"/>
        </w:rPr>
        <w:t>1-2</w:t>
      </w:r>
      <w:r>
        <w:rPr>
          <w:rFonts w:eastAsia="仿宋_GB2312"/>
          <w:color w:val="000000"/>
          <w:sz w:val="32"/>
          <w:szCs w:val="32"/>
        </w:rPr>
        <w:t>部分：基本安全和基本性能的通用要求并列标准：电磁兼容要求和试验</w:t>
      </w:r>
      <w:r>
        <w:rPr>
          <w:rFonts w:eastAsia="仿宋_GB2312"/>
          <w:color w:val="000000"/>
          <w:sz w:val="32"/>
          <w:szCs w:val="32"/>
        </w:rPr>
        <w:t>[S].</w:t>
      </w:r>
    </w:p>
    <w:p w14:paraId="26AF8387"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w:t>
      </w:r>
      <w:r>
        <w:rPr>
          <w:rFonts w:eastAsia="仿宋_GB2312" w:hint="eastAsia"/>
          <w:color w:val="000000"/>
          <w:sz w:val="32"/>
          <w:szCs w:val="32"/>
        </w:rPr>
        <w:t>25</w:t>
      </w:r>
      <w:r>
        <w:rPr>
          <w:rFonts w:eastAsia="仿宋_GB2312"/>
          <w:color w:val="000000"/>
          <w:sz w:val="32"/>
          <w:szCs w:val="32"/>
        </w:rPr>
        <w:t>]YY</w:t>
      </w:r>
      <w:r>
        <w:rPr>
          <w:rFonts w:eastAsia="仿宋_GB2312" w:hint="eastAsia"/>
          <w:color w:val="000000"/>
          <w:sz w:val="32"/>
          <w:szCs w:val="32"/>
        </w:rPr>
        <w:t>/T 1681.15</w:t>
      </w:r>
      <w:r>
        <w:rPr>
          <w:rFonts w:eastAsia="仿宋_GB2312"/>
          <w:color w:val="000000"/>
          <w:sz w:val="32"/>
          <w:szCs w:val="32"/>
        </w:rPr>
        <w:t>,</w:t>
      </w:r>
      <w:r>
        <w:rPr>
          <w:rFonts w:eastAsia="仿宋_GB2312" w:hint="eastAsia"/>
          <w:color w:val="000000"/>
          <w:sz w:val="32"/>
          <w:szCs w:val="32"/>
        </w:rPr>
        <w:t>无菌医疗器械包装试验方法</w:t>
      </w:r>
      <w:r>
        <w:rPr>
          <w:rFonts w:eastAsia="仿宋_GB2312" w:hint="eastAsia"/>
          <w:color w:val="000000"/>
          <w:sz w:val="32"/>
          <w:szCs w:val="32"/>
        </w:rPr>
        <w:t xml:space="preserve"> </w:t>
      </w:r>
      <w:r>
        <w:rPr>
          <w:rFonts w:eastAsia="仿宋_GB2312" w:hint="eastAsia"/>
          <w:color w:val="000000"/>
          <w:sz w:val="32"/>
          <w:szCs w:val="32"/>
        </w:rPr>
        <w:t>第</w:t>
      </w:r>
      <w:r>
        <w:rPr>
          <w:rFonts w:eastAsia="仿宋_GB2312" w:hint="eastAsia"/>
          <w:color w:val="000000"/>
          <w:sz w:val="32"/>
          <w:szCs w:val="32"/>
        </w:rPr>
        <w:t>15</w:t>
      </w:r>
      <w:r>
        <w:rPr>
          <w:rFonts w:eastAsia="仿宋_GB2312" w:hint="eastAsia"/>
          <w:color w:val="000000"/>
          <w:sz w:val="32"/>
          <w:szCs w:val="32"/>
        </w:rPr>
        <w:t>部分：运输容器和系统的性能试验</w:t>
      </w:r>
      <w:r>
        <w:rPr>
          <w:rFonts w:eastAsia="仿宋_GB2312"/>
          <w:color w:val="000000"/>
          <w:sz w:val="32"/>
          <w:szCs w:val="32"/>
        </w:rPr>
        <w:t>[S].</w:t>
      </w:r>
    </w:p>
    <w:p w14:paraId="2B8EB413"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w:t>
      </w:r>
      <w:r>
        <w:rPr>
          <w:rFonts w:eastAsia="仿宋_GB2312" w:hint="eastAsia"/>
          <w:color w:val="000000"/>
          <w:sz w:val="32"/>
          <w:szCs w:val="32"/>
        </w:rPr>
        <w:t>26</w:t>
      </w:r>
      <w:r>
        <w:rPr>
          <w:rFonts w:eastAsia="仿宋_GB2312"/>
          <w:color w:val="000000"/>
          <w:sz w:val="32"/>
          <w:szCs w:val="32"/>
        </w:rPr>
        <w:t>]</w:t>
      </w:r>
      <w:r>
        <w:rPr>
          <w:rFonts w:ascii="Arial" w:hAnsi="Arial" w:cs="Arial"/>
          <w:b/>
          <w:bCs/>
          <w:color w:val="232F3A"/>
          <w:shd w:val="clear" w:color="auto" w:fill="C1E6C6"/>
        </w:rPr>
        <w:t xml:space="preserve"> </w:t>
      </w:r>
      <w:r>
        <w:rPr>
          <w:rFonts w:eastAsia="仿宋_GB2312"/>
          <w:color w:val="000000"/>
          <w:sz w:val="32"/>
          <w:szCs w:val="32"/>
        </w:rPr>
        <w:t>ASTM D4169</w:t>
      </w:r>
      <w:proofErr w:type="gramStart"/>
      <w:r>
        <w:rPr>
          <w:rFonts w:eastAsia="仿宋_GB2312"/>
          <w:color w:val="000000"/>
          <w:sz w:val="32"/>
          <w:szCs w:val="32"/>
        </w:rPr>
        <w:t>,Standard</w:t>
      </w:r>
      <w:proofErr w:type="gramEnd"/>
      <w:r>
        <w:rPr>
          <w:rFonts w:eastAsia="仿宋_GB2312"/>
          <w:color w:val="000000"/>
          <w:sz w:val="32"/>
          <w:szCs w:val="32"/>
        </w:rPr>
        <w:t xml:space="preserve"> Practice for Performance Testing of Shipping Containers and Systems [S].</w:t>
      </w:r>
    </w:p>
    <w:p w14:paraId="4ADE0811" w14:textId="77777777" w:rsidR="005B4851" w:rsidRDefault="005D084F">
      <w:pPr>
        <w:spacing w:line="520" w:lineRule="exact"/>
        <w:ind w:firstLineChars="200" w:firstLine="640"/>
        <w:rPr>
          <w:rFonts w:eastAsia="仿宋_GB2312"/>
          <w:color w:val="000000"/>
          <w:sz w:val="32"/>
          <w:szCs w:val="32"/>
        </w:rPr>
      </w:pPr>
      <w:r>
        <w:rPr>
          <w:rFonts w:eastAsia="仿宋_GB2312"/>
          <w:color w:val="000000"/>
          <w:sz w:val="32"/>
          <w:szCs w:val="32"/>
        </w:rPr>
        <w:t>[</w:t>
      </w:r>
      <w:r>
        <w:rPr>
          <w:rFonts w:eastAsia="仿宋_GB2312" w:hint="eastAsia"/>
          <w:color w:val="000000"/>
          <w:sz w:val="32"/>
          <w:szCs w:val="32"/>
        </w:rPr>
        <w:t>27</w:t>
      </w:r>
      <w:r>
        <w:rPr>
          <w:rFonts w:eastAsia="仿宋_GB2312"/>
          <w:color w:val="000000"/>
          <w:sz w:val="32"/>
          <w:szCs w:val="32"/>
        </w:rPr>
        <w:t>]GB/T 14710,</w:t>
      </w:r>
      <w:r>
        <w:rPr>
          <w:rFonts w:eastAsia="仿宋_GB2312"/>
          <w:color w:val="000000"/>
          <w:sz w:val="32"/>
          <w:szCs w:val="32"/>
        </w:rPr>
        <w:t>医用电器环境要求及试验方法</w:t>
      </w:r>
      <w:r>
        <w:rPr>
          <w:rFonts w:eastAsia="仿宋_GB2312"/>
          <w:color w:val="000000"/>
          <w:sz w:val="32"/>
          <w:szCs w:val="32"/>
        </w:rPr>
        <w:t>[S].</w:t>
      </w:r>
    </w:p>
    <w:p w14:paraId="3654DAE0" w14:textId="77777777" w:rsidR="005B4851" w:rsidRDefault="005B4851">
      <w:pPr>
        <w:pStyle w:val="a0"/>
      </w:pPr>
    </w:p>
    <w:p w14:paraId="250B2AB6" w14:textId="77777777" w:rsidR="005B4851" w:rsidRDefault="005B4851">
      <w:pPr>
        <w:pStyle w:val="a0"/>
      </w:pPr>
    </w:p>
    <w:p w14:paraId="6900DA8B" w14:textId="03FCD55D" w:rsidR="00346FF7" w:rsidRDefault="00346FF7">
      <w:pPr>
        <w:widowControl/>
        <w:jc w:val="left"/>
        <w:rPr>
          <w:rFonts w:ascii="Tahoma" w:eastAsia="微软雅黑" w:hAnsi="Tahoma"/>
          <w:kern w:val="0"/>
          <w:sz w:val="22"/>
          <w:szCs w:val="22"/>
        </w:rPr>
      </w:pPr>
      <w:r>
        <w:br w:type="page"/>
      </w:r>
    </w:p>
    <w:p w14:paraId="2AA9E96C" w14:textId="77777777" w:rsidR="005B4851" w:rsidRDefault="005D084F">
      <w:pPr>
        <w:kinsoku w:val="0"/>
        <w:overflowPunct w:val="0"/>
        <w:spacing w:before="120" w:line="520" w:lineRule="exact"/>
        <w:ind w:firstLineChars="200" w:firstLine="640"/>
        <w:outlineLvl w:val="0"/>
        <w:rPr>
          <w:rFonts w:eastAsia="仿宋_GB2312"/>
          <w:snapToGrid w:val="0"/>
          <w:kern w:val="0"/>
          <w:sz w:val="32"/>
          <w:szCs w:val="32"/>
        </w:rPr>
        <w:sectPr w:rsidR="005B4851" w:rsidSect="003170F3">
          <w:footerReference w:type="even" r:id="rId7"/>
          <w:footerReference w:type="default" r:id="rId8"/>
          <w:pgSz w:w="11906" w:h="16838" w:code="9"/>
          <w:pgMar w:top="1440" w:right="1797" w:bottom="1440" w:left="1797" w:header="851" w:footer="992" w:gutter="0"/>
          <w:lnNumType w:countBy="1" w:restart="continuous"/>
          <w:cols w:space="720"/>
          <w:docGrid w:linePitch="312"/>
        </w:sectPr>
      </w:pPr>
      <w:r>
        <w:rPr>
          <w:rFonts w:eastAsia="仿宋_GB2312"/>
          <w:snapToGrid w:val="0"/>
          <w:kern w:val="0"/>
          <w:sz w:val="32"/>
          <w:szCs w:val="32"/>
        </w:rPr>
        <w:lastRenderedPageBreak/>
        <w:t>附</w:t>
      </w:r>
      <w:r>
        <w:rPr>
          <w:rFonts w:eastAsia="仿宋_GB2312" w:hint="eastAsia"/>
          <w:snapToGrid w:val="0"/>
          <w:kern w:val="0"/>
          <w:sz w:val="32"/>
          <w:szCs w:val="32"/>
        </w:rPr>
        <w:t>件：</w:t>
      </w:r>
      <w:r>
        <w:rPr>
          <w:rFonts w:eastAsia="仿宋_GB2312" w:hint="eastAsia"/>
          <w:snapToGrid w:val="0"/>
          <w:kern w:val="0"/>
          <w:sz w:val="32"/>
          <w:szCs w:val="32"/>
        </w:rPr>
        <w:t>1.</w:t>
      </w:r>
      <w:r>
        <w:rPr>
          <w:rFonts w:eastAsia="仿宋_GB2312" w:hint="eastAsia"/>
          <w:bCs/>
          <w:color w:val="000000"/>
          <w:sz w:val="32"/>
          <w:szCs w:val="32"/>
        </w:rPr>
        <w:t xml:space="preserve"> </w:t>
      </w:r>
      <w:r>
        <w:rPr>
          <w:rFonts w:eastAsia="仿宋_GB2312"/>
          <w:snapToGrid w:val="0"/>
          <w:kern w:val="0"/>
          <w:sz w:val="32"/>
          <w:szCs w:val="32"/>
        </w:rPr>
        <w:t>风险管理文档</w:t>
      </w:r>
    </w:p>
    <w:p w14:paraId="5EFD4BF0" w14:textId="77777777" w:rsidR="005B4851" w:rsidRDefault="005D084F" w:rsidP="00103534">
      <w:pPr>
        <w:overflowPunct w:val="0"/>
        <w:autoSpaceDE w:val="0"/>
        <w:autoSpaceDN w:val="0"/>
        <w:spacing w:line="520" w:lineRule="exact"/>
        <w:ind w:left="426" w:hangingChars="133" w:hanging="426"/>
        <w:jc w:val="left"/>
        <w:outlineLvl w:val="0"/>
        <w:rPr>
          <w:rFonts w:eastAsia="黑体" w:cs="黑体"/>
          <w:snapToGrid w:val="0"/>
          <w:kern w:val="0"/>
          <w:sz w:val="32"/>
          <w:szCs w:val="32"/>
        </w:rPr>
      </w:pPr>
      <w:r>
        <w:rPr>
          <w:rFonts w:ascii="黑体" w:eastAsia="黑体" w:hAnsi="黑体" w:cs="黑体" w:hint="eastAsia"/>
          <w:snapToGrid w:val="0"/>
          <w:kern w:val="0"/>
          <w:sz w:val="32"/>
          <w:szCs w:val="32"/>
        </w:rPr>
        <w:lastRenderedPageBreak/>
        <w:t>附件1</w:t>
      </w:r>
    </w:p>
    <w:p w14:paraId="3468AD62" w14:textId="77777777" w:rsidR="005B4851" w:rsidRDefault="005D084F">
      <w:pPr>
        <w:jc w:val="center"/>
        <w:rPr>
          <w:rFonts w:eastAsia="方正小标宋简体"/>
          <w:b/>
          <w:snapToGrid w:val="0"/>
          <w:sz w:val="44"/>
          <w:szCs w:val="44"/>
          <w:lang w:val="zh-CN"/>
        </w:rPr>
      </w:pPr>
      <w:r>
        <w:rPr>
          <w:rFonts w:eastAsia="方正小标宋简体" w:hint="eastAsia"/>
          <w:bCs/>
          <w:snapToGrid w:val="0"/>
          <w:sz w:val="44"/>
          <w:szCs w:val="44"/>
          <w:lang w:val="zh-CN"/>
        </w:rPr>
        <w:t>风险管理文档</w:t>
      </w:r>
    </w:p>
    <w:p w14:paraId="5BA953B4" w14:textId="77777777" w:rsidR="005B4851" w:rsidRDefault="005D084F">
      <w:pPr>
        <w:ind w:firstLineChars="200" w:firstLine="640"/>
        <w:rPr>
          <w:rFonts w:eastAsia="黑体"/>
          <w:sz w:val="28"/>
          <w:szCs w:val="28"/>
        </w:rPr>
      </w:pPr>
      <w:r>
        <w:rPr>
          <w:rFonts w:eastAsia="仿宋_GB2312" w:hint="eastAsia"/>
          <w:sz w:val="32"/>
          <w:szCs w:val="32"/>
        </w:rPr>
        <w:t>下表所列为</w:t>
      </w:r>
      <w:proofErr w:type="gramStart"/>
      <w:r>
        <w:rPr>
          <w:rFonts w:eastAsia="仿宋_GB2312" w:hint="eastAsia"/>
          <w:sz w:val="32"/>
          <w:szCs w:val="32"/>
        </w:rPr>
        <w:t>常见可</w:t>
      </w:r>
      <w:proofErr w:type="gramEnd"/>
      <w:r>
        <w:rPr>
          <w:rFonts w:eastAsia="仿宋_GB2312" w:hint="eastAsia"/>
          <w:sz w:val="32"/>
          <w:szCs w:val="32"/>
        </w:rPr>
        <w:t>预见事件序列／可能的伤害示例，需关注：</w:t>
      </w:r>
    </w:p>
    <w:p w14:paraId="47D39B96" w14:textId="77777777" w:rsidR="005B4851" w:rsidRDefault="005D084F">
      <w:pPr>
        <w:ind w:firstLineChars="200" w:firstLine="560"/>
        <w:jc w:val="center"/>
        <w:rPr>
          <w:rFonts w:eastAsia="黑体"/>
          <w:sz w:val="28"/>
          <w:szCs w:val="28"/>
        </w:rPr>
      </w:pPr>
      <w:r>
        <w:rPr>
          <w:rFonts w:eastAsia="黑体" w:hint="eastAsia"/>
          <w:sz w:val="28"/>
          <w:szCs w:val="28"/>
        </w:rPr>
        <w:t>表</w:t>
      </w:r>
      <w:r>
        <w:rPr>
          <w:rFonts w:eastAsia="黑体" w:hint="eastAsia"/>
          <w:sz w:val="28"/>
          <w:szCs w:val="28"/>
        </w:rPr>
        <w:t>1</w:t>
      </w:r>
      <w:r>
        <w:rPr>
          <w:rFonts w:eastAsia="黑体" w:hint="eastAsia"/>
          <w:color w:val="000000"/>
          <w:sz w:val="28"/>
          <w:szCs w:val="28"/>
        </w:rPr>
        <w:t>起搏系统分析仪的风险分析</w:t>
      </w:r>
      <w:r>
        <w:rPr>
          <w:rFonts w:eastAsia="黑体"/>
          <w:color w:val="000000"/>
          <w:sz w:val="28"/>
          <w:szCs w:val="28"/>
        </w:rPr>
        <w:t>,</w:t>
      </w:r>
      <w:r>
        <w:rPr>
          <w:rFonts w:eastAsia="黑体" w:hint="eastAsia"/>
          <w:color w:val="000000"/>
          <w:sz w:val="28"/>
          <w:szCs w:val="28"/>
        </w:rPr>
        <w:t>包括可预见的事件序列、危险情况和可能发生的伤害示例</w:t>
      </w:r>
    </w:p>
    <w:tbl>
      <w:tblPr>
        <w:tblW w:w="15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4883"/>
        <w:gridCol w:w="4820"/>
        <w:gridCol w:w="3763"/>
      </w:tblGrid>
      <w:tr w:rsidR="005B4851" w14:paraId="76B76DBA" w14:textId="77777777">
        <w:trPr>
          <w:tblHeader/>
          <w:jc w:val="center"/>
        </w:trPr>
        <w:tc>
          <w:tcPr>
            <w:tcW w:w="1549" w:type="dxa"/>
            <w:tcBorders>
              <w:top w:val="single" w:sz="4" w:space="0" w:color="auto"/>
              <w:left w:val="single" w:sz="4" w:space="0" w:color="auto"/>
              <w:bottom w:val="single" w:sz="4" w:space="0" w:color="auto"/>
              <w:right w:val="single" w:sz="4" w:space="0" w:color="auto"/>
            </w:tcBorders>
          </w:tcPr>
          <w:p w14:paraId="63B02F85" w14:textId="77777777" w:rsidR="005B4851" w:rsidRDefault="005D084F">
            <w:pPr>
              <w:spacing w:line="340" w:lineRule="exact"/>
              <w:jc w:val="center"/>
              <w:rPr>
                <w:rFonts w:eastAsia="黑体"/>
                <w:color w:val="000000"/>
                <w:sz w:val="28"/>
                <w:szCs w:val="28"/>
              </w:rPr>
            </w:pPr>
            <w:r>
              <w:rPr>
                <w:rFonts w:eastAsia="黑体"/>
                <w:color w:val="000000"/>
                <w:sz w:val="28"/>
                <w:szCs w:val="28"/>
              </w:rPr>
              <w:t>危</w:t>
            </w:r>
            <w:r>
              <w:rPr>
                <w:rFonts w:eastAsia="黑体" w:hint="eastAsia"/>
                <w:color w:val="000000"/>
                <w:sz w:val="28"/>
                <w:szCs w:val="28"/>
              </w:rPr>
              <w:t>险</w:t>
            </w:r>
          </w:p>
        </w:tc>
        <w:tc>
          <w:tcPr>
            <w:tcW w:w="4883" w:type="dxa"/>
            <w:tcBorders>
              <w:top w:val="single" w:sz="4" w:space="0" w:color="auto"/>
              <w:left w:val="single" w:sz="4" w:space="0" w:color="auto"/>
              <w:bottom w:val="single" w:sz="4" w:space="0" w:color="auto"/>
              <w:right w:val="single" w:sz="4" w:space="0" w:color="auto"/>
            </w:tcBorders>
          </w:tcPr>
          <w:p w14:paraId="00E1A032" w14:textId="77777777" w:rsidR="005B4851" w:rsidRDefault="005D084F">
            <w:pPr>
              <w:spacing w:line="340" w:lineRule="exact"/>
              <w:jc w:val="center"/>
              <w:rPr>
                <w:rFonts w:eastAsia="黑体"/>
                <w:color w:val="000000"/>
                <w:sz w:val="28"/>
                <w:szCs w:val="28"/>
              </w:rPr>
            </w:pPr>
            <w:r>
              <w:rPr>
                <w:rFonts w:eastAsia="黑体"/>
                <w:color w:val="000000"/>
                <w:sz w:val="28"/>
                <w:szCs w:val="28"/>
              </w:rPr>
              <w:t>可预见的事件序列</w:t>
            </w:r>
          </w:p>
        </w:tc>
        <w:tc>
          <w:tcPr>
            <w:tcW w:w="4820" w:type="dxa"/>
            <w:tcBorders>
              <w:top w:val="single" w:sz="4" w:space="0" w:color="auto"/>
              <w:left w:val="single" w:sz="4" w:space="0" w:color="auto"/>
              <w:bottom w:val="single" w:sz="4" w:space="0" w:color="auto"/>
              <w:right w:val="single" w:sz="4" w:space="0" w:color="auto"/>
            </w:tcBorders>
          </w:tcPr>
          <w:p w14:paraId="7B2CA461" w14:textId="77777777" w:rsidR="005B4851" w:rsidRDefault="005D084F">
            <w:pPr>
              <w:spacing w:line="340" w:lineRule="exact"/>
              <w:jc w:val="center"/>
              <w:rPr>
                <w:rFonts w:eastAsia="黑体"/>
                <w:color w:val="000000"/>
                <w:sz w:val="28"/>
                <w:szCs w:val="28"/>
              </w:rPr>
            </w:pPr>
            <w:r>
              <w:rPr>
                <w:rFonts w:eastAsia="黑体"/>
                <w:color w:val="000000"/>
                <w:sz w:val="28"/>
                <w:szCs w:val="28"/>
              </w:rPr>
              <w:t>危</w:t>
            </w:r>
            <w:r>
              <w:rPr>
                <w:rFonts w:eastAsia="黑体" w:hint="eastAsia"/>
                <w:color w:val="000000"/>
                <w:sz w:val="28"/>
                <w:szCs w:val="28"/>
              </w:rPr>
              <w:t>险情况</w:t>
            </w:r>
          </w:p>
        </w:tc>
        <w:tc>
          <w:tcPr>
            <w:tcW w:w="3763" w:type="dxa"/>
            <w:tcBorders>
              <w:top w:val="single" w:sz="4" w:space="0" w:color="auto"/>
              <w:left w:val="single" w:sz="4" w:space="0" w:color="auto"/>
              <w:bottom w:val="single" w:sz="4" w:space="0" w:color="auto"/>
              <w:right w:val="single" w:sz="4" w:space="0" w:color="auto"/>
            </w:tcBorders>
          </w:tcPr>
          <w:p w14:paraId="5E7FEA5B" w14:textId="77777777" w:rsidR="005B4851" w:rsidRDefault="005D084F">
            <w:pPr>
              <w:spacing w:line="340" w:lineRule="exact"/>
              <w:jc w:val="center"/>
              <w:rPr>
                <w:rFonts w:eastAsia="黑体"/>
                <w:color w:val="000000"/>
                <w:sz w:val="28"/>
                <w:szCs w:val="28"/>
              </w:rPr>
            </w:pPr>
            <w:r>
              <w:rPr>
                <w:rFonts w:ascii="黑体" w:eastAsia="黑体" w:hAnsi="黑体" w:cs="黑体" w:hint="eastAsia"/>
                <w:color w:val="000000"/>
                <w:sz w:val="28"/>
                <w:szCs w:val="28"/>
              </w:rPr>
              <w:t>可能发生的伤害</w:t>
            </w:r>
          </w:p>
        </w:tc>
      </w:tr>
      <w:tr w:rsidR="005B4851" w14:paraId="30E0C7E7"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05433FBA"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能量危害（电磁能）</w:t>
            </w:r>
          </w:p>
        </w:tc>
        <w:tc>
          <w:tcPr>
            <w:tcW w:w="4883" w:type="dxa"/>
            <w:tcBorders>
              <w:top w:val="single" w:sz="4" w:space="0" w:color="auto"/>
              <w:left w:val="single" w:sz="4" w:space="0" w:color="auto"/>
              <w:bottom w:val="single" w:sz="4" w:space="0" w:color="auto"/>
              <w:right w:val="single" w:sz="4" w:space="0" w:color="auto"/>
            </w:tcBorders>
          </w:tcPr>
          <w:p w14:paraId="20516521" w14:textId="77777777" w:rsidR="005B4851" w:rsidRDefault="005D084F">
            <w:pPr>
              <w:snapToGrid w:val="0"/>
              <w:spacing w:line="380" w:lineRule="exact"/>
              <w:rPr>
                <w:rStyle w:val="f101"/>
                <w:rFonts w:ascii="仿宋" w:eastAsia="仿宋" w:hAnsi="仿宋"/>
                <w:color w:val="000000"/>
                <w:sz w:val="28"/>
                <w:szCs w:val="21"/>
              </w:rPr>
            </w:pPr>
            <w:r>
              <w:rPr>
                <w:rStyle w:val="f101"/>
                <w:rFonts w:ascii="仿宋" w:eastAsia="仿宋" w:hAnsi="仿宋" w:hint="eastAsia"/>
                <w:color w:val="000000"/>
                <w:sz w:val="28"/>
                <w:szCs w:val="21"/>
              </w:rPr>
              <w:t>发放脉冲与设置不一致</w:t>
            </w:r>
          </w:p>
          <w:p w14:paraId="3E8B1089" w14:textId="77777777" w:rsidR="005B4851" w:rsidRDefault="005B4851">
            <w:pPr>
              <w:spacing w:line="340" w:lineRule="exact"/>
              <w:rPr>
                <w:rFonts w:eastAsia="仿宋_GB2312"/>
                <w:color w:val="000000"/>
                <w:sz w:val="28"/>
                <w:szCs w:val="28"/>
              </w:rPr>
            </w:pPr>
          </w:p>
        </w:tc>
        <w:tc>
          <w:tcPr>
            <w:tcW w:w="4820" w:type="dxa"/>
            <w:tcBorders>
              <w:top w:val="single" w:sz="4" w:space="0" w:color="auto"/>
              <w:left w:val="single" w:sz="4" w:space="0" w:color="auto"/>
              <w:bottom w:val="single" w:sz="4" w:space="0" w:color="auto"/>
              <w:right w:val="single" w:sz="4" w:space="0" w:color="auto"/>
            </w:tcBorders>
          </w:tcPr>
          <w:p w14:paraId="3B07CEE0"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设备实际输出能量与预设不符，可能导致起搏夺获不完全或过度夺获，影响阈值测量准确性。</w:t>
            </w:r>
          </w:p>
        </w:tc>
        <w:tc>
          <w:tcPr>
            <w:tcW w:w="3763" w:type="dxa"/>
            <w:tcBorders>
              <w:top w:val="single" w:sz="4" w:space="0" w:color="auto"/>
              <w:left w:val="single" w:sz="4" w:space="0" w:color="auto"/>
              <w:bottom w:val="single" w:sz="4" w:space="0" w:color="auto"/>
              <w:right w:val="single" w:sz="4" w:space="0" w:color="auto"/>
            </w:tcBorders>
          </w:tcPr>
          <w:p w14:paraId="29C66DAB" w14:textId="77777777" w:rsidR="005B4851" w:rsidRDefault="005D084F">
            <w:pPr>
              <w:spacing w:line="340" w:lineRule="exact"/>
              <w:rPr>
                <w:rFonts w:eastAsia="仿宋_GB2312"/>
                <w:color w:val="000000"/>
                <w:sz w:val="28"/>
                <w:szCs w:val="28"/>
              </w:rPr>
            </w:pPr>
            <w:r>
              <w:rPr>
                <w:rFonts w:eastAsia="仿宋_GB2312"/>
                <w:color w:val="000000"/>
                <w:sz w:val="28"/>
                <w:szCs w:val="28"/>
              </w:rPr>
              <w:t>患者心肌损伤、诱发心律失常、因错误阈值数据导致电极植入位置判断错误。</w:t>
            </w:r>
          </w:p>
        </w:tc>
      </w:tr>
      <w:tr w:rsidR="005B4851" w14:paraId="58465556" w14:textId="77777777">
        <w:trPr>
          <w:trHeight w:val="70"/>
          <w:jc w:val="center"/>
        </w:trPr>
        <w:tc>
          <w:tcPr>
            <w:tcW w:w="1549" w:type="dxa"/>
            <w:vMerge/>
            <w:tcBorders>
              <w:left w:val="single" w:sz="4" w:space="0" w:color="auto"/>
              <w:right w:val="single" w:sz="4" w:space="0" w:color="auto"/>
            </w:tcBorders>
            <w:vAlign w:val="center"/>
          </w:tcPr>
          <w:p w14:paraId="1B794065"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D6EAABE" w14:textId="77777777" w:rsidR="005B4851" w:rsidRDefault="005D084F">
            <w:pPr>
              <w:snapToGrid w:val="0"/>
              <w:spacing w:line="380" w:lineRule="exact"/>
              <w:rPr>
                <w:rStyle w:val="f101"/>
                <w:rFonts w:ascii="仿宋" w:eastAsia="仿宋" w:hAnsi="仿宋"/>
                <w:color w:val="000000"/>
                <w:sz w:val="28"/>
                <w:szCs w:val="21"/>
              </w:rPr>
            </w:pPr>
            <w:r>
              <w:rPr>
                <w:rStyle w:val="f101"/>
                <w:rFonts w:ascii="仿宋" w:eastAsia="仿宋" w:hAnsi="仿宋" w:hint="eastAsia"/>
                <w:color w:val="000000"/>
                <w:sz w:val="28"/>
                <w:szCs w:val="21"/>
              </w:rPr>
              <w:t>产品绝缘失效</w:t>
            </w:r>
          </w:p>
          <w:p w14:paraId="16E63DFA" w14:textId="77777777" w:rsidR="005B4851" w:rsidRDefault="005B4851">
            <w:pPr>
              <w:snapToGrid w:val="0"/>
              <w:spacing w:line="380" w:lineRule="exact"/>
              <w:rPr>
                <w:rStyle w:val="f101"/>
                <w:rFonts w:ascii="仿宋" w:eastAsia="仿宋" w:hAnsi="仿宋"/>
                <w:color w:val="000000"/>
                <w:sz w:val="28"/>
                <w:szCs w:val="21"/>
              </w:rPr>
            </w:pPr>
          </w:p>
        </w:tc>
        <w:tc>
          <w:tcPr>
            <w:tcW w:w="4820" w:type="dxa"/>
            <w:tcBorders>
              <w:top w:val="single" w:sz="4" w:space="0" w:color="auto"/>
              <w:left w:val="single" w:sz="4" w:space="0" w:color="auto"/>
              <w:bottom w:val="single" w:sz="4" w:space="0" w:color="auto"/>
              <w:right w:val="single" w:sz="4" w:space="0" w:color="auto"/>
            </w:tcBorders>
          </w:tcPr>
          <w:p w14:paraId="743029D2"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患者与带电部件之间隔离不足，产生超过安全限值的漏电流，流经心脏或心肌组织。</w:t>
            </w:r>
          </w:p>
        </w:tc>
        <w:tc>
          <w:tcPr>
            <w:tcW w:w="3763" w:type="dxa"/>
            <w:tcBorders>
              <w:top w:val="single" w:sz="4" w:space="0" w:color="auto"/>
              <w:left w:val="single" w:sz="4" w:space="0" w:color="auto"/>
              <w:bottom w:val="single" w:sz="4" w:space="0" w:color="auto"/>
              <w:right w:val="single" w:sz="4" w:space="0" w:color="auto"/>
            </w:tcBorders>
          </w:tcPr>
          <w:p w14:paraId="2CF991E1"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患者</w:t>
            </w:r>
            <w:proofErr w:type="gramStart"/>
            <w:r>
              <w:rPr>
                <w:rFonts w:eastAsia="仿宋_GB2312" w:hint="eastAsia"/>
                <w:color w:val="000000"/>
                <w:sz w:val="28"/>
                <w:szCs w:val="28"/>
              </w:rPr>
              <w:t>心肌电</w:t>
            </w:r>
            <w:proofErr w:type="gramEnd"/>
            <w:r>
              <w:rPr>
                <w:rFonts w:eastAsia="仿宋_GB2312" w:hint="eastAsia"/>
                <w:color w:val="000000"/>
                <w:sz w:val="28"/>
                <w:szCs w:val="28"/>
              </w:rPr>
              <w:t>击伤、组织灼伤、诱发致命性心律失常甚至心脏骤停。</w:t>
            </w:r>
          </w:p>
        </w:tc>
      </w:tr>
      <w:tr w:rsidR="005B4851" w14:paraId="0664F5E3" w14:textId="77777777">
        <w:trPr>
          <w:trHeight w:val="70"/>
          <w:jc w:val="center"/>
        </w:trPr>
        <w:tc>
          <w:tcPr>
            <w:tcW w:w="1549" w:type="dxa"/>
            <w:vMerge/>
            <w:tcBorders>
              <w:left w:val="single" w:sz="4" w:space="0" w:color="auto"/>
              <w:right w:val="single" w:sz="4" w:space="0" w:color="auto"/>
            </w:tcBorders>
            <w:vAlign w:val="center"/>
          </w:tcPr>
          <w:p w14:paraId="27BCA609"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0C13A63D"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强电磁环境中</w:t>
            </w:r>
            <w:r>
              <w:rPr>
                <w:rStyle w:val="f101"/>
                <w:rFonts w:ascii="仿宋" w:eastAsia="仿宋" w:hAnsi="仿宋"/>
                <w:sz w:val="28"/>
                <w:szCs w:val="22"/>
              </w:rPr>
              <w:t>手术电缆、无菌延长线</w:t>
            </w:r>
            <w:r>
              <w:rPr>
                <w:rStyle w:val="f101"/>
                <w:rFonts w:ascii="仿宋" w:eastAsia="仿宋" w:hAnsi="仿宋" w:hint="eastAsia"/>
                <w:sz w:val="28"/>
                <w:szCs w:val="21"/>
              </w:rPr>
              <w:t>引入干扰</w:t>
            </w:r>
          </w:p>
          <w:p w14:paraId="0FFA0B38" w14:textId="77777777" w:rsidR="005B4851" w:rsidRDefault="005B4851">
            <w:pPr>
              <w:snapToGrid w:val="0"/>
              <w:spacing w:line="380" w:lineRule="exact"/>
              <w:rPr>
                <w:rStyle w:val="f101"/>
                <w:rFonts w:ascii="仿宋" w:eastAsia="仿宋" w:hAnsi="仿宋"/>
                <w:sz w:val="28"/>
                <w:szCs w:val="21"/>
              </w:rPr>
            </w:pPr>
          </w:p>
        </w:tc>
        <w:tc>
          <w:tcPr>
            <w:tcW w:w="4820" w:type="dxa"/>
            <w:tcBorders>
              <w:top w:val="single" w:sz="4" w:space="0" w:color="auto"/>
              <w:left w:val="single" w:sz="4" w:space="0" w:color="auto"/>
              <w:bottom w:val="single" w:sz="4" w:space="0" w:color="auto"/>
              <w:right w:val="single" w:sz="4" w:space="0" w:color="auto"/>
            </w:tcBorders>
          </w:tcPr>
          <w:p w14:paraId="51349790" w14:textId="77777777" w:rsidR="005B4851" w:rsidRDefault="005D084F">
            <w:pPr>
              <w:spacing w:line="340" w:lineRule="exact"/>
              <w:rPr>
                <w:rFonts w:eastAsia="仿宋_GB2312"/>
                <w:sz w:val="28"/>
                <w:szCs w:val="28"/>
              </w:rPr>
            </w:pPr>
            <w:r>
              <w:rPr>
                <w:rFonts w:eastAsia="仿宋_GB2312" w:hint="eastAsia"/>
                <w:sz w:val="28"/>
                <w:szCs w:val="28"/>
              </w:rPr>
              <w:t>外界的电磁场通过电缆耦合进入设备，在感知通道上叠加干扰信号，造成伪差信号。</w:t>
            </w:r>
          </w:p>
        </w:tc>
        <w:tc>
          <w:tcPr>
            <w:tcW w:w="3763" w:type="dxa"/>
            <w:tcBorders>
              <w:top w:val="single" w:sz="4" w:space="0" w:color="auto"/>
              <w:left w:val="single" w:sz="4" w:space="0" w:color="auto"/>
              <w:bottom w:val="single" w:sz="4" w:space="0" w:color="auto"/>
              <w:right w:val="single" w:sz="4" w:space="0" w:color="auto"/>
            </w:tcBorders>
          </w:tcPr>
          <w:p w14:paraId="1EC8C198" w14:textId="77777777" w:rsidR="005B4851" w:rsidRDefault="005D084F">
            <w:pPr>
              <w:spacing w:line="340" w:lineRule="exact"/>
              <w:rPr>
                <w:rFonts w:eastAsia="仿宋_GB2312"/>
                <w:sz w:val="28"/>
                <w:szCs w:val="28"/>
              </w:rPr>
            </w:pPr>
            <w:r>
              <w:rPr>
                <w:rFonts w:eastAsia="仿宋_GB2312" w:hint="eastAsia"/>
                <w:sz w:val="28"/>
                <w:szCs w:val="28"/>
              </w:rPr>
              <w:t>设备将干扰误识别为心电信号，导致感知测试结果错误，医生误判电极位置。</w:t>
            </w:r>
          </w:p>
        </w:tc>
      </w:tr>
      <w:tr w:rsidR="005B4851" w14:paraId="43AD0B3D"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539D61DE"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754F7F75"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设备在电外科等强电磁环境下出现错误感知</w:t>
            </w:r>
          </w:p>
        </w:tc>
        <w:tc>
          <w:tcPr>
            <w:tcW w:w="4820" w:type="dxa"/>
            <w:tcBorders>
              <w:top w:val="single" w:sz="4" w:space="0" w:color="auto"/>
              <w:left w:val="single" w:sz="4" w:space="0" w:color="auto"/>
              <w:bottom w:val="single" w:sz="4" w:space="0" w:color="auto"/>
              <w:right w:val="single" w:sz="4" w:space="0" w:color="auto"/>
            </w:tcBorders>
          </w:tcPr>
          <w:p w14:paraId="61938189" w14:textId="77777777" w:rsidR="005B4851" w:rsidRDefault="005D084F">
            <w:pPr>
              <w:spacing w:line="340" w:lineRule="exact"/>
              <w:rPr>
                <w:rFonts w:eastAsia="仿宋_GB2312"/>
                <w:sz w:val="28"/>
                <w:szCs w:val="28"/>
              </w:rPr>
            </w:pPr>
            <w:r>
              <w:rPr>
                <w:rFonts w:eastAsia="仿宋_GB2312" w:hint="eastAsia"/>
                <w:sz w:val="28"/>
                <w:szCs w:val="28"/>
              </w:rPr>
              <w:t>电外科设备产生的高频高能量电磁场，直接干扰设备感知电路，导致其无法正确识别心脏自身电信号。</w:t>
            </w:r>
          </w:p>
        </w:tc>
        <w:tc>
          <w:tcPr>
            <w:tcW w:w="3763" w:type="dxa"/>
            <w:tcBorders>
              <w:top w:val="single" w:sz="4" w:space="0" w:color="auto"/>
              <w:left w:val="single" w:sz="4" w:space="0" w:color="auto"/>
              <w:bottom w:val="single" w:sz="4" w:space="0" w:color="auto"/>
              <w:right w:val="single" w:sz="4" w:space="0" w:color="auto"/>
            </w:tcBorders>
          </w:tcPr>
          <w:p w14:paraId="44D252F2" w14:textId="77777777" w:rsidR="005B4851" w:rsidRDefault="005D084F">
            <w:pPr>
              <w:spacing w:line="340" w:lineRule="exact"/>
              <w:rPr>
                <w:rFonts w:eastAsia="仿宋_GB2312"/>
                <w:sz w:val="28"/>
                <w:szCs w:val="28"/>
              </w:rPr>
            </w:pPr>
            <w:r>
              <w:rPr>
                <w:rFonts w:eastAsia="仿宋_GB2312" w:hint="eastAsia"/>
                <w:sz w:val="28"/>
                <w:szCs w:val="28"/>
              </w:rPr>
              <w:t>感知不足导致起搏脉冲落在</w:t>
            </w:r>
            <w:proofErr w:type="gramStart"/>
            <w:r>
              <w:rPr>
                <w:rFonts w:eastAsia="仿宋_GB2312" w:hint="eastAsia"/>
                <w:sz w:val="28"/>
                <w:szCs w:val="28"/>
              </w:rPr>
              <w:t>心肌易颤期</w:t>
            </w:r>
            <w:proofErr w:type="gramEnd"/>
            <w:r>
              <w:rPr>
                <w:rFonts w:eastAsia="仿宋_GB2312" w:hint="eastAsia"/>
                <w:sz w:val="28"/>
                <w:szCs w:val="28"/>
              </w:rPr>
              <w:t>，诱发室颤；过感知导致起搏输出被错误抑制，造成停搏。</w:t>
            </w:r>
          </w:p>
        </w:tc>
      </w:tr>
      <w:tr w:rsidR="005B4851" w14:paraId="3C16B10A"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28917DB4"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能量危害（热能）</w:t>
            </w:r>
          </w:p>
        </w:tc>
        <w:tc>
          <w:tcPr>
            <w:tcW w:w="4883" w:type="dxa"/>
            <w:tcBorders>
              <w:top w:val="single" w:sz="4" w:space="0" w:color="auto"/>
              <w:left w:val="single" w:sz="4" w:space="0" w:color="auto"/>
              <w:bottom w:val="single" w:sz="4" w:space="0" w:color="auto"/>
              <w:right w:val="single" w:sz="4" w:space="0" w:color="auto"/>
            </w:tcBorders>
          </w:tcPr>
          <w:p w14:paraId="4046E919"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设备长时间连续工作导致外壳或患者电缆接口表面温度过高</w:t>
            </w:r>
          </w:p>
        </w:tc>
        <w:tc>
          <w:tcPr>
            <w:tcW w:w="4820" w:type="dxa"/>
            <w:tcBorders>
              <w:top w:val="single" w:sz="4" w:space="0" w:color="auto"/>
              <w:left w:val="single" w:sz="4" w:space="0" w:color="auto"/>
              <w:bottom w:val="single" w:sz="4" w:space="0" w:color="auto"/>
              <w:right w:val="single" w:sz="4" w:space="0" w:color="auto"/>
            </w:tcBorders>
          </w:tcPr>
          <w:p w14:paraId="32E1C26D" w14:textId="77777777" w:rsidR="005B4851" w:rsidRDefault="005D084F">
            <w:pPr>
              <w:spacing w:line="340" w:lineRule="exact"/>
              <w:rPr>
                <w:rFonts w:eastAsia="仿宋_GB2312"/>
                <w:sz w:val="28"/>
                <w:szCs w:val="28"/>
              </w:rPr>
            </w:pPr>
            <w:r>
              <w:rPr>
                <w:rFonts w:eastAsia="仿宋_GB2312" w:hint="eastAsia"/>
                <w:sz w:val="28"/>
                <w:szCs w:val="28"/>
              </w:rPr>
              <w:t>设备内部功率器件持续工作散热不佳，使接触部件表面温度超过安全限值。</w:t>
            </w:r>
          </w:p>
        </w:tc>
        <w:tc>
          <w:tcPr>
            <w:tcW w:w="3763" w:type="dxa"/>
            <w:tcBorders>
              <w:top w:val="single" w:sz="4" w:space="0" w:color="auto"/>
              <w:left w:val="single" w:sz="4" w:space="0" w:color="auto"/>
              <w:bottom w:val="single" w:sz="4" w:space="0" w:color="auto"/>
              <w:right w:val="single" w:sz="4" w:space="0" w:color="auto"/>
            </w:tcBorders>
          </w:tcPr>
          <w:p w14:paraId="1F87AA00" w14:textId="77777777" w:rsidR="005B4851" w:rsidRDefault="005D084F">
            <w:pPr>
              <w:spacing w:line="340" w:lineRule="exact"/>
              <w:rPr>
                <w:rFonts w:eastAsia="仿宋_GB2312"/>
                <w:sz w:val="28"/>
                <w:szCs w:val="28"/>
              </w:rPr>
            </w:pPr>
            <w:r>
              <w:rPr>
                <w:rFonts w:eastAsia="仿宋_GB2312" w:hint="eastAsia"/>
                <w:sz w:val="28"/>
                <w:szCs w:val="28"/>
              </w:rPr>
              <w:t>使用者手部烫伤。</w:t>
            </w:r>
          </w:p>
        </w:tc>
      </w:tr>
      <w:tr w:rsidR="005B4851" w14:paraId="5F111A67" w14:textId="77777777">
        <w:trPr>
          <w:trHeight w:val="70"/>
          <w:jc w:val="center"/>
        </w:trPr>
        <w:tc>
          <w:tcPr>
            <w:tcW w:w="1549" w:type="dxa"/>
            <w:vMerge/>
            <w:tcBorders>
              <w:left w:val="single" w:sz="4" w:space="0" w:color="auto"/>
              <w:right w:val="single" w:sz="4" w:space="0" w:color="auto"/>
            </w:tcBorders>
            <w:vAlign w:val="center"/>
          </w:tcPr>
          <w:p w14:paraId="6DE58430"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487CF419"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内部电路异常发热甚至引起冒烟或燃烧</w:t>
            </w:r>
          </w:p>
        </w:tc>
        <w:tc>
          <w:tcPr>
            <w:tcW w:w="4820" w:type="dxa"/>
            <w:tcBorders>
              <w:top w:val="single" w:sz="4" w:space="0" w:color="auto"/>
              <w:left w:val="single" w:sz="4" w:space="0" w:color="auto"/>
              <w:bottom w:val="single" w:sz="4" w:space="0" w:color="auto"/>
              <w:right w:val="single" w:sz="4" w:space="0" w:color="auto"/>
            </w:tcBorders>
          </w:tcPr>
          <w:p w14:paraId="164036E5" w14:textId="77777777" w:rsidR="005B4851" w:rsidRDefault="005D084F">
            <w:pPr>
              <w:spacing w:line="340" w:lineRule="exact"/>
              <w:rPr>
                <w:rFonts w:eastAsia="仿宋_GB2312"/>
                <w:sz w:val="28"/>
                <w:szCs w:val="28"/>
              </w:rPr>
            </w:pPr>
            <w:r>
              <w:rPr>
                <w:rFonts w:eastAsia="仿宋_GB2312" w:hint="eastAsia"/>
                <w:sz w:val="28"/>
                <w:szCs w:val="28"/>
              </w:rPr>
              <w:t>电路板短路、过载或元器件失效，导致局部高温，可能引燃绝缘材料或塑料外壳。</w:t>
            </w:r>
          </w:p>
        </w:tc>
        <w:tc>
          <w:tcPr>
            <w:tcW w:w="3763" w:type="dxa"/>
            <w:tcBorders>
              <w:top w:val="single" w:sz="4" w:space="0" w:color="auto"/>
              <w:left w:val="single" w:sz="4" w:space="0" w:color="auto"/>
              <w:bottom w:val="single" w:sz="4" w:space="0" w:color="auto"/>
              <w:right w:val="single" w:sz="4" w:space="0" w:color="auto"/>
            </w:tcBorders>
          </w:tcPr>
          <w:p w14:paraId="0FFB2A1E" w14:textId="77777777" w:rsidR="005B4851" w:rsidRDefault="005D084F">
            <w:pPr>
              <w:spacing w:line="340" w:lineRule="exact"/>
              <w:rPr>
                <w:rFonts w:eastAsia="仿宋_GB2312"/>
                <w:sz w:val="28"/>
                <w:szCs w:val="28"/>
              </w:rPr>
            </w:pPr>
            <w:r>
              <w:rPr>
                <w:rFonts w:eastAsia="仿宋_GB2312"/>
                <w:sz w:val="28"/>
                <w:szCs w:val="28"/>
              </w:rPr>
              <w:t>吸入有毒烟雾，呼吸道损伤；火灾危及手术室人员生命安全。</w:t>
            </w:r>
          </w:p>
        </w:tc>
      </w:tr>
      <w:tr w:rsidR="005B4851" w14:paraId="0AEECE4E"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0C6C2142"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0A9138AC"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电池异常发热</w:t>
            </w:r>
          </w:p>
        </w:tc>
        <w:tc>
          <w:tcPr>
            <w:tcW w:w="4820" w:type="dxa"/>
            <w:tcBorders>
              <w:top w:val="single" w:sz="4" w:space="0" w:color="auto"/>
              <w:left w:val="single" w:sz="4" w:space="0" w:color="auto"/>
              <w:bottom w:val="single" w:sz="4" w:space="0" w:color="auto"/>
              <w:right w:val="single" w:sz="4" w:space="0" w:color="auto"/>
            </w:tcBorders>
          </w:tcPr>
          <w:p w14:paraId="57DE4BC0" w14:textId="77777777" w:rsidR="005B4851" w:rsidRDefault="005D084F">
            <w:pPr>
              <w:spacing w:line="340" w:lineRule="exact"/>
              <w:rPr>
                <w:rFonts w:eastAsia="仿宋_GB2312"/>
                <w:sz w:val="28"/>
                <w:szCs w:val="28"/>
              </w:rPr>
            </w:pPr>
            <w:r>
              <w:rPr>
                <w:rFonts w:eastAsia="仿宋_GB2312" w:hint="eastAsia"/>
                <w:sz w:val="28"/>
                <w:szCs w:val="28"/>
              </w:rPr>
              <w:t>电池内阻增大或外部短路导致电池温度异常升高。</w:t>
            </w:r>
          </w:p>
        </w:tc>
        <w:tc>
          <w:tcPr>
            <w:tcW w:w="3763" w:type="dxa"/>
            <w:tcBorders>
              <w:top w:val="single" w:sz="4" w:space="0" w:color="auto"/>
              <w:left w:val="single" w:sz="4" w:space="0" w:color="auto"/>
              <w:bottom w:val="single" w:sz="4" w:space="0" w:color="auto"/>
              <w:right w:val="single" w:sz="4" w:space="0" w:color="auto"/>
            </w:tcBorders>
          </w:tcPr>
          <w:p w14:paraId="535562C6" w14:textId="77777777" w:rsidR="005B4851" w:rsidRDefault="005D084F">
            <w:pPr>
              <w:spacing w:line="340" w:lineRule="exact"/>
              <w:rPr>
                <w:rFonts w:eastAsia="仿宋_GB2312"/>
                <w:sz w:val="28"/>
                <w:szCs w:val="28"/>
              </w:rPr>
            </w:pPr>
            <w:r>
              <w:rPr>
                <w:rFonts w:eastAsia="仿宋_GB2312" w:hint="eastAsia"/>
                <w:sz w:val="28"/>
                <w:szCs w:val="28"/>
              </w:rPr>
              <w:t>使用者更换电池时烫伤；设备外壳变形影响使用。</w:t>
            </w:r>
          </w:p>
        </w:tc>
      </w:tr>
      <w:tr w:rsidR="005B4851" w14:paraId="4CF92DE2"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5651A830"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能量危害（电能）</w:t>
            </w:r>
          </w:p>
        </w:tc>
        <w:tc>
          <w:tcPr>
            <w:tcW w:w="4883" w:type="dxa"/>
            <w:tcBorders>
              <w:top w:val="single" w:sz="4" w:space="0" w:color="auto"/>
              <w:left w:val="single" w:sz="4" w:space="0" w:color="auto"/>
              <w:bottom w:val="single" w:sz="4" w:space="0" w:color="auto"/>
              <w:right w:val="single" w:sz="4" w:space="0" w:color="auto"/>
            </w:tcBorders>
          </w:tcPr>
          <w:p w14:paraId="597CC20B"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设备意外放电或发放频率超过人体可接受范围</w:t>
            </w:r>
          </w:p>
        </w:tc>
        <w:tc>
          <w:tcPr>
            <w:tcW w:w="4820" w:type="dxa"/>
            <w:tcBorders>
              <w:top w:val="single" w:sz="4" w:space="0" w:color="auto"/>
              <w:left w:val="single" w:sz="4" w:space="0" w:color="auto"/>
              <w:bottom w:val="single" w:sz="4" w:space="0" w:color="auto"/>
              <w:right w:val="single" w:sz="4" w:space="0" w:color="auto"/>
            </w:tcBorders>
          </w:tcPr>
          <w:p w14:paraId="2EC9AE61" w14:textId="77777777" w:rsidR="005B4851" w:rsidRDefault="005D084F">
            <w:pPr>
              <w:spacing w:line="340" w:lineRule="exact"/>
              <w:rPr>
                <w:rFonts w:eastAsia="仿宋_GB2312"/>
                <w:sz w:val="28"/>
                <w:szCs w:val="28"/>
              </w:rPr>
            </w:pPr>
            <w:r>
              <w:rPr>
                <w:rFonts w:eastAsia="仿宋_GB2312" w:hint="eastAsia"/>
                <w:sz w:val="28"/>
                <w:szCs w:val="28"/>
              </w:rPr>
              <w:t>设备因内部故障或控制错误，在非预期时间或频率下发放高能量脉冲，超出心肌耐受极限。</w:t>
            </w:r>
          </w:p>
        </w:tc>
        <w:tc>
          <w:tcPr>
            <w:tcW w:w="3763" w:type="dxa"/>
            <w:tcBorders>
              <w:top w:val="single" w:sz="4" w:space="0" w:color="auto"/>
              <w:left w:val="single" w:sz="4" w:space="0" w:color="auto"/>
              <w:bottom w:val="single" w:sz="4" w:space="0" w:color="auto"/>
              <w:right w:val="single" w:sz="4" w:space="0" w:color="auto"/>
            </w:tcBorders>
          </w:tcPr>
          <w:p w14:paraId="325A23BA" w14:textId="77777777" w:rsidR="005B4851" w:rsidRDefault="005D084F">
            <w:pPr>
              <w:spacing w:line="340" w:lineRule="exact"/>
              <w:rPr>
                <w:rFonts w:eastAsia="仿宋_GB2312"/>
                <w:sz w:val="28"/>
                <w:szCs w:val="28"/>
              </w:rPr>
            </w:pPr>
            <w:r>
              <w:rPr>
                <w:rFonts w:eastAsia="仿宋_GB2312" w:hint="eastAsia"/>
                <w:sz w:val="28"/>
                <w:szCs w:val="28"/>
              </w:rPr>
              <w:t>诱发快速性心律失常（如室性心动过速、室颤）</w:t>
            </w:r>
          </w:p>
        </w:tc>
      </w:tr>
      <w:tr w:rsidR="005B4851" w14:paraId="1EA570D1" w14:textId="77777777">
        <w:trPr>
          <w:trHeight w:val="70"/>
          <w:jc w:val="center"/>
        </w:trPr>
        <w:tc>
          <w:tcPr>
            <w:tcW w:w="1549" w:type="dxa"/>
            <w:vMerge/>
            <w:tcBorders>
              <w:left w:val="single" w:sz="4" w:space="0" w:color="auto"/>
              <w:right w:val="single" w:sz="4" w:space="0" w:color="auto"/>
            </w:tcBorders>
            <w:vAlign w:val="center"/>
          </w:tcPr>
          <w:p w14:paraId="1957EBBA"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3537ECCD"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电池极性装反导致电路损坏或漏液</w:t>
            </w:r>
          </w:p>
        </w:tc>
        <w:tc>
          <w:tcPr>
            <w:tcW w:w="4820" w:type="dxa"/>
            <w:tcBorders>
              <w:top w:val="single" w:sz="4" w:space="0" w:color="auto"/>
              <w:left w:val="single" w:sz="4" w:space="0" w:color="auto"/>
              <w:bottom w:val="single" w:sz="4" w:space="0" w:color="auto"/>
              <w:right w:val="single" w:sz="4" w:space="0" w:color="auto"/>
            </w:tcBorders>
          </w:tcPr>
          <w:p w14:paraId="47AAB9DF" w14:textId="77777777" w:rsidR="005B4851" w:rsidRDefault="005D084F">
            <w:pPr>
              <w:spacing w:line="340" w:lineRule="exact"/>
              <w:rPr>
                <w:rFonts w:eastAsia="仿宋_GB2312"/>
                <w:sz w:val="28"/>
                <w:szCs w:val="28"/>
              </w:rPr>
            </w:pPr>
            <w:r>
              <w:rPr>
                <w:rFonts w:eastAsia="仿宋_GB2312" w:hint="eastAsia"/>
                <w:sz w:val="28"/>
                <w:szCs w:val="28"/>
              </w:rPr>
              <w:t>电池极性错误导致内部电路承受反向电压，可能烧毁保护器件或使电池内部化学物质泄漏。</w:t>
            </w:r>
          </w:p>
        </w:tc>
        <w:tc>
          <w:tcPr>
            <w:tcW w:w="3763" w:type="dxa"/>
            <w:tcBorders>
              <w:top w:val="single" w:sz="4" w:space="0" w:color="auto"/>
              <w:left w:val="single" w:sz="4" w:space="0" w:color="auto"/>
              <w:bottom w:val="single" w:sz="4" w:space="0" w:color="auto"/>
              <w:right w:val="single" w:sz="4" w:space="0" w:color="auto"/>
            </w:tcBorders>
          </w:tcPr>
          <w:p w14:paraId="207E1679" w14:textId="77777777" w:rsidR="005B4851" w:rsidRDefault="005D084F">
            <w:pPr>
              <w:spacing w:line="340" w:lineRule="exact"/>
              <w:rPr>
                <w:rFonts w:eastAsia="仿宋_GB2312"/>
                <w:sz w:val="28"/>
                <w:szCs w:val="28"/>
              </w:rPr>
            </w:pPr>
            <w:r>
              <w:rPr>
                <w:rFonts w:eastAsia="仿宋_GB2312" w:hint="eastAsia"/>
                <w:sz w:val="28"/>
                <w:szCs w:val="28"/>
              </w:rPr>
              <w:t>设备损坏无法使用，术中需更换备用机。患者因测试中断延误治疗；电池漏液腐蚀性物质接触皮肤。</w:t>
            </w:r>
          </w:p>
        </w:tc>
      </w:tr>
      <w:tr w:rsidR="005B4851" w14:paraId="4336AD26"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56C2BDCF"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08B4AEB8"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电池低电量或在术中耗尽，测试中途中断</w:t>
            </w:r>
          </w:p>
        </w:tc>
        <w:tc>
          <w:tcPr>
            <w:tcW w:w="4820" w:type="dxa"/>
            <w:tcBorders>
              <w:top w:val="single" w:sz="4" w:space="0" w:color="auto"/>
              <w:left w:val="single" w:sz="4" w:space="0" w:color="auto"/>
              <w:bottom w:val="single" w:sz="4" w:space="0" w:color="auto"/>
              <w:right w:val="single" w:sz="4" w:space="0" w:color="auto"/>
            </w:tcBorders>
          </w:tcPr>
          <w:p w14:paraId="5F1B5D46" w14:textId="77777777" w:rsidR="005B4851" w:rsidRDefault="005D084F">
            <w:pPr>
              <w:spacing w:line="340" w:lineRule="exact"/>
              <w:rPr>
                <w:rFonts w:eastAsia="仿宋_GB2312"/>
                <w:sz w:val="28"/>
                <w:szCs w:val="28"/>
              </w:rPr>
            </w:pPr>
            <w:r>
              <w:rPr>
                <w:rFonts w:eastAsia="仿宋_GB2312" w:hint="eastAsia"/>
                <w:sz w:val="28"/>
                <w:szCs w:val="28"/>
              </w:rPr>
              <w:t>术中电池电量耗尽，设备自动关机或无法继续发放起搏脉冲，测试被迫中止。</w:t>
            </w:r>
          </w:p>
        </w:tc>
        <w:tc>
          <w:tcPr>
            <w:tcW w:w="3763" w:type="dxa"/>
            <w:tcBorders>
              <w:top w:val="single" w:sz="4" w:space="0" w:color="auto"/>
              <w:left w:val="single" w:sz="4" w:space="0" w:color="auto"/>
              <w:bottom w:val="single" w:sz="4" w:space="0" w:color="auto"/>
              <w:right w:val="single" w:sz="4" w:space="0" w:color="auto"/>
            </w:tcBorders>
          </w:tcPr>
          <w:p w14:paraId="19DE73DB" w14:textId="77777777" w:rsidR="005B4851" w:rsidRDefault="005D084F">
            <w:pPr>
              <w:spacing w:line="340" w:lineRule="exact"/>
              <w:rPr>
                <w:rFonts w:eastAsia="仿宋_GB2312"/>
                <w:sz w:val="28"/>
                <w:szCs w:val="28"/>
              </w:rPr>
            </w:pPr>
            <w:r>
              <w:rPr>
                <w:rFonts w:eastAsia="仿宋_GB2312" w:hint="eastAsia"/>
                <w:sz w:val="28"/>
                <w:szCs w:val="28"/>
              </w:rPr>
              <w:t>手术中断，患者因测试中断延误治疗，增加感染风险；若测试未完成，可能植入不合格电极。</w:t>
            </w:r>
          </w:p>
        </w:tc>
      </w:tr>
      <w:tr w:rsidR="005B4851" w14:paraId="2380179A" w14:textId="77777777">
        <w:trPr>
          <w:trHeight w:val="70"/>
          <w:jc w:val="center"/>
        </w:trPr>
        <w:tc>
          <w:tcPr>
            <w:tcW w:w="1549" w:type="dxa"/>
            <w:tcBorders>
              <w:top w:val="single" w:sz="4" w:space="0" w:color="auto"/>
              <w:left w:val="single" w:sz="4" w:space="0" w:color="auto"/>
              <w:bottom w:val="single" w:sz="4" w:space="0" w:color="auto"/>
              <w:right w:val="single" w:sz="4" w:space="0" w:color="auto"/>
            </w:tcBorders>
            <w:vAlign w:val="center"/>
          </w:tcPr>
          <w:p w14:paraId="6A7E0D95"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能量危害（机械能）</w:t>
            </w:r>
          </w:p>
        </w:tc>
        <w:tc>
          <w:tcPr>
            <w:tcW w:w="4883" w:type="dxa"/>
            <w:tcBorders>
              <w:top w:val="single" w:sz="4" w:space="0" w:color="auto"/>
              <w:left w:val="single" w:sz="4" w:space="0" w:color="auto"/>
              <w:bottom w:val="single" w:sz="4" w:space="0" w:color="auto"/>
              <w:right w:val="single" w:sz="4" w:space="0" w:color="auto"/>
            </w:tcBorders>
          </w:tcPr>
          <w:p w14:paraId="691D48BF"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设备跌落</w:t>
            </w:r>
          </w:p>
        </w:tc>
        <w:tc>
          <w:tcPr>
            <w:tcW w:w="4820" w:type="dxa"/>
            <w:tcBorders>
              <w:top w:val="single" w:sz="4" w:space="0" w:color="auto"/>
              <w:left w:val="single" w:sz="4" w:space="0" w:color="auto"/>
              <w:bottom w:val="single" w:sz="4" w:space="0" w:color="auto"/>
              <w:right w:val="single" w:sz="4" w:space="0" w:color="auto"/>
            </w:tcBorders>
          </w:tcPr>
          <w:p w14:paraId="3756B9E6" w14:textId="77777777" w:rsidR="005B4851" w:rsidRDefault="005D084F">
            <w:pPr>
              <w:spacing w:line="340" w:lineRule="exact"/>
              <w:rPr>
                <w:rFonts w:eastAsia="仿宋_GB2312"/>
                <w:sz w:val="28"/>
                <w:szCs w:val="28"/>
              </w:rPr>
            </w:pPr>
            <w:r>
              <w:rPr>
                <w:rFonts w:eastAsia="仿宋_GB2312"/>
                <w:sz w:val="28"/>
                <w:szCs w:val="28"/>
              </w:rPr>
              <w:t>术中设备被碰撞从台面跌落</w:t>
            </w:r>
            <w:r>
              <w:rPr>
                <w:rFonts w:eastAsia="仿宋_GB2312" w:hint="eastAsia"/>
                <w:sz w:val="28"/>
                <w:szCs w:val="28"/>
              </w:rPr>
              <w:t xml:space="preserve"> </w:t>
            </w:r>
          </w:p>
        </w:tc>
        <w:tc>
          <w:tcPr>
            <w:tcW w:w="3763" w:type="dxa"/>
            <w:tcBorders>
              <w:top w:val="single" w:sz="4" w:space="0" w:color="auto"/>
              <w:left w:val="single" w:sz="4" w:space="0" w:color="auto"/>
              <w:bottom w:val="single" w:sz="4" w:space="0" w:color="auto"/>
              <w:right w:val="single" w:sz="4" w:space="0" w:color="auto"/>
            </w:tcBorders>
          </w:tcPr>
          <w:p w14:paraId="440357C6" w14:textId="77777777" w:rsidR="005B4851" w:rsidRDefault="005D084F">
            <w:pPr>
              <w:spacing w:line="340" w:lineRule="exact"/>
              <w:rPr>
                <w:rFonts w:eastAsia="仿宋_GB2312"/>
                <w:sz w:val="28"/>
                <w:szCs w:val="28"/>
              </w:rPr>
            </w:pPr>
            <w:r>
              <w:rPr>
                <w:rFonts w:eastAsia="仿宋_GB2312" w:hint="eastAsia"/>
                <w:sz w:val="28"/>
                <w:szCs w:val="28"/>
              </w:rPr>
              <w:t>设备损坏，手术中断。若设备在发放脉冲时损坏，可能释放异常能量。</w:t>
            </w:r>
          </w:p>
        </w:tc>
      </w:tr>
      <w:tr w:rsidR="005B4851" w14:paraId="636AB7AA"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0BB9818E"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生物学危害</w:t>
            </w:r>
          </w:p>
        </w:tc>
        <w:tc>
          <w:tcPr>
            <w:tcW w:w="4883" w:type="dxa"/>
            <w:tcBorders>
              <w:top w:val="single" w:sz="4" w:space="0" w:color="auto"/>
              <w:left w:val="single" w:sz="4" w:space="0" w:color="auto"/>
              <w:bottom w:val="single" w:sz="4" w:space="0" w:color="auto"/>
              <w:right w:val="single" w:sz="4" w:space="0" w:color="auto"/>
            </w:tcBorders>
          </w:tcPr>
          <w:p w14:paraId="78D533A1"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设备表面或患者电缆未经有效清洁/消毒导致交叉感染</w:t>
            </w:r>
          </w:p>
        </w:tc>
        <w:tc>
          <w:tcPr>
            <w:tcW w:w="4820" w:type="dxa"/>
            <w:tcBorders>
              <w:top w:val="single" w:sz="4" w:space="0" w:color="auto"/>
              <w:left w:val="single" w:sz="4" w:space="0" w:color="auto"/>
              <w:bottom w:val="single" w:sz="4" w:space="0" w:color="auto"/>
              <w:right w:val="single" w:sz="4" w:space="0" w:color="auto"/>
            </w:tcBorders>
          </w:tcPr>
          <w:p w14:paraId="29E06607" w14:textId="77777777" w:rsidR="005B4851" w:rsidRDefault="005D084F">
            <w:pPr>
              <w:spacing w:line="340" w:lineRule="exact"/>
              <w:rPr>
                <w:rFonts w:eastAsia="仿宋_GB2312"/>
                <w:sz w:val="28"/>
                <w:szCs w:val="28"/>
              </w:rPr>
            </w:pPr>
            <w:r>
              <w:rPr>
                <w:rFonts w:eastAsia="仿宋_GB2312" w:hint="eastAsia"/>
                <w:sz w:val="28"/>
                <w:szCs w:val="28"/>
              </w:rPr>
              <w:t>病原微生物传播</w:t>
            </w:r>
          </w:p>
        </w:tc>
        <w:tc>
          <w:tcPr>
            <w:tcW w:w="3763" w:type="dxa"/>
            <w:tcBorders>
              <w:top w:val="single" w:sz="4" w:space="0" w:color="auto"/>
              <w:left w:val="single" w:sz="4" w:space="0" w:color="auto"/>
              <w:bottom w:val="single" w:sz="4" w:space="0" w:color="auto"/>
              <w:right w:val="single" w:sz="4" w:space="0" w:color="auto"/>
            </w:tcBorders>
          </w:tcPr>
          <w:p w14:paraId="58E2B38B" w14:textId="77777777" w:rsidR="005B4851" w:rsidRDefault="005D084F">
            <w:pPr>
              <w:spacing w:line="340" w:lineRule="exact"/>
              <w:rPr>
                <w:rFonts w:eastAsia="仿宋_GB2312"/>
                <w:sz w:val="28"/>
                <w:szCs w:val="28"/>
              </w:rPr>
            </w:pPr>
            <w:r>
              <w:rPr>
                <w:rFonts w:eastAsia="仿宋_GB2312" w:hint="eastAsia"/>
                <w:sz w:val="28"/>
                <w:szCs w:val="28"/>
              </w:rPr>
              <w:t>术后感染</w:t>
            </w:r>
          </w:p>
        </w:tc>
      </w:tr>
      <w:tr w:rsidR="005B4851" w14:paraId="4B0804E2" w14:textId="77777777">
        <w:trPr>
          <w:trHeight w:val="70"/>
          <w:jc w:val="center"/>
        </w:trPr>
        <w:tc>
          <w:tcPr>
            <w:tcW w:w="1549" w:type="dxa"/>
            <w:vMerge/>
            <w:tcBorders>
              <w:left w:val="single" w:sz="4" w:space="0" w:color="auto"/>
              <w:right w:val="single" w:sz="4" w:space="0" w:color="auto"/>
            </w:tcBorders>
            <w:vAlign w:val="center"/>
          </w:tcPr>
          <w:p w14:paraId="19EC0A62"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2027E387"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无菌延长线灭菌未确认或未按已确认</w:t>
            </w:r>
            <w:r>
              <w:rPr>
                <w:rStyle w:val="f101"/>
                <w:rFonts w:ascii="仿宋" w:eastAsia="仿宋" w:hAnsi="仿宋" w:hint="eastAsia"/>
                <w:sz w:val="28"/>
                <w:szCs w:val="21"/>
              </w:rPr>
              <w:lastRenderedPageBreak/>
              <w:t>参数灭菌</w:t>
            </w:r>
          </w:p>
        </w:tc>
        <w:tc>
          <w:tcPr>
            <w:tcW w:w="4820" w:type="dxa"/>
            <w:tcBorders>
              <w:top w:val="single" w:sz="4" w:space="0" w:color="auto"/>
              <w:left w:val="single" w:sz="4" w:space="0" w:color="auto"/>
              <w:bottom w:val="single" w:sz="4" w:space="0" w:color="auto"/>
              <w:right w:val="single" w:sz="4" w:space="0" w:color="auto"/>
            </w:tcBorders>
          </w:tcPr>
          <w:p w14:paraId="76F992AB" w14:textId="77777777" w:rsidR="005B4851" w:rsidRDefault="005D084F">
            <w:pPr>
              <w:spacing w:line="340" w:lineRule="exact"/>
              <w:rPr>
                <w:rFonts w:eastAsia="仿宋_GB2312"/>
                <w:sz w:val="28"/>
                <w:szCs w:val="28"/>
              </w:rPr>
            </w:pPr>
            <w:r>
              <w:rPr>
                <w:rFonts w:eastAsia="仿宋_GB2312" w:hint="eastAsia"/>
                <w:sz w:val="28"/>
                <w:szCs w:val="28"/>
              </w:rPr>
              <w:lastRenderedPageBreak/>
              <w:t>术中产品非无菌状态</w:t>
            </w:r>
          </w:p>
        </w:tc>
        <w:tc>
          <w:tcPr>
            <w:tcW w:w="3763" w:type="dxa"/>
            <w:tcBorders>
              <w:top w:val="single" w:sz="4" w:space="0" w:color="auto"/>
              <w:left w:val="single" w:sz="4" w:space="0" w:color="auto"/>
              <w:bottom w:val="single" w:sz="4" w:space="0" w:color="auto"/>
              <w:right w:val="single" w:sz="4" w:space="0" w:color="auto"/>
            </w:tcBorders>
          </w:tcPr>
          <w:p w14:paraId="0F3A788A" w14:textId="77777777" w:rsidR="005B4851" w:rsidRDefault="005D084F">
            <w:pPr>
              <w:spacing w:line="340" w:lineRule="exact"/>
              <w:rPr>
                <w:rFonts w:eastAsia="仿宋_GB2312"/>
                <w:sz w:val="28"/>
                <w:szCs w:val="28"/>
              </w:rPr>
            </w:pPr>
            <w:r>
              <w:rPr>
                <w:rFonts w:eastAsia="仿宋_GB2312" w:hint="eastAsia"/>
                <w:sz w:val="28"/>
                <w:szCs w:val="28"/>
              </w:rPr>
              <w:t>局部或全身感染</w:t>
            </w:r>
          </w:p>
        </w:tc>
      </w:tr>
      <w:tr w:rsidR="005B4851" w14:paraId="0A410CA3" w14:textId="77777777">
        <w:trPr>
          <w:trHeight w:val="70"/>
          <w:jc w:val="center"/>
        </w:trPr>
        <w:tc>
          <w:tcPr>
            <w:tcW w:w="1549" w:type="dxa"/>
            <w:vMerge/>
            <w:tcBorders>
              <w:left w:val="single" w:sz="4" w:space="0" w:color="auto"/>
              <w:right w:val="single" w:sz="4" w:space="0" w:color="auto"/>
            </w:tcBorders>
            <w:vAlign w:val="center"/>
          </w:tcPr>
          <w:p w14:paraId="2A39164F"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73F70A8"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包装破损导致无菌延长线污染</w:t>
            </w:r>
          </w:p>
        </w:tc>
        <w:tc>
          <w:tcPr>
            <w:tcW w:w="4820" w:type="dxa"/>
            <w:tcBorders>
              <w:top w:val="single" w:sz="4" w:space="0" w:color="auto"/>
              <w:left w:val="single" w:sz="4" w:space="0" w:color="auto"/>
              <w:bottom w:val="single" w:sz="4" w:space="0" w:color="auto"/>
              <w:right w:val="single" w:sz="4" w:space="0" w:color="auto"/>
            </w:tcBorders>
          </w:tcPr>
          <w:p w14:paraId="513DD5F1" w14:textId="77777777" w:rsidR="005B4851" w:rsidRDefault="005D084F">
            <w:pPr>
              <w:spacing w:line="340" w:lineRule="exact"/>
              <w:rPr>
                <w:rFonts w:eastAsia="仿宋_GB2312"/>
                <w:sz w:val="28"/>
                <w:szCs w:val="28"/>
              </w:rPr>
            </w:pPr>
            <w:r>
              <w:rPr>
                <w:rFonts w:eastAsia="仿宋_GB2312" w:hint="eastAsia"/>
                <w:sz w:val="28"/>
                <w:szCs w:val="28"/>
              </w:rPr>
              <w:t>运输或储存中包装破损，失去微生物屏障，外界微生物进入包装内污染附件。术中产品非无菌状态</w:t>
            </w:r>
          </w:p>
        </w:tc>
        <w:tc>
          <w:tcPr>
            <w:tcW w:w="3763" w:type="dxa"/>
            <w:tcBorders>
              <w:top w:val="single" w:sz="4" w:space="0" w:color="auto"/>
              <w:left w:val="single" w:sz="4" w:space="0" w:color="auto"/>
              <w:bottom w:val="single" w:sz="4" w:space="0" w:color="auto"/>
              <w:right w:val="single" w:sz="4" w:space="0" w:color="auto"/>
            </w:tcBorders>
          </w:tcPr>
          <w:p w14:paraId="34643FF6" w14:textId="77777777" w:rsidR="005B4851" w:rsidRDefault="005D084F">
            <w:pPr>
              <w:spacing w:line="340" w:lineRule="exact"/>
              <w:rPr>
                <w:rFonts w:eastAsia="仿宋_GB2312"/>
                <w:sz w:val="28"/>
                <w:szCs w:val="28"/>
              </w:rPr>
            </w:pPr>
            <w:r>
              <w:rPr>
                <w:rFonts w:eastAsia="仿宋_GB2312" w:hint="eastAsia"/>
                <w:sz w:val="28"/>
                <w:szCs w:val="28"/>
              </w:rPr>
              <w:t>局部或全身感染</w:t>
            </w:r>
          </w:p>
        </w:tc>
      </w:tr>
      <w:tr w:rsidR="005B4851" w14:paraId="0ED3BC74"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4130F8CB"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61F14F36"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超过有效期使用无菌附件</w:t>
            </w:r>
          </w:p>
        </w:tc>
        <w:tc>
          <w:tcPr>
            <w:tcW w:w="4820" w:type="dxa"/>
            <w:tcBorders>
              <w:top w:val="single" w:sz="4" w:space="0" w:color="auto"/>
              <w:left w:val="single" w:sz="4" w:space="0" w:color="auto"/>
              <w:bottom w:val="single" w:sz="4" w:space="0" w:color="auto"/>
              <w:right w:val="single" w:sz="4" w:space="0" w:color="auto"/>
            </w:tcBorders>
          </w:tcPr>
          <w:p w14:paraId="2710BFB0" w14:textId="77777777" w:rsidR="005B4851" w:rsidRDefault="005D084F">
            <w:pPr>
              <w:spacing w:line="340" w:lineRule="exact"/>
              <w:rPr>
                <w:rFonts w:eastAsia="仿宋_GB2312"/>
                <w:sz w:val="28"/>
                <w:szCs w:val="28"/>
              </w:rPr>
            </w:pPr>
            <w:r>
              <w:rPr>
                <w:rFonts w:eastAsia="仿宋_GB2312" w:hint="eastAsia"/>
                <w:sz w:val="28"/>
                <w:szCs w:val="28"/>
              </w:rPr>
              <w:t>术中</w:t>
            </w:r>
            <w:r>
              <w:rPr>
                <w:rFonts w:eastAsia="仿宋_GB2312"/>
                <w:sz w:val="28"/>
                <w:szCs w:val="28"/>
              </w:rPr>
              <w:t>无菌</w:t>
            </w:r>
            <w:proofErr w:type="gramStart"/>
            <w:r>
              <w:rPr>
                <w:rFonts w:eastAsia="仿宋_GB2312"/>
                <w:sz w:val="28"/>
                <w:szCs w:val="28"/>
              </w:rPr>
              <w:t>性无法</w:t>
            </w:r>
            <w:proofErr w:type="gramEnd"/>
            <w:r>
              <w:rPr>
                <w:rFonts w:eastAsia="仿宋_GB2312"/>
                <w:sz w:val="28"/>
                <w:szCs w:val="28"/>
              </w:rPr>
              <w:t>保证</w:t>
            </w:r>
          </w:p>
        </w:tc>
        <w:tc>
          <w:tcPr>
            <w:tcW w:w="3763" w:type="dxa"/>
            <w:tcBorders>
              <w:top w:val="single" w:sz="4" w:space="0" w:color="auto"/>
              <w:left w:val="single" w:sz="4" w:space="0" w:color="auto"/>
              <w:bottom w:val="single" w:sz="4" w:space="0" w:color="auto"/>
              <w:right w:val="single" w:sz="4" w:space="0" w:color="auto"/>
            </w:tcBorders>
          </w:tcPr>
          <w:p w14:paraId="72D143E2" w14:textId="77777777" w:rsidR="005B4851" w:rsidRDefault="005D084F">
            <w:pPr>
              <w:spacing w:line="340" w:lineRule="exact"/>
              <w:rPr>
                <w:rFonts w:eastAsia="仿宋_GB2312"/>
                <w:sz w:val="28"/>
                <w:szCs w:val="28"/>
              </w:rPr>
            </w:pPr>
            <w:r>
              <w:rPr>
                <w:rFonts w:eastAsia="仿宋_GB2312" w:hint="eastAsia"/>
                <w:sz w:val="28"/>
                <w:szCs w:val="28"/>
              </w:rPr>
              <w:t>局部或全身感染</w:t>
            </w:r>
          </w:p>
        </w:tc>
      </w:tr>
      <w:tr w:rsidR="005B4851" w14:paraId="544D2ACC"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43AAE4C0"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化学危害</w:t>
            </w:r>
          </w:p>
        </w:tc>
        <w:tc>
          <w:tcPr>
            <w:tcW w:w="4883" w:type="dxa"/>
            <w:tcBorders>
              <w:top w:val="single" w:sz="4" w:space="0" w:color="auto"/>
              <w:left w:val="single" w:sz="4" w:space="0" w:color="auto"/>
              <w:bottom w:val="single" w:sz="4" w:space="0" w:color="auto"/>
              <w:right w:val="single" w:sz="4" w:space="0" w:color="auto"/>
            </w:tcBorders>
          </w:tcPr>
          <w:p w14:paraId="707C5E55"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灭菌</w:t>
            </w:r>
            <w:r>
              <w:rPr>
                <w:rStyle w:val="f101"/>
                <w:rFonts w:ascii="仿宋" w:eastAsia="仿宋" w:hAnsi="仿宋"/>
                <w:sz w:val="28"/>
                <w:szCs w:val="21"/>
              </w:rPr>
              <w:t>剂残留</w:t>
            </w:r>
          </w:p>
        </w:tc>
        <w:tc>
          <w:tcPr>
            <w:tcW w:w="4820" w:type="dxa"/>
            <w:tcBorders>
              <w:top w:val="single" w:sz="4" w:space="0" w:color="auto"/>
              <w:left w:val="single" w:sz="4" w:space="0" w:color="auto"/>
              <w:bottom w:val="single" w:sz="4" w:space="0" w:color="auto"/>
              <w:right w:val="single" w:sz="4" w:space="0" w:color="auto"/>
            </w:tcBorders>
          </w:tcPr>
          <w:p w14:paraId="7C0BC541" w14:textId="77777777" w:rsidR="005B4851" w:rsidRDefault="005D084F">
            <w:pPr>
              <w:spacing w:line="340" w:lineRule="exact"/>
              <w:rPr>
                <w:rFonts w:eastAsia="仿宋_GB2312"/>
                <w:sz w:val="28"/>
                <w:szCs w:val="28"/>
              </w:rPr>
            </w:pPr>
            <w:r>
              <w:rPr>
                <w:rStyle w:val="f101"/>
                <w:rFonts w:ascii="仿宋" w:eastAsia="仿宋" w:hAnsi="仿宋"/>
                <w:sz w:val="28"/>
                <w:szCs w:val="21"/>
              </w:rPr>
              <w:t>对操作者皮肤或呼吸道造成刺激</w:t>
            </w:r>
          </w:p>
        </w:tc>
        <w:tc>
          <w:tcPr>
            <w:tcW w:w="3763" w:type="dxa"/>
            <w:tcBorders>
              <w:top w:val="single" w:sz="4" w:space="0" w:color="auto"/>
              <w:left w:val="single" w:sz="4" w:space="0" w:color="auto"/>
              <w:bottom w:val="single" w:sz="4" w:space="0" w:color="auto"/>
              <w:right w:val="single" w:sz="4" w:space="0" w:color="auto"/>
            </w:tcBorders>
          </w:tcPr>
          <w:p w14:paraId="5713DF8F" w14:textId="77777777" w:rsidR="005B4851" w:rsidRDefault="005D084F">
            <w:pPr>
              <w:spacing w:line="340" w:lineRule="exact"/>
              <w:rPr>
                <w:rFonts w:eastAsia="仿宋_GB2312"/>
                <w:sz w:val="28"/>
                <w:szCs w:val="28"/>
              </w:rPr>
            </w:pPr>
            <w:r>
              <w:rPr>
                <w:rFonts w:eastAsia="仿宋_GB2312" w:hint="eastAsia"/>
                <w:sz w:val="28"/>
                <w:szCs w:val="28"/>
              </w:rPr>
              <w:t>呼吸道黏膜刺激，引发咳嗽、哮喘等不适。</w:t>
            </w:r>
          </w:p>
        </w:tc>
      </w:tr>
      <w:tr w:rsidR="005B4851" w14:paraId="215517D0" w14:textId="77777777">
        <w:trPr>
          <w:trHeight w:val="70"/>
          <w:jc w:val="center"/>
        </w:trPr>
        <w:tc>
          <w:tcPr>
            <w:tcW w:w="1549" w:type="dxa"/>
            <w:vMerge/>
            <w:tcBorders>
              <w:left w:val="single" w:sz="4" w:space="0" w:color="auto"/>
              <w:right w:val="single" w:sz="4" w:space="0" w:color="auto"/>
            </w:tcBorders>
            <w:vAlign w:val="center"/>
          </w:tcPr>
          <w:p w14:paraId="1A317148"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7404BD3"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设备外壳材料</w:t>
            </w:r>
            <w:proofErr w:type="gramStart"/>
            <w:r>
              <w:rPr>
                <w:rStyle w:val="f101"/>
                <w:rFonts w:ascii="仿宋" w:eastAsia="仿宋" w:hAnsi="仿宋" w:hint="eastAsia"/>
                <w:sz w:val="28"/>
                <w:szCs w:val="21"/>
              </w:rPr>
              <w:t>不</w:t>
            </w:r>
            <w:proofErr w:type="gramEnd"/>
            <w:r>
              <w:rPr>
                <w:rStyle w:val="f101"/>
                <w:rFonts w:ascii="仿宋" w:eastAsia="仿宋" w:hAnsi="仿宋" w:hint="eastAsia"/>
                <w:sz w:val="28"/>
                <w:szCs w:val="21"/>
              </w:rPr>
              <w:t>阻燃</w:t>
            </w:r>
          </w:p>
        </w:tc>
        <w:tc>
          <w:tcPr>
            <w:tcW w:w="4820" w:type="dxa"/>
            <w:tcBorders>
              <w:top w:val="single" w:sz="4" w:space="0" w:color="auto"/>
              <w:left w:val="single" w:sz="4" w:space="0" w:color="auto"/>
              <w:bottom w:val="single" w:sz="4" w:space="0" w:color="auto"/>
              <w:right w:val="single" w:sz="4" w:space="0" w:color="auto"/>
            </w:tcBorders>
          </w:tcPr>
          <w:p w14:paraId="3CF8F62C"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在火灾中释放有毒烟雾</w:t>
            </w:r>
          </w:p>
        </w:tc>
        <w:tc>
          <w:tcPr>
            <w:tcW w:w="3763" w:type="dxa"/>
            <w:tcBorders>
              <w:top w:val="single" w:sz="4" w:space="0" w:color="auto"/>
              <w:left w:val="single" w:sz="4" w:space="0" w:color="auto"/>
              <w:bottom w:val="single" w:sz="4" w:space="0" w:color="auto"/>
              <w:right w:val="single" w:sz="4" w:space="0" w:color="auto"/>
            </w:tcBorders>
          </w:tcPr>
          <w:p w14:paraId="7029CCE6" w14:textId="77777777" w:rsidR="005B4851" w:rsidRDefault="005D084F">
            <w:pPr>
              <w:spacing w:line="340" w:lineRule="exact"/>
              <w:rPr>
                <w:rFonts w:eastAsia="仿宋_GB2312"/>
                <w:sz w:val="28"/>
                <w:szCs w:val="28"/>
              </w:rPr>
            </w:pPr>
            <w:r>
              <w:rPr>
                <w:rFonts w:eastAsia="仿宋_GB2312" w:hint="eastAsia"/>
                <w:sz w:val="28"/>
                <w:szCs w:val="28"/>
              </w:rPr>
              <w:t>患者</w:t>
            </w:r>
            <w:r>
              <w:rPr>
                <w:rFonts w:eastAsia="仿宋_GB2312" w:hint="eastAsia"/>
                <w:sz w:val="28"/>
                <w:szCs w:val="28"/>
              </w:rPr>
              <w:t>/</w:t>
            </w:r>
            <w:r>
              <w:rPr>
                <w:rFonts w:eastAsia="仿宋_GB2312" w:hint="eastAsia"/>
                <w:sz w:val="28"/>
                <w:szCs w:val="28"/>
              </w:rPr>
              <w:t>使用者：吸入有毒烟雾导致肺损伤、化学性窒息，危及生命安全。</w:t>
            </w:r>
          </w:p>
        </w:tc>
      </w:tr>
      <w:tr w:rsidR="005B4851" w14:paraId="641ACDBD"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4483FEFC"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2E4D2CC6"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电池漏液</w:t>
            </w:r>
          </w:p>
        </w:tc>
        <w:tc>
          <w:tcPr>
            <w:tcW w:w="4820" w:type="dxa"/>
            <w:tcBorders>
              <w:top w:val="single" w:sz="4" w:space="0" w:color="auto"/>
              <w:left w:val="single" w:sz="4" w:space="0" w:color="auto"/>
              <w:bottom w:val="single" w:sz="4" w:space="0" w:color="auto"/>
              <w:right w:val="single" w:sz="4" w:space="0" w:color="auto"/>
            </w:tcBorders>
          </w:tcPr>
          <w:p w14:paraId="7A105699"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电池外壳破损或封口失效，电解液流出，腐蚀设备内部并残留在设备表面</w:t>
            </w:r>
          </w:p>
        </w:tc>
        <w:tc>
          <w:tcPr>
            <w:tcW w:w="3763" w:type="dxa"/>
            <w:tcBorders>
              <w:top w:val="single" w:sz="4" w:space="0" w:color="auto"/>
              <w:left w:val="single" w:sz="4" w:space="0" w:color="auto"/>
              <w:bottom w:val="single" w:sz="4" w:space="0" w:color="auto"/>
              <w:right w:val="single" w:sz="4" w:space="0" w:color="auto"/>
            </w:tcBorders>
          </w:tcPr>
          <w:p w14:paraId="68F7CCD5" w14:textId="77777777" w:rsidR="005B4851" w:rsidRDefault="005D084F">
            <w:pPr>
              <w:spacing w:line="340" w:lineRule="exact"/>
              <w:rPr>
                <w:rFonts w:eastAsia="仿宋_GB2312"/>
                <w:sz w:val="28"/>
                <w:szCs w:val="28"/>
              </w:rPr>
            </w:pPr>
            <w:r>
              <w:rPr>
                <w:rFonts w:eastAsia="仿宋_GB2312" w:hint="eastAsia"/>
                <w:sz w:val="28"/>
                <w:szCs w:val="28"/>
              </w:rPr>
              <w:t>使用者更换电池时接触漏液，皮肤化学灼伤。漏液渗透至设备表面可能造成组织刺激或灼伤。</w:t>
            </w:r>
          </w:p>
        </w:tc>
      </w:tr>
      <w:tr w:rsidR="005B4851" w14:paraId="30019496"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6232DBE0"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操作危害（功能）</w:t>
            </w:r>
          </w:p>
          <w:p w14:paraId="02553D30" w14:textId="77777777" w:rsidR="005B4851" w:rsidRDefault="005B4851">
            <w:pPr>
              <w:spacing w:line="340" w:lineRule="exact"/>
              <w:rPr>
                <w:rFonts w:eastAsia="仿宋_GB2312"/>
                <w:color w:val="000000"/>
                <w:sz w:val="28"/>
                <w:szCs w:val="28"/>
              </w:rPr>
            </w:pPr>
          </w:p>
          <w:p w14:paraId="412B0A1C" w14:textId="77777777" w:rsidR="005B4851" w:rsidRDefault="005B4851">
            <w:pPr>
              <w:pStyle w:val="a0"/>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7E43C8EA"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软件死机、卡顿或意外重启</w:t>
            </w:r>
          </w:p>
        </w:tc>
        <w:tc>
          <w:tcPr>
            <w:tcW w:w="4820" w:type="dxa"/>
            <w:tcBorders>
              <w:top w:val="single" w:sz="4" w:space="0" w:color="auto"/>
              <w:left w:val="single" w:sz="4" w:space="0" w:color="auto"/>
              <w:bottom w:val="single" w:sz="4" w:space="0" w:color="auto"/>
              <w:right w:val="single" w:sz="4" w:space="0" w:color="auto"/>
            </w:tcBorders>
          </w:tcPr>
          <w:p w14:paraId="3C29DC6A"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设备操作界面无响应，无法进行参数设置或测量；正在进行的测试中断，数据丢失</w:t>
            </w:r>
          </w:p>
        </w:tc>
        <w:tc>
          <w:tcPr>
            <w:tcW w:w="3763" w:type="dxa"/>
            <w:tcBorders>
              <w:top w:val="single" w:sz="4" w:space="0" w:color="auto"/>
              <w:left w:val="single" w:sz="4" w:space="0" w:color="auto"/>
              <w:bottom w:val="single" w:sz="4" w:space="0" w:color="auto"/>
              <w:right w:val="single" w:sz="4" w:space="0" w:color="auto"/>
            </w:tcBorders>
          </w:tcPr>
          <w:p w14:paraId="0817888E" w14:textId="77777777" w:rsidR="005B4851" w:rsidRDefault="005D084F">
            <w:pPr>
              <w:spacing w:line="340" w:lineRule="exact"/>
              <w:rPr>
                <w:rFonts w:eastAsia="仿宋_GB2312"/>
                <w:sz w:val="28"/>
                <w:szCs w:val="28"/>
              </w:rPr>
            </w:pPr>
            <w:r>
              <w:rPr>
                <w:rFonts w:eastAsia="仿宋_GB2312" w:hint="eastAsia"/>
                <w:sz w:val="28"/>
                <w:szCs w:val="28"/>
              </w:rPr>
              <w:t>手术时间延长。患者：测试中断，若重启后参数丢失，需重新测试，增加心脏负担。</w:t>
            </w:r>
          </w:p>
        </w:tc>
      </w:tr>
      <w:tr w:rsidR="005B4851" w14:paraId="45E2D796" w14:textId="77777777">
        <w:trPr>
          <w:trHeight w:val="70"/>
          <w:jc w:val="center"/>
        </w:trPr>
        <w:tc>
          <w:tcPr>
            <w:tcW w:w="1549" w:type="dxa"/>
            <w:vMerge/>
            <w:tcBorders>
              <w:left w:val="single" w:sz="4" w:space="0" w:color="auto"/>
              <w:right w:val="single" w:sz="4" w:space="0" w:color="auto"/>
            </w:tcBorders>
            <w:vAlign w:val="center"/>
          </w:tcPr>
          <w:p w14:paraId="3938B2F5" w14:textId="77777777" w:rsidR="005B4851" w:rsidRDefault="005B4851">
            <w:pPr>
              <w:pStyle w:val="a0"/>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33605B58"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感知功能不足导致P波/R波漏感知</w:t>
            </w:r>
          </w:p>
        </w:tc>
        <w:tc>
          <w:tcPr>
            <w:tcW w:w="4820" w:type="dxa"/>
            <w:tcBorders>
              <w:top w:val="single" w:sz="4" w:space="0" w:color="auto"/>
              <w:left w:val="single" w:sz="4" w:space="0" w:color="auto"/>
              <w:bottom w:val="single" w:sz="4" w:space="0" w:color="auto"/>
              <w:right w:val="single" w:sz="4" w:space="0" w:color="auto"/>
            </w:tcBorders>
          </w:tcPr>
          <w:p w14:paraId="296F4711"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心脏自身除极波幅度或斜率低于设备感知阈值，设备未能识别心电信号。</w:t>
            </w:r>
          </w:p>
        </w:tc>
        <w:tc>
          <w:tcPr>
            <w:tcW w:w="3763" w:type="dxa"/>
            <w:tcBorders>
              <w:top w:val="single" w:sz="4" w:space="0" w:color="auto"/>
              <w:left w:val="single" w:sz="4" w:space="0" w:color="auto"/>
              <w:bottom w:val="single" w:sz="4" w:space="0" w:color="auto"/>
              <w:right w:val="single" w:sz="4" w:space="0" w:color="auto"/>
            </w:tcBorders>
          </w:tcPr>
          <w:p w14:paraId="43CE6DFD" w14:textId="77777777" w:rsidR="005B4851" w:rsidRDefault="005D084F">
            <w:pPr>
              <w:spacing w:line="340" w:lineRule="exact"/>
              <w:rPr>
                <w:rFonts w:eastAsia="仿宋_GB2312"/>
                <w:sz w:val="28"/>
                <w:szCs w:val="28"/>
              </w:rPr>
            </w:pPr>
            <w:r>
              <w:rPr>
                <w:rFonts w:eastAsia="仿宋_GB2312" w:hint="eastAsia"/>
                <w:sz w:val="28"/>
                <w:szCs w:val="28"/>
              </w:rPr>
              <w:t>漏感</w:t>
            </w:r>
            <w:proofErr w:type="gramStart"/>
            <w:r>
              <w:rPr>
                <w:rFonts w:eastAsia="仿宋_GB2312" w:hint="eastAsia"/>
                <w:sz w:val="28"/>
                <w:szCs w:val="28"/>
              </w:rPr>
              <w:t>知导致</w:t>
            </w:r>
            <w:proofErr w:type="gramEnd"/>
            <w:r>
              <w:rPr>
                <w:rFonts w:eastAsia="仿宋_GB2312" w:hint="eastAsia"/>
                <w:sz w:val="28"/>
                <w:szCs w:val="28"/>
              </w:rPr>
              <w:t>设备发放的起搏脉冲与自身心律不协调，可能诱发竞争心律甚至室颤。</w:t>
            </w:r>
          </w:p>
        </w:tc>
      </w:tr>
      <w:tr w:rsidR="005B4851" w14:paraId="334E2C46" w14:textId="77777777">
        <w:trPr>
          <w:trHeight w:val="70"/>
          <w:jc w:val="center"/>
        </w:trPr>
        <w:tc>
          <w:tcPr>
            <w:tcW w:w="1549" w:type="dxa"/>
            <w:vMerge/>
            <w:tcBorders>
              <w:left w:val="single" w:sz="4" w:space="0" w:color="auto"/>
              <w:right w:val="single" w:sz="4" w:space="0" w:color="auto"/>
            </w:tcBorders>
            <w:vAlign w:val="center"/>
          </w:tcPr>
          <w:p w14:paraId="7D5F6A85" w14:textId="77777777" w:rsidR="005B4851" w:rsidRDefault="005B4851">
            <w:pPr>
              <w:pStyle w:val="a0"/>
            </w:pPr>
          </w:p>
        </w:tc>
        <w:tc>
          <w:tcPr>
            <w:tcW w:w="4883" w:type="dxa"/>
            <w:tcBorders>
              <w:top w:val="single" w:sz="4" w:space="0" w:color="auto"/>
              <w:left w:val="single" w:sz="4" w:space="0" w:color="auto"/>
              <w:bottom w:val="single" w:sz="4" w:space="0" w:color="auto"/>
              <w:right w:val="single" w:sz="4" w:space="0" w:color="auto"/>
            </w:tcBorders>
          </w:tcPr>
          <w:p w14:paraId="23AAFEBD"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sz w:val="28"/>
                <w:szCs w:val="21"/>
              </w:rPr>
              <w:t>感知功能过度导致误感知</w:t>
            </w:r>
          </w:p>
        </w:tc>
        <w:tc>
          <w:tcPr>
            <w:tcW w:w="4820" w:type="dxa"/>
            <w:tcBorders>
              <w:top w:val="single" w:sz="4" w:space="0" w:color="auto"/>
              <w:left w:val="single" w:sz="4" w:space="0" w:color="auto"/>
              <w:bottom w:val="single" w:sz="4" w:space="0" w:color="auto"/>
              <w:right w:val="single" w:sz="4" w:space="0" w:color="auto"/>
            </w:tcBorders>
          </w:tcPr>
          <w:p w14:paraId="3709EA42"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设备感知灵敏度设置过高，将肌电干扰、远场电位或外部噪声误识别为心</w:t>
            </w:r>
            <w:r>
              <w:rPr>
                <w:rStyle w:val="f101"/>
                <w:rFonts w:ascii="仿宋" w:eastAsia="仿宋" w:hAnsi="仿宋" w:hint="eastAsia"/>
                <w:sz w:val="28"/>
                <w:szCs w:val="21"/>
              </w:rPr>
              <w:lastRenderedPageBreak/>
              <w:t>电信号。</w:t>
            </w:r>
          </w:p>
        </w:tc>
        <w:tc>
          <w:tcPr>
            <w:tcW w:w="3763" w:type="dxa"/>
            <w:tcBorders>
              <w:top w:val="single" w:sz="4" w:space="0" w:color="auto"/>
              <w:left w:val="single" w:sz="4" w:space="0" w:color="auto"/>
              <w:bottom w:val="single" w:sz="4" w:space="0" w:color="auto"/>
              <w:right w:val="single" w:sz="4" w:space="0" w:color="auto"/>
            </w:tcBorders>
          </w:tcPr>
          <w:p w14:paraId="0B580B39" w14:textId="77777777" w:rsidR="005B4851" w:rsidRDefault="005D084F">
            <w:pPr>
              <w:spacing w:line="340" w:lineRule="exact"/>
              <w:rPr>
                <w:rFonts w:eastAsia="仿宋_GB2312"/>
                <w:sz w:val="28"/>
                <w:szCs w:val="28"/>
              </w:rPr>
            </w:pPr>
            <w:r>
              <w:rPr>
                <w:rFonts w:eastAsia="仿宋_GB2312" w:hint="eastAsia"/>
                <w:sz w:val="28"/>
                <w:szCs w:val="28"/>
              </w:rPr>
              <w:lastRenderedPageBreak/>
              <w:t>误感知导致起搏脉冲输出被抑制，对起搏器依赖患者造成</w:t>
            </w:r>
            <w:r>
              <w:rPr>
                <w:rFonts w:eastAsia="仿宋_GB2312" w:hint="eastAsia"/>
                <w:sz w:val="28"/>
                <w:szCs w:val="28"/>
              </w:rPr>
              <w:lastRenderedPageBreak/>
              <w:t>心脏停搏。</w:t>
            </w:r>
          </w:p>
        </w:tc>
      </w:tr>
      <w:tr w:rsidR="005B4851" w14:paraId="28FCECE3" w14:textId="77777777">
        <w:trPr>
          <w:trHeight w:val="70"/>
          <w:jc w:val="center"/>
        </w:trPr>
        <w:tc>
          <w:tcPr>
            <w:tcW w:w="1549" w:type="dxa"/>
            <w:vMerge/>
            <w:tcBorders>
              <w:left w:val="single" w:sz="4" w:space="0" w:color="auto"/>
              <w:right w:val="single" w:sz="4" w:space="0" w:color="auto"/>
            </w:tcBorders>
            <w:vAlign w:val="center"/>
          </w:tcPr>
          <w:p w14:paraId="798C0653"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42D8F409"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sz w:val="28"/>
                <w:szCs w:val="21"/>
              </w:rPr>
              <w:t>测量功能失准（如起搏阈值、阻抗、AV间期等）</w:t>
            </w:r>
          </w:p>
        </w:tc>
        <w:tc>
          <w:tcPr>
            <w:tcW w:w="4820" w:type="dxa"/>
            <w:tcBorders>
              <w:top w:val="single" w:sz="4" w:space="0" w:color="auto"/>
              <w:left w:val="single" w:sz="4" w:space="0" w:color="auto"/>
              <w:bottom w:val="single" w:sz="4" w:space="0" w:color="auto"/>
              <w:right w:val="single" w:sz="4" w:space="0" w:color="auto"/>
            </w:tcBorders>
          </w:tcPr>
          <w:p w14:paraId="6FFFB04F"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显示值与真实值偏差超出允许范围。</w:t>
            </w:r>
          </w:p>
        </w:tc>
        <w:tc>
          <w:tcPr>
            <w:tcW w:w="3763" w:type="dxa"/>
            <w:tcBorders>
              <w:top w:val="single" w:sz="4" w:space="0" w:color="auto"/>
              <w:left w:val="single" w:sz="4" w:space="0" w:color="auto"/>
              <w:bottom w:val="single" w:sz="4" w:space="0" w:color="auto"/>
              <w:right w:val="single" w:sz="4" w:space="0" w:color="auto"/>
            </w:tcBorders>
          </w:tcPr>
          <w:p w14:paraId="794DED15" w14:textId="77777777" w:rsidR="005B4851" w:rsidRDefault="005D084F">
            <w:pPr>
              <w:spacing w:line="340" w:lineRule="exact"/>
              <w:rPr>
                <w:rFonts w:eastAsia="仿宋_GB2312"/>
                <w:sz w:val="28"/>
                <w:szCs w:val="28"/>
              </w:rPr>
            </w:pPr>
            <w:r>
              <w:rPr>
                <w:rFonts w:eastAsia="仿宋_GB2312" w:hint="eastAsia"/>
                <w:sz w:val="28"/>
                <w:szCs w:val="28"/>
              </w:rPr>
              <w:t>基于错误阈值判断电极位置，可能放弃位置良好的电极，或保留接触不良的电极，导致术后失夺获。</w:t>
            </w:r>
          </w:p>
        </w:tc>
      </w:tr>
      <w:tr w:rsidR="005B4851" w14:paraId="16B2CA74" w14:textId="77777777">
        <w:trPr>
          <w:trHeight w:val="70"/>
          <w:jc w:val="center"/>
        </w:trPr>
        <w:tc>
          <w:tcPr>
            <w:tcW w:w="1549" w:type="dxa"/>
            <w:vMerge/>
            <w:tcBorders>
              <w:left w:val="single" w:sz="4" w:space="0" w:color="auto"/>
              <w:right w:val="single" w:sz="4" w:space="0" w:color="auto"/>
            </w:tcBorders>
            <w:vAlign w:val="center"/>
          </w:tcPr>
          <w:p w14:paraId="739F2B74"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7ABFB20"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sz w:val="28"/>
                <w:szCs w:val="21"/>
              </w:rPr>
              <w:t>起搏脉冲发放不稳定</w:t>
            </w:r>
          </w:p>
        </w:tc>
        <w:tc>
          <w:tcPr>
            <w:tcW w:w="4820" w:type="dxa"/>
            <w:tcBorders>
              <w:top w:val="single" w:sz="4" w:space="0" w:color="auto"/>
              <w:left w:val="single" w:sz="4" w:space="0" w:color="auto"/>
              <w:bottom w:val="single" w:sz="4" w:space="0" w:color="auto"/>
              <w:right w:val="single" w:sz="4" w:space="0" w:color="auto"/>
            </w:tcBorders>
          </w:tcPr>
          <w:p w14:paraId="751B163B"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脉冲发生电路中的电容充电不稳或切换开关异常，导致输出的脉冲幅度、脉宽不断变化。</w:t>
            </w:r>
          </w:p>
        </w:tc>
        <w:tc>
          <w:tcPr>
            <w:tcW w:w="3763" w:type="dxa"/>
            <w:tcBorders>
              <w:top w:val="single" w:sz="4" w:space="0" w:color="auto"/>
              <w:left w:val="single" w:sz="4" w:space="0" w:color="auto"/>
              <w:bottom w:val="single" w:sz="4" w:space="0" w:color="auto"/>
              <w:right w:val="single" w:sz="4" w:space="0" w:color="auto"/>
            </w:tcBorders>
          </w:tcPr>
          <w:p w14:paraId="30FE0F90" w14:textId="77777777" w:rsidR="005B4851" w:rsidRDefault="005D084F">
            <w:pPr>
              <w:spacing w:line="340" w:lineRule="exact"/>
              <w:rPr>
                <w:rFonts w:eastAsia="仿宋_GB2312"/>
                <w:sz w:val="28"/>
                <w:szCs w:val="28"/>
              </w:rPr>
            </w:pPr>
            <w:r>
              <w:rPr>
                <w:rFonts w:eastAsia="仿宋_GB2312" w:hint="eastAsia"/>
                <w:sz w:val="28"/>
                <w:szCs w:val="28"/>
              </w:rPr>
              <w:t>无法准确测定夺获阈值，医生难以判断电极真实性能，可能做出错误决策。</w:t>
            </w:r>
          </w:p>
        </w:tc>
      </w:tr>
      <w:tr w:rsidR="005B4851" w14:paraId="37171973" w14:textId="77777777">
        <w:trPr>
          <w:trHeight w:val="70"/>
          <w:jc w:val="center"/>
        </w:trPr>
        <w:tc>
          <w:tcPr>
            <w:tcW w:w="1549" w:type="dxa"/>
            <w:vMerge/>
            <w:tcBorders>
              <w:left w:val="single" w:sz="4" w:space="0" w:color="auto"/>
              <w:right w:val="single" w:sz="4" w:space="0" w:color="auto"/>
            </w:tcBorders>
            <w:vAlign w:val="center"/>
          </w:tcPr>
          <w:p w14:paraId="12D907B4"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60B242BE"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sz w:val="28"/>
                <w:szCs w:val="21"/>
              </w:rPr>
              <w:t>程序被电磁环境干扰导致参数异常修改或数据丢失</w:t>
            </w:r>
          </w:p>
        </w:tc>
        <w:tc>
          <w:tcPr>
            <w:tcW w:w="4820" w:type="dxa"/>
            <w:tcBorders>
              <w:top w:val="single" w:sz="4" w:space="0" w:color="auto"/>
              <w:left w:val="single" w:sz="4" w:space="0" w:color="auto"/>
              <w:bottom w:val="single" w:sz="4" w:space="0" w:color="auto"/>
              <w:right w:val="single" w:sz="4" w:space="0" w:color="auto"/>
            </w:tcBorders>
          </w:tcPr>
          <w:p w14:paraId="1D4E5D91"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强电磁干扰耦合到设备内部，导致运行参数被意外改写或测试数据丢失。</w:t>
            </w:r>
          </w:p>
        </w:tc>
        <w:tc>
          <w:tcPr>
            <w:tcW w:w="3763" w:type="dxa"/>
            <w:tcBorders>
              <w:top w:val="single" w:sz="4" w:space="0" w:color="auto"/>
              <w:left w:val="single" w:sz="4" w:space="0" w:color="auto"/>
              <w:bottom w:val="single" w:sz="4" w:space="0" w:color="auto"/>
              <w:right w:val="single" w:sz="4" w:space="0" w:color="auto"/>
            </w:tcBorders>
          </w:tcPr>
          <w:p w14:paraId="5B21788A" w14:textId="77777777" w:rsidR="005B4851" w:rsidRDefault="005D084F">
            <w:pPr>
              <w:spacing w:line="340" w:lineRule="exact"/>
              <w:rPr>
                <w:rFonts w:eastAsia="仿宋_GB2312"/>
                <w:sz w:val="28"/>
                <w:szCs w:val="28"/>
              </w:rPr>
            </w:pPr>
            <w:r>
              <w:rPr>
                <w:rFonts w:eastAsia="仿宋_GB2312" w:hint="eastAsia"/>
                <w:sz w:val="28"/>
                <w:szCs w:val="28"/>
              </w:rPr>
              <w:t>设置好的起搏参数被篡改，导致测试条件不符合临床需求。</w:t>
            </w:r>
          </w:p>
        </w:tc>
      </w:tr>
      <w:tr w:rsidR="005B4851" w14:paraId="7DAAED85"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075EA26A"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204AAB44" w14:textId="77777777" w:rsidR="005B4851" w:rsidRDefault="005D084F">
            <w:pPr>
              <w:snapToGrid w:val="0"/>
              <w:spacing w:line="380" w:lineRule="exact"/>
              <w:rPr>
                <w:rFonts w:eastAsia="仿宋_GB2312"/>
                <w:szCs w:val="28"/>
              </w:rPr>
            </w:pPr>
            <w:r>
              <w:rPr>
                <w:rFonts w:eastAsia="仿宋_GB2312"/>
                <w:sz w:val="28"/>
                <w:szCs w:val="28"/>
              </w:rPr>
              <w:t>软件修改未进行必要验证</w:t>
            </w:r>
          </w:p>
        </w:tc>
        <w:tc>
          <w:tcPr>
            <w:tcW w:w="4820" w:type="dxa"/>
            <w:tcBorders>
              <w:top w:val="single" w:sz="4" w:space="0" w:color="auto"/>
              <w:left w:val="single" w:sz="4" w:space="0" w:color="auto"/>
              <w:bottom w:val="single" w:sz="4" w:space="0" w:color="auto"/>
              <w:right w:val="single" w:sz="4" w:space="0" w:color="auto"/>
            </w:tcBorders>
          </w:tcPr>
          <w:p w14:paraId="7B4ADFFB" w14:textId="77777777" w:rsidR="005B4851" w:rsidRDefault="005D084F">
            <w:pPr>
              <w:spacing w:line="340" w:lineRule="exact"/>
              <w:rPr>
                <w:rFonts w:eastAsia="仿宋_GB2312"/>
                <w:szCs w:val="28"/>
              </w:rPr>
            </w:pPr>
            <w:r>
              <w:rPr>
                <w:rFonts w:eastAsia="仿宋_GB2312"/>
                <w:sz w:val="28"/>
                <w:szCs w:val="28"/>
              </w:rPr>
              <w:t>导致新引入的缺陷未被发现，直接部署至临床使用的设备中</w:t>
            </w:r>
          </w:p>
        </w:tc>
        <w:tc>
          <w:tcPr>
            <w:tcW w:w="3763" w:type="dxa"/>
            <w:tcBorders>
              <w:top w:val="single" w:sz="4" w:space="0" w:color="auto"/>
              <w:left w:val="single" w:sz="4" w:space="0" w:color="auto"/>
              <w:bottom w:val="single" w:sz="4" w:space="0" w:color="auto"/>
              <w:right w:val="single" w:sz="4" w:space="0" w:color="auto"/>
            </w:tcBorders>
          </w:tcPr>
          <w:p w14:paraId="7FF52150" w14:textId="77777777" w:rsidR="005B4851" w:rsidRDefault="005D084F">
            <w:pPr>
              <w:spacing w:line="340" w:lineRule="exact"/>
              <w:rPr>
                <w:rFonts w:eastAsia="仿宋_GB2312"/>
                <w:sz w:val="28"/>
                <w:szCs w:val="28"/>
              </w:rPr>
            </w:pPr>
            <w:proofErr w:type="gramStart"/>
            <w:r>
              <w:rPr>
                <w:rFonts w:eastAsia="仿宋_GB2312"/>
                <w:sz w:val="28"/>
                <w:szCs w:val="28"/>
              </w:rPr>
              <w:t>因软件</w:t>
            </w:r>
            <w:proofErr w:type="gramEnd"/>
            <w:r>
              <w:rPr>
                <w:rFonts w:eastAsia="仿宋_GB2312"/>
                <w:sz w:val="28"/>
                <w:szCs w:val="28"/>
              </w:rPr>
              <w:t>缺陷导致术中测试数据错误，医生依据错误数据判断电极植入位置，可能植入不合格电极，引发术后起搏</w:t>
            </w:r>
            <w:r>
              <w:rPr>
                <w:rFonts w:eastAsia="仿宋_GB2312"/>
                <w:sz w:val="28"/>
                <w:szCs w:val="28"/>
              </w:rPr>
              <w:t>/</w:t>
            </w:r>
            <w:r>
              <w:rPr>
                <w:rFonts w:eastAsia="仿宋_GB2312"/>
                <w:sz w:val="28"/>
                <w:szCs w:val="28"/>
              </w:rPr>
              <w:t>感知功能不良、需二次手术；极端情况下，起搏脉冲发放异常可能诱发心律失常。</w:t>
            </w:r>
          </w:p>
        </w:tc>
      </w:tr>
      <w:tr w:rsidR="005B4851" w14:paraId="3A318FFF" w14:textId="77777777">
        <w:trPr>
          <w:trHeight w:val="70"/>
          <w:jc w:val="center"/>
        </w:trPr>
        <w:tc>
          <w:tcPr>
            <w:tcW w:w="1549" w:type="dxa"/>
            <w:tcBorders>
              <w:top w:val="single" w:sz="4" w:space="0" w:color="auto"/>
              <w:left w:val="single" w:sz="4" w:space="0" w:color="auto"/>
              <w:bottom w:val="single" w:sz="4" w:space="0" w:color="auto"/>
              <w:right w:val="single" w:sz="4" w:space="0" w:color="auto"/>
            </w:tcBorders>
            <w:vAlign w:val="center"/>
          </w:tcPr>
          <w:p w14:paraId="73FBABF1"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174C617"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t>非预期使用（如将分析仪当作临时起搏器使用）</w:t>
            </w:r>
          </w:p>
        </w:tc>
        <w:tc>
          <w:tcPr>
            <w:tcW w:w="4820" w:type="dxa"/>
            <w:tcBorders>
              <w:top w:val="single" w:sz="4" w:space="0" w:color="auto"/>
              <w:left w:val="single" w:sz="4" w:space="0" w:color="auto"/>
              <w:bottom w:val="single" w:sz="4" w:space="0" w:color="auto"/>
              <w:right w:val="single" w:sz="4" w:space="0" w:color="auto"/>
            </w:tcBorders>
          </w:tcPr>
          <w:p w14:paraId="4CF7F871"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分析仪并无长期连续工作的可靠性设计。</w:t>
            </w:r>
          </w:p>
        </w:tc>
        <w:tc>
          <w:tcPr>
            <w:tcW w:w="3763" w:type="dxa"/>
            <w:tcBorders>
              <w:top w:val="single" w:sz="4" w:space="0" w:color="auto"/>
              <w:left w:val="single" w:sz="4" w:space="0" w:color="auto"/>
              <w:bottom w:val="single" w:sz="4" w:space="0" w:color="auto"/>
              <w:right w:val="single" w:sz="4" w:space="0" w:color="auto"/>
            </w:tcBorders>
          </w:tcPr>
          <w:p w14:paraId="7069F314" w14:textId="77777777" w:rsidR="005B4851" w:rsidRDefault="005D084F">
            <w:pPr>
              <w:spacing w:line="340" w:lineRule="exact"/>
              <w:rPr>
                <w:rFonts w:eastAsia="仿宋_GB2312"/>
                <w:sz w:val="28"/>
                <w:szCs w:val="28"/>
              </w:rPr>
            </w:pPr>
            <w:r>
              <w:rPr>
                <w:rFonts w:eastAsia="仿宋_GB2312" w:hint="eastAsia"/>
                <w:sz w:val="28"/>
                <w:szCs w:val="28"/>
              </w:rPr>
              <w:t>设备可能因过热、电量耗尽或输出不稳导致起搏中断，造成心脏停搏。</w:t>
            </w:r>
          </w:p>
        </w:tc>
      </w:tr>
      <w:tr w:rsidR="005B4851" w14:paraId="39E67B9C"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012420F2" w14:textId="77777777" w:rsidR="005B4851" w:rsidRDefault="005D084F">
            <w:pPr>
              <w:spacing w:line="340" w:lineRule="exact"/>
              <w:rPr>
                <w:rFonts w:eastAsia="仿宋_GB2312"/>
                <w:color w:val="000000"/>
                <w:sz w:val="28"/>
                <w:szCs w:val="28"/>
              </w:rPr>
            </w:pPr>
            <w:r>
              <w:rPr>
                <w:rFonts w:eastAsia="仿宋_GB2312" w:hint="eastAsia"/>
                <w:color w:val="000000"/>
                <w:sz w:val="28"/>
                <w:szCs w:val="28"/>
              </w:rPr>
              <w:t>操作危害（使用错</w:t>
            </w:r>
            <w:r>
              <w:rPr>
                <w:rFonts w:eastAsia="仿宋_GB2312" w:hint="eastAsia"/>
                <w:color w:val="000000"/>
                <w:sz w:val="28"/>
                <w:szCs w:val="28"/>
              </w:rPr>
              <w:lastRenderedPageBreak/>
              <w:t>误）</w:t>
            </w:r>
          </w:p>
        </w:tc>
        <w:tc>
          <w:tcPr>
            <w:tcW w:w="4883" w:type="dxa"/>
            <w:tcBorders>
              <w:top w:val="single" w:sz="4" w:space="0" w:color="auto"/>
              <w:left w:val="single" w:sz="4" w:space="0" w:color="auto"/>
              <w:bottom w:val="single" w:sz="4" w:space="0" w:color="auto"/>
              <w:right w:val="single" w:sz="4" w:space="0" w:color="auto"/>
            </w:tcBorders>
          </w:tcPr>
          <w:p w14:paraId="6C28B102" w14:textId="77777777" w:rsidR="005B4851" w:rsidRDefault="005D084F">
            <w:pPr>
              <w:snapToGrid w:val="0"/>
              <w:spacing w:line="380" w:lineRule="exact"/>
              <w:rPr>
                <w:rStyle w:val="f101"/>
                <w:rFonts w:ascii="仿宋" w:eastAsia="仿宋" w:hAnsi="仿宋"/>
                <w:sz w:val="28"/>
                <w:szCs w:val="21"/>
              </w:rPr>
            </w:pPr>
            <w:r>
              <w:rPr>
                <w:rStyle w:val="f101"/>
                <w:rFonts w:ascii="仿宋" w:eastAsia="仿宋" w:hAnsi="仿宋" w:hint="eastAsia"/>
                <w:sz w:val="28"/>
                <w:szCs w:val="21"/>
              </w:rPr>
              <w:lastRenderedPageBreak/>
              <w:t>患者导线极性接错</w:t>
            </w:r>
          </w:p>
        </w:tc>
        <w:tc>
          <w:tcPr>
            <w:tcW w:w="4820" w:type="dxa"/>
            <w:tcBorders>
              <w:top w:val="single" w:sz="4" w:space="0" w:color="auto"/>
              <w:left w:val="single" w:sz="4" w:space="0" w:color="auto"/>
              <w:bottom w:val="single" w:sz="4" w:space="0" w:color="auto"/>
              <w:right w:val="single" w:sz="4" w:space="0" w:color="auto"/>
            </w:tcBorders>
          </w:tcPr>
          <w:p w14:paraId="06F117AA" w14:textId="77777777" w:rsidR="005B4851" w:rsidRDefault="005D084F">
            <w:pPr>
              <w:spacing w:line="340" w:lineRule="exact"/>
              <w:rPr>
                <w:rStyle w:val="f101"/>
                <w:rFonts w:ascii="仿宋" w:eastAsia="仿宋" w:hAnsi="仿宋"/>
                <w:sz w:val="28"/>
                <w:szCs w:val="21"/>
              </w:rPr>
            </w:pPr>
            <w:r>
              <w:rPr>
                <w:rStyle w:val="f101"/>
                <w:rFonts w:ascii="仿宋" w:eastAsia="仿宋" w:hAnsi="仿宋" w:hint="eastAsia"/>
                <w:sz w:val="28"/>
                <w:szCs w:val="21"/>
              </w:rPr>
              <w:t>阴极和阳极连接错误，起搏阈值将显著升高，且夺获波形异常。</w:t>
            </w:r>
          </w:p>
        </w:tc>
        <w:tc>
          <w:tcPr>
            <w:tcW w:w="3763" w:type="dxa"/>
            <w:tcBorders>
              <w:top w:val="single" w:sz="4" w:space="0" w:color="auto"/>
              <w:left w:val="single" w:sz="4" w:space="0" w:color="auto"/>
              <w:bottom w:val="single" w:sz="4" w:space="0" w:color="auto"/>
              <w:right w:val="single" w:sz="4" w:space="0" w:color="auto"/>
            </w:tcBorders>
          </w:tcPr>
          <w:p w14:paraId="6C7129A8" w14:textId="77777777" w:rsidR="005B4851" w:rsidRDefault="005D084F">
            <w:pPr>
              <w:spacing w:line="340" w:lineRule="exact"/>
              <w:rPr>
                <w:rFonts w:eastAsia="仿宋_GB2312"/>
                <w:sz w:val="28"/>
                <w:szCs w:val="28"/>
              </w:rPr>
            </w:pPr>
            <w:r>
              <w:rPr>
                <w:rFonts w:eastAsia="仿宋_GB2312" w:hint="eastAsia"/>
                <w:sz w:val="28"/>
                <w:szCs w:val="28"/>
              </w:rPr>
              <w:t>医生可能因阈值虚高而误判电极位置不良，不必要的调整</w:t>
            </w:r>
            <w:r>
              <w:rPr>
                <w:rFonts w:eastAsia="仿宋_GB2312" w:hint="eastAsia"/>
                <w:sz w:val="28"/>
                <w:szCs w:val="28"/>
              </w:rPr>
              <w:lastRenderedPageBreak/>
              <w:t>加重心肌创伤；阳极刺激可能导致膈肌抽搐</w:t>
            </w:r>
          </w:p>
        </w:tc>
      </w:tr>
      <w:tr w:rsidR="005B4851" w14:paraId="59BF2323" w14:textId="77777777">
        <w:trPr>
          <w:trHeight w:val="70"/>
          <w:jc w:val="center"/>
        </w:trPr>
        <w:tc>
          <w:tcPr>
            <w:tcW w:w="1549" w:type="dxa"/>
            <w:vMerge/>
            <w:tcBorders>
              <w:left w:val="single" w:sz="4" w:space="0" w:color="auto"/>
              <w:right w:val="single" w:sz="4" w:space="0" w:color="auto"/>
            </w:tcBorders>
            <w:vAlign w:val="center"/>
          </w:tcPr>
          <w:p w14:paraId="4C6B06A8"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1B9B333C" w14:textId="77777777" w:rsidR="005B4851" w:rsidRDefault="005D084F">
            <w:pPr>
              <w:spacing w:line="340" w:lineRule="exact"/>
              <w:rPr>
                <w:rFonts w:eastAsia="仿宋_GB2312"/>
                <w:sz w:val="28"/>
                <w:szCs w:val="28"/>
              </w:rPr>
            </w:pPr>
            <w:r>
              <w:rPr>
                <w:rFonts w:eastAsia="仿宋_GB2312" w:hint="eastAsia"/>
                <w:sz w:val="28"/>
                <w:szCs w:val="28"/>
              </w:rPr>
              <w:t>用户设置起搏频率过高或过低</w:t>
            </w:r>
          </w:p>
        </w:tc>
        <w:tc>
          <w:tcPr>
            <w:tcW w:w="4820" w:type="dxa"/>
            <w:tcBorders>
              <w:top w:val="single" w:sz="4" w:space="0" w:color="auto"/>
              <w:left w:val="single" w:sz="4" w:space="0" w:color="auto"/>
              <w:bottom w:val="single" w:sz="4" w:space="0" w:color="auto"/>
              <w:right w:val="single" w:sz="4" w:space="0" w:color="auto"/>
            </w:tcBorders>
          </w:tcPr>
          <w:p w14:paraId="62B8D08D" w14:textId="77777777" w:rsidR="005B4851" w:rsidRDefault="005D084F">
            <w:pPr>
              <w:spacing w:line="340" w:lineRule="exact"/>
              <w:rPr>
                <w:rFonts w:eastAsia="仿宋_GB2312"/>
                <w:sz w:val="28"/>
                <w:szCs w:val="28"/>
              </w:rPr>
            </w:pPr>
            <w:r>
              <w:rPr>
                <w:rFonts w:eastAsia="仿宋_GB2312" w:hint="eastAsia"/>
                <w:sz w:val="28"/>
                <w:szCs w:val="28"/>
              </w:rPr>
              <w:t>设定值远高于患者自身心率，或低于必要支持频率</w:t>
            </w:r>
          </w:p>
        </w:tc>
        <w:tc>
          <w:tcPr>
            <w:tcW w:w="3763" w:type="dxa"/>
            <w:tcBorders>
              <w:top w:val="single" w:sz="4" w:space="0" w:color="auto"/>
              <w:left w:val="single" w:sz="4" w:space="0" w:color="auto"/>
              <w:bottom w:val="single" w:sz="4" w:space="0" w:color="auto"/>
              <w:right w:val="single" w:sz="4" w:space="0" w:color="auto"/>
            </w:tcBorders>
          </w:tcPr>
          <w:p w14:paraId="28C1E752" w14:textId="77777777" w:rsidR="005B4851" w:rsidRDefault="005D084F">
            <w:pPr>
              <w:spacing w:line="340" w:lineRule="exact"/>
              <w:rPr>
                <w:rFonts w:eastAsia="仿宋_GB2312"/>
                <w:sz w:val="28"/>
                <w:szCs w:val="28"/>
              </w:rPr>
            </w:pPr>
            <w:r>
              <w:rPr>
                <w:rFonts w:eastAsia="仿宋_GB2312" w:hint="eastAsia"/>
                <w:sz w:val="28"/>
                <w:szCs w:val="28"/>
              </w:rPr>
              <w:t>频率过高可能导致心动过速、血流动力学不稳；频率过低则支持不足，患者不适。</w:t>
            </w:r>
          </w:p>
        </w:tc>
      </w:tr>
      <w:tr w:rsidR="005B4851" w14:paraId="20341211"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2BA6A511" w14:textId="77777777" w:rsidR="005B4851" w:rsidRDefault="005B4851">
            <w:pPr>
              <w:spacing w:line="340" w:lineRule="exact"/>
              <w:rPr>
                <w:rFonts w:eastAsia="仿宋_GB2312"/>
                <w:color w:val="000000"/>
                <w:sz w:val="28"/>
                <w:szCs w:val="28"/>
              </w:rPr>
            </w:pPr>
          </w:p>
        </w:tc>
        <w:tc>
          <w:tcPr>
            <w:tcW w:w="4883" w:type="dxa"/>
            <w:tcBorders>
              <w:top w:val="single" w:sz="4" w:space="0" w:color="auto"/>
              <w:left w:val="single" w:sz="4" w:space="0" w:color="auto"/>
              <w:bottom w:val="single" w:sz="4" w:space="0" w:color="auto"/>
              <w:right w:val="single" w:sz="4" w:space="0" w:color="auto"/>
            </w:tcBorders>
          </w:tcPr>
          <w:p w14:paraId="2CAD4064" w14:textId="77777777" w:rsidR="005B4851" w:rsidRDefault="005D084F">
            <w:pPr>
              <w:spacing w:line="340" w:lineRule="exact"/>
              <w:rPr>
                <w:rFonts w:eastAsia="仿宋_GB2312"/>
                <w:sz w:val="28"/>
                <w:szCs w:val="28"/>
              </w:rPr>
            </w:pPr>
            <w:r>
              <w:rPr>
                <w:rFonts w:eastAsia="仿宋_GB2312" w:hint="eastAsia"/>
                <w:sz w:val="28"/>
                <w:szCs w:val="28"/>
              </w:rPr>
              <w:t>用户误触发按键、旋钮</w:t>
            </w:r>
          </w:p>
        </w:tc>
        <w:tc>
          <w:tcPr>
            <w:tcW w:w="4820" w:type="dxa"/>
            <w:tcBorders>
              <w:top w:val="single" w:sz="4" w:space="0" w:color="auto"/>
              <w:left w:val="single" w:sz="4" w:space="0" w:color="auto"/>
              <w:bottom w:val="single" w:sz="4" w:space="0" w:color="auto"/>
              <w:right w:val="single" w:sz="4" w:space="0" w:color="auto"/>
            </w:tcBorders>
          </w:tcPr>
          <w:p w14:paraId="181935C8" w14:textId="77777777" w:rsidR="005B4851" w:rsidRDefault="005D084F">
            <w:pPr>
              <w:spacing w:line="340" w:lineRule="exact"/>
              <w:rPr>
                <w:rFonts w:eastAsia="仿宋_GB2312"/>
                <w:sz w:val="28"/>
                <w:szCs w:val="28"/>
              </w:rPr>
            </w:pPr>
            <w:r>
              <w:rPr>
                <w:rFonts w:eastAsia="仿宋_GB2312" w:hint="eastAsia"/>
                <w:sz w:val="28"/>
                <w:szCs w:val="28"/>
              </w:rPr>
              <w:t>意外改变起搏频率、输出幅度或关闭感知功能。</w:t>
            </w:r>
          </w:p>
        </w:tc>
        <w:tc>
          <w:tcPr>
            <w:tcW w:w="3763" w:type="dxa"/>
            <w:tcBorders>
              <w:top w:val="single" w:sz="4" w:space="0" w:color="auto"/>
              <w:left w:val="single" w:sz="4" w:space="0" w:color="auto"/>
              <w:bottom w:val="single" w:sz="4" w:space="0" w:color="auto"/>
              <w:right w:val="single" w:sz="4" w:space="0" w:color="auto"/>
            </w:tcBorders>
          </w:tcPr>
          <w:p w14:paraId="2C5B9870" w14:textId="77777777" w:rsidR="005B4851" w:rsidRDefault="005D084F">
            <w:pPr>
              <w:spacing w:line="340" w:lineRule="exact"/>
              <w:rPr>
                <w:rFonts w:eastAsia="仿宋_GB2312"/>
                <w:sz w:val="28"/>
                <w:szCs w:val="28"/>
              </w:rPr>
            </w:pPr>
            <w:r>
              <w:rPr>
                <w:rFonts w:eastAsia="仿宋_GB2312" w:hint="eastAsia"/>
                <w:sz w:val="28"/>
                <w:szCs w:val="28"/>
              </w:rPr>
              <w:t>起搏参数突变造成血流动力学波动；关闭感知可能导致固定频率起搏与自身心律竞争，诱发心律失常。</w:t>
            </w:r>
          </w:p>
        </w:tc>
      </w:tr>
      <w:tr w:rsidR="005B4851" w14:paraId="108D1FA1"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31DA636C" w14:textId="77777777" w:rsidR="005B4851" w:rsidRDefault="005D084F">
            <w:pPr>
              <w:spacing w:line="340" w:lineRule="exact"/>
              <w:rPr>
                <w:rFonts w:eastAsia="仿宋_GB2312"/>
                <w:sz w:val="28"/>
                <w:szCs w:val="28"/>
              </w:rPr>
            </w:pPr>
            <w:r>
              <w:rPr>
                <w:rFonts w:eastAsia="仿宋_GB2312" w:hint="eastAsia"/>
                <w:sz w:val="28"/>
                <w:szCs w:val="28"/>
              </w:rPr>
              <w:t>信息危害（标记和说明）</w:t>
            </w:r>
          </w:p>
        </w:tc>
        <w:tc>
          <w:tcPr>
            <w:tcW w:w="4883" w:type="dxa"/>
            <w:tcBorders>
              <w:top w:val="single" w:sz="4" w:space="0" w:color="auto"/>
              <w:left w:val="single" w:sz="4" w:space="0" w:color="auto"/>
              <w:bottom w:val="single" w:sz="4" w:space="0" w:color="auto"/>
              <w:right w:val="single" w:sz="4" w:space="0" w:color="auto"/>
            </w:tcBorders>
          </w:tcPr>
          <w:p w14:paraId="30EA7D20" w14:textId="77777777" w:rsidR="005B4851" w:rsidRDefault="005D084F">
            <w:pPr>
              <w:spacing w:line="340" w:lineRule="exact"/>
              <w:rPr>
                <w:rFonts w:eastAsia="仿宋_GB2312"/>
                <w:sz w:val="28"/>
                <w:szCs w:val="28"/>
              </w:rPr>
            </w:pPr>
            <w:r>
              <w:rPr>
                <w:rFonts w:eastAsia="仿宋_GB2312" w:hint="eastAsia"/>
                <w:sz w:val="28"/>
                <w:szCs w:val="28"/>
              </w:rPr>
              <w:t>操作说明书描述不完整、不清晰</w:t>
            </w:r>
          </w:p>
        </w:tc>
        <w:tc>
          <w:tcPr>
            <w:tcW w:w="4820" w:type="dxa"/>
            <w:tcBorders>
              <w:top w:val="single" w:sz="4" w:space="0" w:color="auto"/>
              <w:left w:val="single" w:sz="4" w:space="0" w:color="auto"/>
              <w:bottom w:val="single" w:sz="4" w:space="0" w:color="auto"/>
              <w:right w:val="single" w:sz="4" w:space="0" w:color="auto"/>
            </w:tcBorders>
          </w:tcPr>
          <w:p w14:paraId="63B369D4" w14:textId="77777777" w:rsidR="005B4851" w:rsidRDefault="005D084F">
            <w:pPr>
              <w:spacing w:line="340" w:lineRule="exact"/>
              <w:rPr>
                <w:rFonts w:eastAsia="仿宋_GB2312"/>
                <w:sz w:val="28"/>
                <w:szCs w:val="28"/>
              </w:rPr>
            </w:pPr>
            <w:r>
              <w:rPr>
                <w:rFonts w:eastAsia="仿宋_GB2312" w:hint="eastAsia"/>
                <w:sz w:val="28"/>
                <w:szCs w:val="28"/>
              </w:rPr>
              <w:t>说明书中缺少连接步骤、测试流程或参数设置范围的明确说明，导致使用者凭经验或猜测操作。</w:t>
            </w:r>
          </w:p>
        </w:tc>
        <w:tc>
          <w:tcPr>
            <w:tcW w:w="3763" w:type="dxa"/>
            <w:tcBorders>
              <w:top w:val="single" w:sz="4" w:space="0" w:color="auto"/>
              <w:left w:val="single" w:sz="4" w:space="0" w:color="auto"/>
              <w:bottom w:val="single" w:sz="4" w:space="0" w:color="auto"/>
              <w:right w:val="single" w:sz="4" w:space="0" w:color="auto"/>
            </w:tcBorders>
          </w:tcPr>
          <w:p w14:paraId="73601AE2" w14:textId="77777777" w:rsidR="005B4851" w:rsidRDefault="005D084F">
            <w:pPr>
              <w:spacing w:line="340" w:lineRule="exact"/>
              <w:rPr>
                <w:rFonts w:eastAsia="仿宋_GB2312"/>
                <w:sz w:val="28"/>
                <w:szCs w:val="28"/>
              </w:rPr>
            </w:pPr>
            <w:r>
              <w:rPr>
                <w:rFonts w:eastAsia="仿宋_GB2312" w:hint="eastAsia"/>
                <w:sz w:val="28"/>
                <w:szCs w:val="28"/>
              </w:rPr>
              <w:t>操作错误导致测试无效或设备损坏。患者因错误操作造成术中误判。</w:t>
            </w:r>
          </w:p>
        </w:tc>
      </w:tr>
      <w:tr w:rsidR="005B4851" w14:paraId="215FAAA5"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58520016"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7EFAA7BE" w14:textId="77777777" w:rsidR="005B4851" w:rsidRDefault="005D084F">
            <w:pPr>
              <w:spacing w:line="340" w:lineRule="exact"/>
              <w:rPr>
                <w:rFonts w:eastAsia="仿宋_GB2312"/>
                <w:sz w:val="28"/>
                <w:szCs w:val="28"/>
              </w:rPr>
            </w:pPr>
            <w:r>
              <w:rPr>
                <w:rFonts w:eastAsia="仿宋_GB2312" w:hint="eastAsia"/>
                <w:sz w:val="28"/>
                <w:szCs w:val="28"/>
              </w:rPr>
              <w:t>性能特征描述不适当，误导操作者预期</w:t>
            </w:r>
          </w:p>
        </w:tc>
        <w:tc>
          <w:tcPr>
            <w:tcW w:w="4820" w:type="dxa"/>
            <w:tcBorders>
              <w:top w:val="single" w:sz="4" w:space="0" w:color="auto"/>
              <w:left w:val="single" w:sz="4" w:space="0" w:color="auto"/>
              <w:bottom w:val="single" w:sz="4" w:space="0" w:color="auto"/>
              <w:right w:val="single" w:sz="4" w:space="0" w:color="auto"/>
            </w:tcBorders>
          </w:tcPr>
          <w:p w14:paraId="2B30EE0A" w14:textId="77777777" w:rsidR="005B4851" w:rsidRDefault="005D084F">
            <w:pPr>
              <w:spacing w:line="340" w:lineRule="exact"/>
              <w:rPr>
                <w:rFonts w:eastAsia="仿宋_GB2312"/>
                <w:sz w:val="28"/>
                <w:szCs w:val="28"/>
              </w:rPr>
            </w:pPr>
            <w:r>
              <w:rPr>
                <w:rFonts w:eastAsia="仿宋_GB2312" w:hint="eastAsia"/>
                <w:sz w:val="28"/>
                <w:szCs w:val="28"/>
              </w:rPr>
              <w:t>说明书误导测量精度或功能范围，或未说明工作条件限制，导致医生在不适用的场合下使用设备</w:t>
            </w:r>
          </w:p>
        </w:tc>
        <w:tc>
          <w:tcPr>
            <w:tcW w:w="3763" w:type="dxa"/>
            <w:tcBorders>
              <w:top w:val="single" w:sz="4" w:space="0" w:color="auto"/>
              <w:left w:val="single" w:sz="4" w:space="0" w:color="auto"/>
              <w:bottom w:val="single" w:sz="4" w:space="0" w:color="auto"/>
              <w:right w:val="single" w:sz="4" w:space="0" w:color="auto"/>
            </w:tcBorders>
          </w:tcPr>
          <w:p w14:paraId="7652BA63" w14:textId="77777777" w:rsidR="005B4851" w:rsidRDefault="005D084F">
            <w:pPr>
              <w:spacing w:line="340" w:lineRule="exact"/>
              <w:rPr>
                <w:rFonts w:eastAsia="仿宋_GB2312"/>
                <w:sz w:val="28"/>
                <w:szCs w:val="28"/>
              </w:rPr>
            </w:pPr>
            <w:r>
              <w:rPr>
                <w:rFonts w:eastAsia="仿宋_GB2312" w:hint="eastAsia"/>
                <w:sz w:val="28"/>
                <w:szCs w:val="28"/>
              </w:rPr>
              <w:t>基于错误的产品能力预期做出临床决策，设备在非适用条件下测量不准，导致错误治疗。</w:t>
            </w:r>
          </w:p>
        </w:tc>
      </w:tr>
      <w:tr w:rsidR="005B4851" w14:paraId="02212300"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03E88676" w14:textId="77777777" w:rsidR="005B4851" w:rsidRDefault="005D084F">
            <w:pPr>
              <w:spacing w:line="340" w:lineRule="exact"/>
              <w:rPr>
                <w:rFonts w:eastAsia="仿宋_GB2312"/>
                <w:sz w:val="28"/>
                <w:szCs w:val="28"/>
              </w:rPr>
            </w:pPr>
            <w:r>
              <w:rPr>
                <w:rFonts w:eastAsia="仿宋_GB2312" w:hint="eastAsia"/>
                <w:sz w:val="28"/>
                <w:szCs w:val="28"/>
              </w:rPr>
              <w:t>信息危害（</w:t>
            </w:r>
            <w:r>
              <w:rPr>
                <w:rFonts w:eastAsia="仿宋_GB2312"/>
                <w:sz w:val="28"/>
                <w:szCs w:val="28"/>
              </w:rPr>
              <w:t>服务和维护</w:t>
            </w:r>
            <w:r>
              <w:rPr>
                <w:rFonts w:eastAsia="仿宋_GB2312" w:hint="eastAsia"/>
                <w:sz w:val="28"/>
                <w:szCs w:val="28"/>
              </w:rPr>
              <w:t>）</w:t>
            </w:r>
          </w:p>
        </w:tc>
        <w:tc>
          <w:tcPr>
            <w:tcW w:w="4883" w:type="dxa"/>
            <w:tcBorders>
              <w:top w:val="single" w:sz="4" w:space="0" w:color="auto"/>
              <w:left w:val="single" w:sz="4" w:space="0" w:color="auto"/>
              <w:bottom w:val="single" w:sz="4" w:space="0" w:color="auto"/>
              <w:right w:val="single" w:sz="4" w:space="0" w:color="auto"/>
            </w:tcBorders>
          </w:tcPr>
          <w:p w14:paraId="5B846737" w14:textId="77777777" w:rsidR="005B4851" w:rsidRDefault="005D084F">
            <w:pPr>
              <w:spacing w:line="340" w:lineRule="exact"/>
              <w:rPr>
                <w:rFonts w:eastAsia="仿宋_GB2312"/>
                <w:sz w:val="28"/>
                <w:szCs w:val="28"/>
              </w:rPr>
            </w:pPr>
            <w:r>
              <w:rPr>
                <w:rFonts w:eastAsia="仿宋_GB2312"/>
                <w:sz w:val="28"/>
                <w:szCs w:val="28"/>
              </w:rPr>
              <w:t>说明书中未提供校准程序或校准周期要求</w:t>
            </w:r>
          </w:p>
        </w:tc>
        <w:tc>
          <w:tcPr>
            <w:tcW w:w="4820" w:type="dxa"/>
            <w:tcBorders>
              <w:top w:val="single" w:sz="4" w:space="0" w:color="auto"/>
              <w:left w:val="single" w:sz="4" w:space="0" w:color="auto"/>
              <w:bottom w:val="single" w:sz="4" w:space="0" w:color="auto"/>
              <w:right w:val="single" w:sz="4" w:space="0" w:color="auto"/>
            </w:tcBorders>
          </w:tcPr>
          <w:p w14:paraId="4B922569" w14:textId="77777777" w:rsidR="005B4851" w:rsidRDefault="005D084F">
            <w:pPr>
              <w:spacing w:line="340" w:lineRule="exact"/>
              <w:rPr>
                <w:rFonts w:eastAsia="仿宋_GB2312"/>
                <w:sz w:val="28"/>
                <w:szCs w:val="28"/>
              </w:rPr>
            </w:pPr>
            <w:r>
              <w:rPr>
                <w:rFonts w:eastAsia="仿宋_GB2312"/>
                <w:sz w:val="28"/>
                <w:szCs w:val="28"/>
              </w:rPr>
              <w:t>导致长期使用后测量偏差累积。</w:t>
            </w:r>
          </w:p>
        </w:tc>
        <w:tc>
          <w:tcPr>
            <w:tcW w:w="3763" w:type="dxa"/>
            <w:tcBorders>
              <w:top w:val="single" w:sz="4" w:space="0" w:color="auto"/>
              <w:left w:val="single" w:sz="4" w:space="0" w:color="auto"/>
              <w:bottom w:val="single" w:sz="4" w:space="0" w:color="auto"/>
              <w:right w:val="single" w:sz="4" w:space="0" w:color="auto"/>
            </w:tcBorders>
          </w:tcPr>
          <w:p w14:paraId="093B6D95" w14:textId="77777777" w:rsidR="005B4851" w:rsidRDefault="005D084F">
            <w:pPr>
              <w:spacing w:line="340" w:lineRule="exact"/>
              <w:rPr>
                <w:rFonts w:eastAsia="仿宋_GB2312"/>
                <w:sz w:val="28"/>
                <w:szCs w:val="28"/>
              </w:rPr>
            </w:pPr>
            <w:r>
              <w:rPr>
                <w:rFonts w:eastAsia="仿宋_GB2312"/>
                <w:sz w:val="28"/>
                <w:szCs w:val="28"/>
              </w:rPr>
              <w:t>使用失准设备进行临床测试，数据整体偏移。多例手术的电极评估均基于错误数据，可能造成大批量电极植入不良。</w:t>
            </w:r>
          </w:p>
        </w:tc>
      </w:tr>
      <w:tr w:rsidR="005B4851" w14:paraId="355BC2A1"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3F02CE74"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15214B07" w14:textId="77777777" w:rsidR="005B4851" w:rsidRDefault="005D084F">
            <w:pPr>
              <w:spacing w:line="340" w:lineRule="exact"/>
              <w:rPr>
                <w:rFonts w:eastAsia="仿宋_GB2312"/>
                <w:sz w:val="28"/>
                <w:szCs w:val="28"/>
              </w:rPr>
            </w:pPr>
            <w:r>
              <w:rPr>
                <w:rFonts w:eastAsia="仿宋_GB2312"/>
                <w:sz w:val="28"/>
                <w:szCs w:val="28"/>
              </w:rPr>
              <w:t>未提供定期维护和检查要求</w:t>
            </w:r>
          </w:p>
        </w:tc>
        <w:tc>
          <w:tcPr>
            <w:tcW w:w="4820" w:type="dxa"/>
            <w:tcBorders>
              <w:top w:val="single" w:sz="4" w:space="0" w:color="auto"/>
              <w:left w:val="single" w:sz="4" w:space="0" w:color="auto"/>
              <w:bottom w:val="single" w:sz="4" w:space="0" w:color="auto"/>
              <w:right w:val="single" w:sz="4" w:space="0" w:color="auto"/>
            </w:tcBorders>
          </w:tcPr>
          <w:p w14:paraId="75CBB883" w14:textId="77777777" w:rsidR="005B4851" w:rsidRDefault="005D084F">
            <w:pPr>
              <w:spacing w:line="340" w:lineRule="exact"/>
              <w:rPr>
                <w:rFonts w:eastAsia="仿宋_GB2312"/>
                <w:sz w:val="28"/>
                <w:szCs w:val="28"/>
              </w:rPr>
            </w:pPr>
            <w:r>
              <w:rPr>
                <w:rFonts w:eastAsia="仿宋_GB2312"/>
                <w:sz w:val="28"/>
                <w:szCs w:val="28"/>
              </w:rPr>
              <w:t>说明书缺少定期清洁、检查电缆完好性、电池</w:t>
            </w:r>
            <w:proofErr w:type="gramStart"/>
            <w:r>
              <w:rPr>
                <w:rFonts w:eastAsia="仿宋_GB2312"/>
                <w:sz w:val="28"/>
                <w:szCs w:val="28"/>
              </w:rPr>
              <w:t>仓检查</w:t>
            </w:r>
            <w:proofErr w:type="gramEnd"/>
            <w:r>
              <w:rPr>
                <w:rFonts w:eastAsia="仿宋_GB2312"/>
                <w:sz w:val="28"/>
                <w:szCs w:val="28"/>
              </w:rPr>
              <w:t>等保养要求，设备处于疏于维护的状态。</w:t>
            </w:r>
          </w:p>
        </w:tc>
        <w:tc>
          <w:tcPr>
            <w:tcW w:w="3763" w:type="dxa"/>
            <w:tcBorders>
              <w:top w:val="single" w:sz="4" w:space="0" w:color="auto"/>
              <w:left w:val="single" w:sz="4" w:space="0" w:color="auto"/>
              <w:bottom w:val="single" w:sz="4" w:space="0" w:color="auto"/>
              <w:right w:val="single" w:sz="4" w:space="0" w:color="auto"/>
            </w:tcBorders>
          </w:tcPr>
          <w:p w14:paraId="0FF6A9E1" w14:textId="77777777" w:rsidR="005B4851" w:rsidRDefault="005D084F">
            <w:pPr>
              <w:spacing w:line="340" w:lineRule="exact"/>
              <w:rPr>
                <w:rFonts w:eastAsia="仿宋_GB2312"/>
                <w:sz w:val="28"/>
                <w:szCs w:val="28"/>
              </w:rPr>
            </w:pPr>
            <w:r>
              <w:rPr>
                <w:rFonts w:eastAsia="仿宋_GB2312"/>
                <w:sz w:val="28"/>
                <w:szCs w:val="28"/>
              </w:rPr>
              <w:t>术中使用时突然暴露</w:t>
            </w:r>
            <w:r>
              <w:rPr>
                <w:rFonts w:eastAsia="仿宋_GB2312" w:hint="eastAsia"/>
                <w:sz w:val="28"/>
                <w:szCs w:val="28"/>
              </w:rPr>
              <w:t>问题</w:t>
            </w:r>
            <w:r>
              <w:rPr>
                <w:rFonts w:eastAsia="仿宋_GB2312"/>
                <w:sz w:val="28"/>
                <w:szCs w:val="28"/>
              </w:rPr>
              <w:t>，导致手术中断。</w:t>
            </w:r>
          </w:p>
        </w:tc>
      </w:tr>
      <w:tr w:rsidR="005B4851" w14:paraId="04804D8B"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61395C9D" w14:textId="77777777" w:rsidR="005B4851" w:rsidRDefault="005D084F">
            <w:pPr>
              <w:spacing w:line="340" w:lineRule="exact"/>
              <w:rPr>
                <w:rFonts w:eastAsia="仿宋_GB2312"/>
                <w:sz w:val="28"/>
                <w:szCs w:val="28"/>
              </w:rPr>
            </w:pPr>
            <w:r>
              <w:rPr>
                <w:rFonts w:eastAsia="仿宋_GB2312"/>
                <w:sz w:val="28"/>
                <w:szCs w:val="28"/>
              </w:rPr>
              <w:lastRenderedPageBreak/>
              <w:t>与医疗器械使用环境有关的危害</w:t>
            </w:r>
          </w:p>
        </w:tc>
        <w:tc>
          <w:tcPr>
            <w:tcW w:w="4883" w:type="dxa"/>
            <w:tcBorders>
              <w:top w:val="single" w:sz="4" w:space="0" w:color="auto"/>
              <w:left w:val="single" w:sz="4" w:space="0" w:color="auto"/>
              <w:bottom w:val="single" w:sz="4" w:space="0" w:color="auto"/>
              <w:right w:val="single" w:sz="4" w:space="0" w:color="auto"/>
            </w:tcBorders>
          </w:tcPr>
          <w:p w14:paraId="1F3AA6A4" w14:textId="77777777" w:rsidR="005B4851" w:rsidRDefault="005D084F">
            <w:pPr>
              <w:spacing w:line="340" w:lineRule="exact"/>
              <w:rPr>
                <w:rFonts w:eastAsia="仿宋_GB2312"/>
                <w:sz w:val="28"/>
                <w:szCs w:val="28"/>
              </w:rPr>
            </w:pPr>
            <w:r>
              <w:rPr>
                <w:rFonts w:eastAsia="仿宋_GB2312"/>
                <w:sz w:val="28"/>
                <w:szCs w:val="28"/>
              </w:rPr>
              <w:t>不恰当的包装</w:t>
            </w:r>
          </w:p>
        </w:tc>
        <w:tc>
          <w:tcPr>
            <w:tcW w:w="4820" w:type="dxa"/>
            <w:tcBorders>
              <w:top w:val="single" w:sz="4" w:space="0" w:color="auto"/>
              <w:left w:val="single" w:sz="4" w:space="0" w:color="auto"/>
              <w:bottom w:val="single" w:sz="4" w:space="0" w:color="auto"/>
              <w:right w:val="single" w:sz="4" w:space="0" w:color="auto"/>
            </w:tcBorders>
          </w:tcPr>
          <w:p w14:paraId="5A0EED53" w14:textId="77777777" w:rsidR="005B4851" w:rsidRDefault="005D084F">
            <w:pPr>
              <w:spacing w:line="340" w:lineRule="exact"/>
              <w:rPr>
                <w:rFonts w:eastAsia="仿宋_GB2312"/>
                <w:sz w:val="28"/>
                <w:szCs w:val="28"/>
              </w:rPr>
            </w:pPr>
            <w:r>
              <w:rPr>
                <w:rFonts w:eastAsia="仿宋_GB2312"/>
                <w:sz w:val="28"/>
                <w:szCs w:val="28"/>
              </w:rPr>
              <w:t>运输中产品损坏</w:t>
            </w:r>
          </w:p>
        </w:tc>
        <w:tc>
          <w:tcPr>
            <w:tcW w:w="3763" w:type="dxa"/>
            <w:tcBorders>
              <w:top w:val="single" w:sz="4" w:space="0" w:color="auto"/>
              <w:left w:val="single" w:sz="4" w:space="0" w:color="auto"/>
              <w:bottom w:val="single" w:sz="4" w:space="0" w:color="auto"/>
              <w:right w:val="single" w:sz="4" w:space="0" w:color="auto"/>
            </w:tcBorders>
          </w:tcPr>
          <w:p w14:paraId="063E773F" w14:textId="77777777" w:rsidR="005B4851" w:rsidRDefault="005D084F">
            <w:pPr>
              <w:spacing w:line="340" w:lineRule="exact"/>
              <w:rPr>
                <w:rFonts w:eastAsia="仿宋_GB2312"/>
                <w:sz w:val="28"/>
                <w:szCs w:val="28"/>
              </w:rPr>
            </w:pPr>
            <w:r>
              <w:rPr>
                <w:rFonts w:eastAsia="仿宋_GB2312"/>
                <w:sz w:val="28"/>
                <w:szCs w:val="28"/>
              </w:rPr>
              <w:t>使用已损坏设备测试，测量失准。</w:t>
            </w:r>
          </w:p>
        </w:tc>
      </w:tr>
      <w:tr w:rsidR="005B4851" w14:paraId="2590D004" w14:textId="77777777">
        <w:trPr>
          <w:trHeight w:val="70"/>
          <w:jc w:val="center"/>
        </w:trPr>
        <w:tc>
          <w:tcPr>
            <w:tcW w:w="1549" w:type="dxa"/>
            <w:vMerge/>
            <w:tcBorders>
              <w:left w:val="single" w:sz="4" w:space="0" w:color="auto"/>
              <w:right w:val="single" w:sz="4" w:space="0" w:color="auto"/>
            </w:tcBorders>
            <w:vAlign w:val="center"/>
          </w:tcPr>
          <w:p w14:paraId="1C7B4571"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1BAB02B0" w14:textId="77777777" w:rsidR="005B4851" w:rsidRDefault="005D084F">
            <w:pPr>
              <w:snapToGrid w:val="0"/>
              <w:spacing w:line="380" w:lineRule="exact"/>
              <w:rPr>
                <w:rFonts w:eastAsia="仿宋_GB2312"/>
                <w:szCs w:val="28"/>
              </w:rPr>
            </w:pPr>
            <w:r>
              <w:rPr>
                <w:rFonts w:eastAsia="仿宋_GB2312"/>
                <w:sz w:val="28"/>
                <w:szCs w:val="28"/>
              </w:rPr>
              <w:t>贮藏环境温度、湿度过高</w:t>
            </w:r>
          </w:p>
        </w:tc>
        <w:tc>
          <w:tcPr>
            <w:tcW w:w="4820" w:type="dxa"/>
            <w:tcBorders>
              <w:top w:val="single" w:sz="4" w:space="0" w:color="auto"/>
              <w:left w:val="single" w:sz="4" w:space="0" w:color="auto"/>
              <w:bottom w:val="single" w:sz="4" w:space="0" w:color="auto"/>
              <w:right w:val="single" w:sz="4" w:space="0" w:color="auto"/>
            </w:tcBorders>
          </w:tcPr>
          <w:p w14:paraId="0A483B4A" w14:textId="77777777" w:rsidR="005B4851" w:rsidRDefault="005D084F">
            <w:pPr>
              <w:spacing w:line="340" w:lineRule="exact"/>
              <w:rPr>
                <w:rFonts w:eastAsia="仿宋_GB2312"/>
                <w:sz w:val="28"/>
                <w:szCs w:val="28"/>
              </w:rPr>
            </w:pPr>
            <w:r>
              <w:rPr>
                <w:rFonts w:eastAsia="仿宋_GB2312"/>
                <w:sz w:val="28"/>
                <w:szCs w:val="28"/>
              </w:rPr>
              <w:t>设备性能退化</w:t>
            </w:r>
          </w:p>
        </w:tc>
        <w:tc>
          <w:tcPr>
            <w:tcW w:w="3763" w:type="dxa"/>
            <w:tcBorders>
              <w:top w:val="single" w:sz="4" w:space="0" w:color="auto"/>
              <w:left w:val="single" w:sz="4" w:space="0" w:color="auto"/>
              <w:bottom w:val="single" w:sz="4" w:space="0" w:color="auto"/>
              <w:right w:val="single" w:sz="4" w:space="0" w:color="auto"/>
            </w:tcBorders>
          </w:tcPr>
          <w:p w14:paraId="1946C5DC" w14:textId="77777777" w:rsidR="005B4851" w:rsidRDefault="005D084F">
            <w:pPr>
              <w:spacing w:line="340" w:lineRule="exact"/>
              <w:rPr>
                <w:rFonts w:eastAsia="仿宋_GB2312"/>
                <w:sz w:val="28"/>
                <w:szCs w:val="28"/>
              </w:rPr>
            </w:pPr>
            <w:r>
              <w:rPr>
                <w:rFonts w:eastAsia="仿宋_GB2312"/>
                <w:sz w:val="28"/>
                <w:szCs w:val="28"/>
              </w:rPr>
              <w:t>测量数据偏差大。因数据不准导致错误临床决策。</w:t>
            </w:r>
          </w:p>
        </w:tc>
      </w:tr>
      <w:tr w:rsidR="005B4851" w14:paraId="60877E60" w14:textId="77777777">
        <w:trPr>
          <w:trHeight w:val="70"/>
          <w:jc w:val="center"/>
        </w:trPr>
        <w:tc>
          <w:tcPr>
            <w:tcW w:w="1549" w:type="dxa"/>
            <w:vMerge/>
            <w:tcBorders>
              <w:left w:val="single" w:sz="4" w:space="0" w:color="auto"/>
              <w:right w:val="single" w:sz="4" w:space="0" w:color="auto"/>
            </w:tcBorders>
            <w:vAlign w:val="center"/>
          </w:tcPr>
          <w:p w14:paraId="5FB4244B"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4615E52B" w14:textId="77777777" w:rsidR="005B4851" w:rsidRDefault="005D084F">
            <w:pPr>
              <w:snapToGrid w:val="0"/>
              <w:spacing w:line="380" w:lineRule="exact"/>
              <w:rPr>
                <w:rFonts w:eastAsia="仿宋_GB2312"/>
                <w:sz w:val="28"/>
                <w:szCs w:val="28"/>
              </w:rPr>
            </w:pPr>
            <w:r>
              <w:rPr>
                <w:rFonts w:eastAsia="仿宋_GB2312"/>
                <w:sz w:val="28"/>
                <w:szCs w:val="28"/>
              </w:rPr>
              <w:t>运输振动引发共振或强烈冲击</w:t>
            </w:r>
          </w:p>
        </w:tc>
        <w:tc>
          <w:tcPr>
            <w:tcW w:w="4820" w:type="dxa"/>
            <w:tcBorders>
              <w:top w:val="single" w:sz="4" w:space="0" w:color="auto"/>
              <w:left w:val="single" w:sz="4" w:space="0" w:color="auto"/>
              <w:bottom w:val="single" w:sz="4" w:space="0" w:color="auto"/>
              <w:right w:val="single" w:sz="4" w:space="0" w:color="auto"/>
            </w:tcBorders>
          </w:tcPr>
          <w:p w14:paraId="2E546456" w14:textId="77777777" w:rsidR="005B4851" w:rsidRDefault="005D084F">
            <w:pPr>
              <w:spacing w:line="340" w:lineRule="exact"/>
              <w:rPr>
                <w:rFonts w:eastAsia="仿宋_GB2312"/>
                <w:sz w:val="28"/>
                <w:szCs w:val="28"/>
              </w:rPr>
            </w:pPr>
            <w:r>
              <w:rPr>
                <w:rFonts w:eastAsia="仿宋_GB2312"/>
                <w:sz w:val="28"/>
                <w:szCs w:val="28"/>
              </w:rPr>
              <w:t>使插接件松脱、焊点裂纹，造成间歇性接触不良。</w:t>
            </w:r>
          </w:p>
        </w:tc>
        <w:tc>
          <w:tcPr>
            <w:tcW w:w="3763" w:type="dxa"/>
            <w:tcBorders>
              <w:top w:val="single" w:sz="4" w:space="0" w:color="auto"/>
              <w:left w:val="single" w:sz="4" w:space="0" w:color="auto"/>
              <w:bottom w:val="single" w:sz="4" w:space="0" w:color="auto"/>
              <w:right w:val="single" w:sz="4" w:space="0" w:color="auto"/>
            </w:tcBorders>
          </w:tcPr>
          <w:p w14:paraId="1E120BE2" w14:textId="77777777" w:rsidR="005B4851" w:rsidRDefault="005D084F">
            <w:pPr>
              <w:spacing w:line="340" w:lineRule="exact"/>
              <w:rPr>
                <w:rFonts w:eastAsia="仿宋_GB2312"/>
                <w:sz w:val="28"/>
                <w:szCs w:val="28"/>
              </w:rPr>
            </w:pPr>
            <w:r>
              <w:rPr>
                <w:rFonts w:eastAsia="仿宋_GB2312"/>
                <w:sz w:val="28"/>
                <w:szCs w:val="28"/>
              </w:rPr>
              <w:t>设备时好时坏，测试断续，难以排查。间歇性故障可能造成漏诊或误判。</w:t>
            </w:r>
          </w:p>
        </w:tc>
      </w:tr>
      <w:tr w:rsidR="005B4851" w14:paraId="229BD3FB"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535089EC"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372E1E6" w14:textId="77777777" w:rsidR="005B4851" w:rsidRDefault="005D084F">
            <w:pPr>
              <w:snapToGrid w:val="0"/>
              <w:spacing w:line="380" w:lineRule="exact"/>
              <w:rPr>
                <w:rFonts w:eastAsia="仿宋_GB2312"/>
                <w:sz w:val="28"/>
                <w:szCs w:val="28"/>
              </w:rPr>
            </w:pPr>
            <w:r>
              <w:rPr>
                <w:rFonts w:eastAsia="仿宋_GB2312"/>
                <w:sz w:val="28"/>
                <w:szCs w:val="28"/>
              </w:rPr>
              <w:t>手术室温湿度过高或过低</w:t>
            </w:r>
          </w:p>
        </w:tc>
        <w:tc>
          <w:tcPr>
            <w:tcW w:w="4820" w:type="dxa"/>
            <w:tcBorders>
              <w:top w:val="single" w:sz="4" w:space="0" w:color="auto"/>
              <w:left w:val="single" w:sz="4" w:space="0" w:color="auto"/>
              <w:bottom w:val="single" w:sz="4" w:space="0" w:color="auto"/>
              <w:right w:val="single" w:sz="4" w:space="0" w:color="auto"/>
            </w:tcBorders>
          </w:tcPr>
          <w:p w14:paraId="3273BF0A" w14:textId="77777777" w:rsidR="005B4851" w:rsidRDefault="005D084F">
            <w:pPr>
              <w:spacing w:line="340" w:lineRule="exact"/>
              <w:rPr>
                <w:rFonts w:eastAsia="仿宋_GB2312"/>
                <w:sz w:val="28"/>
                <w:szCs w:val="28"/>
              </w:rPr>
            </w:pPr>
            <w:r>
              <w:rPr>
                <w:rFonts w:eastAsia="仿宋_GB2312"/>
                <w:sz w:val="28"/>
                <w:szCs w:val="28"/>
              </w:rPr>
              <w:t>环境温度超出设备工作范围，电子元件特性漂移，导致测量误差增大。</w:t>
            </w:r>
          </w:p>
        </w:tc>
        <w:tc>
          <w:tcPr>
            <w:tcW w:w="3763" w:type="dxa"/>
            <w:tcBorders>
              <w:top w:val="single" w:sz="4" w:space="0" w:color="auto"/>
              <w:left w:val="single" w:sz="4" w:space="0" w:color="auto"/>
              <w:bottom w:val="single" w:sz="4" w:space="0" w:color="auto"/>
              <w:right w:val="single" w:sz="4" w:space="0" w:color="auto"/>
            </w:tcBorders>
          </w:tcPr>
          <w:p w14:paraId="10A147E5" w14:textId="77777777" w:rsidR="005B4851" w:rsidRDefault="005D084F">
            <w:pPr>
              <w:spacing w:line="340" w:lineRule="exact"/>
              <w:rPr>
                <w:rFonts w:eastAsia="仿宋_GB2312"/>
                <w:sz w:val="28"/>
                <w:szCs w:val="28"/>
              </w:rPr>
            </w:pPr>
            <w:r>
              <w:rPr>
                <w:rFonts w:eastAsia="仿宋_GB2312"/>
                <w:sz w:val="28"/>
                <w:szCs w:val="28"/>
              </w:rPr>
              <w:t>关键参数测量不准，影响医生对电极植入质量的判断。</w:t>
            </w:r>
          </w:p>
        </w:tc>
      </w:tr>
      <w:tr w:rsidR="005B4851" w14:paraId="7C602FE2" w14:textId="77777777">
        <w:trPr>
          <w:trHeight w:val="70"/>
          <w:jc w:val="center"/>
        </w:trPr>
        <w:tc>
          <w:tcPr>
            <w:tcW w:w="1549" w:type="dxa"/>
            <w:vMerge w:val="restart"/>
            <w:tcBorders>
              <w:top w:val="single" w:sz="4" w:space="0" w:color="auto"/>
              <w:left w:val="single" w:sz="4" w:space="0" w:color="auto"/>
              <w:right w:val="single" w:sz="4" w:space="0" w:color="auto"/>
            </w:tcBorders>
            <w:vAlign w:val="center"/>
          </w:tcPr>
          <w:p w14:paraId="7B930951" w14:textId="77777777" w:rsidR="005B4851" w:rsidRDefault="005B4851">
            <w:pPr>
              <w:spacing w:line="340" w:lineRule="exact"/>
              <w:rPr>
                <w:rFonts w:eastAsia="仿宋_GB2312"/>
                <w:sz w:val="28"/>
                <w:szCs w:val="28"/>
              </w:rPr>
            </w:pPr>
          </w:p>
          <w:p w14:paraId="1F9C8D23" w14:textId="77777777" w:rsidR="005B4851" w:rsidRDefault="005D084F">
            <w:pPr>
              <w:pStyle w:val="a0"/>
              <w:rPr>
                <w:rFonts w:ascii="Times New Roman" w:eastAsia="仿宋_GB2312" w:hAnsi="Times New Roman"/>
                <w:kern w:val="2"/>
                <w:sz w:val="28"/>
                <w:szCs w:val="28"/>
              </w:rPr>
            </w:pPr>
            <w:r>
              <w:rPr>
                <w:rFonts w:ascii="Times New Roman" w:eastAsia="仿宋_GB2312" w:hAnsi="Times New Roman"/>
                <w:kern w:val="2"/>
                <w:sz w:val="28"/>
                <w:szCs w:val="28"/>
              </w:rPr>
              <w:t>废物和</w:t>
            </w:r>
            <w:r>
              <w:rPr>
                <w:rFonts w:ascii="Times New Roman" w:eastAsia="仿宋_GB2312" w:hAnsi="Times New Roman"/>
                <w:kern w:val="2"/>
                <w:sz w:val="28"/>
                <w:szCs w:val="28"/>
              </w:rPr>
              <w:t>/</w:t>
            </w:r>
            <w:r>
              <w:rPr>
                <w:rFonts w:ascii="Times New Roman" w:eastAsia="仿宋_GB2312" w:hAnsi="Times New Roman"/>
                <w:kern w:val="2"/>
                <w:sz w:val="28"/>
                <w:szCs w:val="28"/>
              </w:rPr>
              <w:t>或医疗器械处置的污染</w:t>
            </w:r>
          </w:p>
        </w:tc>
        <w:tc>
          <w:tcPr>
            <w:tcW w:w="4883" w:type="dxa"/>
            <w:tcBorders>
              <w:top w:val="single" w:sz="4" w:space="0" w:color="auto"/>
              <w:left w:val="single" w:sz="4" w:space="0" w:color="auto"/>
              <w:bottom w:val="single" w:sz="4" w:space="0" w:color="auto"/>
              <w:right w:val="single" w:sz="4" w:space="0" w:color="auto"/>
            </w:tcBorders>
          </w:tcPr>
          <w:p w14:paraId="5F1D0831" w14:textId="77777777" w:rsidR="005B4851" w:rsidRDefault="005D084F">
            <w:pPr>
              <w:snapToGrid w:val="0"/>
              <w:spacing w:line="380" w:lineRule="exact"/>
              <w:rPr>
                <w:rFonts w:eastAsia="仿宋_GB2312"/>
                <w:sz w:val="28"/>
                <w:szCs w:val="28"/>
              </w:rPr>
            </w:pPr>
            <w:r>
              <w:rPr>
                <w:rFonts w:eastAsia="仿宋_GB2312"/>
                <w:sz w:val="28"/>
                <w:szCs w:val="28"/>
              </w:rPr>
              <w:t>未提供充分的废弃处理信息</w:t>
            </w:r>
          </w:p>
        </w:tc>
        <w:tc>
          <w:tcPr>
            <w:tcW w:w="4820" w:type="dxa"/>
            <w:tcBorders>
              <w:top w:val="single" w:sz="4" w:space="0" w:color="auto"/>
              <w:left w:val="single" w:sz="4" w:space="0" w:color="auto"/>
              <w:bottom w:val="single" w:sz="4" w:space="0" w:color="auto"/>
              <w:right w:val="single" w:sz="4" w:space="0" w:color="auto"/>
            </w:tcBorders>
          </w:tcPr>
          <w:p w14:paraId="49D6CAE8" w14:textId="77777777" w:rsidR="005B4851" w:rsidRDefault="005D084F">
            <w:pPr>
              <w:spacing w:line="340" w:lineRule="exact"/>
              <w:rPr>
                <w:rFonts w:eastAsia="仿宋_GB2312"/>
                <w:sz w:val="28"/>
                <w:szCs w:val="28"/>
              </w:rPr>
            </w:pPr>
            <w:r>
              <w:rPr>
                <w:rFonts w:eastAsia="仿宋_GB2312"/>
                <w:sz w:val="28"/>
                <w:szCs w:val="28"/>
              </w:rPr>
              <w:t>说明书中未说明废弃电池、电子元件的环保处置要求</w:t>
            </w:r>
          </w:p>
        </w:tc>
        <w:tc>
          <w:tcPr>
            <w:tcW w:w="3763" w:type="dxa"/>
            <w:tcBorders>
              <w:top w:val="single" w:sz="4" w:space="0" w:color="auto"/>
              <w:left w:val="single" w:sz="4" w:space="0" w:color="auto"/>
              <w:bottom w:val="single" w:sz="4" w:space="0" w:color="auto"/>
              <w:right w:val="single" w:sz="4" w:space="0" w:color="auto"/>
            </w:tcBorders>
          </w:tcPr>
          <w:p w14:paraId="3744AE9E" w14:textId="77777777" w:rsidR="005B4851" w:rsidRDefault="005D084F">
            <w:pPr>
              <w:spacing w:line="340" w:lineRule="exact"/>
              <w:rPr>
                <w:rFonts w:eastAsia="仿宋_GB2312"/>
                <w:sz w:val="28"/>
                <w:szCs w:val="28"/>
              </w:rPr>
            </w:pPr>
            <w:r>
              <w:rPr>
                <w:rFonts w:eastAsia="仿宋_GB2312"/>
                <w:sz w:val="28"/>
                <w:szCs w:val="28"/>
              </w:rPr>
              <w:t>电池中有害重金属污染土壤和水源。</w:t>
            </w:r>
          </w:p>
        </w:tc>
      </w:tr>
      <w:tr w:rsidR="005B4851" w14:paraId="76D2E294" w14:textId="77777777">
        <w:trPr>
          <w:trHeight w:val="70"/>
          <w:jc w:val="center"/>
        </w:trPr>
        <w:tc>
          <w:tcPr>
            <w:tcW w:w="1549" w:type="dxa"/>
            <w:vMerge/>
            <w:tcBorders>
              <w:left w:val="single" w:sz="4" w:space="0" w:color="auto"/>
              <w:right w:val="single" w:sz="4" w:space="0" w:color="auto"/>
            </w:tcBorders>
            <w:vAlign w:val="center"/>
          </w:tcPr>
          <w:p w14:paraId="4F42D944"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265DACA5" w14:textId="77777777" w:rsidR="005B4851" w:rsidRDefault="005D084F">
            <w:pPr>
              <w:snapToGrid w:val="0"/>
              <w:spacing w:line="380" w:lineRule="exact"/>
              <w:rPr>
                <w:rFonts w:eastAsia="仿宋_GB2312"/>
                <w:sz w:val="28"/>
                <w:szCs w:val="28"/>
              </w:rPr>
            </w:pPr>
            <w:r>
              <w:rPr>
                <w:rFonts w:eastAsia="仿宋_GB2312"/>
                <w:sz w:val="28"/>
                <w:szCs w:val="28"/>
              </w:rPr>
              <w:t>使用后设备</w:t>
            </w:r>
            <w:r>
              <w:rPr>
                <w:rFonts w:eastAsia="仿宋_GB2312"/>
                <w:sz w:val="28"/>
                <w:szCs w:val="28"/>
              </w:rPr>
              <w:t>/</w:t>
            </w:r>
            <w:r>
              <w:rPr>
                <w:rFonts w:eastAsia="仿宋_GB2312"/>
                <w:sz w:val="28"/>
                <w:szCs w:val="28"/>
              </w:rPr>
              <w:t>附件未妥善处理造成交叉感染风险</w:t>
            </w:r>
          </w:p>
        </w:tc>
        <w:tc>
          <w:tcPr>
            <w:tcW w:w="4820" w:type="dxa"/>
            <w:tcBorders>
              <w:top w:val="single" w:sz="4" w:space="0" w:color="auto"/>
              <w:left w:val="single" w:sz="4" w:space="0" w:color="auto"/>
              <w:bottom w:val="single" w:sz="4" w:space="0" w:color="auto"/>
              <w:right w:val="single" w:sz="4" w:space="0" w:color="auto"/>
            </w:tcBorders>
          </w:tcPr>
          <w:p w14:paraId="1E124DAF" w14:textId="77777777" w:rsidR="005B4851" w:rsidRDefault="005D084F">
            <w:pPr>
              <w:spacing w:line="340" w:lineRule="exact"/>
              <w:rPr>
                <w:rFonts w:eastAsia="仿宋_GB2312"/>
                <w:sz w:val="28"/>
                <w:szCs w:val="28"/>
              </w:rPr>
            </w:pPr>
            <w:r>
              <w:rPr>
                <w:rFonts w:eastAsia="仿宋_GB2312" w:hint="eastAsia"/>
                <w:sz w:val="28"/>
                <w:szCs w:val="28"/>
              </w:rPr>
              <w:t>一次性部件</w:t>
            </w:r>
            <w:r>
              <w:rPr>
                <w:rFonts w:eastAsia="仿宋_GB2312"/>
                <w:sz w:val="28"/>
                <w:szCs w:val="28"/>
              </w:rPr>
              <w:t>未按医疗废物处置</w:t>
            </w:r>
          </w:p>
        </w:tc>
        <w:tc>
          <w:tcPr>
            <w:tcW w:w="3763" w:type="dxa"/>
            <w:tcBorders>
              <w:top w:val="single" w:sz="4" w:space="0" w:color="auto"/>
              <w:left w:val="single" w:sz="4" w:space="0" w:color="auto"/>
              <w:bottom w:val="single" w:sz="4" w:space="0" w:color="auto"/>
              <w:right w:val="single" w:sz="4" w:space="0" w:color="auto"/>
            </w:tcBorders>
          </w:tcPr>
          <w:p w14:paraId="3E3D4EAF" w14:textId="77777777" w:rsidR="005B4851" w:rsidRDefault="005D084F">
            <w:pPr>
              <w:spacing w:line="340" w:lineRule="exact"/>
              <w:rPr>
                <w:rFonts w:eastAsia="仿宋_GB2312"/>
                <w:sz w:val="28"/>
                <w:szCs w:val="28"/>
              </w:rPr>
            </w:pPr>
            <w:r>
              <w:rPr>
                <w:rFonts w:eastAsia="仿宋_GB2312"/>
                <w:sz w:val="28"/>
                <w:szCs w:val="28"/>
              </w:rPr>
              <w:t>造成交叉感染。</w:t>
            </w:r>
          </w:p>
        </w:tc>
      </w:tr>
      <w:tr w:rsidR="005B4851" w14:paraId="479FC439" w14:textId="77777777">
        <w:trPr>
          <w:trHeight w:val="70"/>
          <w:jc w:val="center"/>
        </w:trPr>
        <w:tc>
          <w:tcPr>
            <w:tcW w:w="1549" w:type="dxa"/>
            <w:vMerge/>
            <w:tcBorders>
              <w:left w:val="single" w:sz="4" w:space="0" w:color="auto"/>
              <w:bottom w:val="single" w:sz="4" w:space="0" w:color="auto"/>
              <w:right w:val="single" w:sz="4" w:space="0" w:color="auto"/>
            </w:tcBorders>
            <w:vAlign w:val="center"/>
          </w:tcPr>
          <w:p w14:paraId="32A5FC04" w14:textId="77777777" w:rsidR="005B4851" w:rsidRDefault="005B4851">
            <w:pPr>
              <w:spacing w:line="340" w:lineRule="exact"/>
              <w:rPr>
                <w:rFonts w:eastAsia="仿宋_GB2312"/>
                <w:sz w:val="28"/>
                <w:szCs w:val="28"/>
              </w:rPr>
            </w:pPr>
          </w:p>
        </w:tc>
        <w:tc>
          <w:tcPr>
            <w:tcW w:w="4883" w:type="dxa"/>
            <w:tcBorders>
              <w:top w:val="single" w:sz="4" w:space="0" w:color="auto"/>
              <w:left w:val="single" w:sz="4" w:space="0" w:color="auto"/>
              <w:bottom w:val="single" w:sz="4" w:space="0" w:color="auto"/>
              <w:right w:val="single" w:sz="4" w:space="0" w:color="auto"/>
            </w:tcBorders>
          </w:tcPr>
          <w:p w14:paraId="595CD068" w14:textId="77777777" w:rsidR="005B4851" w:rsidRDefault="005D084F">
            <w:pPr>
              <w:snapToGrid w:val="0"/>
              <w:spacing w:line="380" w:lineRule="exact"/>
              <w:rPr>
                <w:rFonts w:eastAsia="仿宋_GB2312"/>
                <w:sz w:val="28"/>
                <w:szCs w:val="28"/>
              </w:rPr>
            </w:pPr>
            <w:r>
              <w:rPr>
                <w:rFonts w:eastAsia="仿宋_GB2312"/>
                <w:sz w:val="28"/>
                <w:szCs w:val="28"/>
              </w:rPr>
              <w:t>含电池设备未按环保要求处置造成环境污染</w:t>
            </w:r>
          </w:p>
        </w:tc>
        <w:tc>
          <w:tcPr>
            <w:tcW w:w="4820" w:type="dxa"/>
            <w:tcBorders>
              <w:top w:val="single" w:sz="4" w:space="0" w:color="auto"/>
              <w:left w:val="single" w:sz="4" w:space="0" w:color="auto"/>
              <w:bottom w:val="single" w:sz="4" w:space="0" w:color="auto"/>
              <w:right w:val="single" w:sz="4" w:space="0" w:color="auto"/>
            </w:tcBorders>
          </w:tcPr>
          <w:p w14:paraId="6FA9F08E" w14:textId="77777777" w:rsidR="005B4851" w:rsidRDefault="005D084F">
            <w:pPr>
              <w:spacing w:line="340" w:lineRule="exact"/>
              <w:rPr>
                <w:rFonts w:eastAsia="仿宋_GB2312"/>
                <w:sz w:val="28"/>
                <w:szCs w:val="28"/>
              </w:rPr>
            </w:pPr>
            <w:r>
              <w:rPr>
                <w:rFonts w:eastAsia="仿宋_GB2312"/>
                <w:sz w:val="28"/>
                <w:szCs w:val="28"/>
              </w:rPr>
              <w:t>有害物质进入环境</w:t>
            </w:r>
          </w:p>
        </w:tc>
        <w:tc>
          <w:tcPr>
            <w:tcW w:w="3763" w:type="dxa"/>
            <w:tcBorders>
              <w:top w:val="single" w:sz="4" w:space="0" w:color="auto"/>
              <w:left w:val="single" w:sz="4" w:space="0" w:color="auto"/>
              <w:bottom w:val="single" w:sz="4" w:space="0" w:color="auto"/>
              <w:right w:val="single" w:sz="4" w:space="0" w:color="auto"/>
            </w:tcBorders>
          </w:tcPr>
          <w:p w14:paraId="1B47FCA1" w14:textId="77777777" w:rsidR="005B4851" w:rsidRDefault="005D084F">
            <w:pPr>
              <w:spacing w:line="340" w:lineRule="exact"/>
              <w:rPr>
                <w:rFonts w:eastAsia="仿宋_GB2312"/>
                <w:sz w:val="28"/>
                <w:szCs w:val="28"/>
              </w:rPr>
            </w:pPr>
            <w:r>
              <w:rPr>
                <w:rFonts w:eastAsia="仿宋_GB2312"/>
                <w:sz w:val="28"/>
                <w:szCs w:val="28"/>
              </w:rPr>
              <w:t>土壤、地下水重金属污染，长期危害生态和公共健康</w:t>
            </w:r>
          </w:p>
        </w:tc>
      </w:tr>
    </w:tbl>
    <w:p w14:paraId="307D4112" w14:textId="77777777" w:rsidR="005B4851" w:rsidRDefault="005B4851">
      <w:pPr>
        <w:overflowPunct w:val="0"/>
        <w:autoSpaceDE w:val="0"/>
        <w:autoSpaceDN w:val="0"/>
        <w:spacing w:line="520" w:lineRule="exact"/>
        <w:jc w:val="left"/>
        <w:outlineLvl w:val="0"/>
        <w:rPr>
          <w:rFonts w:eastAsia="仿宋_GB2312"/>
          <w:color w:val="000000"/>
          <w:sz w:val="32"/>
          <w:szCs w:val="32"/>
        </w:rPr>
      </w:pPr>
    </w:p>
    <w:sectPr w:rsidR="005B4851" w:rsidSect="003170F3">
      <w:pgSz w:w="16838" w:h="11906" w:orient="landscape"/>
      <w:pgMar w:top="1797" w:right="1440" w:bottom="1797" w:left="1440" w:header="851" w:footer="992" w:gutter="0"/>
      <w:lnNumType w:countBy="1" w:restart="continuous"/>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8429A" w14:textId="77777777" w:rsidR="00083DE9" w:rsidRDefault="00083DE9">
      <w:r>
        <w:separator/>
      </w:r>
    </w:p>
  </w:endnote>
  <w:endnote w:type="continuationSeparator" w:id="0">
    <w:p w14:paraId="5E0AB32C" w14:textId="77777777" w:rsidR="00083DE9" w:rsidRDefault="00083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rnoPro-Regular">
    <w:altName w:val="Times New Roman"/>
    <w:charset w:val="00"/>
    <w:family w:val="roman"/>
    <w:pitch w:val="default"/>
    <w:sig w:usb0="00000000" w:usb1="00000000" w:usb2="00000000" w:usb3="00000000" w:csb0="00040001" w:csb1="00000000"/>
  </w:font>
  <w:font w:name="ArnoPro-Italic">
    <w:altName w:val="Times New Roman"/>
    <w:charset w:val="00"/>
    <w:family w:val="roman"/>
    <w:pitch w:val="default"/>
    <w:sig w:usb0="00000000" w:usb1="00000000" w:usb2="0000000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楷体_GB2312">
    <w:altName w:val="楷体"/>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28D28" w14:textId="77777777" w:rsidR="005B4851" w:rsidRDefault="005D084F">
    <w:pPr>
      <w:pStyle w:val="a9"/>
      <w:ind w:firstLine="422"/>
    </w:pPr>
    <w:bookmarkStart w:id="4" w:name="OLE_LINK6"/>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1002CB" w:rsidRPr="001002CB">
      <w:rPr>
        <w:noProof/>
        <w:sz w:val="28"/>
        <w:szCs w:val="28"/>
        <w:lang w:val="zh-CN"/>
      </w:rPr>
      <w:t>4</w:t>
    </w:r>
    <w:r>
      <w:rPr>
        <w:sz w:val="28"/>
        <w:szCs w:val="28"/>
      </w:rPr>
      <w:fldChar w:fldCharType="end"/>
    </w:r>
    <w:r>
      <w:rPr>
        <w:sz w:val="28"/>
        <w:szCs w:val="28"/>
      </w:rPr>
      <w:t xml:space="preserve"> —</w:t>
    </w:r>
  </w:p>
  <w:bookmarkEnd w:id="4"/>
  <w:p w14:paraId="70D5E1BB" w14:textId="77777777" w:rsidR="005B4851" w:rsidRDefault="005B485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49115" w14:textId="77777777" w:rsidR="005B4851" w:rsidRDefault="005D084F">
    <w:pPr>
      <w:pStyle w:val="a9"/>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1002CB" w:rsidRPr="001002CB">
      <w:rPr>
        <w:noProof/>
        <w:sz w:val="28"/>
        <w:szCs w:val="28"/>
        <w:lang w:val="zh-CN"/>
      </w:rPr>
      <w:t>3</w:t>
    </w:r>
    <w:r>
      <w:rPr>
        <w:sz w:val="28"/>
        <w:szCs w:val="28"/>
      </w:rPr>
      <w:fldChar w:fldCharType="end"/>
    </w:r>
    <w:r>
      <w:rPr>
        <w:sz w:val="28"/>
        <w:szCs w:val="28"/>
      </w:rPr>
      <w:t xml:space="preserve"> —</w:t>
    </w:r>
  </w:p>
  <w:p w14:paraId="3A85703D" w14:textId="77777777" w:rsidR="005B4851" w:rsidRDefault="005D084F">
    <w:pPr>
      <w:pStyle w:val="a9"/>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173185" w14:textId="77777777" w:rsidR="00083DE9" w:rsidRDefault="00083DE9">
      <w:r>
        <w:separator/>
      </w:r>
    </w:p>
  </w:footnote>
  <w:footnote w:type="continuationSeparator" w:id="0">
    <w:p w14:paraId="438EF45D" w14:textId="77777777" w:rsidR="00083DE9" w:rsidRDefault="00083D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ZDQwMmNiOWFlYzZjYTcwOWJiZGQ0YTA5ODBmZGUifQ=="/>
  </w:docVars>
  <w:rsids>
    <w:rsidRoot w:val="002533D4"/>
    <w:rsid w:val="00003156"/>
    <w:rsid w:val="00003493"/>
    <w:rsid w:val="00003B79"/>
    <w:rsid w:val="00005D32"/>
    <w:rsid w:val="0000618E"/>
    <w:rsid w:val="00006DBA"/>
    <w:rsid w:val="000073AA"/>
    <w:rsid w:val="000074A5"/>
    <w:rsid w:val="00010782"/>
    <w:rsid w:val="000110AA"/>
    <w:rsid w:val="0001394C"/>
    <w:rsid w:val="000139EF"/>
    <w:rsid w:val="00013B03"/>
    <w:rsid w:val="000144F0"/>
    <w:rsid w:val="0001535B"/>
    <w:rsid w:val="00017CB3"/>
    <w:rsid w:val="00020571"/>
    <w:rsid w:val="00020B1E"/>
    <w:rsid w:val="00020FF7"/>
    <w:rsid w:val="0002174D"/>
    <w:rsid w:val="00022043"/>
    <w:rsid w:val="000223F4"/>
    <w:rsid w:val="0002254A"/>
    <w:rsid w:val="00022A1B"/>
    <w:rsid w:val="000233F3"/>
    <w:rsid w:val="00023DCB"/>
    <w:rsid w:val="00024713"/>
    <w:rsid w:val="00026670"/>
    <w:rsid w:val="0002670D"/>
    <w:rsid w:val="00027EDA"/>
    <w:rsid w:val="0003044B"/>
    <w:rsid w:val="00030C95"/>
    <w:rsid w:val="0003125F"/>
    <w:rsid w:val="00031BD0"/>
    <w:rsid w:val="00033BD7"/>
    <w:rsid w:val="00035B4E"/>
    <w:rsid w:val="00040DA8"/>
    <w:rsid w:val="00044235"/>
    <w:rsid w:val="000470D5"/>
    <w:rsid w:val="00047726"/>
    <w:rsid w:val="0005148A"/>
    <w:rsid w:val="00055297"/>
    <w:rsid w:val="000577CB"/>
    <w:rsid w:val="000579EB"/>
    <w:rsid w:val="0006169D"/>
    <w:rsid w:val="00062B75"/>
    <w:rsid w:val="00062FED"/>
    <w:rsid w:val="00063739"/>
    <w:rsid w:val="000650E8"/>
    <w:rsid w:val="00065B62"/>
    <w:rsid w:val="00065D4E"/>
    <w:rsid w:val="00065EBA"/>
    <w:rsid w:val="00067526"/>
    <w:rsid w:val="000676AA"/>
    <w:rsid w:val="00070374"/>
    <w:rsid w:val="00071A37"/>
    <w:rsid w:val="00071CD7"/>
    <w:rsid w:val="00072B40"/>
    <w:rsid w:val="00073E31"/>
    <w:rsid w:val="00074890"/>
    <w:rsid w:val="00075704"/>
    <w:rsid w:val="0007690B"/>
    <w:rsid w:val="0007712E"/>
    <w:rsid w:val="000801E2"/>
    <w:rsid w:val="00081A69"/>
    <w:rsid w:val="00082288"/>
    <w:rsid w:val="00083DE9"/>
    <w:rsid w:val="00087FDA"/>
    <w:rsid w:val="00090439"/>
    <w:rsid w:val="00091C84"/>
    <w:rsid w:val="00092F19"/>
    <w:rsid w:val="00093CF6"/>
    <w:rsid w:val="00095042"/>
    <w:rsid w:val="0009523A"/>
    <w:rsid w:val="00096E57"/>
    <w:rsid w:val="000970EA"/>
    <w:rsid w:val="000A04FC"/>
    <w:rsid w:val="000A116A"/>
    <w:rsid w:val="000A17AE"/>
    <w:rsid w:val="000A2C01"/>
    <w:rsid w:val="000A3004"/>
    <w:rsid w:val="000A32FF"/>
    <w:rsid w:val="000A7604"/>
    <w:rsid w:val="000B0595"/>
    <w:rsid w:val="000B0751"/>
    <w:rsid w:val="000B15E3"/>
    <w:rsid w:val="000B1E8D"/>
    <w:rsid w:val="000B3AB8"/>
    <w:rsid w:val="000B4405"/>
    <w:rsid w:val="000B44A0"/>
    <w:rsid w:val="000B5035"/>
    <w:rsid w:val="000B6EB1"/>
    <w:rsid w:val="000C2025"/>
    <w:rsid w:val="000C2A23"/>
    <w:rsid w:val="000C42DB"/>
    <w:rsid w:val="000C46D4"/>
    <w:rsid w:val="000C5216"/>
    <w:rsid w:val="000C5E42"/>
    <w:rsid w:val="000C6B4C"/>
    <w:rsid w:val="000C746B"/>
    <w:rsid w:val="000D07B7"/>
    <w:rsid w:val="000D1382"/>
    <w:rsid w:val="000D2817"/>
    <w:rsid w:val="000D3940"/>
    <w:rsid w:val="000D39D7"/>
    <w:rsid w:val="000E3175"/>
    <w:rsid w:val="000E396F"/>
    <w:rsid w:val="000E4C5B"/>
    <w:rsid w:val="000E6245"/>
    <w:rsid w:val="000F38EB"/>
    <w:rsid w:val="000F4588"/>
    <w:rsid w:val="000F4C9F"/>
    <w:rsid w:val="000F507B"/>
    <w:rsid w:val="000F730A"/>
    <w:rsid w:val="001002CB"/>
    <w:rsid w:val="001010CC"/>
    <w:rsid w:val="0010164F"/>
    <w:rsid w:val="00101981"/>
    <w:rsid w:val="00102456"/>
    <w:rsid w:val="00103210"/>
    <w:rsid w:val="00103534"/>
    <w:rsid w:val="0010397B"/>
    <w:rsid w:val="00103AE3"/>
    <w:rsid w:val="0010444E"/>
    <w:rsid w:val="00104659"/>
    <w:rsid w:val="00104F8C"/>
    <w:rsid w:val="001051DB"/>
    <w:rsid w:val="0010666D"/>
    <w:rsid w:val="00107934"/>
    <w:rsid w:val="001145BD"/>
    <w:rsid w:val="00114ADB"/>
    <w:rsid w:val="001155C6"/>
    <w:rsid w:val="00115DC2"/>
    <w:rsid w:val="00116145"/>
    <w:rsid w:val="00116677"/>
    <w:rsid w:val="00120745"/>
    <w:rsid w:val="001208A0"/>
    <w:rsid w:val="00120AFE"/>
    <w:rsid w:val="00120BC6"/>
    <w:rsid w:val="00121FD8"/>
    <w:rsid w:val="00123540"/>
    <w:rsid w:val="00126E7F"/>
    <w:rsid w:val="00127F61"/>
    <w:rsid w:val="00131B46"/>
    <w:rsid w:val="0013290E"/>
    <w:rsid w:val="0013589A"/>
    <w:rsid w:val="001370B3"/>
    <w:rsid w:val="001421B8"/>
    <w:rsid w:val="001457CD"/>
    <w:rsid w:val="00145F20"/>
    <w:rsid w:val="00146430"/>
    <w:rsid w:val="0014736E"/>
    <w:rsid w:val="00150068"/>
    <w:rsid w:val="0015016E"/>
    <w:rsid w:val="001509F0"/>
    <w:rsid w:val="00150D5B"/>
    <w:rsid w:val="00153A6C"/>
    <w:rsid w:val="00155976"/>
    <w:rsid w:val="00156EE9"/>
    <w:rsid w:val="00157D35"/>
    <w:rsid w:val="00160066"/>
    <w:rsid w:val="0016247C"/>
    <w:rsid w:val="00162739"/>
    <w:rsid w:val="00163660"/>
    <w:rsid w:val="0016389B"/>
    <w:rsid w:val="00163A12"/>
    <w:rsid w:val="00163D1F"/>
    <w:rsid w:val="001671D8"/>
    <w:rsid w:val="001672B9"/>
    <w:rsid w:val="00167452"/>
    <w:rsid w:val="00167686"/>
    <w:rsid w:val="0016772E"/>
    <w:rsid w:val="00171545"/>
    <w:rsid w:val="0017420D"/>
    <w:rsid w:val="0017439D"/>
    <w:rsid w:val="00174BBD"/>
    <w:rsid w:val="0017566C"/>
    <w:rsid w:val="00176DDC"/>
    <w:rsid w:val="00176FAD"/>
    <w:rsid w:val="0017756E"/>
    <w:rsid w:val="00177592"/>
    <w:rsid w:val="00177CB9"/>
    <w:rsid w:val="00177CD1"/>
    <w:rsid w:val="00177ED3"/>
    <w:rsid w:val="0018094D"/>
    <w:rsid w:val="001811AE"/>
    <w:rsid w:val="00181708"/>
    <w:rsid w:val="00181869"/>
    <w:rsid w:val="00183315"/>
    <w:rsid w:val="001834CB"/>
    <w:rsid w:val="00183DE1"/>
    <w:rsid w:val="00186D76"/>
    <w:rsid w:val="00187EA0"/>
    <w:rsid w:val="00190CC2"/>
    <w:rsid w:val="00194D93"/>
    <w:rsid w:val="00195058"/>
    <w:rsid w:val="001953C7"/>
    <w:rsid w:val="00195425"/>
    <w:rsid w:val="001A18EF"/>
    <w:rsid w:val="001A1DB0"/>
    <w:rsid w:val="001A1DBC"/>
    <w:rsid w:val="001A1FAF"/>
    <w:rsid w:val="001A2D1F"/>
    <w:rsid w:val="001A30FE"/>
    <w:rsid w:val="001A3907"/>
    <w:rsid w:val="001A6630"/>
    <w:rsid w:val="001A6B82"/>
    <w:rsid w:val="001B0392"/>
    <w:rsid w:val="001B07CE"/>
    <w:rsid w:val="001B3501"/>
    <w:rsid w:val="001B3AA8"/>
    <w:rsid w:val="001B43E6"/>
    <w:rsid w:val="001B68F3"/>
    <w:rsid w:val="001B7F6C"/>
    <w:rsid w:val="001C0143"/>
    <w:rsid w:val="001C066A"/>
    <w:rsid w:val="001C083D"/>
    <w:rsid w:val="001C0EA9"/>
    <w:rsid w:val="001C19D1"/>
    <w:rsid w:val="001C3926"/>
    <w:rsid w:val="001C5713"/>
    <w:rsid w:val="001C610B"/>
    <w:rsid w:val="001D45CE"/>
    <w:rsid w:val="001D507D"/>
    <w:rsid w:val="001D5B87"/>
    <w:rsid w:val="001D5F3C"/>
    <w:rsid w:val="001D701E"/>
    <w:rsid w:val="001D7AAF"/>
    <w:rsid w:val="001D7D5C"/>
    <w:rsid w:val="001E0851"/>
    <w:rsid w:val="001E089F"/>
    <w:rsid w:val="001E1F86"/>
    <w:rsid w:val="001E2A7A"/>
    <w:rsid w:val="001E2DA4"/>
    <w:rsid w:val="001E2F73"/>
    <w:rsid w:val="001E33F8"/>
    <w:rsid w:val="001E3C29"/>
    <w:rsid w:val="001E5DDE"/>
    <w:rsid w:val="001E74D2"/>
    <w:rsid w:val="001F09D2"/>
    <w:rsid w:val="001F1DED"/>
    <w:rsid w:val="001F2F07"/>
    <w:rsid w:val="001F3838"/>
    <w:rsid w:val="001F6A77"/>
    <w:rsid w:val="001F6ECF"/>
    <w:rsid w:val="001F7039"/>
    <w:rsid w:val="002025BC"/>
    <w:rsid w:val="00202B82"/>
    <w:rsid w:val="002031E7"/>
    <w:rsid w:val="00205D8A"/>
    <w:rsid w:val="00205F25"/>
    <w:rsid w:val="00206C44"/>
    <w:rsid w:val="002128AB"/>
    <w:rsid w:val="00213DCE"/>
    <w:rsid w:val="0021417B"/>
    <w:rsid w:val="00214B47"/>
    <w:rsid w:val="00215C9D"/>
    <w:rsid w:val="00217025"/>
    <w:rsid w:val="0021713A"/>
    <w:rsid w:val="002215E1"/>
    <w:rsid w:val="00221885"/>
    <w:rsid w:val="002220FE"/>
    <w:rsid w:val="00222C17"/>
    <w:rsid w:val="00222DE9"/>
    <w:rsid w:val="0022431A"/>
    <w:rsid w:val="00224D7F"/>
    <w:rsid w:val="00226014"/>
    <w:rsid w:val="00226CC0"/>
    <w:rsid w:val="00231147"/>
    <w:rsid w:val="0023226D"/>
    <w:rsid w:val="00232D5F"/>
    <w:rsid w:val="002338F7"/>
    <w:rsid w:val="00235EBA"/>
    <w:rsid w:val="0024002C"/>
    <w:rsid w:val="00240D62"/>
    <w:rsid w:val="00242231"/>
    <w:rsid w:val="002433F6"/>
    <w:rsid w:val="00243AAE"/>
    <w:rsid w:val="00245320"/>
    <w:rsid w:val="00246002"/>
    <w:rsid w:val="00246B04"/>
    <w:rsid w:val="00250D74"/>
    <w:rsid w:val="002519CB"/>
    <w:rsid w:val="0025296D"/>
    <w:rsid w:val="00252B65"/>
    <w:rsid w:val="00252DAC"/>
    <w:rsid w:val="002533D4"/>
    <w:rsid w:val="00253704"/>
    <w:rsid w:val="0025655C"/>
    <w:rsid w:val="00257FF0"/>
    <w:rsid w:val="00260055"/>
    <w:rsid w:val="0026056D"/>
    <w:rsid w:val="00261734"/>
    <w:rsid w:val="002617BE"/>
    <w:rsid w:val="00263D5B"/>
    <w:rsid w:val="00264B3C"/>
    <w:rsid w:val="00264FA9"/>
    <w:rsid w:val="00266A37"/>
    <w:rsid w:val="002703B7"/>
    <w:rsid w:val="0027080B"/>
    <w:rsid w:val="00275050"/>
    <w:rsid w:val="0027520A"/>
    <w:rsid w:val="00275503"/>
    <w:rsid w:val="002774FB"/>
    <w:rsid w:val="002777E2"/>
    <w:rsid w:val="00277868"/>
    <w:rsid w:val="0028122C"/>
    <w:rsid w:val="0028192F"/>
    <w:rsid w:val="00283DCD"/>
    <w:rsid w:val="00283FD5"/>
    <w:rsid w:val="0028413F"/>
    <w:rsid w:val="00284B5E"/>
    <w:rsid w:val="00285154"/>
    <w:rsid w:val="002914AC"/>
    <w:rsid w:val="00294741"/>
    <w:rsid w:val="00296044"/>
    <w:rsid w:val="002A3287"/>
    <w:rsid w:val="002A45B5"/>
    <w:rsid w:val="002A5BF2"/>
    <w:rsid w:val="002A6478"/>
    <w:rsid w:val="002A721E"/>
    <w:rsid w:val="002B0A01"/>
    <w:rsid w:val="002B3A27"/>
    <w:rsid w:val="002B432A"/>
    <w:rsid w:val="002B46A5"/>
    <w:rsid w:val="002B6076"/>
    <w:rsid w:val="002B60E4"/>
    <w:rsid w:val="002C028F"/>
    <w:rsid w:val="002C10C9"/>
    <w:rsid w:val="002C5CBE"/>
    <w:rsid w:val="002C683E"/>
    <w:rsid w:val="002C6851"/>
    <w:rsid w:val="002C7363"/>
    <w:rsid w:val="002D05BF"/>
    <w:rsid w:val="002D07BF"/>
    <w:rsid w:val="002D1913"/>
    <w:rsid w:val="002D2367"/>
    <w:rsid w:val="002D42FA"/>
    <w:rsid w:val="002D55C5"/>
    <w:rsid w:val="002D7054"/>
    <w:rsid w:val="002D7AA4"/>
    <w:rsid w:val="002D7C28"/>
    <w:rsid w:val="002E5D1F"/>
    <w:rsid w:val="002F04E6"/>
    <w:rsid w:val="002F3CDC"/>
    <w:rsid w:val="002F60C7"/>
    <w:rsid w:val="002F7366"/>
    <w:rsid w:val="002F7CF7"/>
    <w:rsid w:val="00301326"/>
    <w:rsid w:val="003028D2"/>
    <w:rsid w:val="00303231"/>
    <w:rsid w:val="0030366E"/>
    <w:rsid w:val="00304F07"/>
    <w:rsid w:val="00304FA4"/>
    <w:rsid w:val="00306436"/>
    <w:rsid w:val="00306757"/>
    <w:rsid w:val="003069DD"/>
    <w:rsid w:val="00310276"/>
    <w:rsid w:val="00310741"/>
    <w:rsid w:val="00310938"/>
    <w:rsid w:val="00312D12"/>
    <w:rsid w:val="00316B61"/>
    <w:rsid w:val="003170F3"/>
    <w:rsid w:val="0032168D"/>
    <w:rsid w:val="003219FD"/>
    <w:rsid w:val="00322945"/>
    <w:rsid w:val="00324C52"/>
    <w:rsid w:val="00325326"/>
    <w:rsid w:val="0032700B"/>
    <w:rsid w:val="00327431"/>
    <w:rsid w:val="00327859"/>
    <w:rsid w:val="00327DE4"/>
    <w:rsid w:val="003332B8"/>
    <w:rsid w:val="003356F5"/>
    <w:rsid w:val="003378B9"/>
    <w:rsid w:val="00340495"/>
    <w:rsid w:val="00340EA8"/>
    <w:rsid w:val="0034155E"/>
    <w:rsid w:val="003423FC"/>
    <w:rsid w:val="003435B3"/>
    <w:rsid w:val="00343B05"/>
    <w:rsid w:val="00344960"/>
    <w:rsid w:val="00345381"/>
    <w:rsid w:val="00345747"/>
    <w:rsid w:val="0034638B"/>
    <w:rsid w:val="00346A69"/>
    <w:rsid w:val="00346FF7"/>
    <w:rsid w:val="003479DB"/>
    <w:rsid w:val="003500BD"/>
    <w:rsid w:val="00350D88"/>
    <w:rsid w:val="00352C65"/>
    <w:rsid w:val="00352E69"/>
    <w:rsid w:val="0035392D"/>
    <w:rsid w:val="00353F69"/>
    <w:rsid w:val="003541F0"/>
    <w:rsid w:val="00354C8A"/>
    <w:rsid w:val="00356C22"/>
    <w:rsid w:val="00361303"/>
    <w:rsid w:val="0036181B"/>
    <w:rsid w:val="0036339B"/>
    <w:rsid w:val="0036394E"/>
    <w:rsid w:val="00364091"/>
    <w:rsid w:val="00364476"/>
    <w:rsid w:val="00364D9F"/>
    <w:rsid w:val="00364EB8"/>
    <w:rsid w:val="0036660D"/>
    <w:rsid w:val="00371649"/>
    <w:rsid w:val="00372398"/>
    <w:rsid w:val="00372AB6"/>
    <w:rsid w:val="00372F59"/>
    <w:rsid w:val="00373F69"/>
    <w:rsid w:val="0037448C"/>
    <w:rsid w:val="00374FE2"/>
    <w:rsid w:val="00375616"/>
    <w:rsid w:val="00375DCC"/>
    <w:rsid w:val="00376932"/>
    <w:rsid w:val="003803CD"/>
    <w:rsid w:val="00381719"/>
    <w:rsid w:val="00381C8B"/>
    <w:rsid w:val="003822B6"/>
    <w:rsid w:val="003833EF"/>
    <w:rsid w:val="0038409D"/>
    <w:rsid w:val="003848FF"/>
    <w:rsid w:val="00385A86"/>
    <w:rsid w:val="00386331"/>
    <w:rsid w:val="003869C3"/>
    <w:rsid w:val="00386E4F"/>
    <w:rsid w:val="003925C6"/>
    <w:rsid w:val="003926B7"/>
    <w:rsid w:val="003935B7"/>
    <w:rsid w:val="00394582"/>
    <w:rsid w:val="003953AE"/>
    <w:rsid w:val="0039587E"/>
    <w:rsid w:val="003965B3"/>
    <w:rsid w:val="003975A5"/>
    <w:rsid w:val="003A08F1"/>
    <w:rsid w:val="003A0B58"/>
    <w:rsid w:val="003A2524"/>
    <w:rsid w:val="003A37AA"/>
    <w:rsid w:val="003A4F00"/>
    <w:rsid w:val="003A5063"/>
    <w:rsid w:val="003A63EA"/>
    <w:rsid w:val="003A7B58"/>
    <w:rsid w:val="003B077E"/>
    <w:rsid w:val="003B0AD1"/>
    <w:rsid w:val="003B0E5C"/>
    <w:rsid w:val="003B222C"/>
    <w:rsid w:val="003B2775"/>
    <w:rsid w:val="003B361C"/>
    <w:rsid w:val="003B37AD"/>
    <w:rsid w:val="003B44C2"/>
    <w:rsid w:val="003B5792"/>
    <w:rsid w:val="003C1106"/>
    <w:rsid w:val="003C1333"/>
    <w:rsid w:val="003C1FAE"/>
    <w:rsid w:val="003C273B"/>
    <w:rsid w:val="003C3586"/>
    <w:rsid w:val="003C4EED"/>
    <w:rsid w:val="003C6E42"/>
    <w:rsid w:val="003C7EA9"/>
    <w:rsid w:val="003D086F"/>
    <w:rsid w:val="003D0BE0"/>
    <w:rsid w:val="003D139B"/>
    <w:rsid w:val="003D503E"/>
    <w:rsid w:val="003D7C92"/>
    <w:rsid w:val="003E0502"/>
    <w:rsid w:val="003E063B"/>
    <w:rsid w:val="003E0B20"/>
    <w:rsid w:val="003E0B38"/>
    <w:rsid w:val="003E1838"/>
    <w:rsid w:val="003E2B70"/>
    <w:rsid w:val="003E3665"/>
    <w:rsid w:val="003E3B8D"/>
    <w:rsid w:val="003E3C82"/>
    <w:rsid w:val="003E49E0"/>
    <w:rsid w:val="003E4B88"/>
    <w:rsid w:val="003E5E52"/>
    <w:rsid w:val="003E77CD"/>
    <w:rsid w:val="003E7C81"/>
    <w:rsid w:val="003F02F0"/>
    <w:rsid w:val="003F5B6A"/>
    <w:rsid w:val="003F6555"/>
    <w:rsid w:val="003F6942"/>
    <w:rsid w:val="003F6B2F"/>
    <w:rsid w:val="00400B5E"/>
    <w:rsid w:val="00403909"/>
    <w:rsid w:val="00404735"/>
    <w:rsid w:val="00405A53"/>
    <w:rsid w:val="00406D03"/>
    <w:rsid w:val="00410039"/>
    <w:rsid w:val="0041056A"/>
    <w:rsid w:val="00411223"/>
    <w:rsid w:val="00412BD3"/>
    <w:rsid w:val="00414FFE"/>
    <w:rsid w:val="004152B4"/>
    <w:rsid w:val="00415F23"/>
    <w:rsid w:val="004164BF"/>
    <w:rsid w:val="00420D75"/>
    <w:rsid w:val="004211E3"/>
    <w:rsid w:val="0042378D"/>
    <w:rsid w:val="00423F63"/>
    <w:rsid w:val="004253BE"/>
    <w:rsid w:val="00427A01"/>
    <w:rsid w:val="00427DC0"/>
    <w:rsid w:val="00427E33"/>
    <w:rsid w:val="004303F7"/>
    <w:rsid w:val="004316BD"/>
    <w:rsid w:val="00431E5A"/>
    <w:rsid w:val="00433130"/>
    <w:rsid w:val="00433806"/>
    <w:rsid w:val="0043785A"/>
    <w:rsid w:val="00437FE7"/>
    <w:rsid w:val="00440151"/>
    <w:rsid w:val="00441345"/>
    <w:rsid w:val="00441DDA"/>
    <w:rsid w:val="00446B7B"/>
    <w:rsid w:val="00446DE3"/>
    <w:rsid w:val="00450BB7"/>
    <w:rsid w:val="0045143D"/>
    <w:rsid w:val="004514CF"/>
    <w:rsid w:val="004515F7"/>
    <w:rsid w:val="00451A05"/>
    <w:rsid w:val="00453550"/>
    <w:rsid w:val="00453B46"/>
    <w:rsid w:val="00454840"/>
    <w:rsid w:val="00455339"/>
    <w:rsid w:val="00455B98"/>
    <w:rsid w:val="00455FDD"/>
    <w:rsid w:val="004560F6"/>
    <w:rsid w:val="00457267"/>
    <w:rsid w:val="0045765D"/>
    <w:rsid w:val="0045787E"/>
    <w:rsid w:val="00460316"/>
    <w:rsid w:val="00461018"/>
    <w:rsid w:val="0046218F"/>
    <w:rsid w:val="00463ACA"/>
    <w:rsid w:val="00464420"/>
    <w:rsid w:val="004705E9"/>
    <w:rsid w:val="00471948"/>
    <w:rsid w:val="00472890"/>
    <w:rsid w:val="004729FD"/>
    <w:rsid w:val="00473F75"/>
    <w:rsid w:val="0047483B"/>
    <w:rsid w:val="00474ACD"/>
    <w:rsid w:val="0047712A"/>
    <w:rsid w:val="0048115B"/>
    <w:rsid w:val="00485F8C"/>
    <w:rsid w:val="00486B4C"/>
    <w:rsid w:val="00490A86"/>
    <w:rsid w:val="0049269C"/>
    <w:rsid w:val="0049552E"/>
    <w:rsid w:val="00496B2A"/>
    <w:rsid w:val="00497DA4"/>
    <w:rsid w:val="004A2499"/>
    <w:rsid w:val="004A30EE"/>
    <w:rsid w:val="004A4A8D"/>
    <w:rsid w:val="004A57E7"/>
    <w:rsid w:val="004A59B4"/>
    <w:rsid w:val="004A6F56"/>
    <w:rsid w:val="004B3855"/>
    <w:rsid w:val="004B3C0E"/>
    <w:rsid w:val="004B52F9"/>
    <w:rsid w:val="004B5FAA"/>
    <w:rsid w:val="004B608E"/>
    <w:rsid w:val="004B669D"/>
    <w:rsid w:val="004C034F"/>
    <w:rsid w:val="004C04C8"/>
    <w:rsid w:val="004C1396"/>
    <w:rsid w:val="004C197D"/>
    <w:rsid w:val="004C1BF6"/>
    <w:rsid w:val="004C259A"/>
    <w:rsid w:val="004C3998"/>
    <w:rsid w:val="004C4813"/>
    <w:rsid w:val="004C4A27"/>
    <w:rsid w:val="004C5F83"/>
    <w:rsid w:val="004C7A88"/>
    <w:rsid w:val="004D0FFE"/>
    <w:rsid w:val="004D1F54"/>
    <w:rsid w:val="004D2100"/>
    <w:rsid w:val="004D3C22"/>
    <w:rsid w:val="004D502A"/>
    <w:rsid w:val="004D636D"/>
    <w:rsid w:val="004E1DF0"/>
    <w:rsid w:val="004E5770"/>
    <w:rsid w:val="004E5FF0"/>
    <w:rsid w:val="004E604E"/>
    <w:rsid w:val="004E6AA1"/>
    <w:rsid w:val="004E7E22"/>
    <w:rsid w:val="004F0897"/>
    <w:rsid w:val="004F166F"/>
    <w:rsid w:val="004F20F8"/>
    <w:rsid w:val="004F2835"/>
    <w:rsid w:val="004F4C65"/>
    <w:rsid w:val="004F4D92"/>
    <w:rsid w:val="004F582A"/>
    <w:rsid w:val="004F60B3"/>
    <w:rsid w:val="004F71DE"/>
    <w:rsid w:val="004F7EF9"/>
    <w:rsid w:val="00500B70"/>
    <w:rsid w:val="005010AA"/>
    <w:rsid w:val="005021B3"/>
    <w:rsid w:val="005024FA"/>
    <w:rsid w:val="0050259C"/>
    <w:rsid w:val="005028CD"/>
    <w:rsid w:val="005031F5"/>
    <w:rsid w:val="00505992"/>
    <w:rsid w:val="00506564"/>
    <w:rsid w:val="0050687F"/>
    <w:rsid w:val="00506D11"/>
    <w:rsid w:val="00510FB8"/>
    <w:rsid w:val="00514CB8"/>
    <w:rsid w:val="005200C2"/>
    <w:rsid w:val="005219C0"/>
    <w:rsid w:val="00521CEB"/>
    <w:rsid w:val="00521E34"/>
    <w:rsid w:val="005235C7"/>
    <w:rsid w:val="00523B2C"/>
    <w:rsid w:val="0052469F"/>
    <w:rsid w:val="0052558E"/>
    <w:rsid w:val="005262E7"/>
    <w:rsid w:val="0053092F"/>
    <w:rsid w:val="00530F55"/>
    <w:rsid w:val="00531080"/>
    <w:rsid w:val="00531AED"/>
    <w:rsid w:val="00532001"/>
    <w:rsid w:val="00532193"/>
    <w:rsid w:val="005350EF"/>
    <w:rsid w:val="005351D1"/>
    <w:rsid w:val="0053599C"/>
    <w:rsid w:val="00535E2F"/>
    <w:rsid w:val="005365D0"/>
    <w:rsid w:val="00536BB0"/>
    <w:rsid w:val="0053709E"/>
    <w:rsid w:val="00537976"/>
    <w:rsid w:val="00540693"/>
    <w:rsid w:val="005426EE"/>
    <w:rsid w:val="00545705"/>
    <w:rsid w:val="0054571A"/>
    <w:rsid w:val="0054684B"/>
    <w:rsid w:val="00546EC2"/>
    <w:rsid w:val="00547042"/>
    <w:rsid w:val="00547B77"/>
    <w:rsid w:val="005510D8"/>
    <w:rsid w:val="00552286"/>
    <w:rsid w:val="00552FA8"/>
    <w:rsid w:val="005539C7"/>
    <w:rsid w:val="00553E97"/>
    <w:rsid w:val="005555BF"/>
    <w:rsid w:val="00555930"/>
    <w:rsid w:val="00556F63"/>
    <w:rsid w:val="0055763B"/>
    <w:rsid w:val="005576CD"/>
    <w:rsid w:val="00560199"/>
    <w:rsid w:val="00560D81"/>
    <w:rsid w:val="00561F07"/>
    <w:rsid w:val="00562314"/>
    <w:rsid w:val="005632FA"/>
    <w:rsid w:val="005638A5"/>
    <w:rsid w:val="00563946"/>
    <w:rsid w:val="00563E34"/>
    <w:rsid w:val="00564042"/>
    <w:rsid w:val="00564175"/>
    <w:rsid w:val="005660C3"/>
    <w:rsid w:val="00566A5B"/>
    <w:rsid w:val="005675C7"/>
    <w:rsid w:val="00572003"/>
    <w:rsid w:val="00572151"/>
    <w:rsid w:val="0057254F"/>
    <w:rsid w:val="005742C5"/>
    <w:rsid w:val="00574C49"/>
    <w:rsid w:val="00574E92"/>
    <w:rsid w:val="0057519D"/>
    <w:rsid w:val="00576706"/>
    <w:rsid w:val="00577A97"/>
    <w:rsid w:val="00581AB7"/>
    <w:rsid w:val="00582C24"/>
    <w:rsid w:val="00582FDF"/>
    <w:rsid w:val="005841D3"/>
    <w:rsid w:val="00584C30"/>
    <w:rsid w:val="005852C5"/>
    <w:rsid w:val="00585CEC"/>
    <w:rsid w:val="0058662B"/>
    <w:rsid w:val="005869F0"/>
    <w:rsid w:val="00586D3B"/>
    <w:rsid w:val="00587CBC"/>
    <w:rsid w:val="00587CC3"/>
    <w:rsid w:val="00587E36"/>
    <w:rsid w:val="00594BD6"/>
    <w:rsid w:val="0059759D"/>
    <w:rsid w:val="005A021C"/>
    <w:rsid w:val="005A02AB"/>
    <w:rsid w:val="005A1665"/>
    <w:rsid w:val="005A27C4"/>
    <w:rsid w:val="005A410D"/>
    <w:rsid w:val="005A49B0"/>
    <w:rsid w:val="005A5099"/>
    <w:rsid w:val="005A6A02"/>
    <w:rsid w:val="005A7776"/>
    <w:rsid w:val="005B1652"/>
    <w:rsid w:val="005B1B07"/>
    <w:rsid w:val="005B4851"/>
    <w:rsid w:val="005B4A86"/>
    <w:rsid w:val="005B4DF6"/>
    <w:rsid w:val="005B7145"/>
    <w:rsid w:val="005B7DE4"/>
    <w:rsid w:val="005C0BD3"/>
    <w:rsid w:val="005C0ED1"/>
    <w:rsid w:val="005C150C"/>
    <w:rsid w:val="005C1B87"/>
    <w:rsid w:val="005C1BFB"/>
    <w:rsid w:val="005C1D32"/>
    <w:rsid w:val="005C2BB7"/>
    <w:rsid w:val="005C3273"/>
    <w:rsid w:val="005C4B0A"/>
    <w:rsid w:val="005C51FC"/>
    <w:rsid w:val="005C5442"/>
    <w:rsid w:val="005C563C"/>
    <w:rsid w:val="005C692E"/>
    <w:rsid w:val="005C6AD0"/>
    <w:rsid w:val="005D0421"/>
    <w:rsid w:val="005D084F"/>
    <w:rsid w:val="005D1C49"/>
    <w:rsid w:val="005D2D58"/>
    <w:rsid w:val="005D3BDC"/>
    <w:rsid w:val="005D40E3"/>
    <w:rsid w:val="005D71B3"/>
    <w:rsid w:val="005D7722"/>
    <w:rsid w:val="005D7828"/>
    <w:rsid w:val="005D7A7B"/>
    <w:rsid w:val="005E238F"/>
    <w:rsid w:val="005E3A33"/>
    <w:rsid w:val="005E598E"/>
    <w:rsid w:val="005E6227"/>
    <w:rsid w:val="005E71B7"/>
    <w:rsid w:val="005F3DC1"/>
    <w:rsid w:val="005F44BD"/>
    <w:rsid w:val="005F4667"/>
    <w:rsid w:val="005F7BCC"/>
    <w:rsid w:val="0060059F"/>
    <w:rsid w:val="00600B43"/>
    <w:rsid w:val="006012A9"/>
    <w:rsid w:val="00602AED"/>
    <w:rsid w:val="006037B0"/>
    <w:rsid w:val="0060408F"/>
    <w:rsid w:val="0060536E"/>
    <w:rsid w:val="00607359"/>
    <w:rsid w:val="006076AD"/>
    <w:rsid w:val="006078DD"/>
    <w:rsid w:val="00610999"/>
    <w:rsid w:val="00613725"/>
    <w:rsid w:val="00615D25"/>
    <w:rsid w:val="00620CEE"/>
    <w:rsid w:val="00621758"/>
    <w:rsid w:val="00621EC6"/>
    <w:rsid w:val="006239BA"/>
    <w:rsid w:val="00623D51"/>
    <w:rsid w:val="00623EBA"/>
    <w:rsid w:val="00624D92"/>
    <w:rsid w:val="0062539A"/>
    <w:rsid w:val="006254DA"/>
    <w:rsid w:val="006268FB"/>
    <w:rsid w:val="00627310"/>
    <w:rsid w:val="00627606"/>
    <w:rsid w:val="00631010"/>
    <w:rsid w:val="00633135"/>
    <w:rsid w:val="00633D8D"/>
    <w:rsid w:val="00633E6D"/>
    <w:rsid w:val="006340BD"/>
    <w:rsid w:val="006349A0"/>
    <w:rsid w:val="00634CF6"/>
    <w:rsid w:val="00635B7E"/>
    <w:rsid w:val="00636329"/>
    <w:rsid w:val="00636B72"/>
    <w:rsid w:val="00637986"/>
    <w:rsid w:val="00641D83"/>
    <w:rsid w:val="00643AB4"/>
    <w:rsid w:val="00644BD9"/>
    <w:rsid w:val="006453E3"/>
    <w:rsid w:val="00650790"/>
    <w:rsid w:val="00650BE4"/>
    <w:rsid w:val="00650D24"/>
    <w:rsid w:val="00652E20"/>
    <w:rsid w:val="006557CC"/>
    <w:rsid w:val="00655A5A"/>
    <w:rsid w:val="0065655F"/>
    <w:rsid w:val="006600AA"/>
    <w:rsid w:val="00663DCD"/>
    <w:rsid w:val="00666E23"/>
    <w:rsid w:val="006702FC"/>
    <w:rsid w:val="00670733"/>
    <w:rsid w:val="00670E24"/>
    <w:rsid w:val="00671186"/>
    <w:rsid w:val="006714B7"/>
    <w:rsid w:val="0067270A"/>
    <w:rsid w:val="006733C9"/>
    <w:rsid w:val="00673505"/>
    <w:rsid w:val="00673B79"/>
    <w:rsid w:val="00673F2A"/>
    <w:rsid w:val="006748AC"/>
    <w:rsid w:val="006769DE"/>
    <w:rsid w:val="00677E7C"/>
    <w:rsid w:val="00680AB2"/>
    <w:rsid w:val="00680C42"/>
    <w:rsid w:val="00681546"/>
    <w:rsid w:val="006815E1"/>
    <w:rsid w:val="00681D77"/>
    <w:rsid w:val="0068246D"/>
    <w:rsid w:val="00682FB7"/>
    <w:rsid w:val="0068341F"/>
    <w:rsid w:val="006868BE"/>
    <w:rsid w:val="00687540"/>
    <w:rsid w:val="00692531"/>
    <w:rsid w:val="00695177"/>
    <w:rsid w:val="0069633C"/>
    <w:rsid w:val="00696C84"/>
    <w:rsid w:val="006973A0"/>
    <w:rsid w:val="006A0C00"/>
    <w:rsid w:val="006A1BAF"/>
    <w:rsid w:val="006A2D61"/>
    <w:rsid w:val="006A30E5"/>
    <w:rsid w:val="006A3CF5"/>
    <w:rsid w:val="006A4399"/>
    <w:rsid w:val="006A441D"/>
    <w:rsid w:val="006A4864"/>
    <w:rsid w:val="006B4B61"/>
    <w:rsid w:val="006B5C00"/>
    <w:rsid w:val="006B7BBB"/>
    <w:rsid w:val="006B7EB1"/>
    <w:rsid w:val="006B7F2D"/>
    <w:rsid w:val="006C0F8D"/>
    <w:rsid w:val="006C20F1"/>
    <w:rsid w:val="006C242B"/>
    <w:rsid w:val="006C4F4D"/>
    <w:rsid w:val="006C5389"/>
    <w:rsid w:val="006C58E2"/>
    <w:rsid w:val="006C599E"/>
    <w:rsid w:val="006C6621"/>
    <w:rsid w:val="006D0C70"/>
    <w:rsid w:val="006D22B9"/>
    <w:rsid w:val="006D2F07"/>
    <w:rsid w:val="006D4FFB"/>
    <w:rsid w:val="006D547D"/>
    <w:rsid w:val="006D6CC6"/>
    <w:rsid w:val="006D7109"/>
    <w:rsid w:val="006D77D2"/>
    <w:rsid w:val="006E129D"/>
    <w:rsid w:val="006E226B"/>
    <w:rsid w:val="006E256D"/>
    <w:rsid w:val="006E2922"/>
    <w:rsid w:val="006E2998"/>
    <w:rsid w:val="006E3587"/>
    <w:rsid w:val="006E4924"/>
    <w:rsid w:val="006E51D9"/>
    <w:rsid w:val="006E6DBB"/>
    <w:rsid w:val="006F15E5"/>
    <w:rsid w:val="006F2588"/>
    <w:rsid w:val="006F358A"/>
    <w:rsid w:val="006F4AAB"/>
    <w:rsid w:val="006F4C26"/>
    <w:rsid w:val="006F52C6"/>
    <w:rsid w:val="006F634B"/>
    <w:rsid w:val="00701008"/>
    <w:rsid w:val="0070125A"/>
    <w:rsid w:val="00702007"/>
    <w:rsid w:val="0070578D"/>
    <w:rsid w:val="00706405"/>
    <w:rsid w:val="00707908"/>
    <w:rsid w:val="007101E5"/>
    <w:rsid w:val="0071124E"/>
    <w:rsid w:val="007122DA"/>
    <w:rsid w:val="00712F35"/>
    <w:rsid w:val="007143CD"/>
    <w:rsid w:val="00720241"/>
    <w:rsid w:val="0072184E"/>
    <w:rsid w:val="00721E22"/>
    <w:rsid w:val="00730640"/>
    <w:rsid w:val="007311E0"/>
    <w:rsid w:val="00732729"/>
    <w:rsid w:val="00732FD7"/>
    <w:rsid w:val="00734015"/>
    <w:rsid w:val="007341A8"/>
    <w:rsid w:val="00735091"/>
    <w:rsid w:val="00736440"/>
    <w:rsid w:val="007365C2"/>
    <w:rsid w:val="00736B05"/>
    <w:rsid w:val="0073716D"/>
    <w:rsid w:val="00740166"/>
    <w:rsid w:val="00740389"/>
    <w:rsid w:val="00740C08"/>
    <w:rsid w:val="007507A4"/>
    <w:rsid w:val="00752CF7"/>
    <w:rsid w:val="007536D1"/>
    <w:rsid w:val="00753B4A"/>
    <w:rsid w:val="00753CCF"/>
    <w:rsid w:val="00753E3E"/>
    <w:rsid w:val="0075436C"/>
    <w:rsid w:val="00754B24"/>
    <w:rsid w:val="007570DF"/>
    <w:rsid w:val="00761119"/>
    <w:rsid w:val="007616C9"/>
    <w:rsid w:val="0076174A"/>
    <w:rsid w:val="007620DB"/>
    <w:rsid w:val="007629B4"/>
    <w:rsid w:val="007630D3"/>
    <w:rsid w:val="00763991"/>
    <w:rsid w:val="007648A2"/>
    <w:rsid w:val="007674A7"/>
    <w:rsid w:val="0077087C"/>
    <w:rsid w:val="007751A1"/>
    <w:rsid w:val="00775F79"/>
    <w:rsid w:val="00776FDC"/>
    <w:rsid w:val="0078053D"/>
    <w:rsid w:val="007811BF"/>
    <w:rsid w:val="007820BB"/>
    <w:rsid w:val="0078293F"/>
    <w:rsid w:val="00783DCD"/>
    <w:rsid w:val="00783F7B"/>
    <w:rsid w:val="007849B5"/>
    <w:rsid w:val="0078675C"/>
    <w:rsid w:val="00790927"/>
    <w:rsid w:val="00790DC7"/>
    <w:rsid w:val="00790EB6"/>
    <w:rsid w:val="007910A0"/>
    <w:rsid w:val="00791E02"/>
    <w:rsid w:val="007924E2"/>
    <w:rsid w:val="00793921"/>
    <w:rsid w:val="00793EBF"/>
    <w:rsid w:val="00794A42"/>
    <w:rsid w:val="00794DB7"/>
    <w:rsid w:val="007958A4"/>
    <w:rsid w:val="007962CA"/>
    <w:rsid w:val="00797BE6"/>
    <w:rsid w:val="007A06E7"/>
    <w:rsid w:val="007A3586"/>
    <w:rsid w:val="007A3622"/>
    <w:rsid w:val="007A3A84"/>
    <w:rsid w:val="007A545B"/>
    <w:rsid w:val="007A5A9E"/>
    <w:rsid w:val="007B10D5"/>
    <w:rsid w:val="007B1C37"/>
    <w:rsid w:val="007B204D"/>
    <w:rsid w:val="007B2262"/>
    <w:rsid w:val="007B4A4F"/>
    <w:rsid w:val="007B53FE"/>
    <w:rsid w:val="007B5FF0"/>
    <w:rsid w:val="007B6BD9"/>
    <w:rsid w:val="007C4ECF"/>
    <w:rsid w:val="007C5FC4"/>
    <w:rsid w:val="007C6DDE"/>
    <w:rsid w:val="007D1170"/>
    <w:rsid w:val="007D1BB9"/>
    <w:rsid w:val="007D2C2F"/>
    <w:rsid w:val="007D4321"/>
    <w:rsid w:val="007D59BE"/>
    <w:rsid w:val="007D600B"/>
    <w:rsid w:val="007E0E06"/>
    <w:rsid w:val="007E3714"/>
    <w:rsid w:val="007E4D89"/>
    <w:rsid w:val="007E607A"/>
    <w:rsid w:val="007E60A2"/>
    <w:rsid w:val="007E77BA"/>
    <w:rsid w:val="007E7ECC"/>
    <w:rsid w:val="007F06F2"/>
    <w:rsid w:val="007F080D"/>
    <w:rsid w:val="007F211F"/>
    <w:rsid w:val="007F2F50"/>
    <w:rsid w:val="007F3A04"/>
    <w:rsid w:val="007F4D3F"/>
    <w:rsid w:val="007F4DE2"/>
    <w:rsid w:val="007F5D28"/>
    <w:rsid w:val="007F63CF"/>
    <w:rsid w:val="007F6DC4"/>
    <w:rsid w:val="00800419"/>
    <w:rsid w:val="0080048D"/>
    <w:rsid w:val="00800E21"/>
    <w:rsid w:val="0080275D"/>
    <w:rsid w:val="008032F2"/>
    <w:rsid w:val="008057C6"/>
    <w:rsid w:val="00805869"/>
    <w:rsid w:val="00805ED5"/>
    <w:rsid w:val="0080733E"/>
    <w:rsid w:val="00807521"/>
    <w:rsid w:val="0081005D"/>
    <w:rsid w:val="00810EAA"/>
    <w:rsid w:val="00811D80"/>
    <w:rsid w:val="0081203A"/>
    <w:rsid w:val="0081433E"/>
    <w:rsid w:val="0081478F"/>
    <w:rsid w:val="00814DA0"/>
    <w:rsid w:val="008153B4"/>
    <w:rsid w:val="00816A8C"/>
    <w:rsid w:val="00816F5C"/>
    <w:rsid w:val="00820134"/>
    <w:rsid w:val="0082063F"/>
    <w:rsid w:val="00821F9E"/>
    <w:rsid w:val="008233A9"/>
    <w:rsid w:val="00823CBC"/>
    <w:rsid w:val="00825C5D"/>
    <w:rsid w:val="00825CB0"/>
    <w:rsid w:val="00826354"/>
    <w:rsid w:val="0082662E"/>
    <w:rsid w:val="0083001B"/>
    <w:rsid w:val="0083227F"/>
    <w:rsid w:val="00832A40"/>
    <w:rsid w:val="00832DDF"/>
    <w:rsid w:val="00834466"/>
    <w:rsid w:val="00834C57"/>
    <w:rsid w:val="00835A65"/>
    <w:rsid w:val="0084055A"/>
    <w:rsid w:val="00840A4D"/>
    <w:rsid w:val="00841077"/>
    <w:rsid w:val="00841D5F"/>
    <w:rsid w:val="00842DFB"/>
    <w:rsid w:val="008445EC"/>
    <w:rsid w:val="00844727"/>
    <w:rsid w:val="008456F4"/>
    <w:rsid w:val="00845CEC"/>
    <w:rsid w:val="00846048"/>
    <w:rsid w:val="008472C5"/>
    <w:rsid w:val="008478A2"/>
    <w:rsid w:val="00850206"/>
    <w:rsid w:val="00850D83"/>
    <w:rsid w:val="0085507B"/>
    <w:rsid w:val="00856F11"/>
    <w:rsid w:val="00857036"/>
    <w:rsid w:val="0085728E"/>
    <w:rsid w:val="00857BFD"/>
    <w:rsid w:val="00862771"/>
    <w:rsid w:val="0086375E"/>
    <w:rsid w:val="00864168"/>
    <w:rsid w:val="00864CAF"/>
    <w:rsid w:val="0086590D"/>
    <w:rsid w:val="00865AEE"/>
    <w:rsid w:val="00865C6F"/>
    <w:rsid w:val="0086658F"/>
    <w:rsid w:val="00866F2F"/>
    <w:rsid w:val="00867178"/>
    <w:rsid w:val="0086749D"/>
    <w:rsid w:val="00867ECB"/>
    <w:rsid w:val="008708BE"/>
    <w:rsid w:val="0087129E"/>
    <w:rsid w:val="00872B68"/>
    <w:rsid w:val="00874F9C"/>
    <w:rsid w:val="008755D3"/>
    <w:rsid w:val="008759B3"/>
    <w:rsid w:val="008762C4"/>
    <w:rsid w:val="008772E8"/>
    <w:rsid w:val="00880A53"/>
    <w:rsid w:val="0088424A"/>
    <w:rsid w:val="0088473A"/>
    <w:rsid w:val="00884971"/>
    <w:rsid w:val="008871E4"/>
    <w:rsid w:val="00890963"/>
    <w:rsid w:val="00890D8F"/>
    <w:rsid w:val="00892636"/>
    <w:rsid w:val="00892C65"/>
    <w:rsid w:val="00892E8D"/>
    <w:rsid w:val="0089374C"/>
    <w:rsid w:val="00893C70"/>
    <w:rsid w:val="00894328"/>
    <w:rsid w:val="008945B5"/>
    <w:rsid w:val="00896CE1"/>
    <w:rsid w:val="008A21C5"/>
    <w:rsid w:val="008A287F"/>
    <w:rsid w:val="008A37CF"/>
    <w:rsid w:val="008A4521"/>
    <w:rsid w:val="008A560D"/>
    <w:rsid w:val="008A5DD5"/>
    <w:rsid w:val="008B0C54"/>
    <w:rsid w:val="008B210F"/>
    <w:rsid w:val="008B2E2C"/>
    <w:rsid w:val="008B533E"/>
    <w:rsid w:val="008B5AEE"/>
    <w:rsid w:val="008B63E7"/>
    <w:rsid w:val="008B65A0"/>
    <w:rsid w:val="008B6732"/>
    <w:rsid w:val="008B6C96"/>
    <w:rsid w:val="008B7545"/>
    <w:rsid w:val="008B78FB"/>
    <w:rsid w:val="008C2F3C"/>
    <w:rsid w:val="008C4C6E"/>
    <w:rsid w:val="008C5B7B"/>
    <w:rsid w:val="008C5EDA"/>
    <w:rsid w:val="008C6771"/>
    <w:rsid w:val="008C6F1F"/>
    <w:rsid w:val="008C7657"/>
    <w:rsid w:val="008D01DA"/>
    <w:rsid w:val="008D08CE"/>
    <w:rsid w:val="008D11A4"/>
    <w:rsid w:val="008D2989"/>
    <w:rsid w:val="008D3783"/>
    <w:rsid w:val="008D42C3"/>
    <w:rsid w:val="008D5155"/>
    <w:rsid w:val="008D5277"/>
    <w:rsid w:val="008D5934"/>
    <w:rsid w:val="008D6A75"/>
    <w:rsid w:val="008D6C52"/>
    <w:rsid w:val="008D7472"/>
    <w:rsid w:val="008D7727"/>
    <w:rsid w:val="008E0076"/>
    <w:rsid w:val="008E0736"/>
    <w:rsid w:val="008E0B97"/>
    <w:rsid w:val="008E190D"/>
    <w:rsid w:val="008E4286"/>
    <w:rsid w:val="008E5A11"/>
    <w:rsid w:val="008E6FA5"/>
    <w:rsid w:val="008E73C5"/>
    <w:rsid w:val="008F0961"/>
    <w:rsid w:val="008F0C96"/>
    <w:rsid w:val="008F1644"/>
    <w:rsid w:val="008F16F3"/>
    <w:rsid w:val="008F2014"/>
    <w:rsid w:val="008F23D7"/>
    <w:rsid w:val="008F4582"/>
    <w:rsid w:val="008F4F27"/>
    <w:rsid w:val="008F53B7"/>
    <w:rsid w:val="008F5A2C"/>
    <w:rsid w:val="008F5B9A"/>
    <w:rsid w:val="008F6545"/>
    <w:rsid w:val="008F6B8F"/>
    <w:rsid w:val="008F6CE0"/>
    <w:rsid w:val="008F74B1"/>
    <w:rsid w:val="008F786B"/>
    <w:rsid w:val="008F7F9A"/>
    <w:rsid w:val="00901E71"/>
    <w:rsid w:val="00903695"/>
    <w:rsid w:val="00904168"/>
    <w:rsid w:val="00905E71"/>
    <w:rsid w:val="0091182E"/>
    <w:rsid w:val="00912343"/>
    <w:rsid w:val="009123C8"/>
    <w:rsid w:val="009132D0"/>
    <w:rsid w:val="009160AB"/>
    <w:rsid w:val="00916568"/>
    <w:rsid w:val="00916B09"/>
    <w:rsid w:val="009171E4"/>
    <w:rsid w:val="00920331"/>
    <w:rsid w:val="00921C96"/>
    <w:rsid w:val="00921DC6"/>
    <w:rsid w:val="00924356"/>
    <w:rsid w:val="00924433"/>
    <w:rsid w:val="00924DDF"/>
    <w:rsid w:val="00927FC8"/>
    <w:rsid w:val="00932D52"/>
    <w:rsid w:val="00933257"/>
    <w:rsid w:val="00933A74"/>
    <w:rsid w:val="00933A90"/>
    <w:rsid w:val="00933C83"/>
    <w:rsid w:val="00934778"/>
    <w:rsid w:val="00934D6D"/>
    <w:rsid w:val="00934E96"/>
    <w:rsid w:val="009405D2"/>
    <w:rsid w:val="00941E94"/>
    <w:rsid w:val="00941F9E"/>
    <w:rsid w:val="009427B4"/>
    <w:rsid w:val="00944EEF"/>
    <w:rsid w:val="009458FC"/>
    <w:rsid w:val="0094719D"/>
    <w:rsid w:val="0094736D"/>
    <w:rsid w:val="009503B4"/>
    <w:rsid w:val="00950975"/>
    <w:rsid w:val="0095237E"/>
    <w:rsid w:val="009525B9"/>
    <w:rsid w:val="00953997"/>
    <w:rsid w:val="00953B14"/>
    <w:rsid w:val="00953ED3"/>
    <w:rsid w:val="009544F0"/>
    <w:rsid w:val="00955BF9"/>
    <w:rsid w:val="0095681A"/>
    <w:rsid w:val="00956F8E"/>
    <w:rsid w:val="00957294"/>
    <w:rsid w:val="00957ED7"/>
    <w:rsid w:val="00961448"/>
    <w:rsid w:val="00963D04"/>
    <w:rsid w:val="00964B4A"/>
    <w:rsid w:val="009655E8"/>
    <w:rsid w:val="0096575D"/>
    <w:rsid w:val="0097082F"/>
    <w:rsid w:val="00970903"/>
    <w:rsid w:val="0097155E"/>
    <w:rsid w:val="00973827"/>
    <w:rsid w:val="009749DE"/>
    <w:rsid w:val="0097560B"/>
    <w:rsid w:val="00977E7C"/>
    <w:rsid w:val="00980535"/>
    <w:rsid w:val="00980B52"/>
    <w:rsid w:val="009812DC"/>
    <w:rsid w:val="0098141A"/>
    <w:rsid w:val="00981A34"/>
    <w:rsid w:val="00983CA3"/>
    <w:rsid w:val="009857E1"/>
    <w:rsid w:val="009859B3"/>
    <w:rsid w:val="00986968"/>
    <w:rsid w:val="00986B66"/>
    <w:rsid w:val="0099060C"/>
    <w:rsid w:val="00990CDB"/>
    <w:rsid w:val="009912BD"/>
    <w:rsid w:val="00991303"/>
    <w:rsid w:val="009919A9"/>
    <w:rsid w:val="00991A81"/>
    <w:rsid w:val="009921AF"/>
    <w:rsid w:val="0099228F"/>
    <w:rsid w:val="0099462A"/>
    <w:rsid w:val="00995108"/>
    <w:rsid w:val="00995890"/>
    <w:rsid w:val="0099635E"/>
    <w:rsid w:val="009A0F9F"/>
    <w:rsid w:val="009A43F6"/>
    <w:rsid w:val="009B0082"/>
    <w:rsid w:val="009B0A77"/>
    <w:rsid w:val="009B0E4C"/>
    <w:rsid w:val="009B28F1"/>
    <w:rsid w:val="009B2FFE"/>
    <w:rsid w:val="009B4629"/>
    <w:rsid w:val="009B5FD3"/>
    <w:rsid w:val="009B6272"/>
    <w:rsid w:val="009C0644"/>
    <w:rsid w:val="009C07E8"/>
    <w:rsid w:val="009C0A66"/>
    <w:rsid w:val="009C14B0"/>
    <w:rsid w:val="009C30D8"/>
    <w:rsid w:val="009C36FF"/>
    <w:rsid w:val="009C3855"/>
    <w:rsid w:val="009C4021"/>
    <w:rsid w:val="009C6124"/>
    <w:rsid w:val="009C7495"/>
    <w:rsid w:val="009C7678"/>
    <w:rsid w:val="009C7811"/>
    <w:rsid w:val="009D0124"/>
    <w:rsid w:val="009D05BD"/>
    <w:rsid w:val="009D0EDD"/>
    <w:rsid w:val="009D1A20"/>
    <w:rsid w:val="009D3023"/>
    <w:rsid w:val="009D5925"/>
    <w:rsid w:val="009D5CD1"/>
    <w:rsid w:val="009D646C"/>
    <w:rsid w:val="009D7B92"/>
    <w:rsid w:val="009E1096"/>
    <w:rsid w:val="009E276D"/>
    <w:rsid w:val="009E29EB"/>
    <w:rsid w:val="009E4FBD"/>
    <w:rsid w:val="009E763F"/>
    <w:rsid w:val="009E7E67"/>
    <w:rsid w:val="009F134B"/>
    <w:rsid w:val="009F2D25"/>
    <w:rsid w:val="009F2D4B"/>
    <w:rsid w:val="009F3975"/>
    <w:rsid w:val="009F3C63"/>
    <w:rsid w:val="009F4C3C"/>
    <w:rsid w:val="009F5377"/>
    <w:rsid w:val="009F779D"/>
    <w:rsid w:val="00A0215A"/>
    <w:rsid w:val="00A04216"/>
    <w:rsid w:val="00A06747"/>
    <w:rsid w:val="00A06FB6"/>
    <w:rsid w:val="00A0781D"/>
    <w:rsid w:val="00A11062"/>
    <w:rsid w:val="00A11077"/>
    <w:rsid w:val="00A11BC4"/>
    <w:rsid w:val="00A12ABE"/>
    <w:rsid w:val="00A12CEC"/>
    <w:rsid w:val="00A13F48"/>
    <w:rsid w:val="00A14B05"/>
    <w:rsid w:val="00A1549B"/>
    <w:rsid w:val="00A157DE"/>
    <w:rsid w:val="00A21B9A"/>
    <w:rsid w:val="00A231B4"/>
    <w:rsid w:val="00A233F8"/>
    <w:rsid w:val="00A25865"/>
    <w:rsid w:val="00A266D9"/>
    <w:rsid w:val="00A2672B"/>
    <w:rsid w:val="00A268A9"/>
    <w:rsid w:val="00A26A37"/>
    <w:rsid w:val="00A30741"/>
    <w:rsid w:val="00A3122D"/>
    <w:rsid w:val="00A323D0"/>
    <w:rsid w:val="00A37860"/>
    <w:rsid w:val="00A405C9"/>
    <w:rsid w:val="00A40FC0"/>
    <w:rsid w:val="00A439AB"/>
    <w:rsid w:val="00A443EC"/>
    <w:rsid w:val="00A4457B"/>
    <w:rsid w:val="00A44B6E"/>
    <w:rsid w:val="00A46AA0"/>
    <w:rsid w:val="00A479C1"/>
    <w:rsid w:val="00A501BF"/>
    <w:rsid w:val="00A522D8"/>
    <w:rsid w:val="00A52B1F"/>
    <w:rsid w:val="00A53ECF"/>
    <w:rsid w:val="00A53ED2"/>
    <w:rsid w:val="00A5448B"/>
    <w:rsid w:val="00A547EF"/>
    <w:rsid w:val="00A55059"/>
    <w:rsid w:val="00A5546D"/>
    <w:rsid w:val="00A56572"/>
    <w:rsid w:val="00A56C64"/>
    <w:rsid w:val="00A60089"/>
    <w:rsid w:val="00A60C82"/>
    <w:rsid w:val="00A6133E"/>
    <w:rsid w:val="00A63914"/>
    <w:rsid w:val="00A64057"/>
    <w:rsid w:val="00A66F98"/>
    <w:rsid w:val="00A672F3"/>
    <w:rsid w:val="00A7070B"/>
    <w:rsid w:val="00A70C41"/>
    <w:rsid w:val="00A71AA8"/>
    <w:rsid w:val="00A726C9"/>
    <w:rsid w:val="00A741D5"/>
    <w:rsid w:val="00A768D9"/>
    <w:rsid w:val="00A76B30"/>
    <w:rsid w:val="00A76D28"/>
    <w:rsid w:val="00A7727E"/>
    <w:rsid w:val="00A80BFB"/>
    <w:rsid w:val="00A80F4A"/>
    <w:rsid w:val="00A81FAF"/>
    <w:rsid w:val="00A84EB7"/>
    <w:rsid w:val="00A850AF"/>
    <w:rsid w:val="00A86031"/>
    <w:rsid w:val="00A92816"/>
    <w:rsid w:val="00A92C05"/>
    <w:rsid w:val="00A93708"/>
    <w:rsid w:val="00A9476F"/>
    <w:rsid w:val="00A94B97"/>
    <w:rsid w:val="00A94D5C"/>
    <w:rsid w:val="00A97B4B"/>
    <w:rsid w:val="00AA2D63"/>
    <w:rsid w:val="00AA467E"/>
    <w:rsid w:val="00AA4910"/>
    <w:rsid w:val="00AA499F"/>
    <w:rsid w:val="00AA5AB6"/>
    <w:rsid w:val="00AA6342"/>
    <w:rsid w:val="00AA7085"/>
    <w:rsid w:val="00AA7E77"/>
    <w:rsid w:val="00AB01E9"/>
    <w:rsid w:val="00AB0428"/>
    <w:rsid w:val="00AB09B4"/>
    <w:rsid w:val="00AB0E1B"/>
    <w:rsid w:val="00AB23C9"/>
    <w:rsid w:val="00AB2FF2"/>
    <w:rsid w:val="00AB6212"/>
    <w:rsid w:val="00AB6E7E"/>
    <w:rsid w:val="00AC0269"/>
    <w:rsid w:val="00AC0DB6"/>
    <w:rsid w:val="00AC1163"/>
    <w:rsid w:val="00AC1514"/>
    <w:rsid w:val="00AC16DB"/>
    <w:rsid w:val="00AC2858"/>
    <w:rsid w:val="00AC35B6"/>
    <w:rsid w:val="00AC42C6"/>
    <w:rsid w:val="00AC5B8D"/>
    <w:rsid w:val="00AC5CE9"/>
    <w:rsid w:val="00AC6622"/>
    <w:rsid w:val="00AC66EE"/>
    <w:rsid w:val="00AC680D"/>
    <w:rsid w:val="00AC6EEC"/>
    <w:rsid w:val="00AC7C6C"/>
    <w:rsid w:val="00AC7D00"/>
    <w:rsid w:val="00AD0A40"/>
    <w:rsid w:val="00AD1B5E"/>
    <w:rsid w:val="00AD1CFF"/>
    <w:rsid w:val="00AD211E"/>
    <w:rsid w:val="00AD228E"/>
    <w:rsid w:val="00AD25CF"/>
    <w:rsid w:val="00AD3D9F"/>
    <w:rsid w:val="00AD3DF3"/>
    <w:rsid w:val="00AD4573"/>
    <w:rsid w:val="00AD60C2"/>
    <w:rsid w:val="00AD75AE"/>
    <w:rsid w:val="00AE072D"/>
    <w:rsid w:val="00AE0E63"/>
    <w:rsid w:val="00AE1322"/>
    <w:rsid w:val="00AE2330"/>
    <w:rsid w:val="00AE26D7"/>
    <w:rsid w:val="00AE6743"/>
    <w:rsid w:val="00AE6AE7"/>
    <w:rsid w:val="00AE6D25"/>
    <w:rsid w:val="00AF0A17"/>
    <w:rsid w:val="00AF1038"/>
    <w:rsid w:val="00AF1571"/>
    <w:rsid w:val="00AF17F7"/>
    <w:rsid w:val="00AF251C"/>
    <w:rsid w:val="00AF3A3E"/>
    <w:rsid w:val="00AF3A4A"/>
    <w:rsid w:val="00AF4CA4"/>
    <w:rsid w:val="00AF52E8"/>
    <w:rsid w:val="00B00CD5"/>
    <w:rsid w:val="00B00DA3"/>
    <w:rsid w:val="00B012D0"/>
    <w:rsid w:val="00B035FE"/>
    <w:rsid w:val="00B0453D"/>
    <w:rsid w:val="00B04B84"/>
    <w:rsid w:val="00B04B9F"/>
    <w:rsid w:val="00B04C4E"/>
    <w:rsid w:val="00B05271"/>
    <w:rsid w:val="00B05F80"/>
    <w:rsid w:val="00B06E21"/>
    <w:rsid w:val="00B06F73"/>
    <w:rsid w:val="00B07A9B"/>
    <w:rsid w:val="00B106CE"/>
    <w:rsid w:val="00B10E63"/>
    <w:rsid w:val="00B114BE"/>
    <w:rsid w:val="00B11AFE"/>
    <w:rsid w:val="00B1342C"/>
    <w:rsid w:val="00B141BE"/>
    <w:rsid w:val="00B15164"/>
    <w:rsid w:val="00B16551"/>
    <w:rsid w:val="00B165D7"/>
    <w:rsid w:val="00B20306"/>
    <w:rsid w:val="00B233E7"/>
    <w:rsid w:val="00B247CB"/>
    <w:rsid w:val="00B254C3"/>
    <w:rsid w:val="00B25512"/>
    <w:rsid w:val="00B2592B"/>
    <w:rsid w:val="00B25A9A"/>
    <w:rsid w:val="00B312EF"/>
    <w:rsid w:val="00B325C3"/>
    <w:rsid w:val="00B3269A"/>
    <w:rsid w:val="00B32793"/>
    <w:rsid w:val="00B33355"/>
    <w:rsid w:val="00B33FE6"/>
    <w:rsid w:val="00B3467E"/>
    <w:rsid w:val="00B34E49"/>
    <w:rsid w:val="00B367D9"/>
    <w:rsid w:val="00B373FE"/>
    <w:rsid w:val="00B40161"/>
    <w:rsid w:val="00B43BDE"/>
    <w:rsid w:val="00B457B2"/>
    <w:rsid w:val="00B469B3"/>
    <w:rsid w:val="00B50B25"/>
    <w:rsid w:val="00B5147D"/>
    <w:rsid w:val="00B51BBA"/>
    <w:rsid w:val="00B53857"/>
    <w:rsid w:val="00B54812"/>
    <w:rsid w:val="00B551C3"/>
    <w:rsid w:val="00B5543A"/>
    <w:rsid w:val="00B55E4B"/>
    <w:rsid w:val="00B55F15"/>
    <w:rsid w:val="00B56667"/>
    <w:rsid w:val="00B56D62"/>
    <w:rsid w:val="00B608F4"/>
    <w:rsid w:val="00B61954"/>
    <w:rsid w:val="00B62C57"/>
    <w:rsid w:val="00B64E86"/>
    <w:rsid w:val="00B667B9"/>
    <w:rsid w:val="00B70B5A"/>
    <w:rsid w:val="00B70D7C"/>
    <w:rsid w:val="00B70DD0"/>
    <w:rsid w:val="00B720D0"/>
    <w:rsid w:val="00B72D5B"/>
    <w:rsid w:val="00B759E8"/>
    <w:rsid w:val="00B778E6"/>
    <w:rsid w:val="00B77A56"/>
    <w:rsid w:val="00B81716"/>
    <w:rsid w:val="00B84B44"/>
    <w:rsid w:val="00B85B55"/>
    <w:rsid w:val="00B86097"/>
    <w:rsid w:val="00B87579"/>
    <w:rsid w:val="00B8777F"/>
    <w:rsid w:val="00B91E05"/>
    <w:rsid w:val="00B937B0"/>
    <w:rsid w:val="00B969EC"/>
    <w:rsid w:val="00B97185"/>
    <w:rsid w:val="00BA047C"/>
    <w:rsid w:val="00BA3084"/>
    <w:rsid w:val="00BA46D5"/>
    <w:rsid w:val="00BA539C"/>
    <w:rsid w:val="00BA75BA"/>
    <w:rsid w:val="00BB00BC"/>
    <w:rsid w:val="00BB0194"/>
    <w:rsid w:val="00BB0417"/>
    <w:rsid w:val="00BB0612"/>
    <w:rsid w:val="00BB08E9"/>
    <w:rsid w:val="00BB1596"/>
    <w:rsid w:val="00BB398D"/>
    <w:rsid w:val="00BB4ABA"/>
    <w:rsid w:val="00BB563E"/>
    <w:rsid w:val="00BB5C2F"/>
    <w:rsid w:val="00BB6821"/>
    <w:rsid w:val="00BB6A83"/>
    <w:rsid w:val="00BC0400"/>
    <w:rsid w:val="00BC10BB"/>
    <w:rsid w:val="00BC24E0"/>
    <w:rsid w:val="00BC2E4D"/>
    <w:rsid w:val="00BC3122"/>
    <w:rsid w:val="00BC31D0"/>
    <w:rsid w:val="00BC49B5"/>
    <w:rsid w:val="00BC55AB"/>
    <w:rsid w:val="00BC6215"/>
    <w:rsid w:val="00BD1974"/>
    <w:rsid w:val="00BD1DCA"/>
    <w:rsid w:val="00BD2ECF"/>
    <w:rsid w:val="00BD3E57"/>
    <w:rsid w:val="00BD3F89"/>
    <w:rsid w:val="00BD57E1"/>
    <w:rsid w:val="00BD6093"/>
    <w:rsid w:val="00BD60EE"/>
    <w:rsid w:val="00BD77A7"/>
    <w:rsid w:val="00BD7986"/>
    <w:rsid w:val="00BD7D9E"/>
    <w:rsid w:val="00BE1147"/>
    <w:rsid w:val="00BE1627"/>
    <w:rsid w:val="00BE4054"/>
    <w:rsid w:val="00BE5AF1"/>
    <w:rsid w:val="00BE6B98"/>
    <w:rsid w:val="00BE7879"/>
    <w:rsid w:val="00BF0372"/>
    <w:rsid w:val="00BF0467"/>
    <w:rsid w:val="00BF06E7"/>
    <w:rsid w:val="00BF15E0"/>
    <w:rsid w:val="00BF257A"/>
    <w:rsid w:val="00BF2B88"/>
    <w:rsid w:val="00BF3025"/>
    <w:rsid w:val="00BF350F"/>
    <w:rsid w:val="00BF43C3"/>
    <w:rsid w:val="00BF4B23"/>
    <w:rsid w:val="00BF5B28"/>
    <w:rsid w:val="00BF6AF2"/>
    <w:rsid w:val="00BF6DDE"/>
    <w:rsid w:val="00BF6FFF"/>
    <w:rsid w:val="00BF7611"/>
    <w:rsid w:val="00BF7A48"/>
    <w:rsid w:val="00C00133"/>
    <w:rsid w:val="00C0076C"/>
    <w:rsid w:val="00C00D1B"/>
    <w:rsid w:val="00C00E87"/>
    <w:rsid w:val="00C021B1"/>
    <w:rsid w:val="00C03AF4"/>
    <w:rsid w:val="00C0555D"/>
    <w:rsid w:val="00C07FC4"/>
    <w:rsid w:val="00C110CD"/>
    <w:rsid w:val="00C12799"/>
    <w:rsid w:val="00C1578A"/>
    <w:rsid w:val="00C15992"/>
    <w:rsid w:val="00C15E2B"/>
    <w:rsid w:val="00C16308"/>
    <w:rsid w:val="00C16B27"/>
    <w:rsid w:val="00C16DD9"/>
    <w:rsid w:val="00C218BC"/>
    <w:rsid w:val="00C21A1F"/>
    <w:rsid w:val="00C227B8"/>
    <w:rsid w:val="00C230DA"/>
    <w:rsid w:val="00C23FF8"/>
    <w:rsid w:val="00C26AE2"/>
    <w:rsid w:val="00C3024E"/>
    <w:rsid w:val="00C30DC1"/>
    <w:rsid w:val="00C3197C"/>
    <w:rsid w:val="00C3212D"/>
    <w:rsid w:val="00C3296F"/>
    <w:rsid w:val="00C3351E"/>
    <w:rsid w:val="00C33AFE"/>
    <w:rsid w:val="00C37C72"/>
    <w:rsid w:val="00C40E45"/>
    <w:rsid w:val="00C419AD"/>
    <w:rsid w:val="00C41EC6"/>
    <w:rsid w:val="00C42EE1"/>
    <w:rsid w:val="00C45406"/>
    <w:rsid w:val="00C45D83"/>
    <w:rsid w:val="00C46FB2"/>
    <w:rsid w:val="00C47456"/>
    <w:rsid w:val="00C50666"/>
    <w:rsid w:val="00C52B93"/>
    <w:rsid w:val="00C534BB"/>
    <w:rsid w:val="00C553F1"/>
    <w:rsid w:val="00C5608E"/>
    <w:rsid w:val="00C575AB"/>
    <w:rsid w:val="00C604F5"/>
    <w:rsid w:val="00C629AB"/>
    <w:rsid w:val="00C62D79"/>
    <w:rsid w:val="00C62F0F"/>
    <w:rsid w:val="00C64AE9"/>
    <w:rsid w:val="00C651D3"/>
    <w:rsid w:val="00C707C6"/>
    <w:rsid w:val="00C713E3"/>
    <w:rsid w:val="00C7242A"/>
    <w:rsid w:val="00C73867"/>
    <w:rsid w:val="00C74001"/>
    <w:rsid w:val="00C74072"/>
    <w:rsid w:val="00C74E83"/>
    <w:rsid w:val="00C75397"/>
    <w:rsid w:val="00C75BA5"/>
    <w:rsid w:val="00C77655"/>
    <w:rsid w:val="00C808F4"/>
    <w:rsid w:val="00C8305C"/>
    <w:rsid w:val="00C83C32"/>
    <w:rsid w:val="00C844DF"/>
    <w:rsid w:val="00C86C50"/>
    <w:rsid w:val="00C907DC"/>
    <w:rsid w:val="00C90E11"/>
    <w:rsid w:val="00C91676"/>
    <w:rsid w:val="00C944FD"/>
    <w:rsid w:val="00C94E88"/>
    <w:rsid w:val="00C9677C"/>
    <w:rsid w:val="00C96B97"/>
    <w:rsid w:val="00C96C0C"/>
    <w:rsid w:val="00C96DE9"/>
    <w:rsid w:val="00C97A85"/>
    <w:rsid w:val="00C97BA0"/>
    <w:rsid w:val="00CA243C"/>
    <w:rsid w:val="00CA40F4"/>
    <w:rsid w:val="00CA79C9"/>
    <w:rsid w:val="00CB027C"/>
    <w:rsid w:val="00CB0473"/>
    <w:rsid w:val="00CB0F25"/>
    <w:rsid w:val="00CB1099"/>
    <w:rsid w:val="00CB4045"/>
    <w:rsid w:val="00CB4D17"/>
    <w:rsid w:val="00CB52D5"/>
    <w:rsid w:val="00CB539B"/>
    <w:rsid w:val="00CB68F1"/>
    <w:rsid w:val="00CB6DA0"/>
    <w:rsid w:val="00CC024B"/>
    <w:rsid w:val="00CC1003"/>
    <w:rsid w:val="00CC1BE9"/>
    <w:rsid w:val="00CC36C4"/>
    <w:rsid w:val="00CC4070"/>
    <w:rsid w:val="00CC4A46"/>
    <w:rsid w:val="00CC4E8E"/>
    <w:rsid w:val="00CC7962"/>
    <w:rsid w:val="00CD0BB5"/>
    <w:rsid w:val="00CD3BA4"/>
    <w:rsid w:val="00CD3CE6"/>
    <w:rsid w:val="00CD724F"/>
    <w:rsid w:val="00CE13B8"/>
    <w:rsid w:val="00CE2031"/>
    <w:rsid w:val="00CE3078"/>
    <w:rsid w:val="00CE41C3"/>
    <w:rsid w:val="00CE4252"/>
    <w:rsid w:val="00CE4DF1"/>
    <w:rsid w:val="00CE4F24"/>
    <w:rsid w:val="00CE5E3F"/>
    <w:rsid w:val="00CE6000"/>
    <w:rsid w:val="00CE656B"/>
    <w:rsid w:val="00CF1673"/>
    <w:rsid w:val="00CF4648"/>
    <w:rsid w:val="00CF5442"/>
    <w:rsid w:val="00CF7DC8"/>
    <w:rsid w:val="00D00602"/>
    <w:rsid w:val="00D01719"/>
    <w:rsid w:val="00D04051"/>
    <w:rsid w:val="00D0664B"/>
    <w:rsid w:val="00D11401"/>
    <w:rsid w:val="00D11EB0"/>
    <w:rsid w:val="00D13CD1"/>
    <w:rsid w:val="00D143B3"/>
    <w:rsid w:val="00D1506C"/>
    <w:rsid w:val="00D1682F"/>
    <w:rsid w:val="00D20216"/>
    <w:rsid w:val="00D204FB"/>
    <w:rsid w:val="00D20D20"/>
    <w:rsid w:val="00D212BC"/>
    <w:rsid w:val="00D22E56"/>
    <w:rsid w:val="00D23882"/>
    <w:rsid w:val="00D24FD0"/>
    <w:rsid w:val="00D27C00"/>
    <w:rsid w:val="00D30332"/>
    <w:rsid w:val="00D36023"/>
    <w:rsid w:val="00D36773"/>
    <w:rsid w:val="00D36EFD"/>
    <w:rsid w:val="00D3773B"/>
    <w:rsid w:val="00D406BA"/>
    <w:rsid w:val="00D43322"/>
    <w:rsid w:val="00D44101"/>
    <w:rsid w:val="00D4413D"/>
    <w:rsid w:val="00D444B1"/>
    <w:rsid w:val="00D44723"/>
    <w:rsid w:val="00D454F0"/>
    <w:rsid w:val="00D4554E"/>
    <w:rsid w:val="00D462FF"/>
    <w:rsid w:val="00D46C64"/>
    <w:rsid w:val="00D472C6"/>
    <w:rsid w:val="00D47EEA"/>
    <w:rsid w:val="00D51382"/>
    <w:rsid w:val="00D5214A"/>
    <w:rsid w:val="00D537DD"/>
    <w:rsid w:val="00D54B77"/>
    <w:rsid w:val="00D55AC4"/>
    <w:rsid w:val="00D61AA1"/>
    <w:rsid w:val="00D62DFB"/>
    <w:rsid w:val="00D64067"/>
    <w:rsid w:val="00D64C6C"/>
    <w:rsid w:val="00D65A07"/>
    <w:rsid w:val="00D66778"/>
    <w:rsid w:val="00D66AFA"/>
    <w:rsid w:val="00D72545"/>
    <w:rsid w:val="00D74A70"/>
    <w:rsid w:val="00D74C9C"/>
    <w:rsid w:val="00D7648F"/>
    <w:rsid w:val="00D81446"/>
    <w:rsid w:val="00D827D3"/>
    <w:rsid w:val="00D83ECA"/>
    <w:rsid w:val="00D84253"/>
    <w:rsid w:val="00D867D1"/>
    <w:rsid w:val="00D8687D"/>
    <w:rsid w:val="00D86D7D"/>
    <w:rsid w:val="00D925F2"/>
    <w:rsid w:val="00D932F7"/>
    <w:rsid w:val="00D93CA4"/>
    <w:rsid w:val="00D947FA"/>
    <w:rsid w:val="00D95236"/>
    <w:rsid w:val="00D95A13"/>
    <w:rsid w:val="00D95CE4"/>
    <w:rsid w:val="00D97741"/>
    <w:rsid w:val="00D979A2"/>
    <w:rsid w:val="00DA33FD"/>
    <w:rsid w:val="00DA41E7"/>
    <w:rsid w:val="00DA5AF5"/>
    <w:rsid w:val="00DB2143"/>
    <w:rsid w:val="00DB251C"/>
    <w:rsid w:val="00DB2FA6"/>
    <w:rsid w:val="00DB69A3"/>
    <w:rsid w:val="00DC4A34"/>
    <w:rsid w:val="00DC4B98"/>
    <w:rsid w:val="00DC5C28"/>
    <w:rsid w:val="00DC5F7E"/>
    <w:rsid w:val="00DC752B"/>
    <w:rsid w:val="00DD0199"/>
    <w:rsid w:val="00DD0593"/>
    <w:rsid w:val="00DD1158"/>
    <w:rsid w:val="00DD2558"/>
    <w:rsid w:val="00DD5189"/>
    <w:rsid w:val="00DD5723"/>
    <w:rsid w:val="00DD6BD8"/>
    <w:rsid w:val="00DD6CED"/>
    <w:rsid w:val="00DD71F0"/>
    <w:rsid w:val="00DD786F"/>
    <w:rsid w:val="00DE1BA9"/>
    <w:rsid w:val="00DE2592"/>
    <w:rsid w:val="00DE2B32"/>
    <w:rsid w:val="00DE3130"/>
    <w:rsid w:val="00DE343F"/>
    <w:rsid w:val="00DE639C"/>
    <w:rsid w:val="00DE7293"/>
    <w:rsid w:val="00DF10BF"/>
    <w:rsid w:val="00DF4295"/>
    <w:rsid w:val="00DF4A7B"/>
    <w:rsid w:val="00E00AF5"/>
    <w:rsid w:val="00E02CCD"/>
    <w:rsid w:val="00E0359E"/>
    <w:rsid w:val="00E038A1"/>
    <w:rsid w:val="00E03E5D"/>
    <w:rsid w:val="00E03F97"/>
    <w:rsid w:val="00E048C8"/>
    <w:rsid w:val="00E04D61"/>
    <w:rsid w:val="00E04D8E"/>
    <w:rsid w:val="00E0780B"/>
    <w:rsid w:val="00E10E4B"/>
    <w:rsid w:val="00E1117A"/>
    <w:rsid w:val="00E11507"/>
    <w:rsid w:val="00E1208E"/>
    <w:rsid w:val="00E12991"/>
    <w:rsid w:val="00E134CC"/>
    <w:rsid w:val="00E135DA"/>
    <w:rsid w:val="00E1362A"/>
    <w:rsid w:val="00E13799"/>
    <w:rsid w:val="00E138BA"/>
    <w:rsid w:val="00E172C7"/>
    <w:rsid w:val="00E17DF0"/>
    <w:rsid w:val="00E2001D"/>
    <w:rsid w:val="00E20950"/>
    <w:rsid w:val="00E234BE"/>
    <w:rsid w:val="00E255A5"/>
    <w:rsid w:val="00E25CF6"/>
    <w:rsid w:val="00E2651C"/>
    <w:rsid w:val="00E2682D"/>
    <w:rsid w:val="00E30D2B"/>
    <w:rsid w:val="00E3125F"/>
    <w:rsid w:val="00E31C0C"/>
    <w:rsid w:val="00E31F4D"/>
    <w:rsid w:val="00E32808"/>
    <w:rsid w:val="00E32A00"/>
    <w:rsid w:val="00E32BD5"/>
    <w:rsid w:val="00E3417E"/>
    <w:rsid w:val="00E342AE"/>
    <w:rsid w:val="00E346CE"/>
    <w:rsid w:val="00E351D1"/>
    <w:rsid w:val="00E40277"/>
    <w:rsid w:val="00E4223F"/>
    <w:rsid w:val="00E433FF"/>
    <w:rsid w:val="00E43E2A"/>
    <w:rsid w:val="00E43E8E"/>
    <w:rsid w:val="00E472C6"/>
    <w:rsid w:val="00E473C4"/>
    <w:rsid w:val="00E50280"/>
    <w:rsid w:val="00E5032E"/>
    <w:rsid w:val="00E5065F"/>
    <w:rsid w:val="00E53466"/>
    <w:rsid w:val="00E55221"/>
    <w:rsid w:val="00E559D1"/>
    <w:rsid w:val="00E561F6"/>
    <w:rsid w:val="00E61057"/>
    <w:rsid w:val="00E61118"/>
    <w:rsid w:val="00E61996"/>
    <w:rsid w:val="00E63949"/>
    <w:rsid w:val="00E642D2"/>
    <w:rsid w:val="00E64A6A"/>
    <w:rsid w:val="00E6563B"/>
    <w:rsid w:val="00E6699A"/>
    <w:rsid w:val="00E677F7"/>
    <w:rsid w:val="00E67C6D"/>
    <w:rsid w:val="00E711E1"/>
    <w:rsid w:val="00E722ED"/>
    <w:rsid w:val="00E72459"/>
    <w:rsid w:val="00E73D66"/>
    <w:rsid w:val="00E7534D"/>
    <w:rsid w:val="00E77103"/>
    <w:rsid w:val="00E77405"/>
    <w:rsid w:val="00E822AD"/>
    <w:rsid w:val="00E8363E"/>
    <w:rsid w:val="00E854F6"/>
    <w:rsid w:val="00E85F3E"/>
    <w:rsid w:val="00E87441"/>
    <w:rsid w:val="00E90AB7"/>
    <w:rsid w:val="00E90BC1"/>
    <w:rsid w:val="00E91085"/>
    <w:rsid w:val="00E91A1E"/>
    <w:rsid w:val="00E92CB5"/>
    <w:rsid w:val="00E93AD6"/>
    <w:rsid w:val="00E945EE"/>
    <w:rsid w:val="00E95ABF"/>
    <w:rsid w:val="00E96280"/>
    <w:rsid w:val="00E965A3"/>
    <w:rsid w:val="00E97803"/>
    <w:rsid w:val="00E97CB5"/>
    <w:rsid w:val="00EA04EE"/>
    <w:rsid w:val="00EA0A49"/>
    <w:rsid w:val="00EA23DF"/>
    <w:rsid w:val="00EA3981"/>
    <w:rsid w:val="00EA4C42"/>
    <w:rsid w:val="00EA73B6"/>
    <w:rsid w:val="00EA7F90"/>
    <w:rsid w:val="00EB0911"/>
    <w:rsid w:val="00EB0B1D"/>
    <w:rsid w:val="00EB0FCE"/>
    <w:rsid w:val="00EB2F60"/>
    <w:rsid w:val="00EB4249"/>
    <w:rsid w:val="00EB49C7"/>
    <w:rsid w:val="00EB56B3"/>
    <w:rsid w:val="00EB62EE"/>
    <w:rsid w:val="00EB71CA"/>
    <w:rsid w:val="00EC105E"/>
    <w:rsid w:val="00EC21EA"/>
    <w:rsid w:val="00EC26E5"/>
    <w:rsid w:val="00EC484C"/>
    <w:rsid w:val="00EC492B"/>
    <w:rsid w:val="00EC55B1"/>
    <w:rsid w:val="00EC5ADA"/>
    <w:rsid w:val="00EC7582"/>
    <w:rsid w:val="00EC7594"/>
    <w:rsid w:val="00ED0435"/>
    <w:rsid w:val="00ED21EB"/>
    <w:rsid w:val="00ED2672"/>
    <w:rsid w:val="00ED327D"/>
    <w:rsid w:val="00ED3421"/>
    <w:rsid w:val="00ED365F"/>
    <w:rsid w:val="00ED5F94"/>
    <w:rsid w:val="00ED61C7"/>
    <w:rsid w:val="00ED69D1"/>
    <w:rsid w:val="00ED6E8C"/>
    <w:rsid w:val="00EE1286"/>
    <w:rsid w:val="00EE2639"/>
    <w:rsid w:val="00EE42B5"/>
    <w:rsid w:val="00EE4BB5"/>
    <w:rsid w:val="00EE58EE"/>
    <w:rsid w:val="00EE6360"/>
    <w:rsid w:val="00EE6871"/>
    <w:rsid w:val="00EE72D3"/>
    <w:rsid w:val="00EF0C76"/>
    <w:rsid w:val="00EF0D23"/>
    <w:rsid w:val="00EF212A"/>
    <w:rsid w:val="00EF36E2"/>
    <w:rsid w:val="00EF3F6F"/>
    <w:rsid w:val="00EF4E49"/>
    <w:rsid w:val="00EF5FBF"/>
    <w:rsid w:val="00EF70FE"/>
    <w:rsid w:val="00EF7493"/>
    <w:rsid w:val="00EF78A8"/>
    <w:rsid w:val="00EF79FF"/>
    <w:rsid w:val="00F035F5"/>
    <w:rsid w:val="00F057A8"/>
    <w:rsid w:val="00F060E6"/>
    <w:rsid w:val="00F06EAA"/>
    <w:rsid w:val="00F06FEA"/>
    <w:rsid w:val="00F076CE"/>
    <w:rsid w:val="00F104B1"/>
    <w:rsid w:val="00F104C1"/>
    <w:rsid w:val="00F1223A"/>
    <w:rsid w:val="00F130F2"/>
    <w:rsid w:val="00F137DB"/>
    <w:rsid w:val="00F13A8A"/>
    <w:rsid w:val="00F13AFB"/>
    <w:rsid w:val="00F14F1E"/>
    <w:rsid w:val="00F14F61"/>
    <w:rsid w:val="00F1505A"/>
    <w:rsid w:val="00F15325"/>
    <w:rsid w:val="00F15B40"/>
    <w:rsid w:val="00F162AF"/>
    <w:rsid w:val="00F16831"/>
    <w:rsid w:val="00F203B8"/>
    <w:rsid w:val="00F22297"/>
    <w:rsid w:val="00F225CB"/>
    <w:rsid w:val="00F238AC"/>
    <w:rsid w:val="00F24431"/>
    <w:rsid w:val="00F24AB4"/>
    <w:rsid w:val="00F2550B"/>
    <w:rsid w:val="00F26BA9"/>
    <w:rsid w:val="00F30A21"/>
    <w:rsid w:val="00F32008"/>
    <w:rsid w:val="00F32C51"/>
    <w:rsid w:val="00F3388B"/>
    <w:rsid w:val="00F35BC6"/>
    <w:rsid w:val="00F35E76"/>
    <w:rsid w:val="00F3650D"/>
    <w:rsid w:val="00F36C89"/>
    <w:rsid w:val="00F36C8D"/>
    <w:rsid w:val="00F372C8"/>
    <w:rsid w:val="00F40814"/>
    <w:rsid w:val="00F41E16"/>
    <w:rsid w:val="00F42AF3"/>
    <w:rsid w:val="00F42BA2"/>
    <w:rsid w:val="00F43724"/>
    <w:rsid w:val="00F472C6"/>
    <w:rsid w:val="00F4785C"/>
    <w:rsid w:val="00F47988"/>
    <w:rsid w:val="00F47FB6"/>
    <w:rsid w:val="00F501DF"/>
    <w:rsid w:val="00F5031D"/>
    <w:rsid w:val="00F50408"/>
    <w:rsid w:val="00F50F37"/>
    <w:rsid w:val="00F51E2E"/>
    <w:rsid w:val="00F52D6E"/>
    <w:rsid w:val="00F53067"/>
    <w:rsid w:val="00F5396F"/>
    <w:rsid w:val="00F5417E"/>
    <w:rsid w:val="00F55867"/>
    <w:rsid w:val="00F56D05"/>
    <w:rsid w:val="00F57BC5"/>
    <w:rsid w:val="00F62A31"/>
    <w:rsid w:val="00F636B7"/>
    <w:rsid w:val="00F64A1D"/>
    <w:rsid w:val="00F656C3"/>
    <w:rsid w:val="00F66204"/>
    <w:rsid w:val="00F6647A"/>
    <w:rsid w:val="00F715F4"/>
    <w:rsid w:val="00F71DCC"/>
    <w:rsid w:val="00F7271E"/>
    <w:rsid w:val="00F7312A"/>
    <w:rsid w:val="00F75B5D"/>
    <w:rsid w:val="00F76B09"/>
    <w:rsid w:val="00F7738A"/>
    <w:rsid w:val="00F800E7"/>
    <w:rsid w:val="00F80ED5"/>
    <w:rsid w:val="00F81542"/>
    <w:rsid w:val="00F82DCD"/>
    <w:rsid w:val="00F8694F"/>
    <w:rsid w:val="00F915E7"/>
    <w:rsid w:val="00F92598"/>
    <w:rsid w:val="00F929DA"/>
    <w:rsid w:val="00F93C5B"/>
    <w:rsid w:val="00F955FB"/>
    <w:rsid w:val="00F95AEB"/>
    <w:rsid w:val="00FA0A48"/>
    <w:rsid w:val="00FA1B20"/>
    <w:rsid w:val="00FA20AC"/>
    <w:rsid w:val="00FA32DA"/>
    <w:rsid w:val="00FA4238"/>
    <w:rsid w:val="00FA5F02"/>
    <w:rsid w:val="00FA6087"/>
    <w:rsid w:val="00FA61FA"/>
    <w:rsid w:val="00FA65DC"/>
    <w:rsid w:val="00FA67E9"/>
    <w:rsid w:val="00FA7B81"/>
    <w:rsid w:val="00FA7EF9"/>
    <w:rsid w:val="00FB0B08"/>
    <w:rsid w:val="00FB3886"/>
    <w:rsid w:val="00FB435F"/>
    <w:rsid w:val="00FB45DB"/>
    <w:rsid w:val="00FB4AB2"/>
    <w:rsid w:val="00FB4F35"/>
    <w:rsid w:val="00FB548D"/>
    <w:rsid w:val="00FB5C30"/>
    <w:rsid w:val="00FB5FCA"/>
    <w:rsid w:val="00FC01A7"/>
    <w:rsid w:val="00FC0469"/>
    <w:rsid w:val="00FC0998"/>
    <w:rsid w:val="00FC245D"/>
    <w:rsid w:val="00FC2DCE"/>
    <w:rsid w:val="00FC3CD3"/>
    <w:rsid w:val="00FC52C7"/>
    <w:rsid w:val="00FC604A"/>
    <w:rsid w:val="00FC7D00"/>
    <w:rsid w:val="00FD1B68"/>
    <w:rsid w:val="00FD2883"/>
    <w:rsid w:val="00FD489B"/>
    <w:rsid w:val="00FD5A8B"/>
    <w:rsid w:val="00FD62BA"/>
    <w:rsid w:val="00FD6D4E"/>
    <w:rsid w:val="00FE1897"/>
    <w:rsid w:val="00FE2048"/>
    <w:rsid w:val="00FE3041"/>
    <w:rsid w:val="00FE349D"/>
    <w:rsid w:val="00FE4404"/>
    <w:rsid w:val="00FE466A"/>
    <w:rsid w:val="00FE48AB"/>
    <w:rsid w:val="00FE63CB"/>
    <w:rsid w:val="00FE6D05"/>
    <w:rsid w:val="00FE6DDC"/>
    <w:rsid w:val="00FE7AC5"/>
    <w:rsid w:val="00FE7B90"/>
    <w:rsid w:val="00FF18FB"/>
    <w:rsid w:val="00FF3A9B"/>
    <w:rsid w:val="00FF4CE2"/>
    <w:rsid w:val="00FF55E6"/>
    <w:rsid w:val="010A32F0"/>
    <w:rsid w:val="01653C43"/>
    <w:rsid w:val="02107B5C"/>
    <w:rsid w:val="028C55DD"/>
    <w:rsid w:val="02D4312D"/>
    <w:rsid w:val="03666B5A"/>
    <w:rsid w:val="037C44AF"/>
    <w:rsid w:val="03BE1D80"/>
    <w:rsid w:val="04372CA8"/>
    <w:rsid w:val="04425600"/>
    <w:rsid w:val="046F3736"/>
    <w:rsid w:val="057933F7"/>
    <w:rsid w:val="05B178E3"/>
    <w:rsid w:val="06011770"/>
    <w:rsid w:val="061331A3"/>
    <w:rsid w:val="072D1343"/>
    <w:rsid w:val="07C60F85"/>
    <w:rsid w:val="08482EC1"/>
    <w:rsid w:val="0962402C"/>
    <w:rsid w:val="09BA5194"/>
    <w:rsid w:val="0A375B31"/>
    <w:rsid w:val="0CFC48D1"/>
    <w:rsid w:val="0F3F5408"/>
    <w:rsid w:val="0F6C228C"/>
    <w:rsid w:val="104F3C6E"/>
    <w:rsid w:val="1101153C"/>
    <w:rsid w:val="11511160"/>
    <w:rsid w:val="13456EB3"/>
    <w:rsid w:val="13A13FDB"/>
    <w:rsid w:val="142E5A78"/>
    <w:rsid w:val="159D03F5"/>
    <w:rsid w:val="15BD7B36"/>
    <w:rsid w:val="16760333"/>
    <w:rsid w:val="16BC42DB"/>
    <w:rsid w:val="17314A2D"/>
    <w:rsid w:val="1900173C"/>
    <w:rsid w:val="190E28EE"/>
    <w:rsid w:val="1919733A"/>
    <w:rsid w:val="194E79EE"/>
    <w:rsid w:val="19632314"/>
    <w:rsid w:val="1B466E13"/>
    <w:rsid w:val="1B7D3A59"/>
    <w:rsid w:val="1C07351B"/>
    <w:rsid w:val="1DE37A6B"/>
    <w:rsid w:val="1E630B60"/>
    <w:rsid w:val="1ECA0940"/>
    <w:rsid w:val="1EDC3AC2"/>
    <w:rsid w:val="20D153E2"/>
    <w:rsid w:val="21417BBB"/>
    <w:rsid w:val="218B28D6"/>
    <w:rsid w:val="22350E20"/>
    <w:rsid w:val="226E48F4"/>
    <w:rsid w:val="22CC7306"/>
    <w:rsid w:val="233A69CA"/>
    <w:rsid w:val="23FB00EA"/>
    <w:rsid w:val="240F1DF7"/>
    <w:rsid w:val="249B061C"/>
    <w:rsid w:val="254259F1"/>
    <w:rsid w:val="27864EE7"/>
    <w:rsid w:val="286A44B4"/>
    <w:rsid w:val="294C2026"/>
    <w:rsid w:val="2AB44103"/>
    <w:rsid w:val="2B453DB1"/>
    <w:rsid w:val="2B8D2C6F"/>
    <w:rsid w:val="2BF27A28"/>
    <w:rsid w:val="2F2634F6"/>
    <w:rsid w:val="2F8111E1"/>
    <w:rsid w:val="2FA16275"/>
    <w:rsid w:val="2FE853E7"/>
    <w:rsid w:val="301669ED"/>
    <w:rsid w:val="30F93C52"/>
    <w:rsid w:val="314B5B2D"/>
    <w:rsid w:val="31AA76EF"/>
    <w:rsid w:val="31E97560"/>
    <w:rsid w:val="32202B8F"/>
    <w:rsid w:val="3312101D"/>
    <w:rsid w:val="333117AB"/>
    <w:rsid w:val="33F726A6"/>
    <w:rsid w:val="33F9467B"/>
    <w:rsid w:val="34A07272"/>
    <w:rsid w:val="34A93A93"/>
    <w:rsid w:val="34C440BC"/>
    <w:rsid w:val="34D9542F"/>
    <w:rsid w:val="354C51E4"/>
    <w:rsid w:val="35537C19"/>
    <w:rsid w:val="359A566F"/>
    <w:rsid w:val="36BA5AAE"/>
    <w:rsid w:val="375F4F50"/>
    <w:rsid w:val="37A94A71"/>
    <w:rsid w:val="387311A0"/>
    <w:rsid w:val="39057B3E"/>
    <w:rsid w:val="390B168F"/>
    <w:rsid w:val="3A4253AF"/>
    <w:rsid w:val="3ADF780E"/>
    <w:rsid w:val="3B31149A"/>
    <w:rsid w:val="3C1C53E4"/>
    <w:rsid w:val="3C7445C0"/>
    <w:rsid w:val="3C82303A"/>
    <w:rsid w:val="3CD2520D"/>
    <w:rsid w:val="3D2F3816"/>
    <w:rsid w:val="3D662619"/>
    <w:rsid w:val="3D6E0245"/>
    <w:rsid w:val="3E422702"/>
    <w:rsid w:val="3F2672E1"/>
    <w:rsid w:val="4033757C"/>
    <w:rsid w:val="409A7415"/>
    <w:rsid w:val="41396EFA"/>
    <w:rsid w:val="41C07489"/>
    <w:rsid w:val="424A433D"/>
    <w:rsid w:val="424B1882"/>
    <w:rsid w:val="450902BE"/>
    <w:rsid w:val="46CB12A4"/>
    <w:rsid w:val="478F59E1"/>
    <w:rsid w:val="47C73FEF"/>
    <w:rsid w:val="48360ECA"/>
    <w:rsid w:val="488A7DA1"/>
    <w:rsid w:val="48CD6036"/>
    <w:rsid w:val="49307E9E"/>
    <w:rsid w:val="4998236C"/>
    <w:rsid w:val="4C6306E7"/>
    <w:rsid w:val="4CDB2507"/>
    <w:rsid w:val="4D58305C"/>
    <w:rsid w:val="4DB07E00"/>
    <w:rsid w:val="4DB3157B"/>
    <w:rsid w:val="4FA0479A"/>
    <w:rsid w:val="514C3B1D"/>
    <w:rsid w:val="521720FD"/>
    <w:rsid w:val="52E63773"/>
    <w:rsid w:val="531E6336"/>
    <w:rsid w:val="5376059B"/>
    <w:rsid w:val="5594029C"/>
    <w:rsid w:val="55952C3A"/>
    <w:rsid w:val="559B7A75"/>
    <w:rsid w:val="55DF6CC3"/>
    <w:rsid w:val="56105E40"/>
    <w:rsid w:val="57A25B5B"/>
    <w:rsid w:val="57AD6573"/>
    <w:rsid w:val="57B83170"/>
    <w:rsid w:val="592668D6"/>
    <w:rsid w:val="59583A76"/>
    <w:rsid w:val="59B0158A"/>
    <w:rsid w:val="5AFE5F45"/>
    <w:rsid w:val="5C056F97"/>
    <w:rsid w:val="5CCA2307"/>
    <w:rsid w:val="5FEB280C"/>
    <w:rsid w:val="60B562DB"/>
    <w:rsid w:val="617172A2"/>
    <w:rsid w:val="61863EF1"/>
    <w:rsid w:val="61A04B43"/>
    <w:rsid w:val="622950C7"/>
    <w:rsid w:val="64E2625D"/>
    <w:rsid w:val="64FB74FB"/>
    <w:rsid w:val="654E5281"/>
    <w:rsid w:val="66DF5675"/>
    <w:rsid w:val="67831843"/>
    <w:rsid w:val="68291780"/>
    <w:rsid w:val="684549BC"/>
    <w:rsid w:val="684B47D6"/>
    <w:rsid w:val="68AF3751"/>
    <w:rsid w:val="698869DE"/>
    <w:rsid w:val="6B280551"/>
    <w:rsid w:val="6BC4437E"/>
    <w:rsid w:val="6BCA6218"/>
    <w:rsid w:val="6C231DEF"/>
    <w:rsid w:val="6D993991"/>
    <w:rsid w:val="6E4305E1"/>
    <w:rsid w:val="6F6860A6"/>
    <w:rsid w:val="723448D9"/>
    <w:rsid w:val="724845BB"/>
    <w:rsid w:val="72490332"/>
    <w:rsid w:val="72585492"/>
    <w:rsid w:val="729F0C6B"/>
    <w:rsid w:val="72DC3BA4"/>
    <w:rsid w:val="73BE4AFE"/>
    <w:rsid w:val="7511499B"/>
    <w:rsid w:val="755523CC"/>
    <w:rsid w:val="762A164A"/>
    <w:rsid w:val="76736F89"/>
    <w:rsid w:val="77067579"/>
    <w:rsid w:val="77424F14"/>
    <w:rsid w:val="77C37461"/>
    <w:rsid w:val="77E46B9D"/>
    <w:rsid w:val="789B38C4"/>
    <w:rsid w:val="78CB66E0"/>
    <w:rsid w:val="78EE2E9F"/>
    <w:rsid w:val="7921037A"/>
    <w:rsid w:val="799A6677"/>
    <w:rsid w:val="7A6424D0"/>
    <w:rsid w:val="7A95479A"/>
    <w:rsid w:val="7B110876"/>
    <w:rsid w:val="7B4F7EE5"/>
    <w:rsid w:val="7CD922D0"/>
    <w:rsid w:val="7EDA4DF2"/>
    <w:rsid w:val="7FD2736B"/>
    <w:rsid w:val="7FE91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nhideWhenUsed="1" w:qFormat="1"/>
    <w:lsdException w:name="annotation text" w:uiPriority="99" w:qFormat="1"/>
    <w:lsdException w:name="header" w:uiPriority="99" w:qFormat="1"/>
    <w:lsdException w:name="footer" w:uiPriority="99"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autoSpaceDE w:val="0"/>
      <w:autoSpaceDN w:val="0"/>
      <w:adjustRightInd w:val="0"/>
      <w:ind w:left="964" w:hanging="504"/>
      <w:jc w:val="left"/>
      <w:outlineLvl w:val="2"/>
    </w:pPr>
    <w:rPr>
      <w:b/>
      <w:bCs/>
      <w:kern w:val="0"/>
      <w:sz w:val="28"/>
      <w:szCs w:val="28"/>
      <w:lang w:val="zh-CN"/>
    </w:rPr>
  </w:style>
  <w:style w:type="paragraph" w:styleId="4">
    <w:name w:val="heading 4"/>
    <w:basedOn w:val="a"/>
    <w:next w:val="a"/>
    <w:link w:val="4Char"/>
    <w:qFormat/>
    <w:pPr>
      <w:keepNext/>
      <w:keepLines/>
      <w:spacing w:before="280" w:after="290" w:line="376" w:lineRule="auto"/>
      <w:outlineLvl w:val="3"/>
    </w:pPr>
    <w:rPr>
      <w:rFonts w:ascii="等线 Light" w:eastAsia="等线 Light" w:hAnsi="等线 Light"/>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caption"/>
    <w:basedOn w:val="a"/>
    <w:next w:val="a"/>
    <w:uiPriority w:val="35"/>
    <w:qFormat/>
    <w:pPr>
      <w:spacing w:line="360" w:lineRule="auto"/>
      <w:ind w:firstLineChars="200" w:firstLine="200"/>
      <w:jc w:val="center"/>
    </w:pPr>
    <w:rPr>
      <w:rFonts w:ascii="Cambria" w:hAnsi="Cambria" w:cs="宋体"/>
      <w:b/>
      <w:szCs w:val="28"/>
    </w:rPr>
  </w:style>
  <w:style w:type="paragraph" w:styleId="a5">
    <w:name w:val="annotation text"/>
    <w:basedOn w:val="a"/>
    <w:link w:val="Char"/>
    <w:uiPriority w:val="99"/>
    <w:qFormat/>
    <w:pPr>
      <w:jc w:val="left"/>
    </w:pPr>
  </w:style>
  <w:style w:type="paragraph" w:styleId="a6">
    <w:name w:val="Body Text"/>
    <w:basedOn w:val="a"/>
    <w:link w:val="Char0"/>
    <w:uiPriority w:val="1"/>
    <w:qFormat/>
    <w:pPr>
      <w:autoSpaceDE w:val="0"/>
      <w:autoSpaceDN w:val="0"/>
      <w:adjustRightInd w:val="0"/>
      <w:ind w:left="840" w:hanging="361"/>
      <w:jc w:val="left"/>
    </w:pPr>
    <w:rPr>
      <w:kern w:val="0"/>
      <w:sz w:val="24"/>
      <w:lang w:val="zh-CN"/>
    </w:rPr>
  </w:style>
  <w:style w:type="paragraph" w:styleId="a7">
    <w:name w:val="Date"/>
    <w:basedOn w:val="a"/>
    <w:next w:val="a"/>
    <w:link w:val="Char1"/>
    <w:qFormat/>
    <w:pPr>
      <w:ind w:leftChars="2500" w:left="100"/>
    </w:pPr>
  </w:style>
  <w:style w:type="paragraph" w:styleId="a8">
    <w:name w:val="Balloon Text"/>
    <w:basedOn w:val="a"/>
    <w:link w:val="Char2"/>
    <w:qFormat/>
    <w:rPr>
      <w:sz w:val="18"/>
      <w:szCs w:val="18"/>
    </w:rPr>
  </w:style>
  <w:style w:type="paragraph" w:styleId="a9">
    <w:name w:val="footer"/>
    <w:basedOn w:val="a"/>
    <w:link w:val="Char3"/>
    <w:uiPriority w:val="99"/>
    <w:qFormat/>
    <w:pPr>
      <w:tabs>
        <w:tab w:val="center" w:pos="4153"/>
        <w:tab w:val="right" w:pos="8306"/>
      </w:tabs>
      <w:snapToGrid w:val="0"/>
      <w:jc w:val="left"/>
    </w:pPr>
    <w:rPr>
      <w:sz w:val="18"/>
      <w:szCs w:val="18"/>
    </w:rPr>
  </w:style>
  <w:style w:type="paragraph" w:styleId="aa">
    <w:name w:val="header"/>
    <w:basedOn w:val="a"/>
    <w:link w:val="Char4"/>
    <w:uiPriority w:val="99"/>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unhideWhenUsed/>
    <w:qFormat/>
    <w:pPr>
      <w:snapToGrid w:val="0"/>
      <w:jc w:val="left"/>
    </w:pPr>
    <w:rPr>
      <w:sz w:val="18"/>
    </w:rPr>
  </w:style>
  <w:style w:type="paragraph" w:styleId="ac">
    <w:name w:val="Normal (Web)"/>
    <w:basedOn w:val="a"/>
    <w:uiPriority w:val="99"/>
    <w:qFormat/>
    <w:pPr>
      <w:spacing w:before="42" w:after="42"/>
      <w:jc w:val="left"/>
    </w:pPr>
    <w:rPr>
      <w:kern w:val="0"/>
      <w:sz w:val="24"/>
    </w:rPr>
  </w:style>
  <w:style w:type="paragraph" w:styleId="ad">
    <w:name w:val="annotation subject"/>
    <w:basedOn w:val="a5"/>
    <w:next w:val="a5"/>
    <w:link w:val="Char5"/>
    <w:qFormat/>
    <w:rPr>
      <w:b/>
      <w:bCs/>
    </w:rPr>
  </w:style>
  <w:style w:type="table" w:styleId="ae">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page number"/>
    <w:qFormat/>
  </w:style>
  <w:style w:type="character" w:styleId="af1">
    <w:name w:val="FollowedHyperlink"/>
    <w:qFormat/>
    <w:rPr>
      <w:color w:val="337AB7"/>
      <w:u w:val="none"/>
    </w:rPr>
  </w:style>
  <w:style w:type="character" w:styleId="af2">
    <w:name w:val="line number"/>
    <w:qFormat/>
  </w:style>
  <w:style w:type="character" w:styleId="HTML">
    <w:name w:val="HTML Definition"/>
    <w:qFormat/>
    <w:rPr>
      <w:i/>
    </w:rPr>
  </w:style>
  <w:style w:type="character" w:styleId="af3">
    <w:name w:val="Hyperlink"/>
    <w:qFormat/>
    <w:rPr>
      <w:color w:val="337AB7"/>
      <w:u w:val="none"/>
    </w:rPr>
  </w:style>
  <w:style w:type="character" w:styleId="HTML0">
    <w:name w:val="HTML Code"/>
    <w:qFormat/>
    <w:rPr>
      <w:rFonts w:ascii="Consolas" w:eastAsia="Consolas" w:hAnsi="Consolas" w:cs="Consolas"/>
      <w:color w:val="C7254E"/>
      <w:sz w:val="21"/>
      <w:szCs w:val="21"/>
      <w:shd w:val="clear" w:color="auto" w:fill="F9F2F4"/>
    </w:rPr>
  </w:style>
  <w:style w:type="character" w:styleId="af4">
    <w:name w:val="annotation reference"/>
    <w:qFormat/>
    <w:rPr>
      <w:sz w:val="21"/>
      <w:szCs w:val="21"/>
    </w:rPr>
  </w:style>
  <w:style w:type="character" w:styleId="af5">
    <w:name w:val="footnote reference"/>
    <w:unhideWhenUsed/>
    <w:qFormat/>
    <w:rPr>
      <w:vertAlign w:val="superscript"/>
    </w:rPr>
  </w:style>
  <w:style w:type="character" w:styleId="HTML1">
    <w:name w:val="HTML Keyboard"/>
    <w:qFormat/>
    <w:rPr>
      <w:rFonts w:ascii="Consolas" w:eastAsia="Consolas" w:hAnsi="Consolas" w:cs="Consolas" w:hint="default"/>
      <w:color w:val="FFFFFF"/>
      <w:sz w:val="21"/>
      <w:szCs w:val="21"/>
      <w:shd w:val="clear" w:color="auto" w:fill="333333"/>
    </w:rPr>
  </w:style>
  <w:style w:type="character" w:styleId="HTML2">
    <w:name w:val="HTML Sample"/>
    <w:qFormat/>
    <w:rPr>
      <w:rFonts w:ascii="Consolas" w:eastAsia="Consolas" w:hAnsi="Consolas" w:cs="Consolas" w:hint="default"/>
      <w:sz w:val="21"/>
      <w:szCs w:val="21"/>
    </w:rPr>
  </w:style>
  <w:style w:type="character" w:customStyle="1" w:styleId="1Char">
    <w:name w:val="标题 1 Char"/>
    <w:link w:val="1"/>
    <w:qFormat/>
    <w:rPr>
      <w:b/>
      <w:bCs/>
      <w:kern w:val="44"/>
      <w:sz w:val="44"/>
      <w:szCs w:val="44"/>
    </w:rPr>
  </w:style>
  <w:style w:type="character" w:customStyle="1" w:styleId="3Char">
    <w:name w:val="标题 3 Char"/>
    <w:link w:val="3"/>
    <w:qFormat/>
    <w:rPr>
      <w:b/>
      <w:bCs/>
      <w:sz w:val="28"/>
      <w:szCs w:val="28"/>
      <w:lang w:val="zh-CN"/>
    </w:rPr>
  </w:style>
  <w:style w:type="character" w:customStyle="1" w:styleId="4Char">
    <w:name w:val="标题 4 Char"/>
    <w:link w:val="4"/>
    <w:qFormat/>
    <w:rPr>
      <w:rFonts w:ascii="等线 Light" w:eastAsia="等线 Light" w:hAnsi="等线 Light" w:cs="Times New Roman"/>
      <w:b/>
      <w:bCs/>
      <w:kern w:val="2"/>
      <w:sz w:val="28"/>
      <w:szCs w:val="28"/>
    </w:rPr>
  </w:style>
  <w:style w:type="character" w:customStyle="1" w:styleId="Char">
    <w:name w:val="批注文字 Char"/>
    <w:link w:val="a5"/>
    <w:uiPriority w:val="99"/>
    <w:qFormat/>
    <w:rPr>
      <w:kern w:val="2"/>
      <w:sz w:val="21"/>
      <w:szCs w:val="24"/>
    </w:rPr>
  </w:style>
  <w:style w:type="character" w:customStyle="1" w:styleId="Char0">
    <w:name w:val="正文文本 Char"/>
    <w:link w:val="a6"/>
    <w:uiPriority w:val="1"/>
    <w:qFormat/>
    <w:rPr>
      <w:sz w:val="24"/>
      <w:szCs w:val="24"/>
      <w:lang w:val="zh-CN"/>
    </w:rPr>
  </w:style>
  <w:style w:type="character" w:customStyle="1" w:styleId="Char1">
    <w:name w:val="日期 Char"/>
    <w:link w:val="a7"/>
    <w:qFormat/>
    <w:rPr>
      <w:kern w:val="2"/>
      <w:sz w:val="21"/>
      <w:szCs w:val="24"/>
    </w:rPr>
  </w:style>
  <w:style w:type="character" w:customStyle="1" w:styleId="Char2">
    <w:name w:val="批注框文本 Char"/>
    <w:link w:val="a8"/>
    <w:qFormat/>
    <w:rPr>
      <w:kern w:val="2"/>
      <w:sz w:val="18"/>
      <w:szCs w:val="18"/>
    </w:rPr>
  </w:style>
  <w:style w:type="character" w:customStyle="1" w:styleId="Char3">
    <w:name w:val="页脚 Char"/>
    <w:link w:val="a9"/>
    <w:uiPriority w:val="99"/>
    <w:qFormat/>
    <w:rPr>
      <w:kern w:val="2"/>
      <w:sz w:val="18"/>
      <w:szCs w:val="18"/>
    </w:rPr>
  </w:style>
  <w:style w:type="character" w:customStyle="1" w:styleId="Char4">
    <w:name w:val="页眉 Char"/>
    <w:link w:val="aa"/>
    <w:uiPriority w:val="99"/>
    <w:qFormat/>
    <w:rPr>
      <w:kern w:val="2"/>
      <w:sz w:val="18"/>
      <w:szCs w:val="18"/>
    </w:rPr>
  </w:style>
  <w:style w:type="character" w:customStyle="1" w:styleId="Char5">
    <w:name w:val="批注主题 Char"/>
    <w:link w:val="ad"/>
    <w:qFormat/>
    <w:rPr>
      <w:b/>
      <w:bCs/>
      <w:kern w:val="2"/>
      <w:sz w:val="21"/>
      <w:szCs w:val="24"/>
    </w:rPr>
  </w:style>
  <w:style w:type="character" w:customStyle="1" w:styleId="shoulihao">
    <w:name w:val="shoulihao"/>
    <w:qFormat/>
    <w:rPr>
      <w:b/>
      <w:color w:val="2884CD"/>
    </w:rPr>
  </w:style>
  <w:style w:type="character" w:customStyle="1" w:styleId="time">
    <w:name w:val="time"/>
    <w:qFormat/>
    <w:rPr>
      <w:b/>
      <w:color w:val="2884CD"/>
    </w:rPr>
  </w:style>
  <w:style w:type="character" w:customStyle="1" w:styleId="help2">
    <w:name w:val="help2"/>
    <w:qFormat/>
    <w:rPr>
      <w:sz w:val="8"/>
      <w:szCs w:val="8"/>
    </w:rPr>
  </w:style>
  <w:style w:type="character" w:customStyle="1" w:styleId="download">
    <w:name w:val="download"/>
    <w:qFormat/>
    <w:rPr>
      <w:color w:val="FFFFFF"/>
      <w:sz w:val="10"/>
      <w:szCs w:val="10"/>
      <w:shd w:val="clear" w:color="auto" w:fill="9EABBE"/>
    </w:rPr>
  </w:style>
  <w:style w:type="character" w:customStyle="1" w:styleId="help">
    <w:name w:val="help"/>
    <w:qFormat/>
    <w:rPr>
      <w:color w:val="F44336"/>
    </w:rPr>
  </w:style>
  <w:style w:type="character" w:customStyle="1" w:styleId="avatar-circle">
    <w:name w:val="avatar-circle"/>
    <w:qFormat/>
    <w:rPr>
      <w:color w:val="2779AA"/>
      <w:sz w:val="16"/>
      <w:szCs w:val="16"/>
      <w:bdr w:val="single" w:sz="2" w:space="0" w:color="AED0EA"/>
      <w:shd w:val="clear" w:color="auto" w:fill="D7EBF9"/>
    </w:rPr>
  </w:style>
  <w:style w:type="character" w:customStyle="1" w:styleId="help1">
    <w:name w:val="help1"/>
    <w:qFormat/>
    <w:rPr>
      <w:color w:val="F44336"/>
    </w:rPr>
  </w:style>
  <w:style w:type="paragraph" w:customStyle="1" w:styleId="Af6">
    <w:name w:val="正文 A"/>
    <w:qFormat/>
    <w:pPr>
      <w:widowControl w:val="0"/>
      <w:pBdr>
        <w:top w:val="none" w:sz="0" w:space="31" w:color="FFFFFF"/>
        <w:left w:val="none" w:sz="0" w:space="31" w:color="FFFFFF"/>
        <w:bottom w:val="none" w:sz="0" w:space="31" w:color="FFFFFF"/>
        <w:right w:val="none" w:sz="0" w:space="31" w:color="FFFFFF"/>
      </w:pBdr>
      <w:jc w:val="both"/>
    </w:pPr>
    <w:rPr>
      <w:rFonts w:eastAsia="Times New Roman" w:cs="Arial Unicode MS"/>
      <w:color w:val="000000"/>
      <w:kern w:val="2"/>
      <w:sz w:val="21"/>
      <w:szCs w:val="21"/>
      <w:u w:color="000000"/>
    </w:rPr>
  </w:style>
  <w:style w:type="paragraph" w:styleId="af7">
    <w:name w:val="List Paragraph"/>
    <w:basedOn w:val="a"/>
    <w:uiPriority w:val="34"/>
    <w:qFormat/>
    <w:pPr>
      <w:ind w:firstLineChars="200" w:firstLine="420"/>
    </w:pPr>
    <w:rPr>
      <w:rFonts w:ascii="Calibri" w:hAnsi="Calibri"/>
      <w:szCs w:val="22"/>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af8">
    <w:name w:val="封面标准名称"/>
    <w:qFormat/>
    <w:pPr>
      <w:widowControl w:val="0"/>
      <w:spacing w:line="680" w:lineRule="exact"/>
      <w:jc w:val="center"/>
      <w:textAlignment w:val="center"/>
    </w:pPr>
    <w:rPr>
      <w:rFonts w:ascii="黑体" w:eastAsia="黑体"/>
      <w:sz w:val="52"/>
    </w:rPr>
  </w:style>
  <w:style w:type="paragraph" w:customStyle="1" w:styleId="af9">
    <w:name w:val="正首悬"/>
    <w:basedOn w:val="a"/>
    <w:qFormat/>
    <w:pPr>
      <w:widowControl/>
      <w:spacing w:line="360" w:lineRule="auto"/>
      <w:ind w:leftChars="200" w:left="300" w:rightChars="200" w:right="200" w:hangingChars="100" w:hanging="100"/>
    </w:pPr>
    <w:rPr>
      <w:rFonts w:ascii="Arial" w:hAnsi="Arial"/>
      <w:kern w:val="0"/>
      <w:szCs w:val="72"/>
    </w:rPr>
  </w:style>
  <w:style w:type="paragraph" w:customStyle="1" w:styleId="afa">
    <w:name w:val="字母编号列项（一级）"/>
    <w:qFormat/>
    <w:pPr>
      <w:ind w:leftChars="200" w:left="840" w:hangingChars="200" w:hanging="420"/>
      <w:jc w:val="both"/>
    </w:pPr>
    <w:rPr>
      <w:rFonts w:ascii="宋体" w:cs="宋体"/>
    </w:rPr>
  </w:style>
  <w:style w:type="paragraph" w:customStyle="1" w:styleId="-11">
    <w:name w:val="彩色列表 - 强调文字颜色 11"/>
    <w:basedOn w:val="a"/>
    <w:uiPriority w:val="34"/>
    <w:qFormat/>
    <w:pPr>
      <w:spacing w:line="360" w:lineRule="auto"/>
      <w:ind w:firstLineChars="200" w:firstLine="420"/>
      <w:jc w:val="left"/>
    </w:pPr>
    <w:rPr>
      <w:sz w:val="24"/>
    </w:rPr>
  </w:style>
  <w:style w:type="character" w:customStyle="1" w:styleId="Char6">
    <w:name w:val="段 Char"/>
    <w:link w:val="afb"/>
    <w:qFormat/>
    <w:rPr>
      <w:rFonts w:ascii="宋体"/>
      <w:sz w:val="21"/>
      <w:lang w:val="en-US" w:eastAsia="zh-CN" w:bidi="ar-SA"/>
    </w:rPr>
  </w:style>
  <w:style w:type="paragraph" w:customStyle="1" w:styleId="afb">
    <w:name w:val="段"/>
    <w:link w:val="Char6"/>
    <w:qFormat/>
    <w:pPr>
      <w:tabs>
        <w:tab w:val="center" w:pos="4201"/>
        <w:tab w:val="right" w:leader="dot" w:pos="9298"/>
      </w:tabs>
      <w:autoSpaceDE w:val="0"/>
      <w:autoSpaceDN w:val="0"/>
      <w:ind w:firstLineChars="200" w:firstLine="420"/>
      <w:jc w:val="both"/>
    </w:pPr>
    <w:rPr>
      <w:rFonts w:ascii="宋体"/>
      <w:sz w:val="21"/>
    </w:rPr>
  </w:style>
  <w:style w:type="character" w:customStyle="1" w:styleId="fontstyle01">
    <w:name w:val="fontstyle01"/>
    <w:qFormat/>
    <w:rPr>
      <w:rFonts w:ascii="ArnoPro-Regular" w:hAnsi="ArnoPro-Regular" w:hint="default"/>
      <w:color w:val="231916"/>
      <w:sz w:val="16"/>
      <w:szCs w:val="16"/>
    </w:rPr>
  </w:style>
  <w:style w:type="character" w:customStyle="1" w:styleId="fontstyle21">
    <w:name w:val="fontstyle21"/>
    <w:qFormat/>
    <w:rPr>
      <w:rFonts w:ascii="ArnoPro-Italic" w:hAnsi="ArnoPro-Italic" w:hint="default"/>
      <w:i/>
      <w:iCs/>
      <w:color w:val="231916"/>
      <w:sz w:val="16"/>
      <w:szCs w:val="16"/>
    </w:rPr>
  </w:style>
  <w:style w:type="paragraph" w:customStyle="1" w:styleId="10">
    <w:name w:val="列出段落1"/>
    <w:basedOn w:val="a"/>
    <w:link w:val="Char7"/>
    <w:uiPriority w:val="34"/>
    <w:qFormat/>
    <w:pPr>
      <w:ind w:firstLineChars="200" w:firstLine="420"/>
    </w:pPr>
    <w:rPr>
      <w:rFonts w:eastAsia="仿宋_GB2312"/>
      <w:sz w:val="32"/>
      <w:szCs w:val="32"/>
    </w:rPr>
  </w:style>
  <w:style w:type="character" w:customStyle="1" w:styleId="Char7">
    <w:name w:val="列出段落 Char"/>
    <w:link w:val="10"/>
    <w:uiPriority w:val="34"/>
    <w:qFormat/>
    <w:rPr>
      <w:rFonts w:eastAsia="仿宋_GB2312"/>
      <w:kern w:val="2"/>
      <w:sz w:val="32"/>
      <w:szCs w:val="32"/>
    </w:rPr>
  </w:style>
  <w:style w:type="character" w:customStyle="1" w:styleId="2Char">
    <w:name w:val="标题 2 Char"/>
    <w:basedOn w:val="a1"/>
    <w:link w:val="2"/>
    <w:semiHidden/>
    <w:qFormat/>
    <w:rPr>
      <w:rFonts w:asciiTheme="majorHAnsi" w:eastAsiaTheme="majorEastAsia" w:hAnsiTheme="majorHAnsi" w:cstheme="majorBidi"/>
      <w:b/>
      <w:bCs/>
      <w:kern w:val="2"/>
      <w:sz w:val="32"/>
      <w:szCs w:val="32"/>
    </w:rPr>
  </w:style>
  <w:style w:type="character" w:customStyle="1" w:styleId="f101">
    <w:name w:val="f101"/>
    <w:autoRedefine/>
    <w:qFormat/>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nhideWhenUsed="1" w:qFormat="1"/>
    <w:lsdException w:name="annotation text" w:uiPriority="99" w:qFormat="1"/>
    <w:lsdException w:name="header" w:uiPriority="99" w:qFormat="1"/>
    <w:lsdException w:name="footer" w:uiPriority="99"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autoSpaceDE w:val="0"/>
      <w:autoSpaceDN w:val="0"/>
      <w:adjustRightInd w:val="0"/>
      <w:ind w:left="964" w:hanging="504"/>
      <w:jc w:val="left"/>
      <w:outlineLvl w:val="2"/>
    </w:pPr>
    <w:rPr>
      <w:b/>
      <w:bCs/>
      <w:kern w:val="0"/>
      <w:sz w:val="28"/>
      <w:szCs w:val="28"/>
      <w:lang w:val="zh-CN"/>
    </w:rPr>
  </w:style>
  <w:style w:type="paragraph" w:styleId="4">
    <w:name w:val="heading 4"/>
    <w:basedOn w:val="a"/>
    <w:next w:val="a"/>
    <w:link w:val="4Char"/>
    <w:qFormat/>
    <w:pPr>
      <w:keepNext/>
      <w:keepLines/>
      <w:spacing w:before="280" w:after="290" w:line="376" w:lineRule="auto"/>
      <w:outlineLvl w:val="3"/>
    </w:pPr>
    <w:rPr>
      <w:rFonts w:ascii="等线 Light" w:eastAsia="等线 Light" w:hAnsi="等线 Light"/>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caption"/>
    <w:basedOn w:val="a"/>
    <w:next w:val="a"/>
    <w:uiPriority w:val="35"/>
    <w:qFormat/>
    <w:pPr>
      <w:spacing w:line="360" w:lineRule="auto"/>
      <w:ind w:firstLineChars="200" w:firstLine="200"/>
      <w:jc w:val="center"/>
    </w:pPr>
    <w:rPr>
      <w:rFonts w:ascii="Cambria" w:hAnsi="Cambria" w:cs="宋体"/>
      <w:b/>
      <w:szCs w:val="28"/>
    </w:rPr>
  </w:style>
  <w:style w:type="paragraph" w:styleId="a5">
    <w:name w:val="annotation text"/>
    <w:basedOn w:val="a"/>
    <w:link w:val="Char"/>
    <w:uiPriority w:val="99"/>
    <w:qFormat/>
    <w:pPr>
      <w:jc w:val="left"/>
    </w:pPr>
  </w:style>
  <w:style w:type="paragraph" w:styleId="a6">
    <w:name w:val="Body Text"/>
    <w:basedOn w:val="a"/>
    <w:link w:val="Char0"/>
    <w:uiPriority w:val="1"/>
    <w:qFormat/>
    <w:pPr>
      <w:autoSpaceDE w:val="0"/>
      <w:autoSpaceDN w:val="0"/>
      <w:adjustRightInd w:val="0"/>
      <w:ind w:left="840" w:hanging="361"/>
      <w:jc w:val="left"/>
    </w:pPr>
    <w:rPr>
      <w:kern w:val="0"/>
      <w:sz w:val="24"/>
      <w:lang w:val="zh-CN"/>
    </w:rPr>
  </w:style>
  <w:style w:type="paragraph" w:styleId="a7">
    <w:name w:val="Date"/>
    <w:basedOn w:val="a"/>
    <w:next w:val="a"/>
    <w:link w:val="Char1"/>
    <w:qFormat/>
    <w:pPr>
      <w:ind w:leftChars="2500" w:left="100"/>
    </w:pPr>
  </w:style>
  <w:style w:type="paragraph" w:styleId="a8">
    <w:name w:val="Balloon Text"/>
    <w:basedOn w:val="a"/>
    <w:link w:val="Char2"/>
    <w:qFormat/>
    <w:rPr>
      <w:sz w:val="18"/>
      <w:szCs w:val="18"/>
    </w:rPr>
  </w:style>
  <w:style w:type="paragraph" w:styleId="a9">
    <w:name w:val="footer"/>
    <w:basedOn w:val="a"/>
    <w:link w:val="Char3"/>
    <w:uiPriority w:val="99"/>
    <w:qFormat/>
    <w:pPr>
      <w:tabs>
        <w:tab w:val="center" w:pos="4153"/>
        <w:tab w:val="right" w:pos="8306"/>
      </w:tabs>
      <w:snapToGrid w:val="0"/>
      <w:jc w:val="left"/>
    </w:pPr>
    <w:rPr>
      <w:sz w:val="18"/>
      <w:szCs w:val="18"/>
    </w:rPr>
  </w:style>
  <w:style w:type="paragraph" w:styleId="aa">
    <w:name w:val="header"/>
    <w:basedOn w:val="a"/>
    <w:link w:val="Char4"/>
    <w:uiPriority w:val="99"/>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unhideWhenUsed/>
    <w:qFormat/>
    <w:pPr>
      <w:snapToGrid w:val="0"/>
      <w:jc w:val="left"/>
    </w:pPr>
    <w:rPr>
      <w:sz w:val="18"/>
    </w:rPr>
  </w:style>
  <w:style w:type="paragraph" w:styleId="ac">
    <w:name w:val="Normal (Web)"/>
    <w:basedOn w:val="a"/>
    <w:uiPriority w:val="99"/>
    <w:qFormat/>
    <w:pPr>
      <w:spacing w:before="42" w:after="42"/>
      <w:jc w:val="left"/>
    </w:pPr>
    <w:rPr>
      <w:kern w:val="0"/>
      <w:sz w:val="24"/>
    </w:rPr>
  </w:style>
  <w:style w:type="paragraph" w:styleId="ad">
    <w:name w:val="annotation subject"/>
    <w:basedOn w:val="a5"/>
    <w:next w:val="a5"/>
    <w:link w:val="Char5"/>
    <w:qFormat/>
    <w:rPr>
      <w:b/>
      <w:bCs/>
    </w:rPr>
  </w:style>
  <w:style w:type="table" w:styleId="ae">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page number"/>
    <w:qFormat/>
  </w:style>
  <w:style w:type="character" w:styleId="af1">
    <w:name w:val="FollowedHyperlink"/>
    <w:qFormat/>
    <w:rPr>
      <w:color w:val="337AB7"/>
      <w:u w:val="none"/>
    </w:rPr>
  </w:style>
  <w:style w:type="character" w:styleId="af2">
    <w:name w:val="line number"/>
    <w:qFormat/>
  </w:style>
  <w:style w:type="character" w:styleId="HTML">
    <w:name w:val="HTML Definition"/>
    <w:qFormat/>
    <w:rPr>
      <w:i/>
    </w:rPr>
  </w:style>
  <w:style w:type="character" w:styleId="af3">
    <w:name w:val="Hyperlink"/>
    <w:qFormat/>
    <w:rPr>
      <w:color w:val="337AB7"/>
      <w:u w:val="none"/>
    </w:rPr>
  </w:style>
  <w:style w:type="character" w:styleId="HTML0">
    <w:name w:val="HTML Code"/>
    <w:qFormat/>
    <w:rPr>
      <w:rFonts w:ascii="Consolas" w:eastAsia="Consolas" w:hAnsi="Consolas" w:cs="Consolas"/>
      <w:color w:val="C7254E"/>
      <w:sz w:val="21"/>
      <w:szCs w:val="21"/>
      <w:shd w:val="clear" w:color="auto" w:fill="F9F2F4"/>
    </w:rPr>
  </w:style>
  <w:style w:type="character" w:styleId="af4">
    <w:name w:val="annotation reference"/>
    <w:qFormat/>
    <w:rPr>
      <w:sz w:val="21"/>
      <w:szCs w:val="21"/>
    </w:rPr>
  </w:style>
  <w:style w:type="character" w:styleId="af5">
    <w:name w:val="footnote reference"/>
    <w:unhideWhenUsed/>
    <w:qFormat/>
    <w:rPr>
      <w:vertAlign w:val="superscript"/>
    </w:rPr>
  </w:style>
  <w:style w:type="character" w:styleId="HTML1">
    <w:name w:val="HTML Keyboard"/>
    <w:qFormat/>
    <w:rPr>
      <w:rFonts w:ascii="Consolas" w:eastAsia="Consolas" w:hAnsi="Consolas" w:cs="Consolas" w:hint="default"/>
      <w:color w:val="FFFFFF"/>
      <w:sz w:val="21"/>
      <w:szCs w:val="21"/>
      <w:shd w:val="clear" w:color="auto" w:fill="333333"/>
    </w:rPr>
  </w:style>
  <w:style w:type="character" w:styleId="HTML2">
    <w:name w:val="HTML Sample"/>
    <w:qFormat/>
    <w:rPr>
      <w:rFonts w:ascii="Consolas" w:eastAsia="Consolas" w:hAnsi="Consolas" w:cs="Consolas" w:hint="default"/>
      <w:sz w:val="21"/>
      <w:szCs w:val="21"/>
    </w:rPr>
  </w:style>
  <w:style w:type="character" w:customStyle="1" w:styleId="1Char">
    <w:name w:val="标题 1 Char"/>
    <w:link w:val="1"/>
    <w:qFormat/>
    <w:rPr>
      <w:b/>
      <w:bCs/>
      <w:kern w:val="44"/>
      <w:sz w:val="44"/>
      <w:szCs w:val="44"/>
    </w:rPr>
  </w:style>
  <w:style w:type="character" w:customStyle="1" w:styleId="3Char">
    <w:name w:val="标题 3 Char"/>
    <w:link w:val="3"/>
    <w:qFormat/>
    <w:rPr>
      <w:b/>
      <w:bCs/>
      <w:sz w:val="28"/>
      <w:szCs w:val="28"/>
      <w:lang w:val="zh-CN"/>
    </w:rPr>
  </w:style>
  <w:style w:type="character" w:customStyle="1" w:styleId="4Char">
    <w:name w:val="标题 4 Char"/>
    <w:link w:val="4"/>
    <w:qFormat/>
    <w:rPr>
      <w:rFonts w:ascii="等线 Light" w:eastAsia="等线 Light" w:hAnsi="等线 Light" w:cs="Times New Roman"/>
      <w:b/>
      <w:bCs/>
      <w:kern w:val="2"/>
      <w:sz w:val="28"/>
      <w:szCs w:val="28"/>
    </w:rPr>
  </w:style>
  <w:style w:type="character" w:customStyle="1" w:styleId="Char">
    <w:name w:val="批注文字 Char"/>
    <w:link w:val="a5"/>
    <w:uiPriority w:val="99"/>
    <w:qFormat/>
    <w:rPr>
      <w:kern w:val="2"/>
      <w:sz w:val="21"/>
      <w:szCs w:val="24"/>
    </w:rPr>
  </w:style>
  <w:style w:type="character" w:customStyle="1" w:styleId="Char0">
    <w:name w:val="正文文本 Char"/>
    <w:link w:val="a6"/>
    <w:uiPriority w:val="1"/>
    <w:qFormat/>
    <w:rPr>
      <w:sz w:val="24"/>
      <w:szCs w:val="24"/>
      <w:lang w:val="zh-CN"/>
    </w:rPr>
  </w:style>
  <w:style w:type="character" w:customStyle="1" w:styleId="Char1">
    <w:name w:val="日期 Char"/>
    <w:link w:val="a7"/>
    <w:qFormat/>
    <w:rPr>
      <w:kern w:val="2"/>
      <w:sz w:val="21"/>
      <w:szCs w:val="24"/>
    </w:rPr>
  </w:style>
  <w:style w:type="character" w:customStyle="1" w:styleId="Char2">
    <w:name w:val="批注框文本 Char"/>
    <w:link w:val="a8"/>
    <w:qFormat/>
    <w:rPr>
      <w:kern w:val="2"/>
      <w:sz w:val="18"/>
      <w:szCs w:val="18"/>
    </w:rPr>
  </w:style>
  <w:style w:type="character" w:customStyle="1" w:styleId="Char3">
    <w:name w:val="页脚 Char"/>
    <w:link w:val="a9"/>
    <w:uiPriority w:val="99"/>
    <w:qFormat/>
    <w:rPr>
      <w:kern w:val="2"/>
      <w:sz w:val="18"/>
      <w:szCs w:val="18"/>
    </w:rPr>
  </w:style>
  <w:style w:type="character" w:customStyle="1" w:styleId="Char4">
    <w:name w:val="页眉 Char"/>
    <w:link w:val="aa"/>
    <w:uiPriority w:val="99"/>
    <w:qFormat/>
    <w:rPr>
      <w:kern w:val="2"/>
      <w:sz w:val="18"/>
      <w:szCs w:val="18"/>
    </w:rPr>
  </w:style>
  <w:style w:type="character" w:customStyle="1" w:styleId="Char5">
    <w:name w:val="批注主题 Char"/>
    <w:link w:val="ad"/>
    <w:qFormat/>
    <w:rPr>
      <w:b/>
      <w:bCs/>
      <w:kern w:val="2"/>
      <w:sz w:val="21"/>
      <w:szCs w:val="24"/>
    </w:rPr>
  </w:style>
  <w:style w:type="character" w:customStyle="1" w:styleId="shoulihao">
    <w:name w:val="shoulihao"/>
    <w:qFormat/>
    <w:rPr>
      <w:b/>
      <w:color w:val="2884CD"/>
    </w:rPr>
  </w:style>
  <w:style w:type="character" w:customStyle="1" w:styleId="time">
    <w:name w:val="time"/>
    <w:qFormat/>
    <w:rPr>
      <w:b/>
      <w:color w:val="2884CD"/>
    </w:rPr>
  </w:style>
  <w:style w:type="character" w:customStyle="1" w:styleId="help2">
    <w:name w:val="help2"/>
    <w:qFormat/>
    <w:rPr>
      <w:sz w:val="8"/>
      <w:szCs w:val="8"/>
    </w:rPr>
  </w:style>
  <w:style w:type="character" w:customStyle="1" w:styleId="download">
    <w:name w:val="download"/>
    <w:qFormat/>
    <w:rPr>
      <w:color w:val="FFFFFF"/>
      <w:sz w:val="10"/>
      <w:szCs w:val="10"/>
      <w:shd w:val="clear" w:color="auto" w:fill="9EABBE"/>
    </w:rPr>
  </w:style>
  <w:style w:type="character" w:customStyle="1" w:styleId="help">
    <w:name w:val="help"/>
    <w:qFormat/>
    <w:rPr>
      <w:color w:val="F44336"/>
    </w:rPr>
  </w:style>
  <w:style w:type="character" w:customStyle="1" w:styleId="avatar-circle">
    <w:name w:val="avatar-circle"/>
    <w:qFormat/>
    <w:rPr>
      <w:color w:val="2779AA"/>
      <w:sz w:val="16"/>
      <w:szCs w:val="16"/>
      <w:bdr w:val="single" w:sz="2" w:space="0" w:color="AED0EA"/>
      <w:shd w:val="clear" w:color="auto" w:fill="D7EBF9"/>
    </w:rPr>
  </w:style>
  <w:style w:type="character" w:customStyle="1" w:styleId="help1">
    <w:name w:val="help1"/>
    <w:qFormat/>
    <w:rPr>
      <w:color w:val="F44336"/>
    </w:rPr>
  </w:style>
  <w:style w:type="paragraph" w:customStyle="1" w:styleId="Af6">
    <w:name w:val="正文 A"/>
    <w:qFormat/>
    <w:pPr>
      <w:widowControl w:val="0"/>
      <w:pBdr>
        <w:top w:val="none" w:sz="0" w:space="31" w:color="FFFFFF"/>
        <w:left w:val="none" w:sz="0" w:space="31" w:color="FFFFFF"/>
        <w:bottom w:val="none" w:sz="0" w:space="31" w:color="FFFFFF"/>
        <w:right w:val="none" w:sz="0" w:space="31" w:color="FFFFFF"/>
      </w:pBdr>
      <w:jc w:val="both"/>
    </w:pPr>
    <w:rPr>
      <w:rFonts w:eastAsia="Times New Roman" w:cs="Arial Unicode MS"/>
      <w:color w:val="000000"/>
      <w:kern w:val="2"/>
      <w:sz w:val="21"/>
      <w:szCs w:val="21"/>
      <w:u w:color="000000"/>
    </w:rPr>
  </w:style>
  <w:style w:type="paragraph" w:styleId="af7">
    <w:name w:val="List Paragraph"/>
    <w:basedOn w:val="a"/>
    <w:uiPriority w:val="34"/>
    <w:qFormat/>
    <w:pPr>
      <w:ind w:firstLineChars="200" w:firstLine="420"/>
    </w:pPr>
    <w:rPr>
      <w:rFonts w:ascii="Calibri" w:hAnsi="Calibri"/>
      <w:szCs w:val="22"/>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af8">
    <w:name w:val="封面标准名称"/>
    <w:qFormat/>
    <w:pPr>
      <w:widowControl w:val="0"/>
      <w:spacing w:line="680" w:lineRule="exact"/>
      <w:jc w:val="center"/>
      <w:textAlignment w:val="center"/>
    </w:pPr>
    <w:rPr>
      <w:rFonts w:ascii="黑体" w:eastAsia="黑体"/>
      <w:sz w:val="52"/>
    </w:rPr>
  </w:style>
  <w:style w:type="paragraph" w:customStyle="1" w:styleId="af9">
    <w:name w:val="正首悬"/>
    <w:basedOn w:val="a"/>
    <w:qFormat/>
    <w:pPr>
      <w:widowControl/>
      <w:spacing w:line="360" w:lineRule="auto"/>
      <w:ind w:leftChars="200" w:left="300" w:rightChars="200" w:right="200" w:hangingChars="100" w:hanging="100"/>
    </w:pPr>
    <w:rPr>
      <w:rFonts w:ascii="Arial" w:hAnsi="Arial"/>
      <w:kern w:val="0"/>
      <w:szCs w:val="72"/>
    </w:rPr>
  </w:style>
  <w:style w:type="paragraph" w:customStyle="1" w:styleId="afa">
    <w:name w:val="字母编号列项（一级）"/>
    <w:qFormat/>
    <w:pPr>
      <w:ind w:leftChars="200" w:left="840" w:hangingChars="200" w:hanging="420"/>
      <w:jc w:val="both"/>
    </w:pPr>
    <w:rPr>
      <w:rFonts w:ascii="宋体" w:cs="宋体"/>
    </w:rPr>
  </w:style>
  <w:style w:type="paragraph" w:customStyle="1" w:styleId="-11">
    <w:name w:val="彩色列表 - 强调文字颜色 11"/>
    <w:basedOn w:val="a"/>
    <w:uiPriority w:val="34"/>
    <w:qFormat/>
    <w:pPr>
      <w:spacing w:line="360" w:lineRule="auto"/>
      <w:ind w:firstLineChars="200" w:firstLine="420"/>
      <w:jc w:val="left"/>
    </w:pPr>
    <w:rPr>
      <w:sz w:val="24"/>
    </w:rPr>
  </w:style>
  <w:style w:type="character" w:customStyle="1" w:styleId="Char6">
    <w:name w:val="段 Char"/>
    <w:link w:val="afb"/>
    <w:qFormat/>
    <w:rPr>
      <w:rFonts w:ascii="宋体"/>
      <w:sz w:val="21"/>
      <w:lang w:val="en-US" w:eastAsia="zh-CN" w:bidi="ar-SA"/>
    </w:rPr>
  </w:style>
  <w:style w:type="paragraph" w:customStyle="1" w:styleId="afb">
    <w:name w:val="段"/>
    <w:link w:val="Char6"/>
    <w:qFormat/>
    <w:pPr>
      <w:tabs>
        <w:tab w:val="center" w:pos="4201"/>
        <w:tab w:val="right" w:leader="dot" w:pos="9298"/>
      </w:tabs>
      <w:autoSpaceDE w:val="0"/>
      <w:autoSpaceDN w:val="0"/>
      <w:ind w:firstLineChars="200" w:firstLine="420"/>
      <w:jc w:val="both"/>
    </w:pPr>
    <w:rPr>
      <w:rFonts w:ascii="宋体"/>
      <w:sz w:val="21"/>
    </w:rPr>
  </w:style>
  <w:style w:type="character" w:customStyle="1" w:styleId="fontstyle01">
    <w:name w:val="fontstyle01"/>
    <w:qFormat/>
    <w:rPr>
      <w:rFonts w:ascii="ArnoPro-Regular" w:hAnsi="ArnoPro-Regular" w:hint="default"/>
      <w:color w:val="231916"/>
      <w:sz w:val="16"/>
      <w:szCs w:val="16"/>
    </w:rPr>
  </w:style>
  <w:style w:type="character" w:customStyle="1" w:styleId="fontstyle21">
    <w:name w:val="fontstyle21"/>
    <w:qFormat/>
    <w:rPr>
      <w:rFonts w:ascii="ArnoPro-Italic" w:hAnsi="ArnoPro-Italic" w:hint="default"/>
      <w:i/>
      <w:iCs/>
      <w:color w:val="231916"/>
      <w:sz w:val="16"/>
      <w:szCs w:val="16"/>
    </w:rPr>
  </w:style>
  <w:style w:type="paragraph" w:customStyle="1" w:styleId="10">
    <w:name w:val="列出段落1"/>
    <w:basedOn w:val="a"/>
    <w:link w:val="Char7"/>
    <w:uiPriority w:val="34"/>
    <w:qFormat/>
    <w:pPr>
      <w:ind w:firstLineChars="200" w:firstLine="420"/>
    </w:pPr>
    <w:rPr>
      <w:rFonts w:eastAsia="仿宋_GB2312"/>
      <w:sz w:val="32"/>
      <w:szCs w:val="32"/>
    </w:rPr>
  </w:style>
  <w:style w:type="character" w:customStyle="1" w:styleId="Char7">
    <w:name w:val="列出段落 Char"/>
    <w:link w:val="10"/>
    <w:uiPriority w:val="34"/>
    <w:qFormat/>
    <w:rPr>
      <w:rFonts w:eastAsia="仿宋_GB2312"/>
      <w:kern w:val="2"/>
      <w:sz w:val="32"/>
      <w:szCs w:val="32"/>
    </w:rPr>
  </w:style>
  <w:style w:type="character" w:customStyle="1" w:styleId="2Char">
    <w:name w:val="标题 2 Char"/>
    <w:basedOn w:val="a1"/>
    <w:link w:val="2"/>
    <w:semiHidden/>
    <w:qFormat/>
    <w:rPr>
      <w:rFonts w:asciiTheme="majorHAnsi" w:eastAsiaTheme="majorEastAsia" w:hAnsiTheme="majorHAnsi" w:cstheme="majorBidi"/>
      <w:b/>
      <w:bCs/>
      <w:kern w:val="2"/>
      <w:sz w:val="32"/>
      <w:szCs w:val="32"/>
    </w:rPr>
  </w:style>
  <w:style w:type="character" w:customStyle="1" w:styleId="f101">
    <w:name w:val="f101"/>
    <w:autoRedefine/>
    <w:qFormat/>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591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22</Pages>
  <Words>1639</Words>
  <Characters>9345</Characters>
  <Application>Microsoft Office Word</Application>
  <DocSecurity>0</DocSecurity>
  <Lines>77</Lines>
  <Paragraphs>21</Paragraphs>
  <ScaleCrop>false</ScaleCrop>
  <Company>Microsoft</Company>
  <LinksUpToDate>false</LinksUpToDate>
  <CharactersWithSpaces>10963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2019新型冠状病毒技术审评要点</dc:title>
  <dc:creator>dongjinchun</dc:creator>
  <cp:lastModifiedBy>NTKO</cp:lastModifiedBy>
  <cp:revision>10</cp:revision>
  <cp:lastPrinted>2022-11-18T03:17:00Z</cp:lastPrinted>
  <dcterms:created xsi:type="dcterms:W3CDTF">2026-08-11T05:21:00Z</dcterms:created>
  <dcterms:modified xsi:type="dcterms:W3CDTF">2026-08-11T07:01:00Z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820F6FC739FF469AA969EC64F9DCFF06</vt:lpwstr>
  </property>
  <property fmtid="{D5CDD505-2E9C-101B-9397-08002B2CF9AE}" pid="4" name="KSOTemplateDocerSaveRecord">
    <vt:lpwstr>eyJoZGlkIjoiMWEzNzI4NzY2MzhmZGUwYWVmODY1N2RmOTVkOTljMWMiLCJ1c2VySWQiOiI1Mjk5ODA3MTAifQ==</vt:lpwstr>
  </property>
</Properties>
</file>