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12709">
      <w:pPr>
        <w:pageBreakBefore w:val="0"/>
        <w:kinsoku/>
        <w:wordWrap/>
        <w:topLinePunct w:val="0"/>
        <w:bidi w:val="0"/>
        <w:snapToGrid/>
        <w:spacing w:line="520" w:lineRule="exact"/>
        <w:ind w:right="-67" w:rightChars="-32"/>
        <w:jc w:val="both"/>
        <w:textAlignment w:val="auto"/>
        <w:outlineLvl w:val="0"/>
        <w:rPr>
          <w:rFonts w:hint="default" w:ascii="Times New Roman" w:hAnsi="Times New Roman" w:eastAsia="方正小标宋简体" w:cs="Times New Roman"/>
          <w:sz w:val="44"/>
          <w:szCs w:val="44"/>
        </w:rPr>
      </w:pPr>
    </w:p>
    <w:p w14:paraId="62516316">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0"/>
        <w:rPr>
          <w:rFonts w:hint="eastAsia"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rPr>
        <w:t>样本采集器具</w:t>
      </w:r>
      <w:r>
        <w:rPr>
          <w:rFonts w:hint="eastAsia" w:ascii="Times New Roman" w:hAnsi="Times New Roman" w:eastAsia="方正小标宋简体" w:cs="Times New Roman"/>
          <w:color w:val="auto"/>
          <w:sz w:val="44"/>
          <w:szCs w:val="44"/>
          <w:lang w:eastAsia="zh-CN"/>
        </w:rPr>
        <w:t>产品</w:t>
      </w:r>
    </w:p>
    <w:p w14:paraId="524E2A5D">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0"/>
        <w:rPr>
          <w:rFonts w:hint="default" w:ascii="Times New Roman" w:hAnsi="Times New Roman" w:eastAsia="方正小标宋简体" w:cs="Times New Roman"/>
          <w:color w:val="000000"/>
          <w:sz w:val="44"/>
          <w:szCs w:val="44"/>
          <w:lang w:eastAsia="zh-CN"/>
        </w:rPr>
      </w:pPr>
      <w:r>
        <w:rPr>
          <w:rFonts w:hint="default" w:ascii="Times New Roman" w:hAnsi="Times New Roman" w:eastAsia="方正小标宋简体" w:cs="Times New Roman"/>
          <w:color w:val="auto"/>
          <w:sz w:val="44"/>
          <w:szCs w:val="44"/>
          <w:lang w:eastAsia="zh-CN"/>
        </w:rPr>
        <w:t>注册审查</w:t>
      </w:r>
      <w:r>
        <w:rPr>
          <w:rFonts w:hint="default" w:ascii="Times New Roman" w:hAnsi="Times New Roman" w:eastAsia="方正小标宋简体" w:cs="Times New Roman"/>
          <w:color w:val="000000"/>
          <w:sz w:val="44"/>
          <w:szCs w:val="44"/>
          <w:lang w:eastAsia="zh-CN"/>
        </w:rPr>
        <w:t>指导原则</w:t>
      </w:r>
    </w:p>
    <w:p w14:paraId="75EA0907">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0"/>
        <w:rPr>
          <w:rFonts w:hint="default" w:ascii="Times New Roman" w:hAnsi="Times New Roman" w:eastAsia="方正小标宋简体" w:cs="Times New Roman"/>
          <w:color w:val="000000"/>
          <w:sz w:val="44"/>
          <w:szCs w:val="44"/>
        </w:rPr>
      </w:pPr>
      <w:r>
        <w:rPr>
          <w:rFonts w:hint="eastAsia" w:ascii="Times New Roman" w:hAnsi="Times New Roman" w:eastAsia="方正小标宋简体" w:cs="Times New Roman"/>
          <w:color w:val="000000"/>
          <w:sz w:val="44"/>
          <w:szCs w:val="44"/>
          <w:lang w:eastAsia="zh-CN"/>
        </w:rPr>
        <w:t>（征求意见稿）</w:t>
      </w:r>
      <w:bookmarkStart w:id="7" w:name="_GoBack"/>
      <w:bookmarkEnd w:id="7"/>
    </w:p>
    <w:p w14:paraId="4823D509">
      <w:pPr>
        <w:pageBreakBefore w:val="0"/>
        <w:kinsoku/>
        <w:wordWrap/>
        <w:topLinePunct w:val="0"/>
        <w:bidi w:val="0"/>
        <w:snapToGrid/>
        <w:spacing w:line="520" w:lineRule="exact"/>
        <w:ind w:right="-67" w:rightChars="-32"/>
        <w:jc w:val="both"/>
        <w:textAlignment w:val="auto"/>
        <w:rPr>
          <w:rFonts w:hint="default" w:ascii="Times New Roman" w:hAnsi="Times New Roman" w:eastAsia="方正小标宋简体" w:cs="Times New Roman"/>
          <w:color w:val="000000"/>
          <w:sz w:val="32"/>
          <w:szCs w:val="32"/>
          <w:lang w:eastAsia="zh-Hans"/>
        </w:rPr>
      </w:pPr>
    </w:p>
    <w:p w14:paraId="7358FF03">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本指导原则旨在指导注册申请人对</w:t>
      </w:r>
      <w:r>
        <w:rPr>
          <w:rFonts w:hint="default" w:ascii="Times New Roman" w:hAnsi="Times New Roman" w:eastAsia="仿宋_GB2312" w:cs="Times New Roman"/>
          <w:sz w:val="32"/>
          <w:szCs w:val="32"/>
          <w:lang w:eastAsia="zh-CN"/>
        </w:rPr>
        <w:t>样本采集器具</w:t>
      </w:r>
      <w:r>
        <w:rPr>
          <w:rFonts w:hint="default" w:ascii="Times New Roman" w:hAnsi="Times New Roman" w:eastAsia="仿宋_GB2312" w:cs="Times New Roman"/>
          <w:color w:val="000000"/>
          <w:sz w:val="32"/>
          <w:szCs w:val="32"/>
        </w:rPr>
        <w:t>注册申报资料的准备及撰写，同时也为技术审评部门对注册申报资料的审评提供参考。</w:t>
      </w:r>
    </w:p>
    <w:p w14:paraId="5EBF41CF">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本指导原则是对</w:t>
      </w:r>
      <w:r>
        <w:rPr>
          <w:rFonts w:hint="default" w:ascii="Times New Roman" w:hAnsi="Times New Roman" w:eastAsia="仿宋_GB2312" w:cs="Times New Roman"/>
          <w:sz w:val="32"/>
          <w:szCs w:val="32"/>
          <w:lang w:eastAsia="zh-CN"/>
        </w:rPr>
        <w:t>样本采集器具</w:t>
      </w:r>
      <w:r>
        <w:rPr>
          <w:rFonts w:hint="default" w:ascii="Times New Roman" w:hAnsi="Times New Roman" w:eastAsia="仿宋_GB2312" w:cs="Times New Roman"/>
          <w:color w:val="000000"/>
          <w:sz w:val="32"/>
          <w:szCs w:val="32"/>
        </w:rPr>
        <w:t>和相关产品的注册申报资料的一般要求，注册申请人需依据产品的具体特性确定其中内容是否适用。若不适用，需具体阐述理由及相应的科学依据，并依据产品的具体特性对注册申报资料的内容进行充实和细化。</w:t>
      </w:r>
    </w:p>
    <w:p w14:paraId="20B8049B">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是对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508F235A">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67278F80">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一、适用范围</w:t>
      </w:r>
    </w:p>
    <w:p w14:paraId="4DA95CF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sz w:val="32"/>
          <w:szCs w:val="32"/>
        </w:rPr>
        <w:t>本指导原则适用于《医疗器械分类目录》</w:t>
      </w:r>
      <w:r>
        <w:rPr>
          <w:rFonts w:hint="default" w:ascii="Times New Roman" w:hAnsi="Times New Roman" w:eastAsia="仿宋_GB2312" w:cs="Times New Roman"/>
          <w:sz w:val="32"/>
          <w:szCs w:val="32"/>
          <w:lang w:eastAsia="zh-CN"/>
        </w:rPr>
        <w:t>中按照</w:t>
      </w:r>
      <w:r>
        <w:rPr>
          <w:rFonts w:hint="default" w:ascii="Times New Roman" w:hAnsi="Times New Roman" w:eastAsia="仿宋_GB2312" w:cs="Times New Roman"/>
          <w:sz w:val="32"/>
          <w:szCs w:val="32"/>
        </w:rPr>
        <w:t>第二类医疗器械管理的</w:t>
      </w:r>
      <w:r>
        <w:rPr>
          <w:rFonts w:hint="eastAsia" w:ascii="Times New Roman" w:hAnsi="Times New Roman" w:eastAsia="仿宋_GB2312" w:cs="Times New Roman"/>
          <w:sz w:val="32"/>
          <w:szCs w:val="32"/>
          <w:lang w:eastAsia="zh-CN"/>
        </w:rPr>
        <w:t>以采样拭子为核心组件的</w:t>
      </w:r>
      <w:r>
        <w:rPr>
          <w:rFonts w:hint="default" w:ascii="Times New Roman" w:hAnsi="Times New Roman" w:eastAsia="仿宋_GB2312" w:cs="Times New Roman"/>
          <w:sz w:val="32"/>
          <w:szCs w:val="32"/>
          <w:lang w:eastAsia="zh-CN"/>
        </w:rPr>
        <w:t>样本采集器具</w:t>
      </w:r>
      <w:r>
        <w:rPr>
          <w:rFonts w:hint="default" w:ascii="Times New Roman" w:hAnsi="Times New Roman" w:eastAsia="仿宋_GB2312" w:cs="Times New Roman"/>
          <w:sz w:val="32"/>
          <w:szCs w:val="32"/>
        </w:rPr>
        <w:t>，分类编码</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09</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本指导原则不</w:t>
      </w:r>
      <w:r>
        <w:rPr>
          <w:rFonts w:hint="eastAsia" w:ascii="Times New Roman" w:hAnsi="Times New Roman" w:eastAsia="仿宋_GB2312" w:cs="Times New Roman"/>
          <w:color w:val="auto"/>
          <w:sz w:val="32"/>
          <w:szCs w:val="32"/>
          <w:lang w:eastAsia="zh-CN"/>
        </w:rPr>
        <w:t>涵盖</w:t>
      </w:r>
      <w:r>
        <w:rPr>
          <w:rFonts w:hint="default" w:ascii="Times New Roman" w:hAnsi="Times New Roman" w:eastAsia="仿宋_GB2312" w:cs="Times New Roman"/>
          <w:color w:val="auto"/>
          <w:sz w:val="32"/>
          <w:szCs w:val="32"/>
          <w:lang w:eastAsia="zh-CN"/>
        </w:rPr>
        <w:t>分类编码为</w:t>
      </w:r>
      <w:r>
        <w:rPr>
          <w:rFonts w:hint="default" w:ascii="Times New Roman" w:hAnsi="Times New Roman" w:eastAsia="仿宋_GB2312" w:cs="Times New Roman"/>
          <w:color w:val="auto"/>
          <w:sz w:val="32"/>
          <w:szCs w:val="32"/>
          <w:lang w:val="en-US" w:eastAsia="zh-CN"/>
        </w:rPr>
        <w:t>18-03-04的妇科采样器械，此类采样器械可参考本指导原则中适用的部分。</w:t>
      </w:r>
    </w:p>
    <w:p w14:paraId="0EB8406D">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eastAsia="zh-CN"/>
        </w:rPr>
        <w:t>二、</w:t>
      </w:r>
      <w:r>
        <w:rPr>
          <w:rFonts w:hint="default" w:ascii="Times New Roman" w:hAnsi="Times New Roman" w:eastAsia="黑体" w:cs="Times New Roman"/>
          <w:color w:val="000000"/>
          <w:sz w:val="32"/>
          <w:szCs w:val="32"/>
          <w:lang w:eastAsia="zh-Hans"/>
        </w:rPr>
        <w:t>注册</w:t>
      </w:r>
      <w:r>
        <w:rPr>
          <w:rFonts w:hint="default" w:ascii="Times New Roman" w:hAnsi="Times New Roman" w:eastAsia="黑体" w:cs="Times New Roman"/>
          <w:color w:val="000000"/>
          <w:sz w:val="32"/>
          <w:szCs w:val="32"/>
        </w:rPr>
        <w:t>审查要点</w:t>
      </w:r>
    </w:p>
    <w:p w14:paraId="50ED61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注册申报资料应符合国家药品监督管理局《关于公布医疗器械注册申报资料要求和批准证明文件格式的公告》中对注册申报资料的要求，同时宜符合以下要求：</w:t>
      </w:r>
    </w:p>
    <w:p w14:paraId="18BA68F7">
      <w:pPr>
        <w:pageBreakBefore w:val="0"/>
        <w:kinsoku/>
        <w:wordWrap/>
        <w:topLinePunct w:val="0"/>
        <w:bidi w:val="0"/>
        <w:snapToGrid/>
        <w:spacing w:line="520" w:lineRule="exact"/>
        <w:ind w:right="-67" w:rightChars="-32" w:firstLine="640" w:firstLineChars="200"/>
        <w:textAlignment w:val="auto"/>
        <w:outlineLvl w:val="2"/>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eastAsia="zh-CN"/>
        </w:rPr>
        <w:t>一</w:t>
      </w:r>
      <w:r>
        <w:rPr>
          <w:rFonts w:hint="default" w:ascii="Times New Roman" w:hAnsi="Times New Roman" w:eastAsia="楷体_GB2312" w:cs="Times New Roman"/>
          <w:color w:val="000000"/>
          <w:sz w:val="32"/>
          <w:szCs w:val="32"/>
        </w:rPr>
        <w:t>）监管信息</w:t>
      </w:r>
    </w:p>
    <w:p w14:paraId="33D06129">
      <w:pPr>
        <w:pageBreakBefore w:val="0"/>
        <w:kinsoku/>
        <w:wordWrap/>
        <w:topLinePunct w:val="0"/>
        <w:bidi w:val="0"/>
        <w:snapToGrid/>
        <w:spacing w:line="520" w:lineRule="exact"/>
        <w:ind w:firstLine="640" w:firstLineChars="200"/>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1.产品名称</w:t>
      </w:r>
    </w:p>
    <w:p w14:paraId="6CC08CD6">
      <w:pPr>
        <w:pageBreakBefore w:val="0"/>
        <w:kinsoku/>
        <w:wordWrap/>
        <w:topLinePunct w:val="0"/>
        <w:bidi w:val="0"/>
        <w:snapToGrid/>
        <w:spacing w:line="520" w:lineRule="exact"/>
        <w:ind w:firstLine="629"/>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lang w:eastAsia="zh-CN"/>
        </w:rPr>
        <w:t>样本采集器具</w:t>
      </w:r>
      <w:r>
        <w:rPr>
          <w:rFonts w:hint="default" w:ascii="Times New Roman" w:hAnsi="Times New Roman" w:eastAsia="仿宋_GB2312" w:cs="Times New Roman"/>
          <w:sz w:val="32"/>
          <w:szCs w:val="32"/>
        </w:rPr>
        <w:t>产品的命名需采用《医疗器械分类目录》或国家标准、行业标准中的通用名称，或以产品结构和预期目的为依据命名，需符合《医疗器械通用名称命名规则》《临床检验</w:t>
      </w:r>
      <w:r>
        <w:rPr>
          <w:rFonts w:hint="default" w:ascii="Times New Roman" w:hAnsi="Times New Roman" w:eastAsia="仿宋_GB2312" w:cs="Times New Roman"/>
          <w:color w:val="auto"/>
          <w:sz w:val="32"/>
          <w:szCs w:val="32"/>
        </w:rPr>
        <w:t>器械通用名称命名指导原则》等相关规范性文件的要求。本产品</w:t>
      </w:r>
      <w:r>
        <w:rPr>
          <w:rFonts w:hint="default" w:ascii="Times New Roman" w:hAnsi="Times New Roman" w:eastAsia="仿宋_GB2312" w:cs="Times New Roman"/>
          <w:color w:val="auto"/>
          <w:sz w:val="32"/>
          <w:szCs w:val="32"/>
          <w:lang w:eastAsia="zh-CN"/>
        </w:rPr>
        <w:t>核心词通常为</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拭子</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、“采样器”</w:t>
      </w:r>
      <w:r>
        <w:rPr>
          <w:rFonts w:hint="default" w:ascii="Times New Roman" w:hAnsi="Times New Roman" w:eastAsia="仿宋_GB2312" w:cs="Times New Roman"/>
          <w:color w:val="auto"/>
          <w:sz w:val="32"/>
          <w:szCs w:val="32"/>
        </w:rPr>
        <w:t>。</w:t>
      </w:r>
    </w:p>
    <w:p w14:paraId="3C7BA890">
      <w:pPr>
        <w:pageBreakBefore w:val="0"/>
        <w:kinsoku/>
        <w:wordWrap/>
        <w:topLinePunct w:val="0"/>
        <w:bidi w:val="0"/>
        <w:snapToGrid/>
        <w:spacing w:line="520" w:lineRule="exact"/>
        <w:ind w:firstLine="629"/>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管理类别、分类编码</w:t>
      </w:r>
    </w:p>
    <w:p w14:paraId="5CA73A4D">
      <w:pPr>
        <w:pageBreakBefore w:val="0"/>
        <w:kinsoku/>
        <w:wordWrap/>
        <w:topLinePunct w:val="0"/>
        <w:bidi w:val="0"/>
        <w:snapToGrid/>
        <w:spacing w:line="520" w:lineRule="exact"/>
        <w:ind w:firstLine="62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根据《医疗器械分类目录》，分类编码为</w:t>
      </w:r>
      <w:r>
        <w:rPr>
          <w:rFonts w:hint="default" w:ascii="Times New Roman" w:hAnsi="Times New Roman" w:eastAsia="仿宋_GB2312" w:cs="Times New Roman"/>
          <w:sz w:val="32"/>
          <w:szCs w:val="32"/>
          <w:lang w:val="en-US" w:eastAsia="zh-CN"/>
        </w:rPr>
        <w:t>22-11-09</w:t>
      </w:r>
      <w:r>
        <w:rPr>
          <w:rFonts w:hint="default" w:ascii="Times New Roman" w:hAnsi="Times New Roman" w:eastAsia="仿宋_GB2312" w:cs="Times New Roman"/>
          <w:sz w:val="32"/>
          <w:szCs w:val="32"/>
        </w:rPr>
        <w:t>，管理类别为II类。</w:t>
      </w:r>
    </w:p>
    <w:p w14:paraId="32BF5105">
      <w:pPr>
        <w:pageBreakBefore w:val="0"/>
        <w:kinsoku/>
        <w:wordWrap/>
        <w:topLinePunct w:val="0"/>
        <w:bidi w:val="0"/>
        <w:snapToGrid/>
        <w:spacing w:line="520" w:lineRule="exact"/>
        <w:ind w:firstLine="629"/>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lang w:val="en-US" w:eastAsia="zh-CN"/>
        </w:rPr>
        <w:t>3.</w:t>
      </w:r>
      <w:r>
        <w:rPr>
          <w:rFonts w:hint="default" w:ascii="Times New Roman" w:hAnsi="Times New Roman" w:eastAsia="仿宋_GB2312" w:cs="Times New Roman"/>
          <w:snapToGrid w:val="0"/>
          <w:kern w:val="0"/>
          <w:sz w:val="32"/>
          <w:szCs w:val="32"/>
        </w:rPr>
        <w:t>注册单元划分的原则</w:t>
      </w:r>
    </w:p>
    <w:p w14:paraId="08559C1D">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napToGrid w:val="0"/>
          <w:kern w:val="0"/>
          <w:sz w:val="32"/>
          <w:szCs w:val="32"/>
        </w:rPr>
        <w:t>申报产品的注册单元</w:t>
      </w:r>
      <w:r>
        <w:rPr>
          <w:rFonts w:hint="default" w:ascii="Times New Roman" w:hAnsi="Times New Roman" w:eastAsia="仿宋_GB2312" w:cs="Times New Roman"/>
          <w:snapToGrid w:val="0"/>
          <w:kern w:val="0"/>
          <w:sz w:val="32"/>
          <w:szCs w:val="32"/>
          <w:lang w:eastAsia="zh-CN"/>
        </w:rPr>
        <w:t>的划分</w:t>
      </w:r>
      <w:r>
        <w:rPr>
          <w:rFonts w:hint="default" w:ascii="Times New Roman" w:hAnsi="Times New Roman" w:eastAsia="仿宋_GB2312" w:cs="Times New Roman"/>
          <w:snapToGrid w:val="0"/>
          <w:kern w:val="0"/>
          <w:sz w:val="32"/>
          <w:szCs w:val="32"/>
        </w:rPr>
        <w:t>应</w:t>
      </w:r>
      <w:r>
        <w:rPr>
          <w:rFonts w:hint="default" w:ascii="Times New Roman" w:hAnsi="Times New Roman" w:eastAsia="仿宋_GB2312" w:cs="Times New Roman"/>
          <w:snapToGrid w:val="0"/>
          <w:kern w:val="0"/>
          <w:sz w:val="32"/>
          <w:szCs w:val="32"/>
          <w:lang w:eastAsia="zh-CN"/>
        </w:rPr>
        <w:t>符合</w:t>
      </w:r>
      <w:r>
        <w:rPr>
          <w:rFonts w:hint="default" w:ascii="Times New Roman" w:hAnsi="Times New Roman" w:eastAsia="仿宋_GB2312" w:cs="Times New Roman"/>
          <w:snapToGrid w:val="0"/>
          <w:kern w:val="0"/>
          <w:sz w:val="32"/>
          <w:szCs w:val="32"/>
        </w:rPr>
        <w:t>《医疗器械注册单元划分指导原则</w:t>
      </w:r>
      <w:r>
        <w:rPr>
          <w:rFonts w:hint="default" w:ascii="Times New Roman" w:hAnsi="Times New Roman" w:eastAsia="仿宋_GB2312" w:cs="Times New Roman"/>
          <w:snapToGrid w:val="0"/>
          <w:color w:val="auto"/>
          <w:kern w:val="0"/>
          <w:sz w:val="32"/>
          <w:szCs w:val="32"/>
        </w:rPr>
        <w:t>》相关要求</w:t>
      </w:r>
      <w:r>
        <w:rPr>
          <w:rFonts w:hint="default" w:ascii="Times New Roman" w:hAnsi="Times New Roman" w:eastAsia="仿宋_GB2312" w:cs="Times New Roman"/>
          <w:snapToGrid w:val="0"/>
          <w:color w:val="auto"/>
          <w:kern w:val="0"/>
          <w:sz w:val="32"/>
          <w:szCs w:val="32"/>
          <w:lang w:eastAsia="zh-CN"/>
        </w:rPr>
        <w:t>，</w:t>
      </w:r>
      <w:r>
        <w:rPr>
          <w:rFonts w:hint="default" w:ascii="Times New Roman" w:hAnsi="Times New Roman" w:eastAsia="仿宋_GB2312" w:cs="Times New Roman"/>
          <w:color w:val="auto"/>
          <w:sz w:val="32"/>
          <w:szCs w:val="32"/>
          <w:lang w:eastAsia="zh-CN"/>
        </w:rPr>
        <w:t>以产品的技术原理、结构组成、性能指标和适用范围等因素为划分依据。</w:t>
      </w:r>
    </w:p>
    <w:p w14:paraId="1D40C0E8">
      <w:pPr>
        <w:pStyle w:val="2"/>
        <w:pageBreakBefore w:val="0"/>
        <w:kinsoku/>
        <w:wordWrap/>
        <w:topLinePunct w:val="0"/>
        <w:bidi w:val="0"/>
        <w:snapToGrid/>
        <w:spacing w:line="520" w:lineRule="exact"/>
        <w:textAlignment w:val="auto"/>
        <w:rPr>
          <w:rFonts w:hint="default" w:ascii="Times New Roman" w:hAnsi="Times New Roman" w:cs="Times New Roman"/>
          <w:color w:val="auto"/>
        </w:rPr>
      </w:pPr>
      <w:r>
        <w:rPr>
          <w:rFonts w:hint="default" w:ascii="Times New Roman" w:hAnsi="Times New Roman" w:cs="Times New Roman"/>
          <w:color w:val="auto"/>
          <w:sz w:val="32"/>
          <w:szCs w:val="32"/>
          <w:lang w:eastAsia="zh-CN"/>
        </w:rPr>
        <w:t>例如：因灭菌方式不同导致产品性能指标不同时，原则上划分为不同注册单元。</w:t>
      </w:r>
    </w:p>
    <w:p w14:paraId="75CC92EF">
      <w:pPr>
        <w:pageBreakBefore w:val="0"/>
        <w:kinsoku/>
        <w:wordWrap/>
        <w:topLinePunct w:val="0"/>
        <w:bidi w:val="0"/>
        <w:snapToGrid/>
        <w:spacing w:line="520" w:lineRule="exact"/>
        <w:ind w:right="-67" w:rightChars="-32"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.产品列表</w:t>
      </w:r>
    </w:p>
    <w:p w14:paraId="74494EB3">
      <w:pPr>
        <w:pageBreakBefore w:val="0"/>
        <w:kinsoku/>
        <w:wordWrap/>
        <w:topLinePunct w:val="0"/>
        <w:bidi w:val="0"/>
        <w:snapToGrid/>
        <w:spacing w:line="520" w:lineRule="exact"/>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以表格形式列出拟申报产品的型号、规格、结构及组成、附件，以及每个规格型号的标识（如型号或部件的编号、器械唯一标识等）和描述说明（</w:t>
      </w:r>
      <w:r>
        <w:rPr>
          <w:rFonts w:hint="default" w:ascii="Times New Roman" w:hAnsi="Times New Roman" w:eastAsia="仿宋_GB2312" w:cs="Times New Roman"/>
          <w:sz w:val="32"/>
          <w:szCs w:val="32"/>
        </w:rPr>
        <w:t>如尺寸、材质等</w:t>
      </w:r>
      <w:r>
        <w:rPr>
          <w:rFonts w:hint="default" w:ascii="Times New Roman" w:hAnsi="Times New Roman" w:eastAsia="仿宋_GB2312" w:cs="Times New Roman"/>
          <w:color w:val="000000"/>
          <w:sz w:val="32"/>
          <w:szCs w:val="32"/>
        </w:rPr>
        <w:t>）。</w:t>
      </w:r>
    </w:p>
    <w:p w14:paraId="620F9B59">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.既往沟通记录</w:t>
      </w:r>
    </w:p>
    <w:p w14:paraId="2C893BEA">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5.1在产品申报前，如果申请人与监管机构针对申报产品以会议形式进行了沟通，或者申报产品与既往注册申报相关。提交符合《关于公布医疗器械注册申报资料要求和批准证明文件格式的公告》附件5要求的相关文件。</w:t>
      </w:r>
    </w:p>
    <w:p w14:paraId="03ECC348">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5.2如不适用，应当明确声明申报产品没有既往申报和/或申报前沟通。</w:t>
      </w:r>
    </w:p>
    <w:p w14:paraId="50E4FDC4">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6.主文档授权信</w:t>
      </w:r>
    </w:p>
    <w:p w14:paraId="0ABE70CF">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适用，注册申请人应当对主文档引用的情况进行说明。注册申请人应当提交由主文档所有者或其备案代理机构出具的授权申请人引用主文档信息的授权信。授权信中应当包括引用主文档的申请人信息、产品名称、已备案的主文档编号、授权引用的主文档页码/章节信息等内容。</w:t>
      </w:r>
    </w:p>
    <w:p w14:paraId="3E88364C">
      <w:pPr>
        <w:pageBreakBefore w:val="0"/>
        <w:kinsoku/>
        <w:wordWrap/>
        <w:topLinePunct w:val="0"/>
        <w:bidi w:val="0"/>
        <w:snapToGrid/>
        <w:spacing w:line="520" w:lineRule="exact"/>
        <w:ind w:firstLine="640" w:firstLineChars="20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eastAsia="zh-CN"/>
        </w:rPr>
        <w:t>二</w:t>
      </w:r>
      <w:r>
        <w:rPr>
          <w:rFonts w:hint="default" w:ascii="Times New Roman" w:hAnsi="Times New Roman" w:eastAsia="楷体_GB2312" w:cs="Times New Roman"/>
          <w:color w:val="000000"/>
          <w:sz w:val="32"/>
          <w:szCs w:val="32"/>
        </w:rPr>
        <w:t>）综述资料</w:t>
      </w:r>
    </w:p>
    <w:p w14:paraId="787F507A">
      <w:pPr>
        <w:pageBreakBefore w:val="0"/>
        <w:kinsoku/>
        <w:wordWrap/>
        <w:topLinePunct w:val="0"/>
        <w:bidi w:val="0"/>
        <w:snapToGrid/>
        <w:spacing w:line="520" w:lineRule="exact"/>
        <w:ind w:firstLine="640" w:firstLineChars="200"/>
        <w:textAlignment w:val="auto"/>
        <w:outlineLvl w:val="3"/>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1.工作原理</w:t>
      </w:r>
    </w:p>
    <w:p w14:paraId="2290CD47">
      <w:pPr>
        <w:pageBreakBefore w:val="0"/>
        <w:kinsoku/>
        <w:wordWrap/>
        <w:topLinePunct w:val="0"/>
        <w:bidi w:val="0"/>
        <w:snapToGrid/>
        <w:spacing w:line="52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rPr>
        <w:t>与</w:t>
      </w:r>
      <w:r>
        <w:rPr>
          <w:rFonts w:hint="eastAsia" w:ascii="Times New Roman" w:hAnsi="Times New Roman" w:eastAsia="仿宋_GB2312" w:cs="Times New Roman"/>
          <w:color w:val="auto"/>
          <w:sz w:val="32"/>
          <w:szCs w:val="32"/>
          <w:lang w:eastAsia="zh-CN"/>
        </w:rPr>
        <w:t>待</w:t>
      </w:r>
      <w:r>
        <w:rPr>
          <w:rFonts w:hint="default" w:ascii="Times New Roman" w:hAnsi="Times New Roman" w:eastAsia="仿宋_GB2312" w:cs="Times New Roman"/>
          <w:color w:val="auto"/>
          <w:sz w:val="32"/>
          <w:szCs w:val="32"/>
        </w:rPr>
        <w:t>采集部位接触，</w:t>
      </w:r>
      <w:r>
        <w:rPr>
          <w:rFonts w:hint="default" w:ascii="Times New Roman" w:hAnsi="Times New Roman" w:eastAsia="仿宋_GB2312" w:cs="Times New Roman"/>
          <w:strike w:val="0"/>
          <w:dstrike w:val="0"/>
          <w:color w:val="auto"/>
          <w:sz w:val="32"/>
          <w:szCs w:val="32"/>
        </w:rPr>
        <w:t>通过适当的旋转、摩擦、蘸取</w:t>
      </w:r>
      <w:r>
        <w:rPr>
          <w:rFonts w:hint="default" w:ascii="Times New Roman" w:hAnsi="Times New Roman" w:eastAsia="仿宋_GB2312" w:cs="Times New Roman"/>
          <w:strike w:val="0"/>
          <w:dstrike w:val="0"/>
          <w:color w:val="auto"/>
          <w:sz w:val="32"/>
          <w:szCs w:val="32"/>
          <w:lang w:eastAsia="zh-CN"/>
        </w:rPr>
        <w:t>等方式刮落或吸附生物样本。</w:t>
      </w:r>
    </w:p>
    <w:p w14:paraId="01CE1EAC">
      <w:pPr>
        <w:pageBreakBefore w:val="0"/>
        <w:kinsoku/>
        <w:wordWrap/>
        <w:topLinePunct w:val="0"/>
        <w:bidi w:val="0"/>
        <w:snapToGrid/>
        <w:spacing w:line="520" w:lineRule="exact"/>
        <w:ind w:firstLine="640" w:firstLineChars="200"/>
        <w:textAlignment w:val="auto"/>
        <w:outlineLvl w:val="3"/>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rPr>
        <w:t>结构组成</w:t>
      </w:r>
    </w:p>
    <w:p w14:paraId="3A3006D6">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通常</w:t>
      </w:r>
      <w:r>
        <w:rPr>
          <w:rFonts w:hint="default" w:ascii="Times New Roman" w:hAnsi="Times New Roman" w:eastAsia="仿宋_GB2312" w:cs="Times New Roman"/>
          <w:color w:val="000000"/>
          <w:sz w:val="32"/>
          <w:szCs w:val="32"/>
        </w:rPr>
        <w:t>由试管、试管塞、拭子和/或刷组成</w:t>
      </w:r>
      <w:r>
        <w:rPr>
          <w:rFonts w:hint="default" w:ascii="Times New Roman" w:hAnsi="Times New Roman" w:eastAsia="仿宋_GB2312" w:cs="Times New Roman"/>
          <w:color w:val="000000"/>
          <w:sz w:val="32"/>
          <w:szCs w:val="32"/>
          <w:lang w:eastAsia="zh-CN"/>
        </w:rPr>
        <w:t>，如下图所示。</w:t>
      </w:r>
      <w:r>
        <w:rPr>
          <w:rFonts w:hint="default" w:ascii="Times New Roman" w:hAnsi="Times New Roman" w:eastAsia="仿宋_GB2312" w:cs="Times New Roman"/>
          <w:color w:val="000000"/>
          <w:sz w:val="32"/>
          <w:szCs w:val="32"/>
        </w:rPr>
        <w:t>拭子或刷由拭杆和取样头组成</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试管</w:t>
      </w:r>
      <w:r>
        <w:rPr>
          <w:rFonts w:hint="default" w:ascii="Times New Roman" w:hAnsi="Times New Roman" w:eastAsia="仿宋_GB2312" w:cs="Times New Roman"/>
          <w:color w:val="000000"/>
          <w:sz w:val="32"/>
          <w:szCs w:val="32"/>
          <w:lang w:eastAsia="zh-CN"/>
        </w:rPr>
        <w:t>可采用</w:t>
      </w:r>
      <w:r>
        <w:rPr>
          <w:rFonts w:hint="default" w:ascii="Times New Roman" w:hAnsi="Times New Roman" w:eastAsia="仿宋_GB2312" w:cs="Times New Roman"/>
          <w:color w:val="000000"/>
          <w:sz w:val="32"/>
          <w:szCs w:val="32"/>
        </w:rPr>
        <w:t>聚苯乙烯</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PS</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、聚乙烯</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PE</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、聚丙烯</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PP</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等材料制成；</w:t>
      </w:r>
      <w:r>
        <w:rPr>
          <w:rFonts w:hint="default" w:ascii="Times New Roman" w:hAnsi="Times New Roman" w:eastAsia="仿宋_GB2312" w:cs="Times New Roman"/>
          <w:color w:val="000000"/>
          <w:sz w:val="32"/>
          <w:szCs w:val="32"/>
        </w:rPr>
        <w:t>试管塞</w:t>
      </w:r>
      <w:r>
        <w:rPr>
          <w:rFonts w:hint="default" w:ascii="Times New Roman" w:hAnsi="Times New Roman" w:eastAsia="仿宋_GB2312" w:cs="Times New Roman"/>
          <w:color w:val="000000"/>
          <w:sz w:val="32"/>
          <w:szCs w:val="32"/>
          <w:lang w:eastAsia="zh-CN"/>
        </w:rPr>
        <w:t>可采用</w:t>
      </w:r>
      <w:r>
        <w:rPr>
          <w:rFonts w:hint="default" w:ascii="Times New Roman" w:hAnsi="Times New Roman" w:eastAsia="仿宋_GB2312" w:cs="Times New Roman"/>
          <w:color w:val="000000"/>
          <w:sz w:val="32"/>
          <w:szCs w:val="32"/>
        </w:rPr>
        <w:t>聚乙烯、聚丙烯</w:t>
      </w:r>
      <w:r>
        <w:rPr>
          <w:rFonts w:hint="default" w:ascii="Times New Roman" w:hAnsi="Times New Roman" w:eastAsia="仿宋_GB2312" w:cs="Times New Roman"/>
          <w:color w:val="000000"/>
          <w:sz w:val="32"/>
          <w:szCs w:val="32"/>
          <w:lang w:eastAsia="zh-CN"/>
        </w:rPr>
        <w:t>等材料制成；</w:t>
      </w:r>
      <w:r>
        <w:rPr>
          <w:rFonts w:hint="default" w:ascii="Times New Roman" w:hAnsi="Times New Roman" w:eastAsia="仿宋_GB2312" w:cs="Times New Roman"/>
          <w:color w:val="000000"/>
          <w:sz w:val="32"/>
          <w:szCs w:val="32"/>
        </w:rPr>
        <w:t>拭杆</w:t>
      </w:r>
      <w:r>
        <w:rPr>
          <w:rFonts w:hint="default" w:ascii="Times New Roman" w:hAnsi="Times New Roman" w:eastAsia="仿宋_GB2312" w:cs="Times New Roman"/>
          <w:color w:val="000000"/>
          <w:sz w:val="32"/>
          <w:szCs w:val="32"/>
          <w:lang w:eastAsia="zh-CN"/>
        </w:rPr>
        <w:t>可采用塑料</w:t>
      </w:r>
      <w:r>
        <w:rPr>
          <w:rFonts w:hint="default" w:ascii="Times New Roman" w:hAnsi="Times New Roman" w:eastAsia="仿宋_GB2312" w:cs="Times New Roman"/>
          <w:color w:val="000000"/>
          <w:sz w:val="32"/>
          <w:szCs w:val="32"/>
        </w:rPr>
        <w:t>（PS、PP、ABS）、</w:t>
      </w:r>
      <w:r>
        <w:rPr>
          <w:rFonts w:hint="eastAsia" w:ascii="Times New Roman" w:hAnsi="Times New Roman" w:eastAsia="仿宋_GB2312" w:cs="Times New Roman"/>
          <w:color w:val="000000"/>
          <w:sz w:val="32"/>
          <w:szCs w:val="32"/>
          <w:lang w:eastAsia="zh-CN"/>
        </w:rPr>
        <w:t>竹制</w:t>
      </w: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eastAsia="zh-CN"/>
        </w:rPr>
        <w:t>木制</w:t>
      </w:r>
      <w:r>
        <w:rPr>
          <w:rFonts w:hint="default" w:ascii="Times New Roman" w:hAnsi="Times New Roman" w:eastAsia="仿宋_GB2312" w:cs="Times New Roman"/>
          <w:color w:val="000000"/>
          <w:sz w:val="32"/>
          <w:szCs w:val="32"/>
        </w:rPr>
        <w:t>、金属</w:t>
      </w:r>
      <w:r>
        <w:rPr>
          <w:rFonts w:hint="default" w:ascii="Times New Roman" w:hAnsi="Times New Roman" w:eastAsia="仿宋_GB2312" w:cs="Times New Roman"/>
          <w:color w:val="000000"/>
          <w:sz w:val="32"/>
          <w:szCs w:val="32"/>
          <w:lang w:eastAsia="zh-CN"/>
        </w:rPr>
        <w:t>等</w:t>
      </w:r>
      <w:r>
        <w:rPr>
          <w:rFonts w:hint="default" w:ascii="Times New Roman" w:hAnsi="Times New Roman" w:eastAsia="仿宋_GB2312" w:cs="Times New Roman"/>
          <w:color w:val="000000"/>
          <w:sz w:val="32"/>
          <w:szCs w:val="32"/>
        </w:rPr>
        <w:t>材料</w:t>
      </w:r>
      <w:r>
        <w:rPr>
          <w:rFonts w:hint="default" w:ascii="Times New Roman" w:hAnsi="Times New Roman" w:eastAsia="仿宋_GB2312" w:cs="Times New Roman"/>
          <w:color w:val="000000"/>
          <w:sz w:val="32"/>
          <w:szCs w:val="32"/>
          <w:lang w:eastAsia="zh-CN"/>
        </w:rPr>
        <w:t>制成</w:t>
      </w:r>
      <w:r>
        <w:rPr>
          <w:rFonts w:hint="default" w:ascii="Times New Roman" w:hAnsi="Times New Roman" w:eastAsia="仿宋_GB2312" w:cs="Times New Roman"/>
          <w:color w:val="000000"/>
          <w:sz w:val="32"/>
          <w:szCs w:val="32"/>
        </w:rPr>
        <w:t>；取样头</w:t>
      </w:r>
      <w:r>
        <w:rPr>
          <w:rFonts w:hint="default" w:ascii="Times New Roman" w:hAnsi="Times New Roman" w:eastAsia="仿宋_GB2312" w:cs="Times New Roman"/>
          <w:color w:val="000000"/>
          <w:sz w:val="32"/>
          <w:szCs w:val="32"/>
          <w:lang w:eastAsia="zh-CN"/>
        </w:rPr>
        <w:t>可</w:t>
      </w:r>
      <w:r>
        <w:rPr>
          <w:rFonts w:hint="default" w:ascii="Times New Roman" w:hAnsi="Times New Roman" w:eastAsia="仿宋_GB2312" w:cs="Times New Roman"/>
          <w:color w:val="000000"/>
          <w:sz w:val="32"/>
          <w:szCs w:val="32"/>
        </w:rPr>
        <w:t>采用医用脱脂棉</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聚酰胺</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聚酯纤维或</w:t>
      </w:r>
      <w:r>
        <w:rPr>
          <w:rFonts w:hint="default" w:ascii="Times New Roman" w:hAnsi="Times New Roman" w:eastAsia="仿宋_GB2312" w:cs="Times New Roman"/>
          <w:color w:val="000000"/>
          <w:sz w:val="32"/>
          <w:szCs w:val="32"/>
          <w:lang w:eastAsia="zh-CN"/>
        </w:rPr>
        <w:t>聚氨酯</w:t>
      </w:r>
      <w:r>
        <w:rPr>
          <w:rFonts w:hint="default" w:ascii="Times New Roman" w:hAnsi="Times New Roman" w:eastAsia="仿宋_GB2312" w:cs="Times New Roman"/>
          <w:color w:val="000000"/>
          <w:sz w:val="32"/>
          <w:szCs w:val="32"/>
        </w:rPr>
        <w:t>海绵</w:t>
      </w:r>
      <w:r>
        <w:rPr>
          <w:rFonts w:hint="default" w:ascii="Times New Roman" w:hAnsi="Times New Roman" w:eastAsia="仿宋_GB2312" w:cs="Times New Roman"/>
          <w:color w:val="000000"/>
          <w:sz w:val="32"/>
          <w:szCs w:val="32"/>
          <w:lang w:eastAsia="zh-CN"/>
        </w:rPr>
        <w:t>等材料制成</w:t>
      </w:r>
      <w:r>
        <w:rPr>
          <w:rFonts w:hint="default" w:ascii="Times New Roman" w:hAnsi="Times New Roman" w:eastAsia="仿宋_GB2312" w:cs="Times New Roman"/>
          <w:color w:val="000000"/>
          <w:sz w:val="32"/>
          <w:szCs w:val="32"/>
        </w:rPr>
        <w:t>。</w:t>
      </w:r>
    </w:p>
    <w:p w14:paraId="13B9BEC1">
      <w:pPr>
        <w:pStyle w:val="2"/>
        <w:keepNext w:val="0"/>
        <w:keepLines w:val="0"/>
        <w:pageBreakBefore w:val="0"/>
        <w:widowControl/>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kern w:val="0"/>
          <w:sz w:val="24"/>
        </w:rPr>
      </w:pPr>
      <w:r>
        <w:rPr>
          <w:rFonts w:hint="default" w:ascii="Times New Roman" w:hAnsi="Times New Roman" w:cs="Times New Roman"/>
          <w:kern w:val="0"/>
          <w:sz w:val="24"/>
        </w:rPr>
        <w:drawing>
          <wp:inline distT="0" distB="0" distL="114300" distR="114300">
            <wp:extent cx="5300980" cy="1550035"/>
            <wp:effectExtent l="0" t="0" r="13970" b="12065"/>
            <wp:docPr id="3" name="图片 2" descr="2D3D8B62-EE32-48d8-B771-986FCA6B7C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D3D8B62-EE32-48d8-B771-986FCA6B7C6C"/>
                    <pic:cNvPicPr>
                      <a:picLocks noChangeAspect="1"/>
                    </pic:cNvPicPr>
                  </pic:nvPicPr>
                  <pic:blipFill>
                    <a:blip r:embed="rId6"/>
                    <a:stretch>
                      <a:fillRect/>
                    </a:stretch>
                  </pic:blipFill>
                  <pic:spPr>
                    <a:xfrm>
                      <a:off x="0" y="0"/>
                      <a:ext cx="5300980" cy="1550035"/>
                    </a:xfrm>
                    <a:prstGeom prst="rect">
                      <a:avLst/>
                    </a:prstGeom>
                    <a:noFill/>
                    <a:ln>
                      <a:noFill/>
                    </a:ln>
                  </pic:spPr>
                </pic:pic>
              </a:graphicData>
            </a:graphic>
          </wp:inline>
        </w:drawing>
      </w:r>
    </w:p>
    <w:p w14:paraId="605D1BFF">
      <w:pPr>
        <w:pageBreakBefore w:val="0"/>
        <w:widowControl/>
        <w:kinsoku/>
        <w:wordWrap/>
        <w:topLinePunct w:val="0"/>
        <w:bidi w:val="0"/>
        <w:snapToGrid/>
        <w:spacing w:line="520" w:lineRule="exact"/>
        <w:jc w:val="center"/>
        <w:textAlignment w:val="auto"/>
        <w:rPr>
          <w:rFonts w:hint="default" w:ascii="Times New Roman" w:hAnsi="Times New Roman" w:eastAsia="国标黑体" w:cs="Times New Roman"/>
          <w:sz w:val="28"/>
          <w:szCs w:val="28"/>
        </w:rPr>
      </w:pPr>
      <w:r>
        <w:rPr>
          <w:rFonts w:hint="default" w:ascii="Times New Roman" w:hAnsi="Times New Roman" w:eastAsia="国标黑体" w:cs="Times New Roman"/>
          <w:kern w:val="0"/>
          <w:sz w:val="28"/>
          <w:szCs w:val="28"/>
        </w:rPr>
        <w:t>图1</w:t>
      </w:r>
      <w:r>
        <w:rPr>
          <w:rFonts w:hint="default" w:ascii="Times New Roman" w:hAnsi="Times New Roman" w:eastAsia="国标黑体" w:cs="Times New Roman"/>
          <w:kern w:val="0"/>
          <w:sz w:val="28"/>
          <w:szCs w:val="28"/>
          <w:lang w:eastAsia="zh-CN"/>
        </w:rPr>
        <w:t>样本采集器具</w:t>
      </w:r>
      <w:r>
        <w:rPr>
          <w:rFonts w:hint="default" w:ascii="Times New Roman" w:hAnsi="Times New Roman" w:eastAsia="国标黑体" w:cs="Times New Roman"/>
          <w:sz w:val="28"/>
          <w:szCs w:val="28"/>
        </w:rPr>
        <w:t>结构示意图</w:t>
      </w:r>
    </w:p>
    <w:p w14:paraId="1A074ED7">
      <w:pPr>
        <w:pStyle w:val="2"/>
        <w:pageBreakBefore w:val="0"/>
        <w:kinsoku/>
        <w:wordWrap/>
        <w:topLinePunct w:val="0"/>
        <w:bidi w:val="0"/>
        <w:snapToGrid/>
        <w:spacing w:line="520" w:lineRule="exact"/>
        <w:textAlignment w:val="auto"/>
        <w:rPr>
          <w:rFonts w:hint="default" w:ascii="Times New Roman" w:hAnsi="Times New Roman" w:cs="Times New Roman"/>
        </w:rPr>
      </w:pPr>
    </w:p>
    <w:p w14:paraId="1C00D481">
      <w:pPr>
        <w:pStyle w:val="2"/>
        <w:keepNext w:val="0"/>
        <w:keepLines w:val="0"/>
        <w:pageBreakBefore w:val="0"/>
        <w:widowControl/>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kern w:val="0"/>
          <w:sz w:val="24"/>
        </w:rPr>
      </w:pPr>
      <w:r>
        <w:rPr>
          <w:rFonts w:hint="default" w:ascii="Times New Roman" w:hAnsi="Times New Roman" w:cs="Times New Roman"/>
        </w:rPr>
        <w:drawing>
          <wp:inline distT="0" distB="0" distL="0" distR="0">
            <wp:extent cx="5278120" cy="1906270"/>
            <wp:effectExtent l="0" t="0" r="17780" b="1778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noChangeArrowheads="1"/>
                    </pic:cNvPicPr>
                  </pic:nvPicPr>
                  <pic:blipFill>
                    <a:blip r:embed="rId7"/>
                    <a:srcRect/>
                    <a:stretch>
                      <a:fillRect/>
                    </a:stretch>
                  </pic:blipFill>
                  <pic:spPr>
                    <a:xfrm>
                      <a:off x="0" y="0"/>
                      <a:ext cx="5278120" cy="1906478"/>
                    </a:xfrm>
                    <a:prstGeom prst="rect">
                      <a:avLst/>
                    </a:prstGeom>
                    <a:noFill/>
                    <a:ln w="9525">
                      <a:noFill/>
                      <a:miter lim="800000"/>
                      <a:headEnd/>
                      <a:tailEnd/>
                    </a:ln>
                  </pic:spPr>
                </pic:pic>
              </a:graphicData>
            </a:graphic>
          </wp:inline>
        </w:drawing>
      </w:r>
    </w:p>
    <w:p w14:paraId="61E3F34A">
      <w:pPr>
        <w:pageBreakBefore w:val="0"/>
        <w:widowControl/>
        <w:kinsoku/>
        <w:wordWrap/>
        <w:topLinePunct w:val="0"/>
        <w:bidi w:val="0"/>
        <w:snapToGrid/>
        <w:spacing w:line="520" w:lineRule="exact"/>
        <w:jc w:val="center"/>
        <w:textAlignment w:val="auto"/>
        <w:rPr>
          <w:rFonts w:hint="default" w:ascii="Times New Roman" w:hAnsi="Times New Roman" w:cs="Times New Roman"/>
        </w:rPr>
      </w:pPr>
      <w:r>
        <w:rPr>
          <w:rFonts w:hint="default" w:ascii="Times New Roman" w:hAnsi="Times New Roman" w:eastAsia="国标黑体" w:cs="Times New Roman"/>
          <w:kern w:val="0"/>
          <w:sz w:val="28"/>
          <w:szCs w:val="28"/>
        </w:rPr>
        <w:t>图</w:t>
      </w:r>
      <w:r>
        <w:rPr>
          <w:rFonts w:hint="default" w:ascii="Times New Roman" w:hAnsi="Times New Roman" w:eastAsia="国标黑体" w:cs="Times New Roman"/>
          <w:kern w:val="0"/>
          <w:sz w:val="28"/>
          <w:szCs w:val="28"/>
          <w:lang w:val="en-US" w:eastAsia="zh-CN"/>
        </w:rPr>
        <w:t>2带折断点的鼻拭子</w:t>
      </w:r>
      <w:r>
        <w:rPr>
          <w:rFonts w:hint="default" w:ascii="Times New Roman" w:hAnsi="Times New Roman" w:eastAsia="国标黑体" w:cs="Times New Roman"/>
          <w:sz w:val="28"/>
          <w:szCs w:val="28"/>
        </w:rPr>
        <w:t>结构示意图</w:t>
      </w:r>
    </w:p>
    <w:p w14:paraId="22DBF51B">
      <w:pPr>
        <w:pStyle w:val="2"/>
        <w:keepNext w:val="0"/>
        <w:keepLines w:val="0"/>
        <w:pageBreakBefore w:val="0"/>
        <w:widowControl/>
        <w:kinsoku/>
        <w:wordWrap/>
        <w:overflowPunct/>
        <w:topLinePunct w:val="0"/>
        <w:autoSpaceDE/>
        <w:autoSpaceDN/>
        <w:bidi w:val="0"/>
        <w:adjustRightInd w:val="0"/>
        <w:snapToGrid/>
        <w:spacing w:line="520" w:lineRule="exact"/>
        <w:ind w:firstLine="0" w:firstLineChars="0"/>
        <w:jc w:val="both"/>
        <w:textAlignment w:val="auto"/>
        <w:rPr>
          <w:rFonts w:hint="default" w:ascii="Times New Roman" w:hAnsi="Times New Roman" w:eastAsia="国标黑体" w:cs="Times New Roman"/>
          <w:sz w:val="28"/>
          <w:szCs w:val="28"/>
        </w:rPr>
      </w:pPr>
    </w:p>
    <w:p w14:paraId="6668ECA9">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1.3型号规格</w:t>
      </w:r>
    </w:p>
    <w:p w14:paraId="550FF97D">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FF"/>
          <w:sz w:val="32"/>
          <w:szCs w:val="32"/>
          <w:lang w:eastAsia="zh-CN"/>
        </w:rPr>
      </w:pPr>
      <w:r>
        <w:rPr>
          <w:rFonts w:hint="default" w:ascii="Times New Roman" w:hAnsi="Times New Roman" w:eastAsia="仿宋_GB2312" w:cs="Times New Roman"/>
          <w:sz w:val="32"/>
          <w:szCs w:val="32"/>
          <w:lang w:eastAsia="zh-CN"/>
        </w:rPr>
        <w:t>对于存在多种型号</w:t>
      </w:r>
      <w:r>
        <w:rPr>
          <w:rFonts w:hint="default" w:ascii="Times New Roman" w:hAnsi="Times New Roman" w:eastAsia="仿宋_GB2312" w:cs="Times New Roman"/>
          <w:color w:val="auto"/>
          <w:sz w:val="32"/>
          <w:szCs w:val="32"/>
          <w:lang w:eastAsia="zh-CN"/>
        </w:rPr>
        <w:t>规格的样本采集器具，</w:t>
      </w:r>
      <w:r>
        <w:rPr>
          <w:rFonts w:hint="default" w:ascii="Times New Roman" w:hAnsi="Times New Roman" w:eastAsia="仿宋_GB2312" w:cs="Times New Roman"/>
          <w:sz w:val="32"/>
          <w:szCs w:val="32"/>
          <w:lang w:eastAsia="zh-CN"/>
        </w:rPr>
        <w:t>可列表说明各型号规格的区别，对不同型号规格的结构组成、尺寸、性能指标等加以描述，也可采用示意图进行表述。</w:t>
      </w:r>
    </w:p>
    <w:p w14:paraId="3C351362">
      <w:pPr>
        <w:pStyle w:val="4"/>
        <w:pageBreakBefore w:val="0"/>
        <w:kinsoku/>
        <w:wordWrap/>
        <w:topLinePunct w:val="0"/>
        <w:bidi w:val="0"/>
        <w:snapToGrid/>
        <w:spacing w:line="520" w:lineRule="exact"/>
        <w:ind w:left="63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1.4包装说明</w:t>
      </w:r>
    </w:p>
    <w:p w14:paraId="5A783C51">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提供产品的包装信息，可包括包装形式、包装材料、包装工艺、包装原材料供应商信息以及无菌屏障系统（如适用）等信息。</w:t>
      </w:r>
    </w:p>
    <w:p w14:paraId="1E7E629D">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1.5研发历程</w:t>
      </w:r>
    </w:p>
    <w:p w14:paraId="22537A52">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阐述申报产品的研发背景和目的。如有参考的同类产品或前代产品，应当提供同类产品或前代产品的信息，并说明选择其作为研发参考的原因。</w:t>
      </w:r>
    </w:p>
    <w:p w14:paraId="6A8DE3EA">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1.6与同类和/或前代产品的参考和比较</w:t>
      </w:r>
    </w:p>
    <w:p w14:paraId="7CA6998D">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列表比较说明申报产品与同类产品和/或前代产品（如有）在工作原理、结构组成、制造材料、性能指标</w:t>
      </w:r>
      <w:r>
        <w:rPr>
          <w:rFonts w:hint="default" w:ascii="Times New Roman" w:hAnsi="Times New Roman" w:eastAsia="仿宋_GB2312" w:cs="Times New Roman"/>
          <w:bCs/>
          <w:color w:val="000000"/>
          <w:sz w:val="32"/>
          <w:szCs w:val="32"/>
        </w:rPr>
        <w:t>、作用方式</w:t>
      </w:r>
      <w:r>
        <w:rPr>
          <w:rFonts w:hint="default" w:ascii="Times New Roman" w:hAnsi="Times New Roman" w:eastAsia="仿宋_GB2312" w:cs="Times New Roman"/>
          <w:color w:val="000000"/>
          <w:sz w:val="32"/>
          <w:szCs w:val="32"/>
        </w:rPr>
        <w:t>、适用范围等方面的异同。</w:t>
      </w:r>
    </w:p>
    <w:p w14:paraId="720C3699">
      <w:pPr>
        <w:pageBreakBefore w:val="0"/>
        <w:tabs>
          <w:tab w:val="left" w:pos="675"/>
        </w:tabs>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2.适用范围和禁忌证</w:t>
      </w:r>
    </w:p>
    <w:p w14:paraId="6A292F6A">
      <w:pPr>
        <w:pageBreakBefore w:val="0"/>
        <w:tabs>
          <w:tab w:val="left" w:pos="675"/>
        </w:tabs>
        <w:kinsoku/>
        <w:wordWrap/>
        <w:topLinePunct w:val="0"/>
        <w:bidi w:val="0"/>
        <w:snapToGrid/>
        <w:spacing w:line="520" w:lineRule="exact"/>
        <w:ind w:firstLine="640" w:firstLineChars="200"/>
        <w:textAlignment w:val="auto"/>
        <w:rPr>
          <w:rStyle w:val="23"/>
          <w:rFonts w:hint="default" w:ascii="Times New Roman" w:hAnsi="Times New Roman" w:eastAsia="仿宋_GB2312" w:cs="Times New Roman"/>
          <w:color w:val="auto"/>
          <w:sz w:val="32"/>
          <w:szCs w:val="32"/>
        </w:rPr>
      </w:pPr>
      <w:r>
        <w:rPr>
          <w:rStyle w:val="23"/>
          <w:rFonts w:hint="default" w:ascii="Times New Roman" w:hAnsi="Times New Roman" w:eastAsia="仿宋_GB2312" w:cs="Times New Roman"/>
          <w:color w:val="auto"/>
          <w:sz w:val="32"/>
          <w:szCs w:val="32"/>
        </w:rPr>
        <w:t>2.1适用范围</w:t>
      </w:r>
    </w:p>
    <w:p w14:paraId="3AE9A169">
      <w:pPr>
        <w:pageBreakBefore w:val="0"/>
        <w:kinsoku/>
        <w:wordWrap/>
        <w:topLinePunct w:val="0"/>
        <w:bidi w:val="0"/>
        <w:snapToGrid/>
        <w:spacing w:line="520" w:lineRule="exact"/>
        <w:ind w:firstLine="640" w:firstLineChars="200"/>
        <w:textAlignment w:val="auto"/>
        <w:outlineLvl w:val="3"/>
        <w:rPr>
          <w:rFonts w:hint="default" w:ascii="Times New Roman" w:hAnsi="Times New Roman" w:eastAsia="仿宋_GB2312" w:cs="Times New Roman"/>
          <w:color w:val="000000"/>
          <w:sz w:val="32"/>
          <w:szCs w:val="32"/>
        </w:rPr>
      </w:pPr>
      <w:r>
        <w:rPr>
          <w:rStyle w:val="23"/>
          <w:rFonts w:hint="default" w:ascii="Times New Roman" w:hAnsi="Times New Roman" w:eastAsia="仿宋_GB2312" w:cs="Times New Roman"/>
          <w:color w:val="auto"/>
          <w:sz w:val="32"/>
          <w:szCs w:val="32"/>
        </w:rPr>
        <w:t>2.1.1</w:t>
      </w:r>
      <w:r>
        <w:rPr>
          <w:rFonts w:hint="default" w:ascii="Times New Roman" w:hAnsi="Times New Roman" w:eastAsia="仿宋_GB2312" w:cs="Times New Roman"/>
          <w:bCs/>
          <w:color w:val="000000"/>
          <w:sz w:val="32"/>
          <w:szCs w:val="32"/>
        </w:rPr>
        <w:t>应当</w:t>
      </w:r>
      <w:r>
        <w:rPr>
          <w:rFonts w:hint="default" w:ascii="Times New Roman" w:hAnsi="Times New Roman" w:eastAsia="仿宋_GB2312" w:cs="Times New Roman"/>
          <w:color w:val="000000"/>
          <w:sz w:val="32"/>
          <w:szCs w:val="32"/>
        </w:rPr>
        <w:t>描述申报</w:t>
      </w:r>
      <w:r>
        <w:rPr>
          <w:rFonts w:hint="default" w:ascii="Times New Roman" w:hAnsi="Times New Roman" w:eastAsia="仿宋_GB2312" w:cs="Times New Roman"/>
          <w:bCs/>
          <w:color w:val="000000"/>
          <w:sz w:val="32"/>
          <w:szCs w:val="32"/>
        </w:rPr>
        <w:t>产品的适用范围，明确预期用途</w:t>
      </w:r>
      <w:r>
        <w:rPr>
          <w:rFonts w:hint="default" w:ascii="Times New Roman" w:hAnsi="Times New Roman" w:eastAsia="仿宋_GB2312" w:cs="Times New Roman"/>
          <w:bCs/>
          <w:color w:val="000000"/>
          <w:sz w:val="32"/>
          <w:szCs w:val="32"/>
          <w:lang w:eastAsia="zh-CN"/>
        </w:rPr>
        <w:t>。</w:t>
      </w:r>
      <w:r>
        <w:rPr>
          <w:rFonts w:hint="default" w:ascii="Times New Roman" w:hAnsi="Times New Roman" w:eastAsia="仿宋_GB2312" w:cs="Times New Roman"/>
          <w:color w:val="000000"/>
          <w:sz w:val="32"/>
          <w:szCs w:val="32"/>
        </w:rPr>
        <w:t>用于样本的收集、运输和储存等。</w:t>
      </w:r>
    </w:p>
    <w:p w14:paraId="0FD72B0F">
      <w:pPr>
        <w:pStyle w:val="24"/>
        <w:pageBreakBefore w:val="0"/>
        <w:kinsoku/>
        <w:wordWrap/>
        <w:topLinePunct w:val="0"/>
        <w:bidi w:val="0"/>
        <w:snapToGrid/>
        <w:spacing w:line="520" w:lineRule="exact"/>
        <w:ind w:firstLine="645"/>
        <w:textAlignment w:val="auto"/>
        <w:rPr>
          <w:rStyle w:val="23"/>
          <w:rFonts w:hint="default" w:ascii="Times New Roman" w:hAnsi="Times New Roman" w:eastAsia="仿宋_GB2312" w:cs="Times New Roman"/>
          <w:color w:val="auto"/>
          <w:sz w:val="32"/>
          <w:szCs w:val="32"/>
        </w:rPr>
      </w:pPr>
      <w:r>
        <w:rPr>
          <w:rStyle w:val="23"/>
          <w:rFonts w:hint="default" w:ascii="Times New Roman" w:hAnsi="Times New Roman" w:eastAsia="仿宋_GB2312" w:cs="Times New Roman"/>
          <w:color w:val="auto"/>
          <w:sz w:val="32"/>
          <w:szCs w:val="32"/>
        </w:rPr>
        <w:t>2.1.2</w:t>
      </w:r>
      <w:r>
        <w:rPr>
          <w:rFonts w:hint="default" w:ascii="Times New Roman" w:hAnsi="Times New Roman" w:eastAsia="仿宋_GB2312" w:cs="Times New Roman"/>
          <w:snapToGrid w:val="0"/>
          <w:kern w:val="0"/>
          <w:sz w:val="32"/>
          <w:szCs w:val="32"/>
        </w:rPr>
        <w:t>明确目标用户及其操作或使用该产品应当具备的技能/知识/培训。明确产品为一次性使用。</w:t>
      </w:r>
    </w:p>
    <w:p w14:paraId="379905E6">
      <w:pPr>
        <w:pStyle w:val="24"/>
        <w:pageBreakBefore w:val="0"/>
        <w:kinsoku/>
        <w:wordWrap/>
        <w:topLinePunct w:val="0"/>
        <w:bidi w:val="0"/>
        <w:snapToGrid/>
        <w:spacing w:line="520" w:lineRule="exact"/>
        <w:ind w:firstLine="645"/>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2.2预期使用环境</w:t>
      </w:r>
    </w:p>
    <w:p w14:paraId="596189C6">
      <w:pPr>
        <w:pStyle w:val="24"/>
        <w:pageBreakBefore w:val="0"/>
        <w:kinsoku/>
        <w:wordWrap/>
        <w:overflowPunct w:val="0"/>
        <w:topLinePunct w:val="0"/>
        <w:autoSpaceDE w:val="0"/>
        <w:autoSpaceDN w:val="0"/>
        <w:bidi w:val="0"/>
        <w:snapToGrid/>
        <w:spacing w:line="52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应明确申报产品使用场所要求，</w:t>
      </w:r>
      <w:r>
        <w:rPr>
          <w:rFonts w:hint="default" w:ascii="Times New Roman" w:hAnsi="Times New Roman" w:eastAsia="仿宋_GB2312" w:cs="Times New Roman"/>
          <w:sz w:val="32"/>
          <w:szCs w:val="32"/>
        </w:rPr>
        <w:t>如医疗机构等。</w:t>
      </w:r>
    </w:p>
    <w:p w14:paraId="35A95BAC">
      <w:pPr>
        <w:pStyle w:val="24"/>
        <w:pageBreakBefore w:val="0"/>
        <w:kinsoku/>
        <w:wordWrap/>
        <w:topLinePunct w:val="0"/>
        <w:bidi w:val="0"/>
        <w:snapToGrid/>
        <w:spacing w:line="520" w:lineRule="exact"/>
        <w:ind w:firstLine="645"/>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2.3适用人群</w:t>
      </w:r>
    </w:p>
    <w:p w14:paraId="6819B43C">
      <w:pPr>
        <w:pStyle w:val="25"/>
        <w:pageBreakBefore w:val="0"/>
        <w:kinsoku/>
        <w:wordWrap/>
        <w:overflowPunct w:val="0"/>
        <w:topLinePunct w:val="0"/>
        <w:autoSpaceDE w:val="0"/>
        <w:autoSpaceDN w:val="0"/>
        <w:bidi w:val="0"/>
        <w:adjustRightInd w:val="0"/>
        <w:snapToGrid/>
        <w:spacing w:line="52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应详述申报产品的适用人群。</w:t>
      </w:r>
    </w:p>
    <w:p w14:paraId="7242B3CD">
      <w:pPr>
        <w:pageBreakBefore w:val="0"/>
        <w:kinsoku/>
        <w:wordWrap/>
        <w:overflowPunct w:val="0"/>
        <w:topLinePunct w:val="0"/>
        <w:autoSpaceDE w:val="0"/>
        <w:autoSpaceDN w:val="0"/>
        <w:bidi w:val="0"/>
        <w:adjustRightInd w:val="0"/>
        <w:snapToGrid/>
        <w:spacing w:line="52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2.4禁忌证</w:t>
      </w:r>
    </w:p>
    <w:p w14:paraId="68ED579E">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应说明产品临床应用的禁忌证，如：对原材料过敏者禁用。</w:t>
      </w:r>
    </w:p>
    <w:p w14:paraId="7B79448A">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3.申报产品上市历史</w:t>
      </w:r>
    </w:p>
    <w:p w14:paraId="4878F4EC">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CA"/>
        </w:rPr>
        <w:t>如适用，应当提交申报产品的上市情况、不良事件和召回、销售不良事件及召回率</w:t>
      </w:r>
      <w:r>
        <w:rPr>
          <w:rFonts w:hint="default" w:ascii="Times New Roman" w:hAnsi="Times New Roman" w:eastAsia="仿宋_GB2312" w:cs="Times New Roman"/>
          <w:bCs/>
          <w:sz w:val="32"/>
          <w:szCs w:val="32"/>
        </w:rPr>
        <w:t>。</w:t>
      </w:r>
    </w:p>
    <w:p w14:paraId="76F193C9">
      <w:pPr>
        <w:pageBreakBefore w:val="0"/>
        <w:tabs>
          <w:tab w:val="left" w:pos="6720"/>
        </w:tabs>
        <w:kinsoku/>
        <w:wordWrap/>
        <w:topLinePunct w:val="0"/>
        <w:bidi w:val="0"/>
        <w:snapToGrid/>
        <w:spacing w:line="520" w:lineRule="exact"/>
        <w:ind w:firstLine="640" w:firstLineChars="200"/>
        <w:textAlignment w:val="auto"/>
        <w:outlineLvl w:val="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w:t>
      </w:r>
      <w:r>
        <w:rPr>
          <w:rFonts w:hint="eastAsia" w:ascii="Times New Roman" w:hAnsi="Times New Roman" w:eastAsia="楷体_GB2312" w:cs="Times New Roman"/>
          <w:bCs/>
          <w:sz w:val="32"/>
          <w:szCs w:val="32"/>
          <w:lang w:eastAsia="zh-CN"/>
        </w:rPr>
        <w:t>三</w:t>
      </w:r>
      <w:r>
        <w:rPr>
          <w:rFonts w:hint="default" w:ascii="Times New Roman" w:hAnsi="Times New Roman" w:eastAsia="楷体_GB2312" w:cs="Times New Roman"/>
          <w:bCs/>
          <w:sz w:val="32"/>
          <w:szCs w:val="32"/>
        </w:rPr>
        <w:t>）非临床资料</w:t>
      </w:r>
    </w:p>
    <w:p w14:paraId="661900CB">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1.产品风险管理资料</w:t>
      </w:r>
    </w:p>
    <w:p w14:paraId="43BDA2A4">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1.1在对风险的判定及分析中，</w:t>
      </w:r>
      <w:r>
        <w:rPr>
          <w:rFonts w:hint="eastAsia" w:ascii="Times New Roman" w:hAnsi="Times New Roman" w:eastAsia="仿宋_GB2312" w:cs="Times New Roman"/>
          <w:kern w:val="0"/>
          <w:sz w:val="32"/>
          <w:szCs w:val="32"/>
          <w:lang w:eastAsia="zh-CN"/>
        </w:rPr>
        <w:t>应</w:t>
      </w:r>
      <w:r>
        <w:rPr>
          <w:rFonts w:hint="default" w:ascii="Times New Roman" w:hAnsi="Times New Roman" w:eastAsia="仿宋_GB2312" w:cs="Times New Roman"/>
          <w:kern w:val="0"/>
          <w:sz w:val="32"/>
          <w:szCs w:val="32"/>
        </w:rPr>
        <w:t>考虑合理的可预见的情况，它们包括：正常使用条件下；非正常使用条件下；</w:t>
      </w:r>
    </w:p>
    <w:p w14:paraId="2CF44D77">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1.2风险判定及分析应包括：对于患者的危害；对于操作者的危害；对于环境的危害；</w:t>
      </w:r>
    </w:p>
    <w:p w14:paraId="14C168CB">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1.3风险形成的初始原因应包括：人为因素包括不合理的操作；产品结构、原材料、综合</w:t>
      </w:r>
      <w:r>
        <w:rPr>
          <w:rFonts w:hint="eastAsia" w:ascii="Times New Roman" w:hAnsi="Times New Roman" w:eastAsia="仿宋_GB2312" w:cs="Times New Roman"/>
          <w:kern w:val="0"/>
          <w:sz w:val="32"/>
          <w:szCs w:val="32"/>
          <w:lang w:eastAsia="zh-CN"/>
        </w:rPr>
        <w:t>性</w:t>
      </w:r>
      <w:r>
        <w:rPr>
          <w:rFonts w:hint="default" w:ascii="Times New Roman" w:hAnsi="Times New Roman" w:eastAsia="仿宋_GB2312" w:cs="Times New Roman"/>
          <w:kern w:val="0"/>
          <w:sz w:val="32"/>
          <w:szCs w:val="32"/>
        </w:rPr>
        <w:t>危害；环境条件；</w:t>
      </w:r>
    </w:p>
    <w:p w14:paraId="5FDEA0B9">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1.4风险判定及分析考虑的问题包括：产品原材料生物学危害；操作信息，包括警示性语言、注意事项以及使用方法的准确性；使用可能存在的危害等。</w:t>
      </w:r>
    </w:p>
    <w:p w14:paraId="0F297F2B">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1.5风险分析清单</w:t>
      </w:r>
    </w:p>
    <w:p w14:paraId="50296439">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产品的风险管理报告应符合GB/T 42062的有关要求，审查要点包括：</w:t>
      </w:r>
    </w:p>
    <w:p w14:paraId="6D851379">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1.5.1产品安全性特征判定是否准确（依据YY/T 1437）；</w:t>
      </w:r>
    </w:p>
    <w:p w14:paraId="780532E0">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1.5.2危害分析是否全面（依据GB/T 42062附录C）；</w:t>
      </w:r>
    </w:p>
    <w:p w14:paraId="06F51625">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1.5.3风险可接收准则，降低风险的措施及采取措施后风险的可接收程度，是否有新的风险产生。</w:t>
      </w:r>
    </w:p>
    <w:p w14:paraId="56C8C6A7">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根据GB/T 42062对已知或可预见的风险进行判定，产品在进行风险分析时至少应</w:t>
      </w:r>
      <w:r>
        <w:rPr>
          <w:rFonts w:hint="default" w:ascii="Times New Roman" w:hAnsi="Times New Roman" w:eastAsia="仿宋_GB2312" w:cs="Times New Roman"/>
          <w:color w:val="auto"/>
          <w:kern w:val="0"/>
          <w:sz w:val="32"/>
          <w:szCs w:val="32"/>
        </w:rPr>
        <w:t>包括以下的主要危害</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sz w:val="32"/>
          <w:szCs w:val="32"/>
          <w:lang w:val="en-US" w:eastAsia="zh-CN"/>
        </w:rPr>
        <w:t>取样头脱落、拭杆折断、折断点误折断、样本释放不充分、</w:t>
      </w:r>
      <w:r>
        <w:rPr>
          <w:rFonts w:hint="default" w:ascii="Times New Roman" w:hAnsi="Times New Roman" w:eastAsia="仿宋_GB2312" w:cs="Times New Roman"/>
          <w:color w:val="auto"/>
          <w:sz w:val="32"/>
          <w:szCs w:val="32"/>
          <w:lang w:eastAsia="zh-CN"/>
        </w:rPr>
        <w:t>连接牢固度</w:t>
      </w:r>
      <w:r>
        <w:rPr>
          <w:rFonts w:hint="eastAsia" w:ascii="Times New Roman" w:hAnsi="Times New Roman" w:eastAsia="仿宋_GB2312" w:cs="Times New Roman"/>
          <w:color w:val="auto"/>
          <w:sz w:val="32"/>
          <w:szCs w:val="32"/>
          <w:lang w:eastAsia="zh-CN"/>
        </w:rPr>
        <w:t>不足</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kern w:val="0"/>
          <w:sz w:val="32"/>
          <w:szCs w:val="32"/>
        </w:rPr>
        <w:t>，企业还应根据自身产</w:t>
      </w:r>
      <w:r>
        <w:rPr>
          <w:rFonts w:hint="default" w:ascii="Times New Roman" w:hAnsi="Times New Roman" w:eastAsia="仿宋_GB2312" w:cs="Times New Roman"/>
          <w:kern w:val="0"/>
          <w:sz w:val="32"/>
          <w:szCs w:val="32"/>
        </w:rPr>
        <w:t>品特点确定其他危害。针对产品的各项风险，企业应采取应对措施，确保风险降到可接受的程度。</w:t>
      </w:r>
    </w:p>
    <w:p w14:paraId="39F70E21">
      <w:pPr>
        <w:pStyle w:val="4"/>
        <w:pageBreakBefore w:val="0"/>
        <w:kinsoku/>
        <w:wordWrap/>
        <w:topLinePunct w:val="0"/>
        <w:bidi w:val="0"/>
        <w:snapToGrid/>
        <w:spacing w:line="520" w:lineRule="exact"/>
        <w:ind w:left="630"/>
        <w:textAlignment w:val="auto"/>
        <w:rPr>
          <w:rFonts w:hint="default" w:ascii="Times New Roman" w:hAnsi="Times New Roman" w:eastAsia="仿宋_GB2312" w:cs="Times New Roman"/>
          <w:snapToGrid w:val="0"/>
          <w:szCs w:val="32"/>
          <w:lang w:val="zh-CN"/>
        </w:rPr>
      </w:pPr>
      <w:r>
        <w:rPr>
          <w:rFonts w:hint="default" w:ascii="Times New Roman" w:hAnsi="Times New Roman" w:eastAsia="仿宋_GB2312" w:cs="Times New Roman"/>
          <w:kern w:val="2"/>
          <w:szCs w:val="32"/>
          <w:lang w:val="en-US" w:eastAsia="zh-CN"/>
        </w:rPr>
        <w:t>2</w:t>
      </w:r>
      <w:r>
        <w:rPr>
          <w:rFonts w:hint="default" w:ascii="Times New Roman" w:hAnsi="Times New Roman" w:eastAsia="仿宋_GB2312" w:cs="Times New Roman"/>
          <w:kern w:val="2"/>
          <w:szCs w:val="32"/>
        </w:rPr>
        <w:t>.</w:t>
      </w:r>
      <w:r>
        <w:rPr>
          <w:rFonts w:hint="default" w:ascii="Times New Roman" w:hAnsi="Times New Roman" w:eastAsia="仿宋_GB2312" w:cs="Times New Roman"/>
          <w:snapToGrid w:val="0"/>
          <w:szCs w:val="32"/>
          <w:lang w:val="zh-CN"/>
        </w:rPr>
        <w:t>产品技术要求</w:t>
      </w:r>
    </w:p>
    <w:p w14:paraId="570DB214">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注册申请人应按照《医疗器械产品技术要求编写指导原则》并结合产品的技术特征和临床使用情况来编制技术要求。</w:t>
      </w:r>
    </w:p>
    <w:p w14:paraId="4A2F8DC3">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产品型号/规格及其划分说明</w:t>
      </w:r>
    </w:p>
    <w:p w14:paraId="623386A6">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明确产品型号/规格，阐明各型号/规格间的区别及划分说明，型号/规格的表述应与全部注册申报资料保持一致，并建议提供结构示意图。</w:t>
      </w:r>
    </w:p>
    <w:p w14:paraId="5911F460">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性能指标</w:t>
      </w:r>
    </w:p>
    <w:p w14:paraId="0D718523">
      <w:pPr>
        <w:pStyle w:val="2"/>
        <w:pageBreakBefore w:val="0"/>
        <w:kinsoku/>
        <w:wordWrap/>
        <w:topLinePunct w:val="0"/>
        <w:bidi w:val="0"/>
        <w:snapToGrid/>
        <w:spacing w:line="52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产品性能指标通常包括但不限于以下项目：</w:t>
      </w:r>
    </w:p>
    <w:p w14:paraId="6539836C">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物理性能：外观</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尺寸</w:t>
      </w:r>
      <w:r>
        <w:rPr>
          <w:rFonts w:hint="eastAsia" w:ascii="Times New Roman" w:hAnsi="Times New Roman" w:eastAsia="仿宋_GB2312" w:cs="Times New Roman"/>
          <w:color w:val="000000"/>
          <w:sz w:val="32"/>
          <w:szCs w:val="32"/>
          <w:lang w:eastAsia="zh-CN"/>
        </w:rPr>
        <w:t>、连接强度（如适用）、折断试验（如适用）、弯曲强度、采样头的吸水量（如适用）、荧光物质、密封性（如适用）</w:t>
      </w:r>
    </w:p>
    <w:p w14:paraId="438AB8F0">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化学性能：重金属</w:t>
      </w:r>
      <w:r>
        <w:rPr>
          <w:rFonts w:hint="default" w:ascii="Times New Roman" w:hAnsi="Times New Roman" w:eastAsia="仿宋_GB2312" w:cs="Times New Roman"/>
          <w:color w:val="000000"/>
          <w:sz w:val="32"/>
          <w:szCs w:val="32"/>
          <w:lang w:eastAsia="zh-CN"/>
        </w:rPr>
        <w:t>总含量</w:t>
      </w:r>
      <w:r>
        <w:rPr>
          <w:rFonts w:hint="default" w:ascii="Times New Roman" w:hAnsi="Times New Roman" w:eastAsia="仿宋_GB2312" w:cs="Times New Roman"/>
          <w:color w:val="000000"/>
          <w:sz w:val="32"/>
          <w:szCs w:val="32"/>
        </w:rPr>
        <w:t>、酸碱度、</w:t>
      </w:r>
      <w:r>
        <w:rPr>
          <w:rFonts w:hint="default" w:ascii="Times New Roman" w:hAnsi="Times New Roman" w:eastAsia="仿宋_GB2312" w:cs="Times New Roman"/>
          <w:color w:val="000000"/>
          <w:sz w:val="32"/>
          <w:szCs w:val="32"/>
          <w:lang w:eastAsia="zh-CN"/>
        </w:rPr>
        <w:t>还原物质（易氧化物）、</w:t>
      </w:r>
      <w:r>
        <w:rPr>
          <w:rFonts w:hint="default" w:ascii="Times New Roman" w:hAnsi="Times New Roman" w:eastAsia="仿宋_GB2312" w:cs="Times New Roman"/>
          <w:color w:val="000000"/>
          <w:sz w:val="32"/>
          <w:szCs w:val="32"/>
        </w:rPr>
        <w:t>环氧乙烷残留量（</w:t>
      </w:r>
      <w:r>
        <w:rPr>
          <w:rFonts w:hint="default" w:ascii="Times New Roman" w:hAnsi="Times New Roman" w:eastAsia="仿宋_GB2312" w:cs="Times New Roman"/>
          <w:color w:val="000000"/>
          <w:sz w:val="32"/>
          <w:szCs w:val="32"/>
          <w:lang w:eastAsia="zh-CN"/>
        </w:rPr>
        <w:t>如适用</w:t>
      </w:r>
      <w:r>
        <w:rPr>
          <w:rFonts w:hint="default" w:ascii="Times New Roman" w:hAnsi="Times New Roman" w:eastAsia="仿宋_GB2312" w:cs="Times New Roman"/>
          <w:color w:val="000000"/>
          <w:sz w:val="32"/>
          <w:szCs w:val="32"/>
        </w:rPr>
        <w:t>）</w:t>
      </w:r>
    </w:p>
    <w:p w14:paraId="1978D794">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无菌</w:t>
      </w:r>
    </w:p>
    <w:p w14:paraId="09950C04">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若申请人声称具有其他特定的技术特性的，应制订相应的性能指标。</w:t>
      </w:r>
    </w:p>
    <w:p w14:paraId="645CF9EE">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如适用的国家标准或行业标准中对产品各性能指标有明确的检验方法，建议优先选择作为各性能指标对应的检验方法。</w:t>
      </w:r>
    </w:p>
    <w:p w14:paraId="6135954D">
      <w:pPr>
        <w:pageBreakBefore w:val="0"/>
        <w:kinsoku/>
        <w:wordWrap/>
        <w:topLinePunct w:val="0"/>
        <w:bidi w:val="0"/>
        <w:snapToGrid/>
        <w:spacing w:line="520" w:lineRule="exact"/>
        <w:ind w:left="420" w:firstLine="420"/>
        <w:textAlignment w:val="auto"/>
        <w:outlineLvl w:val="4"/>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rPr>
        <w:t>产品检验报告</w:t>
      </w:r>
    </w:p>
    <w:p w14:paraId="08603CB7">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可提交申请人出具的自检报告或委托有资质的医疗器械检验机构出具的检验报告。</w:t>
      </w:r>
    </w:p>
    <w:p w14:paraId="22D92925">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提交自检报告的，应符合《医疗器械注册自检管理规定》的要求。</w:t>
      </w:r>
    </w:p>
    <w:p w14:paraId="65AC2B54">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申报产品有多个型号的，可选择典型型号产品进行检验，注册申请人应提供检验样品型号/规格的选择依据。所检验型号/规格需为能够代表本注册单元内其他型号/规格的典型产品。选取用于检验的典型产品时需综合考虑产品的结构组成、制造材料、生产工艺（包括灭菌方式等）等方面的影响因素。典型产品应能代表申请注册产品的安全性和有效性，一般选取结构最复杂、功能最全的型号作为典型产品，并提供典型产品检验覆盖说明。</w:t>
      </w:r>
    </w:p>
    <w:p w14:paraId="2AC98785">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auto"/>
          <w:sz w:val="32"/>
          <w:szCs w:val="32"/>
        </w:rPr>
        <w:t>若一个型号规格不能覆盖，应选择其他不同型号规格进行差异性检验，如</w:t>
      </w:r>
      <w:r>
        <w:rPr>
          <w:rFonts w:hint="default" w:ascii="Times New Roman" w:hAnsi="Times New Roman" w:eastAsia="仿宋_GB2312" w:cs="Times New Roman"/>
          <w:color w:val="auto"/>
          <w:sz w:val="32"/>
          <w:szCs w:val="32"/>
          <w:lang w:eastAsia="zh-CN"/>
        </w:rPr>
        <w:t>取样头材质</w:t>
      </w:r>
      <w:r>
        <w:rPr>
          <w:rFonts w:hint="default" w:ascii="Times New Roman" w:hAnsi="Times New Roman" w:eastAsia="仿宋_GB2312" w:cs="Times New Roman"/>
          <w:color w:val="auto"/>
          <w:sz w:val="32"/>
          <w:szCs w:val="32"/>
        </w:rPr>
        <w:t>不同应分别送检。</w:t>
      </w:r>
      <w:r>
        <w:rPr>
          <w:rFonts w:hint="default" w:ascii="Times New Roman" w:hAnsi="Times New Roman" w:eastAsia="仿宋_GB2312" w:cs="Times New Roman"/>
          <w:color w:val="000000"/>
          <w:sz w:val="32"/>
          <w:szCs w:val="32"/>
        </w:rPr>
        <w:t>需注意，典型型号/规格不一定是临床常用型号/规格。</w:t>
      </w:r>
    </w:p>
    <w:p w14:paraId="6E5965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.产品性能研究</w:t>
      </w:r>
    </w:p>
    <w:p w14:paraId="17D479DE">
      <w:pPr>
        <w:pStyle w:val="2"/>
        <w:pageBreakBefore w:val="0"/>
        <w:kinsoku/>
        <w:wordWrap/>
        <w:topLinePunct w:val="0"/>
        <w:bidi w:val="0"/>
        <w:snapToGrid/>
        <w:spacing w:line="52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应当提供产品化学/材料表征、物理和/或机械性能指标的确定依据、设计输入来源以及临床意义，所采用的标准或方法、采用的原因及理论基础。</w:t>
      </w:r>
    </w:p>
    <w:p w14:paraId="13043A04">
      <w:pPr>
        <w:pStyle w:val="2"/>
        <w:pageBreakBefore w:val="0"/>
        <w:kinsoku/>
        <w:wordWrap/>
        <w:topLinePunct w:val="0"/>
        <w:bidi w:val="0"/>
        <w:snapToGrid/>
        <w:spacing w:line="52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原材料控制：说明原材料的选择依据，明确产品的起始材料，列明产品生产过程中由起始材料至终产品所需全部材料的化学名称、商品名/材料代号、CAS号、供应商名称、符合的标准等适用的基本信息，建议以列表的形式提供。对于首次用于医疗器械方面的新材料，应提供该材料适合用于符合预期用途的相关研究资料。若有加工助剂的，应列明加工助剂的主要化学成分和比例信息，及制造过程中使用的添加</w:t>
      </w:r>
      <w:r>
        <w:rPr>
          <w:rFonts w:hint="eastAsia" w:cs="Times New Roman"/>
          <w:lang w:val="en-US" w:eastAsia="zh-CN"/>
        </w:rPr>
        <w:t>成分</w:t>
      </w:r>
      <w:r>
        <w:rPr>
          <w:rFonts w:hint="default" w:ascii="Times New Roman" w:hAnsi="Times New Roman" w:cs="Times New Roman"/>
          <w:lang w:val="en-US" w:eastAsia="zh-CN"/>
        </w:rPr>
        <w:t>、添加剂、着色剂等。</w:t>
      </w:r>
    </w:p>
    <w:p w14:paraId="003183B8">
      <w:pPr>
        <w:pStyle w:val="2"/>
        <w:pageBreakBefore w:val="0"/>
        <w:kinsoku/>
        <w:wordWrap/>
        <w:topLinePunct w:val="0"/>
        <w:bidi w:val="0"/>
        <w:snapToGrid/>
        <w:spacing w:line="52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产品性能</w:t>
      </w:r>
      <w:r>
        <w:rPr>
          <w:rFonts w:hint="default" w:ascii="Times New Roman" w:hAnsi="Times New Roman" w:cs="Times New Roman"/>
          <w:color w:val="auto"/>
          <w:lang w:val="en-US" w:eastAsia="zh-CN"/>
        </w:rPr>
        <w:t>研究：</w:t>
      </w:r>
      <w:r>
        <w:rPr>
          <w:rFonts w:hint="eastAsia" w:cs="Times New Roman"/>
          <w:color w:val="auto"/>
          <w:lang w:val="en-US" w:eastAsia="zh-CN"/>
        </w:rPr>
        <w:t>如适用，应当提交拭子对目标检测物的采集及洗脱效率、</w:t>
      </w:r>
      <w:r>
        <w:rPr>
          <w:rFonts w:hint="eastAsia" w:ascii="Times New Roman" w:hAnsi="Times New Roman" w:eastAsia="仿宋_GB2312" w:cs="Times New Roman"/>
          <w:color w:val="auto"/>
          <w:sz w:val="32"/>
          <w:szCs w:val="32"/>
          <w:lang w:eastAsia="zh-CN"/>
        </w:rPr>
        <w:t>拭子对临床检验结果的干扰</w:t>
      </w:r>
      <w:r>
        <w:rPr>
          <w:rFonts w:hint="eastAsia" w:cs="Times New Roman"/>
          <w:color w:val="auto"/>
          <w:sz w:val="32"/>
          <w:szCs w:val="32"/>
          <w:lang w:eastAsia="zh-CN"/>
        </w:rPr>
        <w:t>的研究资料。</w:t>
      </w:r>
      <w:r>
        <w:rPr>
          <w:rFonts w:hint="default" w:ascii="Times New Roman" w:hAnsi="Times New Roman" w:cs="Times New Roman"/>
          <w:lang w:val="en-US" w:eastAsia="zh-CN"/>
        </w:rPr>
        <w:t>应当提供产品性能研究资料，说明产品技术要求中性能指标及检验方法的确定依据，需提供采用的原因及理论基础。依据产品性能研究结果，结合临床需求制定性能指标接受标准。对于自建方法，需提供相应的依据及方法学研究资料。可选择典型型号/规格进行性能研究，应结合风险分析结果等因素确定各研究项目所用样本数量，并对验证结果进行统计学分析。</w:t>
      </w:r>
    </w:p>
    <w:p w14:paraId="012758D6">
      <w:pPr>
        <w:pageBreakBefore w:val="0"/>
        <w:widowControl/>
        <w:kinsoku/>
        <w:wordWrap/>
        <w:topLinePunct w:val="0"/>
        <w:bidi w:val="0"/>
        <w:snapToGrid/>
        <w:spacing w:line="520" w:lineRule="exact"/>
        <w:ind w:firstLine="640" w:firstLineChars="200"/>
        <w:jc w:val="left"/>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rPr>
        <w:t>生物学特性研究</w:t>
      </w:r>
    </w:p>
    <w:p w14:paraId="6B196C2E">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对于产品与患者直接或间接接触部分，应当</w:t>
      </w:r>
      <w:r>
        <w:rPr>
          <w:rFonts w:hint="eastAsia" w:ascii="Times New Roman" w:hAnsi="Times New Roman" w:eastAsia="仿宋_GB2312" w:cs="Times New Roman"/>
          <w:kern w:val="0"/>
          <w:sz w:val="32"/>
          <w:szCs w:val="32"/>
          <w:lang w:eastAsia="zh-CN"/>
        </w:rPr>
        <w:t>开展</w:t>
      </w:r>
      <w:r>
        <w:rPr>
          <w:rFonts w:hint="default" w:ascii="Times New Roman" w:hAnsi="Times New Roman" w:eastAsia="仿宋_GB2312" w:cs="Times New Roman"/>
          <w:kern w:val="0"/>
          <w:sz w:val="32"/>
          <w:szCs w:val="32"/>
        </w:rPr>
        <w:t>生物学评价。按照GB/T 16886系列标准、《医疗器械生物学评价和审查指南》要求开展生物学评价，资料应当包括：</w:t>
      </w:r>
    </w:p>
    <w:p w14:paraId="0F301938">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4.1</w:t>
      </w:r>
      <w:r>
        <w:rPr>
          <w:rFonts w:hint="default" w:ascii="Times New Roman" w:hAnsi="Times New Roman" w:eastAsia="仿宋_GB2312" w:cs="Times New Roman"/>
          <w:kern w:val="0"/>
          <w:sz w:val="32"/>
          <w:szCs w:val="32"/>
        </w:rPr>
        <w:t>描述产品所用材料及与人体接触性质，设计和生产过程中可能引入的污染物和残留物，设计和生产过程中可能产生的析出物（包括可沥滤物和/或蒸发物）、加工残留物，与医疗器械直接接触的包装材料等相关信息。</w:t>
      </w:r>
    </w:p>
    <w:p w14:paraId="1320C366">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4.2</w:t>
      </w:r>
      <w:r>
        <w:rPr>
          <w:rFonts w:hint="default" w:ascii="Times New Roman" w:hAnsi="Times New Roman" w:eastAsia="仿宋_GB2312" w:cs="Times New Roman"/>
          <w:kern w:val="0"/>
          <w:sz w:val="32"/>
          <w:szCs w:val="32"/>
        </w:rPr>
        <w:t>描述申报产品的物理和/或化学信息并考虑材料表征（如适用），如器械的物理作用可能产生生物学风险，应当进行评价。</w:t>
      </w:r>
    </w:p>
    <w:p w14:paraId="1EA0B133">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4.3</w:t>
      </w:r>
      <w:r>
        <w:rPr>
          <w:rFonts w:hint="default" w:ascii="Times New Roman" w:hAnsi="Times New Roman" w:eastAsia="仿宋_GB2312" w:cs="Times New Roman"/>
          <w:kern w:val="0"/>
          <w:sz w:val="32"/>
          <w:szCs w:val="32"/>
        </w:rPr>
        <w:t>生物学评价的策略、依据和方法。</w:t>
      </w:r>
    </w:p>
    <w:p w14:paraId="4883F98B">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4.4</w:t>
      </w:r>
      <w:r>
        <w:rPr>
          <w:rFonts w:hint="default" w:ascii="Times New Roman" w:hAnsi="Times New Roman" w:eastAsia="仿宋_GB2312" w:cs="Times New Roman"/>
          <w:kern w:val="0"/>
          <w:sz w:val="32"/>
          <w:szCs w:val="32"/>
        </w:rPr>
        <w:t>已有数据和结果的评价。</w:t>
      </w:r>
    </w:p>
    <w:p w14:paraId="5C542CC7">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4.5</w:t>
      </w:r>
      <w:r>
        <w:rPr>
          <w:rFonts w:hint="default" w:ascii="Times New Roman" w:hAnsi="Times New Roman" w:eastAsia="仿宋_GB2312" w:cs="Times New Roman"/>
          <w:kern w:val="0"/>
          <w:sz w:val="32"/>
          <w:szCs w:val="32"/>
        </w:rPr>
        <w:t>选择或豁免生物学试验的理由和论证。</w:t>
      </w:r>
    </w:p>
    <w:p w14:paraId="782120B8">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4.6</w:t>
      </w:r>
      <w:r>
        <w:rPr>
          <w:rFonts w:hint="default" w:ascii="Times New Roman" w:hAnsi="Times New Roman" w:eastAsia="仿宋_GB2312" w:cs="Times New Roman"/>
          <w:kern w:val="0"/>
          <w:sz w:val="32"/>
          <w:szCs w:val="32"/>
        </w:rPr>
        <w:t>完成生物学评价所需的其他数据。</w:t>
      </w:r>
    </w:p>
    <w:p w14:paraId="7034C0A4">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与黏膜或完整皮肤短期接触的样本采集器具</w:t>
      </w:r>
      <w:r>
        <w:rPr>
          <w:rFonts w:hint="default" w:ascii="Times New Roman" w:hAnsi="Times New Roman" w:eastAsia="仿宋_GB2312" w:cs="Times New Roman"/>
          <w:kern w:val="0"/>
          <w:sz w:val="32"/>
          <w:szCs w:val="32"/>
        </w:rPr>
        <w:t>需考虑的生物学评价终点至少包括：细胞毒性、致敏反应、刺激反应。</w:t>
      </w:r>
    </w:p>
    <w:p w14:paraId="1677FCAF">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lang w:eastAsia="zh-CN"/>
        </w:rPr>
        <w:t>与破裂或损伤表面</w:t>
      </w:r>
      <w:r>
        <w:rPr>
          <w:rFonts w:hint="default" w:ascii="Times New Roman" w:hAnsi="Times New Roman" w:eastAsia="仿宋_GB2312" w:cs="Times New Roman"/>
          <w:color w:val="auto"/>
          <w:kern w:val="0"/>
          <w:sz w:val="32"/>
          <w:szCs w:val="32"/>
        </w:rPr>
        <w:t>短期接触</w:t>
      </w:r>
      <w:r>
        <w:rPr>
          <w:rFonts w:hint="default" w:ascii="Times New Roman" w:hAnsi="Times New Roman" w:eastAsia="仿宋_GB2312" w:cs="Times New Roman"/>
          <w:color w:val="auto"/>
          <w:kern w:val="0"/>
          <w:sz w:val="32"/>
          <w:szCs w:val="32"/>
          <w:lang w:eastAsia="zh-CN"/>
        </w:rPr>
        <w:t>的样本采集器具</w:t>
      </w:r>
      <w:r>
        <w:rPr>
          <w:rFonts w:hint="default" w:ascii="Times New Roman" w:hAnsi="Times New Roman" w:eastAsia="仿宋_GB2312" w:cs="Times New Roman"/>
          <w:color w:val="auto"/>
          <w:kern w:val="0"/>
          <w:sz w:val="32"/>
          <w:szCs w:val="32"/>
        </w:rPr>
        <w:t>需考虑的生物学评价终点至少包括：细胞毒性、致敏反应、</w:t>
      </w:r>
      <w:r>
        <w:rPr>
          <w:rFonts w:hint="default" w:ascii="Times New Roman" w:hAnsi="Times New Roman" w:eastAsia="仿宋_GB2312" w:cs="Times New Roman"/>
          <w:kern w:val="0"/>
          <w:sz w:val="32"/>
          <w:szCs w:val="32"/>
        </w:rPr>
        <w:t>刺激或皮内反应</w:t>
      </w:r>
      <w:r>
        <w:rPr>
          <w:rFonts w:hint="default" w:ascii="Times New Roman" w:hAnsi="Times New Roman" w:eastAsia="仿宋_GB2312" w:cs="Times New Roman"/>
          <w:kern w:val="0"/>
          <w:sz w:val="32"/>
          <w:szCs w:val="32"/>
          <w:lang w:eastAsia="zh-CN"/>
        </w:rPr>
        <w:t>、材料介导的致热性、急性全身毒性</w:t>
      </w:r>
      <w:r>
        <w:rPr>
          <w:rFonts w:hint="default" w:ascii="Times New Roman" w:hAnsi="Times New Roman" w:eastAsia="仿宋_GB2312" w:cs="Times New Roman"/>
          <w:kern w:val="0"/>
          <w:sz w:val="32"/>
          <w:szCs w:val="32"/>
        </w:rPr>
        <w:t>。</w:t>
      </w:r>
    </w:p>
    <w:p w14:paraId="08B392C3">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lang w:eastAsia="zh-Hans"/>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.灭菌工艺研究</w:t>
      </w:r>
    </w:p>
    <w:p w14:paraId="0FED9FEA">
      <w:pPr>
        <w:pageBreakBefore w:val="0"/>
        <w:tabs>
          <w:tab w:val="left" w:pos="540"/>
        </w:tabs>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注册申请人应对以无菌形式提供的产品明确其灭菌工艺（方法和参数）和无菌保证水平（SAL），产品的无菌保证水平（SAL）需达到10</w:t>
      </w:r>
      <w:r>
        <w:rPr>
          <w:rFonts w:hint="default" w:ascii="Times New Roman" w:hAnsi="Times New Roman" w:eastAsia="仿宋_GB2312" w:cs="Times New Roman"/>
          <w:sz w:val="32"/>
          <w:szCs w:val="32"/>
          <w:vertAlign w:val="superscript"/>
        </w:rPr>
        <w:t>-6</w:t>
      </w:r>
      <w:r>
        <w:rPr>
          <w:rFonts w:hint="default" w:ascii="Times New Roman" w:hAnsi="Times New Roman" w:eastAsia="仿宋_GB2312" w:cs="Times New Roman"/>
          <w:sz w:val="32"/>
          <w:szCs w:val="32"/>
        </w:rPr>
        <w:t>。可参考GB 18279标准、GB 18280系列标准等，提供灭菌研究资料。若灭菌使用的方法容易出现残留，如环氧乙烷灭菌，应当明确残留物信息及采取的具体处理措施，参考GB/T 16886.7等明确残留物（如环氧乙烷）残留量接受标准及其确定依据，并提供环氧乙烷解析的研究资料。</w:t>
      </w:r>
    </w:p>
    <w:p w14:paraId="1FF7C2D1">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.可用性工程研究</w:t>
      </w:r>
    </w:p>
    <w:p w14:paraId="64DA5C83">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应参照《医疗器械可用性工程注册审查指导原则》提供相应资料。</w:t>
      </w:r>
    </w:p>
    <w:p w14:paraId="16309028">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.产品稳定性研究</w:t>
      </w:r>
    </w:p>
    <w:p w14:paraId="1C1BE630">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7.1</w:t>
      </w:r>
      <w:r>
        <w:rPr>
          <w:rFonts w:hint="default" w:ascii="Times New Roman" w:hAnsi="Times New Roman" w:eastAsia="仿宋_GB2312" w:cs="Times New Roman"/>
          <w:sz w:val="32"/>
          <w:szCs w:val="32"/>
        </w:rPr>
        <w:t>货架有效期</w:t>
      </w:r>
    </w:p>
    <w:p w14:paraId="3CFFA59C">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货架有效期包括产品有效期和包装有效期。可以提交实时老化</w:t>
      </w:r>
      <w:r>
        <w:rPr>
          <w:rFonts w:hint="eastAsia" w:ascii="Times New Roman" w:hAnsi="Times New Roman" w:eastAsia="仿宋_GB2312" w:cs="Times New Roman"/>
          <w:sz w:val="32"/>
          <w:szCs w:val="32"/>
          <w:lang w:eastAsia="zh-CN"/>
        </w:rPr>
        <w:t>试验</w:t>
      </w:r>
      <w:r>
        <w:rPr>
          <w:rFonts w:hint="default" w:ascii="Times New Roman" w:hAnsi="Times New Roman" w:eastAsia="仿宋_GB2312" w:cs="Times New Roman"/>
          <w:sz w:val="32"/>
          <w:szCs w:val="32"/>
        </w:rPr>
        <w:t>结果，也可以提交加速老化</w:t>
      </w:r>
      <w:r>
        <w:rPr>
          <w:rFonts w:hint="eastAsia" w:ascii="Times New Roman" w:hAnsi="Times New Roman" w:eastAsia="仿宋_GB2312" w:cs="Times New Roman"/>
          <w:sz w:val="32"/>
          <w:szCs w:val="32"/>
          <w:lang w:eastAsia="zh-CN"/>
        </w:rPr>
        <w:t>试验</w:t>
      </w:r>
      <w:r>
        <w:rPr>
          <w:rFonts w:hint="default" w:ascii="Times New Roman" w:hAnsi="Times New Roman" w:eastAsia="仿宋_GB2312" w:cs="Times New Roman"/>
          <w:sz w:val="32"/>
          <w:szCs w:val="32"/>
        </w:rPr>
        <w:t>结果。加速老化可按YY/T 0681.1要求提交产品及包装的效期验证方案及报告，其中“室温或环境温度（T</w:t>
      </w:r>
      <w:r>
        <w:rPr>
          <w:rFonts w:hint="default" w:ascii="Times New Roman" w:hAnsi="Times New Roman" w:eastAsia="仿宋_GB2312" w:cs="Times New Roman"/>
          <w:sz w:val="32"/>
          <w:szCs w:val="32"/>
          <w:vertAlign w:val="subscript"/>
        </w:rPr>
        <w:t>RT</w:t>
      </w:r>
      <w:r>
        <w:rPr>
          <w:rFonts w:hint="default" w:ascii="Times New Roman" w:hAnsi="Times New Roman" w:eastAsia="仿宋_GB2312" w:cs="Times New Roman"/>
          <w:sz w:val="32"/>
          <w:szCs w:val="32"/>
        </w:rPr>
        <w:t>）”应选择能代表实际产品储存和使用条件的温度，建议申请人采用保守值设计。有效期验证方案中应设定验证项目、验证方法及判定标准。验证项目包括产品自身性能验证和包装系统性能验证两方面。</w:t>
      </w:r>
    </w:p>
    <w:p w14:paraId="5845FBCC">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7.2</w:t>
      </w:r>
      <w:r>
        <w:rPr>
          <w:rFonts w:hint="default" w:ascii="Times New Roman" w:hAnsi="Times New Roman" w:eastAsia="仿宋_GB2312" w:cs="Times New Roman"/>
          <w:sz w:val="32"/>
          <w:szCs w:val="32"/>
          <w:lang w:eastAsia="zh-CN"/>
        </w:rPr>
        <w:t>运输稳定性</w:t>
      </w:r>
    </w:p>
    <w:p w14:paraId="4E81BD56">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在宣称的有效期内以及运输（例如：震动、振动、温度和湿度的波动）储存条件下，提供保持包装完整性的依据。企业需提交产品包装验证和运输验证资料。</w:t>
      </w:r>
    </w:p>
    <w:p w14:paraId="1F010809">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产品包装验证可依据有关标准进行（可参考YY/T 0681、GB/T 19633、GB/T 4857等系列标准），提交产品的包装验证报告。包装材料的选择应考虑以下因素：包装材料的物理化学性能；包装材料所能提供的物理、化学和微生物屏障保护；包装材料与成型和密封过程的适应性；包装材料与产品的适应性；包装材料与标签系统的适应性；包装材料与贮存运输过程的适合性；包装有效期。包装验证的资料内容应与包装说明中给出的信息相符。</w:t>
      </w:r>
    </w:p>
    <w:p w14:paraId="15D0848C">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提供运输稳定性研究资料，证明在生产企业规定的运输条件下，运输过程中的环境条件（例如：震动、振动、温度和湿度的波动）不会对医疗器械的特性和性能，包括完整性和清洁度，造成不利影响。</w:t>
      </w:r>
    </w:p>
    <w:p w14:paraId="710FE206">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.其他资料</w:t>
      </w:r>
    </w:p>
    <w:p w14:paraId="53111C94">
      <w:pPr>
        <w:pageBreakBefore w:val="0"/>
        <w:kinsoku/>
        <w:wordWrap/>
        <w:topLinePunct w:val="0"/>
        <w:bidi w:val="0"/>
        <w:snapToGrid/>
        <w:spacing w:line="520" w:lineRule="exact"/>
        <w:ind w:firstLine="640" w:firstLineChars="200"/>
        <w:textAlignment w:val="auto"/>
        <w:outlineLvl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产品已列入《免于进行临床评价医疗器械目录》，豁免情况不包括新材料、新作用机理、新功能的产品。对于符合《免于进行临床评价医疗器械目录》表述的产品，注册申请人需提交申报产品相关信息与《免于进行临床评价医疗器械目录》所述内容的对比资料以及申报产品与已获准境内注册的《免于进行临床评价医疗器械目录》中医疗器械的对比表，具体提交资料的要求可参照《列入免于临床评价医疗器械目录产品对比说明技术指导原则》。</w:t>
      </w:r>
    </w:p>
    <w:p w14:paraId="5C2160CF">
      <w:pPr>
        <w:pageBreakBefore w:val="0"/>
        <w:kinsoku/>
        <w:wordWrap/>
        <w:topLinePunct w:val="0"/>
        <w:bidi w:val="0"/>
        <w:snapToGrid/>
        <w:spacing w:line="520" w:lineRule="exact"/>
        <w:ind w:right="-67" w:rightChars="-32" w:firstLine="640" w:firstLineChars="200"/>
        <w:textAlignment w:val="auto"/>
        <w:outlineLvl w:val="2"/>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eastAsia="zh-CN"/>
        </w:rPr>
        <w:t>四</w:t>
      </w:r>
      <w:r>
        <w:rPr>
          <w:rFonts w:hint="default" w:ascii="Times New Roman" w:hAnsi="Times New Roman" w:eastAsia="楷体_GB2312" w:cs="Times New Roman"/>
          <w:color w:val="000000"/>
          <w:sz w:val="32"/>
          <w:szCs w:val="32"/>
        </w:rPr>
        <w:t>）临床评价资料</w:t>
      </w:r>
    </w:p>
    <w:p w14:paraId="07E6E59F">
      <w:pPr>
        <w:pageBreakBefore w:val="0"/>
        <w:kinsoku/>
        <w:wordWrap/>
        <w:topLinePunct w:val="0"/>
        <w:bidi w:val="0"/>
        <w:snapToGrid/>
        <w:spacing w:line="520" w:lineRule="exact"/>
        <w:ind w:right="-67" w:rightChars="-32" w:firstLine="640" w:firstLineChars="200"/>
        <w:textAlignment w:val="auto"/>
        <w:outlineLvl w:val="2"/>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该产品列入《免于进行临床评价医疗器械目录》，申请人无需提交临床评价资料。</w:t>
      </w:r>
    </w:p>
    <w:p w14:paraId="725F058B">
      <w:pPr>
        <w:pageBreakBefore w:val="0"/>
        <w:kinsoku/>
        <w:wordWrap/>
        <w:topLinePunct w:val="0"/>
        <w:bidi w:val="0"/>
        <w:snapToGrid/>
        <w:spacing w:line="520" w:lineRule="exact"/>
        <w:ind w:right="-67" w:rightChars="-32" w:firstLine="640" w:firstLineChars="200"/>
        <w:textAlignment w:val="auto"/>
        <w:outlineLvl w:val="2"/>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该产品不在《免于进行临床评价医疗器械目录》的产品描述范围之内，或不能证明与已获准境内注册的产品具有基本等同性，应按相关指导原则进行临床评价。</w:t>
      </w:r>
    </w:p>
    <w:p w14:paraId="66803160">
      <w:pPr>
        <w:pageBreakBefore w:val="0"/>
        <w:kinsoku/>
        <w:wordWrap/>
        <w:topLinePunct w:val="0"/>
        <w:bidi w:val="0"/>
        <w:snapToGrid/>
        <w:spacing w:line="520" w:lineRule="exact"/>
        <w:ind w:right="-67" w:rightChars="-32" w:firstLine="640" w:firstLineChars="200"/>
        <w:textAlignment w:val="auto"/>
        <w:outlineLvl w:val="2"/>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eastAsia="zh-CN"/>
        </w:rPr>
        <w:t>五</w:t>
      </w:r>
      <w:r>
        <w:rPr>
          <w:rFonts w:hint="default" w:ascii="Times New Roman" w:hAnsi="Times New Roman" w:eastAsia="楷体_GB2312" w:cs="Times New Roman"/>
          <w:color w:val="000000"/>
          <w:sz w:val="32"/>
          <w:szCs w:val="32"/>
        </w:rPr>
        <w:t>）产品说明书和标签样稿</w:t>
      </w:r>
    </w:p>
    <w:p w14:paraId="5A301AA0">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产品说明书和标签的内容应符合《医疗器械说明书和标签管理规定》和YY/T 0466.1的要求。</w:t>
      </w:r>
    </w:p>
    <w:p w14:paraId="26533D48">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说明书中应明确产品的性能结构及组成、适用范围、禁忌、注意事项、警示性及提示性说明。</w:t>
      </w:r>
    </w:p>
    <w:p w14:paraId="683483F1">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产品说明书应包括以下内容（不限于此）：</w:t>
      </w:r>
    </w:p>
    <w:p w14:paraId="674E48DE">
      <w:pPr>
        <w:pageBreakBefore w:val="0"/>
        <w:kinsoku/>
        <w:wordWrap/>
        <w:topLinePunct w:val="0"/>
        <w:bidi w:val="0"/>
        <w:snapToGrid/>
        <w:spacing w:line="52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.应提示对产品材料过敏者禁用</w:t>
      </w:r>
      <w:r>
        <w:rPr>
          <w:rFonts w:hint="eastAsia" w:ascii="Times New Roman" w:hAnsi="Times New Roman" w:eastAsia="仿宋_GB2312" w:cs="Times New Roman"/>
          <w:sz w:val="32"/>
          <w:szCs w:val="32"/>
          <w:lang w:eastAsia="zh-CN"/>
        </w:rPr>
        <w:t>。</w:t>
      </w:r>
    </w:p>
    <w:p w14:paraId="6CA34D04">
      <w:pPr>
        <w:pageBreakBefore w:val="0"/>
        <w:kinsoku/>
        <w:wordWrap/>
        <w:topLinePunct w:val="0"/>
        <w:bidi w:val="0"/>
        <w:snapToGrid/>
        <w:spacing w:line="52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.应提示一次性使用，用后销毁，包装如有破损，严禁使用</w:t>
      </w:r>
      <w:r>
        <w:rPr>
          <w:rFonts w:hint="eastAsia" w:ascii="Times New Roman" w:hAnsi="Times New Roman" w:eastAsia="仿宋_GB2312" w:cs="Times New Roman"/>
          <w:sz w:val="32"/>
          <w:szCs w:val="32"/>
          <w:lang w:eastAsia="zh-CN"/>
        </w:rPr>
        <w:t>。</w:t>
      </w:r>
    </w:p>
    <w:p w14:paraId="481B107D">
      <w:pPr>
        <w:pageBreakBefore w:val="0"/>
        <w:kinsoku/>
        <w:wordWrap/>
        <w:topLinePunct w:val="0"/>
        <w:bidi w:val="0"/>
        <w:snapToGrid/>
        <w:spacing w:line="520" w:lineRule="exact"/>
        <w:ind w:firstLine="640" w:firstLineChars="200"/>
        <w:textAlignment w:val="auto"/>
        <w:rPr>
          <w:rFonts w:hint="eastAsia" w:ascii="Times New Roman" w:hAnsi="Times New Roman" w:eastAsia="仿宋_GB2312" w:cs="Times New Roman"/>
          <w:sz w:val="32"/>
          <w:szCs w:val="28"/>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.应提示灭菌方式</w:t>
      </w:r>
      <w:r>
        <w:rPr>
          <w:rFonts w:hint="default" w:ascii="Times New Roman" w:hAnsi="Times New Roman" w:eastAsia="仿宋_GB2312" w:cs="Times New Roman"/>
          <w:sz w:val="32"/>
          <w:szCs w:val="28"/>
        </w:rPr>
        <w:t>、“无菌”字样或符号等</w:t>
      </w:r>
      <w:r>
        <w:rPr>
          <w:rFonts w:hint="eastAsia" w:ascii="Times New Roman" w:hAnsi="Times New Roman" w:eastAsia="仿宋_GB2312" w:cs="Times New Roman"/>
          <w:sz w:val="32"/>
          <w:szCs w:val="28"/>
          <w:lang w:val="en-US" w:eastAsia="zh-CN"/>
        </w:rPr>
        <w:t>。</w:t>
      </w:r>
    </w:p>
    <w:p w14:paraId="1B79FCFE">
      <w:pPr>
        <w:pageBreakBefore w:val="0"/>
        <w:kinsoku/>
        <w:wordWrap/>
        <w:topLinePunct w:val="0"/>
        <w:bidi w:val="0"/>
        <w:snapToGrid/>
        <w:spacing w:line="52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28"/>
          <w:lang w:val="en-US" w:eastAsia="zh-CN"/>
        </w:rPr>
        <w:t>4.使用前检查包装是否完好，</w:t>
      </w:r>
      <w:r>
        <w:rPr>
          <w:rFonts w:hint="default" w:ascii="Times New Roman" w:hAnsi="Times New Roman" w:eastAsia="仿宋_GB2312" w:cs="Times New Roman"/>
          <w:sz w:val="32"/>
          <w:szCs w:val="28"/>
        </w:rPr>
        <w:t>如有破损，</w:t>
      </w:r>
      <w:r>
        <w:rPr>
          <w:rFonts w:hint="default" w:ascii="Times New Roman" w:hAnsi="Times New Roman" w:eastAsia="仿宋_GB2312" w:cs="Times New Roman"/>
          <w:sz w:val="32"/>
          <w:szCs w:val="28"/>
          <w:lang w:eastAsia="zh-CN"/>
        </w:rPr>
        <w:t>禁止</w:t>
      </w:r>
      <w:r>
        <w:rPr>
          <w:rFonts w:hint="default" w:ascii="Times New Roman" w:hAnsi="Times New Roman" w:eastAsia="仿宋_GB2312" w:cs="Times New Roman"/>
          <w:sz w:val="32"/>
          <w:szCs w:val="28"/>
        </w:rPr>
        <w:t>使用</w:t>
      </w:r>
      <w:r>
        <w:rPr>
          <w:rFonts w:hint="eastAsia" w:ascii="Times New Roman" w:hAnsi="Times New Roman" w:eastAsia="仿宋_GB2312" w:cs="Times New Roman"/>
          <w:sz w:val="32"/>
          <w:szCs w:val="28"/>
          <w:lang w:eastAsia="zh-CN"/>
        </w:rPr>
        <w:t>。</w:t>
      </w:r>
    </w:p>
    <w:p w14:paraId="3CD93DC6">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.产品使用后，应按照《医疗废物管理条例》的要求处理。</w:t>
      </w:r>
    </w:p>
    <w:p w14:paraId="27FF7F1C">
      <w:pPr>
        <w:pageBreakBefore w:val="0"/>
        <w:kinsoku/>
        <w:wordWrap/>
        <w:topLinePunct w:val="0"/>
        <w:bidi w:val="0"/>
        <w:snapToGrid/>
        <w:spacing w:line="520"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rPr>
        <w:t>6</w:t>
      </w:r>
      <w:r>
        <w:rPr>
          <w:rFonts w:hint="default" w:ascii="Times New Roman" w:hAnsi="Times New Roman" w:eastAsia="仿宋_GB2312" w:cs="Times New Roman"/>
          <w:kern w:val="2"/>
          <w:sz w:val="32"/>
          <w:szCs w:val="32"/>
        </w:rPr>
        <w:t>.产品需由经过培训的专业医务人员在临床环境下使用。</w:t>
      </w:r>
    </w:p>
    <w:p w14:paraId="7DD2D856">
      <w:pPr>
        <w:pStyle w:val="2"/>
        <w:pageBreakBefore w:val="0"/>
        <w:kinsoku/>
        <w:wordWrap/>
        <w:topLinePunct w:val="0"/>
        <w:bidi w:val="0"/>
        <w:snapToGrid/>
        <w:spacing w:line="520" w:lineRule="exact"/>
        <w:textAlignment w:val="auto"/>
        <w:rPr>
          <w:rFonts w:hint="default" w:ascii="Times New Roman" w:hAnsi="Times New Roman" w:eastAsia="仿宋_GB2312" w:cs="Times New Roman"/>
          <w:color w:val="auto"/>
          <w:lang w:val="en-US" w:eastAsia="zh-CN"/>
        </w:rPr>
      </w:pPr>
      <w:r>
        <w:rPr>
          <w:rFonts w:hint="default" w:ascii="Times New Roman" w:hAnsi="Times New Roman" w:cs="Times New Roman"/>
          <w:kern w:val="2"/>
          <w:sz w:val="32"/>
          <w:szCs w:val="32"/>
          <w:lang w:val="en-US" w:eastAsia="zh-CN"/>
        </w:rPr>
        <w:t>7.带折断点拭子折断时应避免尖锐断面划伤</w:t>
      </w:r>
      <w:r>
        <w:rPr>
          <w:rFonts w:hint="default" w:ascii="Times New Roman" w:hAnsi="Times New Roman" w:cs="Times New Roman"/>
          <w:color w:val="auto"/>
          <w:kern w:val="2"/>
          <w:sz w:val="32"/>
          <w:szCs w:val="32"/>
          <w:lang w:val="en-US" w:eastAsia="zh-CN"/>
        </w:rPr>
        <w:t>。</w:t>
      </w:r>
    </w:p>
    <w:p w14:paraId="6D56657B">
      <w:pPr>
        <w:pStyle w:val="2"/>
        <w:pageBreakBefore w:val="0"/>
        <w:kinsoku/>
        <w:wordWrap/>
        <w:topLinePunct w:val="0"/>
        <w:bidi w:val="0"/>
        <w:snapToGrid/>
        <w:spacing w:line="520" w:lineRule="exact"/>
        <w:textAlignment w:val="auto"/>
        <w:rPr>
          <w:rFonts w:hint="default" w:ascii="Times New Roman" w:hAnsi="Times New Roman" w:eastAsia="仿宋_GB2312" w:cs="Times New Roman"/>
          <w:color w:val="auto"/>
          <w:lang w:eastAsia="zh-CN"/>
        </w:rPr>
      </w:pPr>
      <w:r>
        <w:rPr>
          <w:rFonts w:hint="default" w:ascii="Times New Roman" w:hAnsi="Times New Roman" w:cs="Times New Roman"/>
          <w:color w:val="auto"/>
          <w:lang w:val="en-US" w:eastAsia="zh-CN"/>
        </w:rPr>
        <w:t>8</w:t>
      </w:r>
      <w:r>
        <w:rPr>
          <w:rFonts w:hint="default" w:ascii="Times New Roman" w:hAnsi="Times New Roman" w:cs="Times New Roman"/>
          <w:color w:val="auto"/>
        </w:rPr>
        <w:t>.拭杆在使用过程可能折断，应提示在插入人体取样时不能用力过大，以免</w:t>
      </w:r>
      <w:r>
        <w:rPr>
          <w:rFonts w:hint="eastAsia" w:cs="Times New Roman"/>
          <w:color w:val="auto"/>
          <w:lang w:eastAsia="zh-CN"/>
        </w:rPr>
        <w:t>拭杆</w:t>
      </w:r>
      <w:r>
        <w:rPr>
          <w:rFonts w:hint="default" w:ascii="Times New Roman" w:hAnsi="Times New Roman" w:cs="Times New Roman"/>
          <w:color w:val="auto"/>
        </w:rPr>
        <w:t>断裂刺破皮肤或其他对患者造成的危害。</w:t>
      </w:r>
    </w:p>
    <w:p w14:paraId="3C7C0160">
      <w:pPr>
        <w:pageBreakBefore w:val="0"/>
        <w:kinsoku/>
        <w:wordWrap/>
        <w:topLinePunct w:val="0"/>
        <w:bidi w:val="0"/>
        <w:snapToGrid/>
        <w:spacing w:line="520" w:lineRule="exact"/>
        <w:ind w:left="640" w:right="-67" w:rightChars="-32"/>
        <w:textAlignment w:val="auto"/>
        <w:outlineLvl w:val="2"/>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eastAsia="zh-CN"/>
        </w:rPr>
        <w:t>六</w:t>
      </w:r>
      <w:r>
        <w:rPr>
          <w:rFonts w:hint="default" w:ascii="Times New Roman" w:hAnsi="Times New Roman" w:eastAsia="楷体_GB2312" w:cs="Times New Roman"/>
          <w:color w:val="000000"/>
          <w:sz w:val="32"/>
          <w:szCs w:val="32"/>
        </w:rPr>
        <w:t>）质量管理体系文件</w:t>
      </w:r>
    </w:p>
    <w:p w14:paraId="2F16B86E">
      <w:pPr>
        <w:pStyle w:val="3"/>
        <w:pageBreakBefore w:val="0"/>
        <w:kinsoku/>
        <w:wordWrap/>
        <w:topLinePunct w:val="0"/>
        <w:bidi w:val="0"/>
        <w:snapToGrid/>
        <w:spacing w:line="520" w:lineRule="exact"/>
        <w:ind w:left="0" w:leftChars="0" w:firstLine="640" w:firstLineChars="200"/>
        <w:textAlignment w:val="auto"/>
        <w:rPr>
          <w:rFonts w:hint="default" w:ascii="Times New Roman" w:hAnsi="Times New Roman" w:eastAsia="仿宋_GB2312" w:cs="Times New Roman"/>
          <w:bCs w:val="0"/>
          <w:kern w:val="2"/>
          <w:szCs w:val="32"/>
        </w:rPr>
      </w:pPr>
      <w:r>
        <w:rPr>
          <w:rFonts w:hint="default" w:ascii="Times New Roman" w:hAnsi="Times New Roman" w:eastAsia="仿宋_GB2312" w:cs="Times New Roman"/>
          <w:bCs w:val="0"/>
          <w:kern w:val="2"/>
          <w:szCs w:val="32"/>
        </w:rPr>
        <w:t>根据《医疗器械注册申报资料要求及说明》六、质量管理体系文件要求提交资料。</w:t>
      </w:r>
    </w:p>
    <w:p w14:paraId="76EF69BC">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三、参考文献</w:t>
      </w:r>
    </w:p>
    <w:p w14:paraId="1A8118F5">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
        </w:rPr>
        <w:t>中华人民共和国</w:t>
      </w:r>
      <w:r>
        <w:rPr>
          <w:rFonts w:hint="default" w:ascii="Times New Roman" w:hAnsi="Times New Roman" w:eastAsia="仿宋_GB2312" w:cs="Times New Roman"/>
          <w:sz w:val="32"/>
          <w:szCs w:val="32"/>
        </w:rPr>
        <w:t>国务院</w:t>
      </w:r>
      <w:r>
        <w:rPr>
          <w:rFonts w:hint="default" w:ascii="Times New Roman" w:hAnsi="Times New Roman" w:eastAsia="仿宋_GB2312" w:cs="Times New Roman"/>
          <w:sz w:val="32"/>
          <w:szCs w:val="32"/>
          <w:lang w:val="en"/>
        </w:rPr>
        <w:t>.</w:t>
      </w:r>
      <w:r>
        <w:rPr>
          <w:rFonts w:hint="default" w:ascii="Times New Roman" w:hAnsi="Times New Roman" w:eastAsia="仿宋_GB2312" w:cs="Times New Roman"/>
          <w:sz w:val="32"/>
          <w:szCs w:val="32"/>
        </w:rPr>
        <w:t>医疗器械监督管理条例:</w:t>
      </w:r>
      <w:r>
        <w:rPr>
          <w:rFonts w:hint="default" w:ascii="Times New Roman" w:hAnsi="Times New Roman" w:eastAsia="仿宋_GB2312" w:cs="Times New Roman"/>
          <w:sz w:val="32"/>
          <w:szCs w:val="32"/>
          <w:lang w:val="en"/>
        </w:rPr>
        <w:t>中华人民共和国国务院令第739号</w:t>
      </w:r>
      <w:r>
        <w:rPr>
          <w:rFonts w:hint="default" w:ascii="Times New Roman" w:hAnsi="Times New Roman" w:eastAsia="仿宋_GB2312" w:cs="Times New Roman"/>
          <w:sz w:val="32"/>
          <w:szCs w:val="32"/>
        </w:rPr>
        <w:t>[Z].</w:t>
      </w:r>
    </w:p>
    <w:p w14:paraId="5C712EC6">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国家市场监督管理总局.医疗器械注册与备案管理办法:国家市场监督管理总局令第47号[Z].</w:t>
      </w:r>
    </w:p>
    <w:p w14:paraId="702119B5">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国家食品药品监督管理总局.</w:t>
      </w:r>
      <w:r>
        <w:rPr>
          <w:rFonts w:hint="default" w:ascii="Times New Roman" w:hAnsi="Times New Roman" w:eastAsia="仿宋_GB2312" w:cs="Times New Roman"/>
          <w:sz w:val="32"/>
          <w:szCs w:val="32"/>
        </w:rPr>
        <w:t>医疗器械说明书和标签管理规定:国家食品药品监督管理总局令第6号[Z].</w:t>
      </w:r>
    </w:p>
    <w:p w14:paraId="7760091D">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国家药品监督管理局.医疗器械注册申报资料要求及说明:</w:t>
      </w:r>
      <w:r>
        <w:rPr>
          <w:rFonts w:hint="default" w:ascii="Times New Roman" w:hAnsi="Times New Roman" w:eastAsia="仿宋_GB2312" w:cs="Times New Roman"/>
          <w:color w:val="000000"/>
          <w:sz w:val="32"/>
          <w:szCs w:val="32"/>
        </w:rPr>
        <w:t>国家药监局公告2021年第121号</w:t>
      </w:r>
      <w:r>
        <w:rPr>
          <w:rFonts w:hint="default" w:ascii="Times New Roman" w:hAnsi="Times New Roman" w:eastAsia="仿宋_GB2312" w:cs="Times New Roman"/>
          <w:sz w:val="32"/>
          <w:szCs w:val="32"/>
        </w:rPr>
        <w:t>[Z].</w:t>
      </w:r>
    </w:p>
    <w:p w14:paraId="24D64C49">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
        </w:rPr>
        <w:t>国家食品药品监督管理总局</w:t>
      </w:r>
      <w:r>
        <w:rPr>
          <w:rFonts w:hint="default" w:ascii="Times New Roman" w:hAnsi="Times New Roman" w:eastAsia="仿宋_GB2312" w:cs="Times New Roman"/>
          <w:sz w:val="32"/>
          <w:szCs w:val="32"/>
        </w:rPr>
        <w:t>.医疗器械分类目录:</w:t>
      </w:r>
      <w:r>
        <w:rPr>
          <w:rFonts w:hint="default" w:ascii="Times New Roman" w:hAnsi="Times New Roman" w:eastAsia="仿宋_GB2312" w:cs="Times New Roman"/>
          <w:sz w:val="32"/>
          <w:szCs w:val="32"/>
          <w:lang w:val="en"/>
        </w:rPr>
        <w:t>国家食品药品监督管理总局公告2017年第104号</w:t>
      </w:r>
      <w:r>
        <w:rPr>
          <w:rFonts w:hint="default" w:ascii="Times New Roman" w:hAnsi="Times New Roman" w:eastAsia="仿宋_GB2312" w:cs="Times New Roman"/>
          <w:sz w:val="32"/>
          <w:szCs w:val="32"/>
        </w:rPr>
        <w:t>[Z].</w:t>
      </w:r>
    </w:p>
    <w:p w14:paraId="57674BD4">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
        </w:rPr>
        <w:t>国家食品药品监督管理总局</w:t>
      </w:r>
      <w:r>
        <w:rPr>
          <w:rFonts w:hint="default" w:ascii="Times New Roman" w:hAnsi="Times New Roman" w:eastAsia="仿宋_GB2312" w:cs="Times New Roman"/>
          <w:sz w:val="32"/>
          <w:szCs w:val="32"/>
        </w:rPr>
        <w:t>.医疗器械注册单元划分指导原则:</w:t>
      </w:r>
      <w:r>
        <w:rPr>
          <w:rFonts w:hint="default" w:ascii="Times New Roman" w:hAnsi="Times New Roman" w:eastAsia="仿宋_GB2312" w:cs="Times New Roman"/>
          <w:sz w:val="32"/>
          <w:szCs w:val="32"/>
          <w:lang w:val="en"/>
        </w:rPr>
        <w:t>国家食品药品监督管理总局</w:t>
      </w:r>
      <w:r>
        <w:rPr>
          <w:rFonts w:hint="default" w:ascii="Times New Roman" w:hAnsi="Times New Roman" w:eastAsia="仿宋_GB2312" w:cs="Times New Roman"/>
          <w:sz w:val="32"/>
          <w:szCs w:val="32"/>
        </w:rPr>
        <w:t>通</w:t>
      </w:r>
      <w:r>
        <w:rPr>
          <w:rFonts w:hint="default" w:ascii="Times New Roman" w:hAnsi="Times New Roman" w:eastAsia="仿宋_GB2312" w:cs="Times New Roman"/>
          <w:sz w:val="32"/>
          <w:szCs w:val="32"/>
          <w:lang w:val="en"/>
        </w:rPr>
        <w:t>告2017年第187号</w:t>
      </w:r>
      <w:r>
        <w:rPr>
          <w:rFonts w:hint="default" w:ascii="Times New Roman" w:hAnsi="Times New Roman" w:eastAsia="仿宋_GB2312" w:cs="Times New Roman"/>
          <w:sz w:val="32"/>
          <w:szCs w:val="32"/>
        </w:rPr>
        <w:t>[Z].</w:t>
      </w:r>
    </w:p>
    <w:p w14:paraId="275DAAEE">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28"/>
        </w:rPr>
        <w:t>国家食品药品监督管理总局</w:t>
      </w:r>
      <w:r>
        <w:rPr>
          <w:rFonts w:hint="default" w:ascii="Times New Roman" w:hAnsi="Times New Roman" w:eastAsia="仿宋_GB2312" w:cs="Times New Roman"/>
          <w:sz w:val="32"/>
          <w:szCs w:val="32"/>
        </w:rPr>
        <w:t>.医疗器械通用名称命名规则:</w:t>
      </w:r>
      <w:r>
        <w:rPr>
          <w:rFonts w:hint="default" w:ascii="Times New Roman" w:hAnsi="Times New Roman" w:eastAsia="仿宋_GB2312" w:cs="Times New Roman"/>
          <w:sz w:val="32"/>
          <w:szCs w:val="28"/>
        </w:rPr>
        <w:t>国家食品药品监督管理总局令第19号</w:t>
      </w:r>
      <w:r>
        <w:rPr>
          <w:rFonts w:hint="default" w:ascii="Times New Roman" w:hAnsi="Times New Roman" w:eastAsia="仿宋_GB2312" w:cs="Times New Roman"/>
          <w:sz w:val="32"/>
          <w:szCs w:val="32"/>
        </w:rPr>
        <w:t>[Z].</w:t>
      </w:r>
    </w:p>
    <w:p w14:paraId="3F256DF1">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w:t>
      </w:r>
      <w:bookmarkStart w:id="0" w:name="OLE_LINK39"/>
      <w:r>
        <w:rPr>
          <w:rFonts w:hint="default" w:ascii="Times New Roman" w:hAnsi="Times New Roman" w:eastAsia="仿宋_GB2312" w:cs="Times New Roman"/>
          <w:sz w:val="32"/>
          <w:szCs w:val="32"/>
        </w:rPr>
        <w:t>免于进行临床评价医疗器械目录</w:t>
      </w:r>
      <w:bookmarkEnd w:id="0"/>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
        </w:rPr>
        <w:t>国家药监局通告2025年第19号</w:t>
      </w:r>
      <w:r>
        <w:rPr>
          <w:rFonts w:hint="default" w:ascii="Times New Roman" w:hAnsi="Times New Roman" w:eastAsia="仿宋_GB2312" w:cs="Times New Roman"/>
          <w:sz w:val="32"/>
          <w:szCs w:val="32"/>
        </w:rPr>
        <w:t>[Z].</w:t>
      </w:r>
    </w:p>
    <w:p w14:paraId="56B0E099">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国家药品监督管理局.医疗器械产品技术要求编写指导原则:国家药监局公告2022年第8号[Z].</w:t>
      </w:r>
    </w:p>
    <w:p w14:paraId="6662D0F2">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w:t>
      </w:r>
      <w:r>
        <w:rPr>
          <w:rFonts w:hint="default" w:ascii="Times New Roman" w:hAnsi="Times New Roman" w:eastAsia="仿宋_GB2312" w:cs="Times New Roman"/>
          <w:bCs/>
          <w:color w:val="000000"/>
          <w:sz w:val="32"/>
          <w:szCs w:val="32"/>
        </w:rPr>
        <w:t>临床检验器械通用名称命名指导原则:国家药监局通告2022年第26号</w:t>
      </w:r>
      <w:r>
        <w:rPr>
          <w:rFonts w:hint="default" w:ascii="Times New Roman" w:hAnsi="Times New Roman" w:eastAsia="仿宋_GB2312" w:cs="Times New Roman"/>
          <w:sz w:val="32"/>
          <w:szCs w:val="32"/>
        </w:rPr>
        <w:t>[Z].</w:t>
      </w:r>
    </w:p>
    <w:p w14:paraId="0A4BC5AE">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国家食品药品监督管理局.医疗器械生物学评价和审查指南:国食药监械〔2007〕345号[Z].</w:t>
      </w:r>
    </w:p>
    <w:p w14:paraId="3691E8B5">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国家药品监督管理局.医疗器械动物试验研究注册审查指导原则</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第一部分：决策原则</w:t>
      </w:r>
      <w:r>
        <w:rPr>
          <w:rFonts w:hint="default" w:ascii="Times New Roman" w:hAnsi="Times New Roman" w:eastAsia="仿宋_GB2312" w:cs="Times New Roman"/>
          <w:bCs/>
          <w:color w:val="000000"/>
          <w:sz w:val="32"/>
          <w:szCs w:val="32"/>
        </w:rPr>
        <w:t>:国家药监局通告2021年第75号</w:t>
      </w:r>
      <w:r>
        <w:rPr>
          <w:rFonts w:hint="default" w:ascii="Times New Roman" w:hAnsi="Times New Roman" w:eastAsia="仿宋_GB2312" w:cs="Times New Roman"/>
          <w:sz w:val="32"/>
          <w:szCs w:val="32"/>
        </w:rPr>
        <w:t>[Z].</w:t>
      </w:r>
    </w:p>
    <w:p w14:paraId="02F038A7">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国家药品监督管理局.医疗器械动物试验研究注册审查指导原则</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第二部分：试验设计、实施质量保证</w:t>
      </w:r>
      <w:r>
        <w:rPr>
          <w:rFonts w:hint="default" w:ascii="Times New Roman" w:hAnsi="Times New Roman" w:eastAsia="仿宋_GB2312" w:cs="Times New Roman"/>
          <w:bCs/>
          <w:color w:val="000000"/>
          <w:sz w:val="32"/>
          <w:szCs w:val="32"/>
        </w:rPr>
        <w:t>:国家药监局通告2021年第75号</w:t>
      </w:r>
      <w:r>
        <w:rPr>
          <w:rFonts w:hint="default" w:ascii="Times New Roman" w:hAnsi="Times New Roman" w:eastAsia="仿宋_GB2312" w:cs="Times New Roman"/>
          <w:sz w:val="32"/>
          <w:szCs w:val="32"/>
        </w:rPr>
        <w:t>[Z].</w:t>
      </w:r>
    </w:p>
    <w:p w14:paraId="66B730EC">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国家药品监督管理局.医疗器械临床评价技术指导原则</w:t>
      </w:r>
      <w:r>
        <w:rPr>
          <w:rFonts w:hint="default" w:ascii="Times New Roman" w:hAnsi="Times New Roman" w:eastAsia="仿宋_GB2312" w:cs="Times New Roman"/>
          <w:bCs/>
          <w:color w:val="000000"/>
          <w:sz w:val="32"/>
          <w:szCs w:val="32"/>
        </w:rPr>
        <w:t>:国家药监局通告2021年第73号</w:t>
      </w:r>
      <w:r>
        <w:rPr>
          <w:rFonts w:hint="default" w:ascii="Times New Roman" w:hAnsi="Times New Roman" w:eastAsia="仿宋_GB2312" w:cs="Times New Roman"/>
          <w:sz w:val="32"/>
          <w:szCs w:val="32"/>
        </w:rPr>
        <w:t>[Z].</w:t>
      </w:r>
    </w:p>
    <w:p w14:paraId="6BDD8A09">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国家药品监督管理局.决策是否开展医疗器械临床试验技术指导原则</w:t>
      </w:r>
      <w:r>
        <w:rPr>
          <w:rFonts w:hint="default" w:ascii="Times New Roman" w:hAnsi="Times New Roman" w:eastAsia="仿宋_GB2312" w:cs="Times New Roman"/>
          <w:bCs/>
          <w:color w:val="000000"/>
          <w:sz w:val="32"/>
          <w:szCs w:val="32"/>
        </w:rPr>
        <w:t>:国家药监局通告2021年第73号</w:t>
      </w:r>
      <w:r>
        <w:rPr>
          <w:rFonts w:hint="default" w:ascii="Times New Roman" w:hAnsi="Times New Roman" w:eastAsia="仿宋_GB2312" w:cs="Times New Roman"/>
          <w:sz w:val="32"/>
          <w:szCs w:val="32"/>
        </w:rPr>
        <w:t>[Z].</w:t>
      </w:r>
    </w:p>
    <w:p w14:paraId="14C53715">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国家药品监督管理局.医疗器械临床评价等同性论证技术指导原则</w:t>
      </w:r>
      <w:r>
        <w:rPr>
          <w:rFonts w:hint="default" w:ascii="Times New Roman" w:hAnsi="Times New Roman" w:eastAsia="仿宋_GB2312" w:cs="Times New Roman"/>
          <w:bCs/>
          <w:color w:val="000000"/>
          <w:sz w:val="32"/>
          <w:szCs w:val="32"/>
        </w:rPr>
        <w:t>:国家药监局通告2021年第73号</w:t>
      </w:r>
      <w:r>
        <w:rPr>
          <w:rFonts w:hint="default" w:ascii="Times New Roman" w:hAnsi="Times New Roman" w:eastAsia="仿宋_GB2312" w:cs="Times New Roman"/>
          <w:sz w:val="32"/>
          <w:szCs w:val="32"/>
        </w:rPr>
        <w:t>[Z].</w:t>
      </w:r>
    </w:p>
    <w:p w14:paraId="193D2223">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国家药品监督管理局.医疗器械注册申报临床评价报告技术指导原则</w:t>
      </w:r>
      <w:r>
        <w:rPr>
          <w:rFonts w:hint="default" w:ascii="Times New Roman" w:hAnsi="Times New Roman" w:eastAsia="仿宋_GB2312" w:cs="Times New Roman"/>
          <w:bCs/>
          <w:color w:val="000000"/>
          <w:sz w:val="32"/>
          <w:szCs w:val="32"/>
        </w:rPr>
        <w:t>:国家药监局通告2021年第73号</w:t>
      </w:r>
      <w:r>
        <w:rPr>
          <w:rFonts w:hint="default" w:ascii="Times New Roman" w:hAnsi="Times New Roman" w:eastAsia="仿宋_GB2312" w:cs="Times New Roman"/>
          <w:sz w:val="32"/>
          <w:szCs w:val="32"/>
        </w:rPr>
        <w:t>[Z].</w:t>
      </w:r>
    </w:p>
    <w:p w14:paraId="4E487F36">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国家药品监督管理局.列入免于临床评价医疗器械目录产品对比说明技术指导原则</w:t>
      </w:r>
      <w:r>
        <w:rPr>
          <w:rFonts w:hint="default" w:ascii="Times New Roman" w:hAnsi="Times New Roman" w:eastAsia="仿宋_GB2312" w:cs="Times New Roman"/>
          <w:bCs/>
          <w:color w:val="000000"/>
          <w:sz w:val="32"/>
          <w:szCs w:val="32"/>
        </w:rPr>
        <w:t>:国家药监局通告2021年第73号</w:t>
      </w:r>
      <w:r>
        <w:rPr>
          <w:rFonts w:hint="default" w:ascii="Times New Roman" w:hAnsi="Times New Roman" w:eastAsia="仿宋_GB2312" w:cs="Times New Roman"/>
          <w:sz w:val="32"/>
          <w:szCs w:val="32"/>
        </w:rPr>
        <w:t>[Z].</w:t>
      </w:r>
    </w:p>
    <w:p w14:paraId="1B7522F5">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国家药品监督管理局医疗器械技术审评中心.医疗器械可用性工程注册审查指导原则:国家药监局器审中心通告2024年第13号[Z].</w:t>
      </w:r>
    </w:p>
    <w:p w14:paraId="0516CDE8">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4857,包装 运输包装件基本试验 系列标准[S].</w:t>
      </w:r>
    </w:p>
    <w:p w14:paraId="3FA92FA7">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14233,医用输液、输血、注射器具检验方法 系列标准[S].</w:t>
      </w:r>
    </w:p>
    <w:p w14:paraId="5103A49C">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16886,医疗器械生物学评价 系列标准[S].</w:t>
      </w:r>
    </w:p>
    <w:p w14:paraId="23B10784">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18278.1,医疗保健产品灭菌湿热第1部分：医疗器械灭菌过程的开发、确认和常规控制要求[S].</w:t>
      </w:r>
    </w:p>
    <w:p w14:paraId="37BB4F7A">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18279.1,</w:t>
      </w:r>
      <w:r>
        <w:rPr>
          <w:rFonts w:hint="eastAsia" w:ascii="Times New Roman" w:hAnsi="Times New Roman" w:eastAsia="仿宋_GB2312" w:cs="Times New Roman"/>
          <w:sz w:val="32"/>
          <w:szCs w:val="32"/>
          <w:lang w:eastAsia="zh-CN"/>
        </w:rPr>
        <w:t>医疗</w:t>
      </w:r>
      <w:r>
        <w:rPr>
          <w:rFonts w:hint="default" w:ascii="Times New Roman" w:hAnsi="Times New Roman" w:eastAsia="仿宋_GB2312" w:cs="Times New Roman"/>
          <w:sz w:val="32"/>
          <w:szCs w:val="32"/>
        </w:rPr>
        <w:t>保健产品灭菌环氧乙烷 第1部分：医疗器械灭菌过程的开发、确认和常规控制的要求[S].</w:t>
      </w:r>
    </w:p>
    <w:p w14:paraId="6F8C4DA9">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18280,医疗保健产品灭菌 辐射 系列标准[S].</w:t>
      </w:r>
    </w:p>
    <w:p w14:paraId="6E91E976">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bookmarkStart w:id="1" w:name="OLE_LINK38"/>
      <w:r>
        <w:rPr>
          <w:rFonts w:hint="default" w:ascii="Times New Roman" w:hAnsi="Times New Roman" w:eastAsia="仿宋_GB2312" w:cs="Times New Roman"/>
          <w:sz w:val="32"/>
          <w:szCs w:val="32"/>
        </w:rPr>
        <w:t>GB/T 19633,最终灭菌医</w:t>
      </w:r>
      <w:bookmarkEnd w:id="1"/>
      <w:r>
        <w:rPr>
          <w:rFonts w:hint="default" w:ascii="Times New Roman" w:hAnsi="Times New Roman" w:eastAsia="仿宋_GB2312" w:cs="Times New Roman"/>
          <w:sz w:val="32"/>
          <w:szCs w:val="32"/>
        </w:rPr>
        <w:t>疗器械包装 系列标准[S].</w:t>
      </w:r>
    </w:p>
    <w:p w14:paraId="181579D3">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42062,</w:t>
      </w:r>
      <w:bookmarkStart w:id="2" w:name="OLE_LINK36"/>
      <w:bookmarkStart w:id="3" w:name="OLE_LINK37"/>
      <w:r>
        <w:rPr>
          <w:rFonts w:hint="default" w:ascii="Times New Roman" w:hAnsi="Times New Roman" w:eastAsia="仿宋_GB2312" w:cs="Times New Roman"/>
          <w:sz w:val="32"/>
          <w:szCs w:val="32"/>
        </w:rPr>
        <w:t>医疗器械 风险管理对医疗器械的应用[S].</w:t>
      </w:r>
    </w:p>
    <w:bookmarkEnd w:id="2"/>
    <w:bookmarkEnd w:id="3"/>
    <w:p w14:paraId="70E61399">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YY/T</w:t>
      </w:r>
      <w:bookmarkStart w:id="4" w:name="OLE_LINK35"/>
      <w:r>
        <w:rPr>
          <w:rFonts w:hint="default" w:ascii="Times New Roman" w:hAnsi="Times New Roman" w:eastAsia="仿宋_GB2312" w:cs="Times New Roman"/>
          <w:sz w:val="32"/>
          <w:szCs w:val="32"/>
        </w:rPr>
        <w:t xml:space="preserve"> 0466.1</w:t>
      </w:r>
      <w:bookmarkEnd w:id="4"/>
      <w:r>
        <w:rPr>
          <w:rFonts w:hint="default" w:ascii="Times New Roman" w:hAnsi="Times New Roman" w:eastAsia="仿宋_GB2312" w:cs="Times New Roman"/>
          <w:sz w:val="32"/>
          <w:szCs w:val="32"/>
        </w:rPr>
        <w:t>,医疗器械 用于制造商提供信息的符号 第1部分：通用要求[S].</w:t>
      </w:r>
    </w:p>
    <w:p w14:paraId="41147490">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YY/T 0171,外科器械 包装、标志和使用说明书[S].</w:t>
      </w:r>
    </w:p>
    <w:p w14:paraId="42DA864F">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YY/T 0567,医疗保健产品的无菌加工 系列标准[S].</w:t>
      </w:r>
    </w:p>
    <w:p w14:paraId="15F62DF6">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YY/T 0681.1,无菌医疗器械包装试验方法 第1部分：加</w:t>
      </w:r>
      <w:bookmarkStart w:id="5" w:name="OLE_LINK34"/>
      <w:bookmarkStart w:id="6" w:name="OLE_LINK33"/>
      <w:r>
        <w:rPr>
          <w:rFonts w:hint="default" w:ascii="Times New Roman" w:hAnsi="Times New Roman" w:eastAsia="仿宋_GB2312" w:cs="Times New Roman"/>
          <w:sz w:val="32"/>
          <w:szCs w:val="32"/>
        </w:rPr>
        <w:t>速老化试验指南[S].</w:t>
      </w:r>
    </w:p>
    <w:p w14:paraId="7C141393">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YY/T 0681.15,无菌医疗器械包装试验方法 第15部分：运输容器和系统的性能试验[S].</w:t>
      </w:r>
    </w:p>
    <w:bookmarkEnd w:id="5"/>
    <w:bookmarkEnd w:id="6"/>
    <w:p w14:paraId="3C407258">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YY/T 1437,医疗器械 GB</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T 42062应用指南[S].</w:t>
      </w:r>
    </w:p>
    <w:p w14:paraId="405C5912">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中华人民共和国药典（2025</w:t>
      </w:r>
      <w:r>
        <w:rPr>
          <w:rFonts w:hint="eastAsia"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版）[S].</w:t>
      </w:r>
    </w:p>
    <w:p w14:paraId="609DB06C">
      <w:pPr>
        <w:pStyle w:val="22"/>
        <w:pageBreakBefore w:val="0"/>
        <w:numPr>
          <w:ilvl w:val="0"/>
          <w:numId w:val="1"/>
        </w:numPr>
        <w:kinsoku/>
        <w:wordWrap/>
        <w:topLinePunct w:val="0"/>
        <w:bidi w:val="0"/>
        <w:snapToGrid/>
        <w:spacing w:line="520" w:lineRule="exact"/>
        <w:ind w:left="1060" w:hanging="420" w:firstLineChars="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GB/T 47333-2026,一次性使用采样拭子</w:t>
      </w:r>
      <w:r>
        <w:rPr>
          <w:rFonts w:hint="default" w:ascii="Times New Roman" w:hAnsi="Times New Roman" w:eastAsia="仿宋_GB2312" w:cs="Times New Roman"/>
          <w:sz w:val="32"/>
          <w:szCs w:val="32"/>
        </w:rPr>
        <w:t>[S].</w:t>
      </w:r>
    </w:p>
    <w:p w14:paraId="6B2B90C6">
      <w:pPr>
        <w:pageBreakBefore w:val="0"/>
        <w:kinsoku/>
        <w:wordWrap/>
        <w:topLinePunct w:val="0"/>
        <w:bidi w:val="0"/>
        <w:snapToGrid/>
        <w:spacing w:line="520" w:lineRule="exact"/>
        <w:textAlignment w:val="auto"/>
        <w:rPr>
          <w:rFonts w:hint="default" w:ascii="Times New Roman" w:hAnsi="Times New Roman" w:cs="Times New Roman"/>
        </w:rPr>
      </w:pPr>
    </w:p>
    <w:sectPr>
      <w:footerReference r:id="rId4" w:type="first"/>
      <w:footerReference r:id="rId3" w:type="default"/>
      <w:pgSz w:w="11906" w:h="16838"/>
      <w:pgMar w:top="1440" w:right="1803" w:bottom="1440" w:left="1803" w:header="851" w:footer="992" w:gutter="0"/>
      <w:lnNumType w:countBy="1" w:restart="continuous"/>
      <w:pgNumType w:fmt="decimal"/>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HiddenHorzOCR-Identity-H">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3D225">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-102235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30FBE">
                          <w:pPr>
                            <w:pStyle w:val="1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- 2 -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05pt;height:144pt;width:144pt;mso-position-horizontal:outside;mso-position-horizontal-relative:margin;mso-wrap-style:none;z-index:251659264;mso-width-relative:page;mso-height-relative:page;" filled="f" stroked="f" coordsize="21600,21600" o:gfxdata="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7oaF19qPoL&#10;mDvLwlbvLI9ponrero4BYnYaR4F6VQbdMHldl4ZXEkf7z30X9fhn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eka8NUAAAAIAQAADwAAAAAAAAABACAAAAAiAAAAZHJzL2Rvd25yZXYueG1sUEsB&#10;AhQAFAAAAAgAh07iQGuF+fsxAgAAYQQAAA4AAAAAAAAAAQAgAAAAJAEAAGRycy9lMm9Eb2MueG1s&#10;UEsFBgAAAAAGAAYAWQEAAMcFAAAAAA==&#10;">
              <v:fill on="f" focussize="0,0"/>
              <v:stroke on="f" weight="0.5pt"/>
              <v:imagedata o:title=""/>
              <o:lock v:ext="edit" aspectratio="f"/>
              <v:textbox inset="0mm,0mm,0mm,0mm" style="mso-fit-shape-to-text:t;">
                <w:txbxContent>
                  <w:p w14:paraId="3C730FBE">
                    <w:pPr>
                      <w:pStyle w:val="1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- 2 -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57CC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-102235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F7D7A">
                          <w:pPr>
                            <w:pStyle w:val="1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05pt;height:144pt;width:144pt;mso-position-horizontal:outside;mso-position-horizontal-relative:margin;mso-wrap-style:none;z-index:251660288;mso-width-relative:page;mso-height-relative:page;" filled="f" stroked="f" coordsize="21600,21600" o:gfxdata="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eka8NUAAAAIAQAADwAAAAAAAAABACAAAAAiAAAAZHJzL2Rvd25yZXYueG1sUEsB&#10;AhQAFAAAAAgAh07iQCSCRrQxAgAAYQQAAA4AAAAAAAAAAQAgAAAAJAEAAGRycy9lMm9Eb2MueG1s&#10;UEsFBgAAAAAGAAYAWQEAAMcFAAAAAA==&#10;">
              <v:fill on="f" focussize="0,0"/>
              <v:stroke on="f" weight="0.5pt"/>
              <v:imagedata o:title=""/>
              <o:lock v:ext="edit" aspectratio="f"/>
              <v:textbox inset="0mm,0mm,0mm,0mm" style="mso-fit-shape-to-text:t;">
                <w:txbxContent>
                  <w:p w14:paraId="4F7F7D7A">
                    <w:pPr>
                      <w:pStyle w:val="1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FE15D4"/>
    <w:multiLevelType w:val="multilevel"/>
    <w:tmpl w:val="D3FE15D4"/>
    <w:lvl w:ilvl="0" w:tentative="0">
      <w:start w:val="1"/>
      <w:numFmt w:val="decimal"/>
      <w:lvlText w:val="[%1]"/>
      <w:lvlJc w:val="left"/>
      <w:pPr>
        <w:ind w:left="1060" w:hanging="4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TllZTE1M2VlMTk2NzE5ZTYxMWI4ZGRhMjIwNTEifQ=="/>
  </w:docVars>
  <w:rsids>
    <w:rsidRoot w:val="01D012CF"/>
    <w:rsid w:val="000C2FF7"/>
    <w:rsid w:val="000F386B"/>
    <w:rsid w:val="00147E67"/>
    <w:rsid w:val="001B3632"/>
    <w:rsid w:val="002129C4"/>
    <w:rsid w:val="00252007"/>
    <w:rsid w:val="002C5CB8"/>
    <w:rsid w:val="0034596A"/>
    <w:rsid w:val="003F7A94"/>
    <w:rsid w:val="004728A9"/>
    <w:rsid w:val="004E4440"/>
    <w:rsid w:val="004E6064"/>
    <w:rsid w:val="0066360F"/>
    <w:rsid w:val="006E0264"/>
    <w:rsid w:val="00752C36"/>
    <w:rsid w:val="007726AF"/>
    <w:rsid w:val="00801B2F"/>
    <w:rsid w:val="008B52D3"/>
    <w:rsid w:val="008F5CFC"/>
    <w:rsid w:val="00954478"/>
    <w:rsid w:val="009B6FF5"/>
    <w:rsid w:val="009B7CB8"/>
    <w:rsid w:val="009F654E"/>
    <w:rsid w:val="00B34026"/>
    <w:rsid w:val="00C247D3"/>
    <w:rsid w:val="00CA71A3"/>
    <w:rsid w:val="00CF425C"/>
    <w:rsid w:val="00DB18B9"/>
    <w:rsid w:val="00DD40F3"/>
    <w:rsid w:val="00E15A99"/>
    <w:rsid w:val="00F82263"/>
    <w:rsid w:val="00FB2C67"/>
    <w:rsid w:val="01D012CF"/>
    <w:rsid w:val="0BE14534"/>
    <w:rsid w:val="0EBF8B62"/>
    <w:rsid w:val="0EDD0924"/>
    <w:rsid w:val="12F93DFC"/>
    <w:rsid w:val="16CF45CC"/>
    <w:rsid w:val="17FF1856"/>
    <w:rsid w:val="19FB97FE"/>
    <w:rsid w:val="1DE64C72"/>
    <w:rsid w:val="1F31DE90"/>
    <w:rsid w:val="1FD17BA1"/>
    <w:rsid w:val="1FD97EB1"/>
    <w:rsid w:val="1FFEF704"/>
    <w:rsid w:val="21F7F686"/>
    <w:rsid w:val="23FFD9D8"/>
    <w:rsid w:val="252C455D"/>
    <w:rsid w:val="27DB0CD3"/>
    <w:rsid w:val="2A68209F"/>
    <w:rsid w:val="2B3F46A5"/>
    <w:rsid w:val="2B671E5E"/>
    <w:rsid w:val="2BFFA784"/>
    <w:rsid w:val="2F1E75EC"/>
    <w:rsid w:val="2F6B1DC8"/>
    <w:rsid w:val="2F6F671B"/>
    <w:rsid w:val="2FBFD4F5"/>
    <w:rsid w:val="2FCFF6D0"/>
    <w:rsid w:val="2FF44044"/>
    <w:rsid w:val="2FFF8E56"/>
    <w:rsid w:val="35B25333"/>
    <w:rsid w:val="35F7330D"/>
    <w:rsid w:val="37352CFC"/>
    <w:rsid w:val="376FCE8A"/>
    <w:rsid w:val="37F7A4EE"/>
    <w:rsid w:val="37FF7BE1"/>
    <w:rsid w:val="3BBEB633"/>
    <w:rsid w:val="3BFDF371"/>
    <w:rsid w:val="3CFB4DC8"/>
    <w:rsid w:val="3D746FF3"/>
    <w:rsid w:val="3EBAD6F2"/>
    <w:rsid w:val="3EBF8549"/>
    <w:rsid w:val="3EE75F4E"/>
    <w:rsid w:val="3F8D79A2"/>
    <w:rsid w:val="3FB8CAA4"/>
    <w:rsid w:val="3FDF3486"/>
    <w:rsid w:val="3FFF584A"/>
    <w:rsid w:val="3FFF9CAF"/>
    <w:rsid w:val="44E348CA"/>
    <w:rsid w:val="4B6F1A28"/>
    <w:rsid w:val="4B7B58C5"/>
    <w:rsid w:val="4CA98616"/>
    <w:rsid w:val="50B05137"/>
    <w:rsid w:val="54BFA022"/>
    <w:rsid w:val="55E434D0"/>
    <w:rsid w:val="56214820"/>
    <w:rsid w:val="57F7CA17"/>
    <w:rsid w:val="5BAF72BB"/>
    <w:rsid w:val="5BDDB40D"/>
    <w:rsid w:val="5BFFFE2F"/>
    <w:rsid w:val="5CBF899A"/>
    <w:rsid w:val="5EE7518A"/>
    <w:rsid w:val="5F6FDDD1"/>
    <w:rsid w:val="5FB0EEC6"/>
    <w:rsid w:val="5FB63D76"/>
    <w:rsid w:val="5FDBD2C5"/>
    <w:rsid w:val="5FDE2556"/>
    <w:rsid w:val="5FEF0427"/>
    <w:rsid w:val="5FF741E0"/>
    <w:rsid w:val="5FFD6CCB"/>
    <w:rsid w:val="5FFFEFC9"/>
    <w:rsid w:val="60FBBBCA"/>
    <w:rsid w:val="62B9195B"/>
    <w:rsid w:val="647BAD0E"/>
    <w:rsid w:val="64FE7DDE"/>
    <w:rsid w:val="661E64C0"/>
    <w:rsid w:val="66FF5659"/>
    <w:rsid w:val="6773CC83"/>
    <w:rsid w:val="6AFE5511"/>
    <w:rsid w:val="6B96CB8A"/>
    <w:rsid w:val="6BBDD1BB"/>
    <w:rsid w:val="6BFFF73A"/>
    <w:rsid w:val="6CBB0AF0"/>
    <w:rsid w:val="6DB71754"/>
    <w:rsid w:val="6F5132BD"/>
    <w:rsid w:val="6FBE6397"/>
    <w:rsid w:val="6FCACC57"/>
    <w:rsid w:val="6FCBA17A"/>
    <w:rsid w:val="6FDDEF76"/>
    <w:rsid w:val="6FDFB371"/>
    <w:rsid w:val="6FFFB030"/>
    <w:rsid w:val="742EC2B2"/>
    <w:rsid w:val="747B3E53"/>
    <w:rsid w:val="76E745CB"/>
    <w:rsid w:val="773AC27B"/>
    <w:rsid w:val="773B69BD"/>
    <w:rsid w:val="779F7921"/>
    <w:rsid w:val="77BBBC54"/>
    <w:rsid w:val="77BF0C61"/>
    <w:rsid w:val="77BF1E16"/>
    <w:rsid w:val="77D8DA6F"/>
    <w:rsid w:val="77EA94A7"/>
    <w:rsid w:val="77ECFA73"/>
    <w:rsid w:val="77EFB794"/>
    <w:rsid w:val="79BFAD00"/>
    <w:rsid w:val="79EB3A2B"/>
    <w:rsid w:val="7A5D3CD5"/>
    <w:rsid w:val="7A7E340F"/>
    <w:rsid w:val="7BAF05E3"/>
    <w:rsid w:val="7BFF413A"/>
    <w:rsid w:val="7C334FD2"/>
    <w:rsid w:val="7C3551C8"/>
    <w:rsid w:val="7C5D1358"/>
    <w:rsid w:val="7CF9483E"/>
    <w:rsid w:val="7CFFC16A"/>
    <w:rsid w:val="7D6132D4"/>
    <w:rsid w:val="7D7F40F8"/>
    <w:rsid w:val="7D8D8391"/>
    <w:rsid w:val="7DB9A00A"/>
    <w:rsid w:val="7DF322B8"/>
    <w:rsid w:val="7DF63530"/>
    <w:rsid w:val="7DF7E8FE"/>
    <w:rsid w:val="7E5799D3"/>
    <w:rsid w:val="7E7A8D23"/>
    <w:rsid w:val="7E943643"/>
    <w:rsid w:val="7EDF5DC2"/>
    <w:rsid w:val="7EF536BC"/>
    <w:rsid w:val="7EFF84AC"/>
    <w:rsid w:val="7EFFEE30"/>
    <w:rsid w:val="7F1FC982"/>
    <w:rsid w:val="7F3C4A6E"/>
    <w:rsid w:val="7F4EEE33"/>
    <w:rsid w:val="7F9FD43C"/>
    <w:rsid w:val="7FB51881"/>
    <w:rsid w:val="7FCE7E3B"/>
    <w:rsid w:val="7FEB703C"/>
    <w:rsid w:val="7FF71264"/>
    <w:rsid w:val="7FF730D9"/>
    <w:rsid w:val="7FF986D0"/>
    <w:rsid w:val="7FFEDE0B"/>
    <w:rsid w:val="7FFF2A76"/>
    <w:rsid w:val="7FFF73F4"/>
    <w:rsid w:val="7FFFB59E"/>
    <w:rsid w:val="926EAAA5"/>
    <w:rsid w:val="9DBF5243"/>
    <w:rsid w:val="9EEF6D71"/>
    <w:rsid w:val="9F5F1882"/>
    <w:rsid w:val="9FE7B9EC"/>
    <w:rsid w:val="9FEF8111"/>
    <w:rsid w:val="A77DB24A"/>
    <w:rsid w:val="ADFF15BA"/>
    <w:rsid w:val="AEFFBEC9"/>
    <w:rsid w:val="AFFAA0A0"/>
    <w:rsid w:val="B2FB119A"/>
    <w:rsid w:val="B3FB1724"/>
    <w:rsid w:val="B6FFD304"/>
    <w:rsid w:val="B7FB207D"/>
    <w:rsid w:val="BAE72AB4"/>
    <w:rsid w:val="BAFAA9F3"/>
    <w:rsid w:val="BAFED422"/>
    <w:rsid w:val="BAFF5FEF"/>
    <w:rsid w:val="BCDF1B62"/>
    <w:rsid w:val="BCF4E823"/>
    <w:rsid w:val="BDDB356F"/>
    <w:rsid w:val="BDFEEBC5"/>
    <w:rsid w:val="BF7FD26E"/>
    <w:rsid w:val="BFF32657"/>
    <w:rsid w:val="C5BD61E7"/>
    <w:rsid w:val="C7DF4D51"/>
    <w:rsid w:val="CB6A11E2"/>
    <w:rsid w:val="CC4D11A0"/>
    <w:rsid w:val="CDFD5279"/>
    <w:rsid w:val="CEDF093E"/>
    <w:rsid w:val="CEF7E66B"/>
    <w:rsid w:val="D55B4693"/>
    <w:rsid w:val="D5AF42E1"/>
    <w:rsid w:val="D6EAF96B"/>
    <w:rsid w:val="D72CDEB5"/>
    <w:rsid w:val="D7ABDF08"/>
    <w:rsid w:val="D8FC8F9F"/>
    <w:rsid w:val="DA8AFCA7"/>
    <w:rsid w:val="DAE8C285"/>
    <w:rsid w:val="DBFF7280"/>
    <w:rsid w:val="DD8BC463"/>
    <w:rsid w:val="DDFA1D6C"/>
    <w:rsid w:val="DE9C14CD"/>
    <w:rsid w:val="DFED40CE"/>
    <w:rsid w:val="DFFD077B"/>
    <w:rsid w:val="DFFDF984"/>
    <w:rsid w:val="DFFFDFA4"/>
    <w:rsid w:val="DFFFFFD2"/>
    <w:rsid w:val="E40EC86C"/>
    <w:rsid w:val="E6BFE94B"/>
    <w:rsid w:val="E7FB8842"/>
    <w:rsid w:val="EB1E320D"/>
    <w:rsid w:val="EBAE90B8"/>
    <w:rsid w:val="EBC641BB"/>
    <w:rsid w:val="EBDFDB6E"/>
    <w:rsid w:val="EDAB4893"/>
    <w:rsid w:val="EDBFC878"/>
    <w:rsid w:val="EEFEC1D7"/>
    <w:rsid w:val="EFB1F8DF"/>
    <w:rsid w:val="EFD5BE9A"/>
    <w:rsid w:val="EFE917A7"/>
    <w:rsid w:val="EFEA6705"/>
    <w:rsid w:val="EFFF3A23"/>
    <w:rsid w:val="EFFF5D43"/>
    <w:rsid w:val="F27D43B1"/>
    <w:rsid w:val="F41F21AE"/>
    <w:rsid w:val="F56F72D3"/>
    <w:rsid w:val="F5B822D0"/>
    <w:rsid w:val="F67B5F9E"/>
    <w:rsid w:val="F7560AE8"/>
    <w:rsid w:val="F77DDEC1"/>
    <w:rsid w:val="F7AA226A"/>
    <w:rsid w:val="F7BBD701"/>
    <w:rsid w:val="F7BD6E0E"/>
    <w:rsid w:val="F7DC1CAA"/>
    <w:rsid w:val="F7FA6F23"/>
    <w:rsid w:val="F7FE28CD"/>
    <w:rsid w:val="F8FE7778"/>
    <w:rsid w:val="FABF63ED"/>
    <w:rsid w:val="FAEF1844"/>
    <w:rsid w:val="FAFD8711"/>
    <w:rsid w:val="FB5DFC3F"/>
    <w:rsid w:val="FB775005"/>
    <w:rsid w:val="FB7FAC94"/>
    <w:rsid w:val="FBDDB31F"/>
    <w:rsid w:val="FBEF8845"/>
    <w:rsid w:val="FBFF588D"/>
    <w:rsid w:val="FBFFA04E"/>
    <w:rsid w:val="FD5ECB9D"/>
    <w:rsid w:val="FD7FADDC"/>
    <w:rsid w:val="FDBEDDFE"/>
    <w:rsid w:val="FDFBB62F"/>
    <w:rsid w:val="FE1B2B28"/>
    <w:rsid w:val="FEDEF0FB"/>
    <w:rsid w:val="FF5630B5"/>
    <w:rsid w:val="FF5A9D87"/>
    <w:rsid w:val="FF5F4F21"/>
    <w:rsid w:val="FFA636A3"/>
    <w:rsid w:val="FFAEA898"/>
    <w:rsid w:val="FFAFC97F"/>
    <w:rsid w:val="FFB34A44"/>
    <w:rsid w:val="FFD3EAA0"/>
    <w:rsid w:val="FFD4F2A5"/>
    <w:rsid w:val="FFEBB7BE"/>
    <w:rsid w:val="FFEE78BE"/>
    <w:rsid w:val="FFF6646D"/>
    <w:rsid w:val="FFFD592A"/>
    <w:rsid w:val="FFFDF674"/>
    <w:rsid w:val="FFFF11C4"/>
    <w:rsid w:val="FFFFF1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keepLines/>
      <w:spacing w:line="520" w:lineRule="exact"/>
      <w:ind w:left="300" w:leftChars="300"/>
      <w:jc w:val="left"/>
      <w:outlineLvl w:val="0"/>
    </w:pPr>
    <w:rPr>
      <w:rFonts w:eastAsia="黑体" w:cs="Calibri"/>
      <w:bCs/>
      <w:kern w:val="44"/>
      <w:sz w:val="32"/>
      <w:szCs w:val="44"/>
    </w:rPr>
  </w:style>
  <w:style w:type="paragraph" w:styleId="4">
    <w:name w:val="heading 3"/>
    <w:basedOn w:val="1"/>
    <w:next w:val="1"/>
    <w:qFormat/>
    <w:uiPriority w:val="0"/>
    <w:pPr>
      <w:spacing w:line="520" w:lineRule="exact"/>
      <w:ind w:left="300" w:leftChars="300"/>
      <w:jc w:val="left"/>
      <w:outlineLvl w:val="2"/>
    </w:pPr>
    <w:rPr>
      <w:rFonts w:hint="eastAsia" w:ascii="宋体" w:hAnsi="宋体" w:eastAsia="仿宋"/>
      <w:kern w:val="0"/>
      <w:sz w:val="32"/>
      <w:szCs w:val="27"/>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spacing w:line="520" w:lineRule="exact"/>
      <w:ind w:firstLine="640" w:firstLineChars="200"/>
    </w:pPr>
    <w:rPr>
      <w:rFonts w:ascii="Times New Roman" w:hAnsi="Times New Roman" w:eastAsia="仿宋_GB2312" w:cs="Times New Roman"/>
      <w:kern w:val="2"/>
      <w:sz w:val="32"/>
      <w:szCs w:val="32"/>
      <w:lang w:val="en-US" w:eastAsia="zh-CN" w:bidi="ar-SA"/>
    </w:rPr>
  </w:style>
  <w:style w:type="paragraph" w:styleId="5">
    <w:name w:val="Normal Indent"/>
    <w:basedOn w:val="1"/>
    <w:qFormat/>
    <w:uiPriority w:val="99"/>
    <w:pPr>
      <w:adjustRightInd w:val="0"/>
      <w:spacing w:line="312" w:lineRule="atLeast"/>
      <w:ind w:firstLine="420"/>
      <w:textAlignment w:val="baseline"/>
    </w:pPr>
    <w:rPr>
      <w:rFonts w:ascii="Times New Roman" w:hAnsi="Times New Roman" w:eastAsia="宋体"/>
      <w:kern w:val="0"/>
      <w:szCs w:val="20"/>
    </w:rPr>
  </w:style>
  <w:style w:type="paragraph" w:styleId="6">
    <w:name w:val="caption"/>
    <w:basedOn w:val="1"/>
    <w:next w:val="5"/>
    <w:qFormat/>
    <w:uiPriority w:val="99"/>
    <w:pPr>
      <w:spacing w:before="152" w:after="160"/>
      <w:jc w:val="center"/>
    </w:pPr>
    <w:rPr>
      <w:rFonts w:ascii="Arial" w:hAnsi="Arial" w:eastAsia="黑体" w:cs="Arial"/>
      <w:sz w:val="20"/>
      <w:szCs w:val="20"/>
    </w:rPr>
  </w:style>
  <w:style w:type="paragraph" w:styleId="7">
    <w:name w:val="annotation text"/>
    <w:basedOn w:val="1"/>
    <w:link w:val="21"/>
    <w:qFormat/>
    <w:uiPriority w:val="99"/>
    <w:pPr>
      <w:jc w:val="left"/>
    </w:pPr>
    <w:rPr>
      <w:rFonts w:ascii="Times New Roman" w:hAnsi="Times New Roman" w:eastAsia="宋体"/>
      <w:szCs w:val="24"/>
    </w:rPr>
  </w:style>
  <w:style w:type="paragraph" w:styleId="8">
    <w:name w:val="Plain Text"/>
    <w:basedOn w:val="1"/>
    <w:qFormat/>
    <w:uiPriority w:val="99"/>
    <w:rPr>
      <w:rFonts w:ascii="宋体" w:hAnsi="Courier New"/>
      <w:szCs w:val="21"/>
    </w:rPr>
  </w:style>
  <w:style w:type="paragraph" w:styleId="9">
    <w:name w:val="Balloon Text"/>
    <w:basedOn w:val="1"/>
    <w:link w:val="19"/>
    <w:qFormat/>
    <w:uiPriority w:val="0"/>
    <w:rPr>
      <w:sz w:val="18"/>
      <w:szCs w:val="18"/>
    </w:rPr>
  </w:style>
  <w:style w:type="paragraph" w:styleId="10">
    <w:name w:val="footer"/>
    <w:basedOn w:val="1"/>
    <w:link w:val="18"/>
    <w:unhideWhenUsed/>
    <w:qFormat/>
    <w:uiPriority w:val="99"/>
    <w:pPr>
      <w:tabs>
        <w:tab w:val="center" w:pos="4153"/>
        <w:tab w:val="right" w:pos="8306"/>
      </w:tabs>
      <w:snapToGrid w:val="0"/>
      <w:jc w:val="left"/>
    </w:pPr>
    <w:rPr>
      <w:rFonts w:ascii="Calibri" w:hAnsi="Calibri" w:eastAsia="宋体"/>
      <w:kern w:val="0"/>
      <w:sz w:val="18"/>
      <w:szCs w:val="18"/>
    </w:rPr>
  </w:style>
  <w:style w:type="paragraph" w:styleId="11">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120"/>
      <w:jc w:val="left"/>
      <w:outlineLvl w:val="1"/>
    </w:pPr>
    <w:rPr>
      <w:rFonts w:ascii="Calibri Light" w:hAnsi="Calibri Light" w:eastAsia="楷体_GB2312"/>
      <w:bCs/>
      <w:kern w:val="28"/>
      <w:sz w:val="32"/>
      <w:szCs w:val="32"/>
    </w:rPr>
  </w:style>
  <w:style w:type="paragraph" w:styleId="13">
    <w:name w:val="Normal (Web)"/>
    <w:basedOn w:val="1"/>
    <w:qFormat/>
    <w:uiPriority w:val="0"/>
    <w:pPr>
      <w:spacing w:beforeAutospacing="1" w:afterAutospacing="1"/>
      <w:jc w:val="left"/>
    </w:pPr>
    <w:rPr>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页眉 Char"/>
    <w:basedOn w:val="16"/>
    <w:link w:val="11"/>
    <w:qFormat/>
    <w:uiPriority w:val="0"/>
    <w:rPr>
      <w:rFonts w:ascii="等线" w:hAnsi="等线" w:eastAsia="等线" w:cs="Times New Roman"/>
      <w:kern w:val="2"/>
      <w:sz w:val="18"/>
      <w:szCs w:val="18"/>
    </w:rPr>
  </w:style>
  <w:style w:type="character" w:customStyle="1" w:styleId="18">
    <w:name w:val="页脚 Char"/>
    <w:link w:val="10"/>
    <w:qFormat/>
    <w:uiPriority w:val="99"/>
    <w:rPr>
      <w:rFonts w:ascii="Calibri" w:hAnsi="Calibri" w:eastAsia="宋体" w:cs="Times New Roman"/>
      <w:sz w:val="18"/>
      <w:szCs w:val="18"/>
    </w:rPr>
  </w:style>
  <w:style w:type="character" w:customStyle="1" w:styleId="19">
    <w:name w:val="批注框文本 Char"/>
    <w:basedOn w:val="16"/>
    <w:link w:val="9"/>
    <w:qFormat/>
    <w:uiPriority w:val="0"/>
    <w:rPr>
      <w:rFonts w:ascii="等线" w:hAnsi="等线" w:eastAsia="等线" w:cs="Times New Roman"/>
      <w:kern w:val="2"/>
      <w:sz w:val="18"/>
      <w:szCs w:val="18"/>
    </w:rPr>
  </w:style>
  <w:style w:type="character" w:customStyle="1" w:styleId="20">
    <w:name w:val="批注文字 Char"/>
    <w:basedOn w:val="16"/>
    <w:qFormat/>
    <w:uiPriority w:val="0"/>
    <w:rPr>
      <w:rFonts w:ascii="等线" w:hAnsi="等线" w:eastAsia="等线" w:cs="Times New Roman"/>
      <w:kern w:val="2"/>
      <w:sz w:val="21"/>
      <w:szCs w:val="22"/>
    </w:rPr>
  </w:style>
  <w:style w:type="character" w:customStyle="1" w:styleId="21">
    <w:name w:val="批注文字 Char1"/>
    <w:link w:val="7"/>
    <w:qFormat/>
    <w:uiPriority w:val="99"/>
    <w:rPr>
      <w:rFonts w:ascii="Times New Roman" w:hAnsi="Times New Roman" w:eastAsia="宋体" w:cs="Times New Roman"/>
      <w:kern w:val="2"/>
      <w:sz w:val="21"/>
      <w:szCs w:val="24"/>
    </w:rPr>
  </w:style>
  <w:style w:type="paragraph" w:styleId="22">
    <w:name w:val="List Paragraph"/>
    <w:basedOn w:val="1"/>
    <w:qFormat/>
    <w:uiPriority w:val="34"/>
    <w:pPr>
      <w:ind w:firstLine="420" w:firstLineChars="200"/>
    </w:pPr>
  </w:style>
  <w:style w:type="character" w:customStyle="1" w:styleId="23">
    <w:name w:val="fontstyle01"/>
    <w:qFormat/>
    <w:uiPriority w:val="0"/>
    <w:rPr>
      <w:rFonts w:hint="default" w:ascii="HiddenHorzOCR-Identity-H" w:hAnsi="HiddenHorzOCR-Identity-H"/>
      <w:color w:val="000000"/>
      <w:sz w:val="72"/>
      <w:szCs w:val="72"/>
    </w:rPr>
  </w:style>
  <w:style w:type="paragraph" w:customStyle="1" w:styleId="2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15</Pages>
  <Words>6579</Words>
  <Characters>7112</Characters>
  <Lines>108</Lines>
  <Paragraphs>30</Paragraphs>
  <TotalTime>3</TotalTime>
  <ScaleCrop>false</ScaleCrop>
  <LinksUpToDate>false</LinksUpToDate>
  <CharactersWithSpaces>7160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2021-10-06T15:42:00Z</dcterms:created>
  <dc:creator>Liuqianqian</dc:creator>
  <cp:lastModifiedBy>@&amp;%£€₩:-@</cp:lastModifiedBy>
  <cp:lastPrinted>2026-03-21T08:47:00Z</cp:lastPrinted>
  <dcterms:modified xsi:type="dcterms:W3CDTF">2026-07-30T00:42:20Z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9F981F7A1D944F29EFAD2F69FC2CABB9_43</vt:lpwstr>
  </property>
  <property fmtid="{D5CDD505-2E9C-101B-9397-08002B2CF9AE}" pid="4" name="KSOTemplateDocerSaveRecord">
    <vt:lpwstr>eyJoZGlkIjoiODA3MTk1NWExMWM5MWZiMzljMmE2NDQyMmI0N2U1ZjIiLCJ1c2VySWQiOiIyMjczMTI0NjgifQ==</vt:lpwstr>
  </property>
</Properties>
</file>