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405F3">
      <w:pPr>
        <w:spacing w:line="560" w:lineRule="exact"/>
        <w:ind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负压引流器及组件注册审查指导原则</w:t>
      </w:r>
    </w:p>
    <w:p w14:paraId="0E91AFF9">
      <w:pPr>
        <w:spacing w:line="560" w:lineRule="exact"/>
        <w:ind w:firstLine="0" w:firstLineChars="0"/>
        <w:jc w:val="center"/>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（征求意见稿）</w:t>
      </w:r>
    </w:p>
    <w:p w14:paraId="23EE2401">
      <w:pPr>
        <w:pStyle w:val="2"/>
      </w:pPr>
    </w:p>
    <w:p w14:paraId="64C96440">
      <w:pPr>
        <w:spacing w:line="560" w:lineRule="exact"/>
        <w:rPr>
          <w:rFonts w:eastAsia="仿宋_GB2312"/>
          <w:szCs w:val="24"/>
        </w:rPr>
      </w:pPr>
      <w:r>
        <w:rPr>
          <w:rFonts w:hint="eastAsia" w:eastAsia="仿宋_GB2312"/>
          <w:szCs w:val="24"/>
        </w:rPr>
        <w:t>本指导原则旨在指导注册申请人对负压引流器及组件产品注册申报资料的准备及撰写，同时也为技术审评部门对注册申报资料的审评提供技术参考。</w:t>
      </w:r>
      <w:r>
        <w:rPr>
          <w:rFonts w:eastAsia="仿宋_GB2312"/>
          <w:szCs w:val="24"/>
        </w:rPr>
        <w:t xml:space="preserve"> </w:t>
      </w:r>
    </w:p>
    <w:p w14:paraId="50EB030C">
      <w:pPr>
        <w:spacing w:line="560" w:lineRule="exact"/>
        <w:rPr>
          <w:rFonts w:eastAsia="仿宋_GB2312"/>
          <w:szCs w:val="24"/>
        </w:rPr>
      </w:pPr>
      <w:r>
        <w:rPr>
          <w:rFonts w:eastAsia="仿宋_GB2312"/>
          <w:szCs w:val="24"/>
        </w:rPr>
        <w:t>本指导原则是对</w:t>
      </w:r>
      <w:r>
        <w:rPr>
          <w:rFonts w:hint="eastAsia" w:eastAsia="仿宋_GB2312"/>
          <w:szCs w:val="24"/>
        </w:rPr>
        <w:t>负压引流器及组件</w:t>
      </w:r>
      <w:r>
        <w:rPr>
          <w:rFonts w:eastAsia="仿宋_GB2312"/>
          <w:szCs w:val="24"/>
        </w:rPr>
        <w:t>的一般要求，申请人应依据具体产品的特性对注册申报资料的内容进行充实和细化，并依据具体产品的特性确定其中的具体内容是否适用，若不适用，需具体阐述其理由及相应的科学依据。</w:t>
      </w:r>
    </w:p>
    <w:p w14:paraId="2707597D">
      <w:pPr>
        <w:spacing w:line="560" w:lineRule="exact"/>
        <w:rPr>
          <w:rFonts w:eastAsia="仿宋_GB2312"/>
          <w:szCs w:val="24"/>
        </w:rPr>
      </w:pPr>
      <w:r>
        <w:rPr>
          <w:rFonts w:hint="eastAsia" w:eastAsia="仿宋_GB2312"/>
          <w:szCs w:val="24"/>
        </w:rPr>
        <w:t>本指导原则是供注册申请人和技术审评人员使用的指导性文件，</w:t>
      </w:r>
      <w:r>
        <w:rPr>
          <w:rFonts w:eastAsia="仿宋_GB2312"/>
          <w:szCs w:val="24"/>
        </w:rPr>
        <w:t>但不包括注册审批所涉及的行政事项，亦不作为法规强制执行，如果有能够满足相关法规要求的其他方法，也可以采用，但是需要提供详细的研究资料和验证资料。应在遵循相关法规和</w:t>
      </w:r>
      <w:r>
        <w:rPr>
          <w:rFonts w:hint="eastAsia" w:eastAsia="仿宋_GB2312"/>
          <w:szCs w:val="24"/>
        </w:rPr>
        <w:t>强制性</w:t>
      </w:r>
      <w:r>
        <w:rPr>
          <w:rFonts w:eastAsia="仿宋_GB2312"/>
          <w:szCs w:val="24"/>
        </w:rPr>
        <w:t xml:space="preserve">标准的前提下使用本指导原则。 </w:t>
      </w:r>
    </w:p>
    <w:p w14:paraId="718ABAD5">
      <w:pPr>
        <w:spacing w:line="560" w:lineRule="exact"/>
        <w:rPr>
          <w:rFonts w:eastAsia="仿宋_GB2312"/>
          <w:szCs w:val="24"/>
        </w:rPr>
      </w:pPr>
      <w:r>
        <w:rPr>
          <w:rFonts w:eastAsia="仿宋_GB2312"/>
          <w:szCs w:val="24"/>
        </w:rPr>
        <w:t>本指导原则是在现行法规和标准体系以及当前认知水平下制定的，随着法规和标准的不断完善，以及科学技术的不断发展，本指导原则相关内容也将进行适时的调整。</w:t>
      </w:r>
    </w:p>
    <w:p w14:paraId="02A19E53">
      <w:pPr>
        <w:spacing w:line="560" w:lineRule="exact"/>
        <w:rPr>
          <w:rFonts w:ascii="黑体" w:hAnsi="黑体" w:eastAsia="黑体"/>
        </w:rPr>
      </w:pPr>
      <w:r>
        <w:rPr>
          <w:rFonts w:ascii="黑体" w:hAnsi="黑体" w:eastAsia="黑体"/>
        </w:rPr>
        <w:t>一、适用范围</w:t>
      </w:r>
    </w:p>
    <w:p w14:paraId="41FF7D75">
      <w:pPr>
        <w:spacing w:line="560" w:lineRule="exact"/>
        <w:rPr>
          <w:rFonts w:hint="eastAsia" w:eastAsia="仿宋_GB2312"/>
          <w:szCs w:val="24"/>
          <w:highlight w:val="yellow"/>
        </w:rPr>
      </w:pPr>
      <w:r>
        <w:rPr>
          <w:rFonts w:eastAsia="仿宋_GB2312"/>
          <w:szCs w:val="24"/>
        </w:rPr>
        <w:t>本指导原则适用于《医疗器械分类目录》中作为第二类医疗器械</w:t>
      </w:r>
      <w:r>
        <w:rPr>
          <w:rFonts w:hint="eastAsia" w:eastAsia="仿宋_GB2312"/>
          <w:szCs w:val="24"/>
        </w:rPr>
        <w:t>的</w:t>
      </w:r>
      <w:r>
        <w:rPr>
          <w:rFonts w:eastAsia="仿宋_GB2312"/>
          <w:szCs w:val="24"/>
        </w:rPr>
        <w:t>负压引流器及组件</w:t>
      </w:r>
      <w:r>
        <w:rPr>
          <w:rFonts w:hint="eastAsia" w:eastAsia="仿宋_GB2312"/>
          <w:szCs w:val="24"/>
        </w:rPr>
        <w:t>，分类编码为14注输、护理和防护器械-06与非血管内导管配套用体外器械-03负压引流器及组件。</w:t>
      </w:r>
      <w:r>
        <w:rPr>
          <w:rFonts w:hint="eastAsia" w:eastAsia="仿宋_GB2312"/>
          <w:szCs w:val="24"/>
          <w:highlight w:val="none"/>
        </w:rPr>
        <w:t>本指导原则不适用于含负压泵的负压引流器及组件</w:t>
      </w:r>
      <w:r>
        <w:rPr>
          <w:rFonts w:hint="eastAsia" w:eastAsia="仿宋_GB2312"/>
          <w:szCs w:val="24"/>
          <w:highlight w:val="none"/>
          <w:lang w:eastAsia="zh-CN"/>
        </w:rPr>
        <w:t>，也</w:t>
      </w:r>
      <w:r>
        <w:rPr>
          <w:rFonts w:hint="eastAsia" w:eastAsia="仿宋_GB2312"/>
          <w:szCs w:val="24"/>
          <w:highlight w:val="none"/>
        </w:rPr>
        <w:t>不适用于与负压泵连接的负压引流器及组件。</w:t>
      </w:r>
    </w:p>
    <w:p w14:paraId="754C242B">
      <w:pPr>
        <w:spacing w:line="560" w:lineRule="exact"/>
        <w:rPr>
          <w:rFonts w:ascii="黑体" w:hAnsi="黑体" w:eastAsia="黑体"/>
        </w:rPr>
      </w:pPr>
      <w:r>
        <w:rPr>
          <w:rFonts w:ascii="黑体" w:hAnsi="黑体" w:eastAsia="黑体"/>
        </w:rPr>
        <w:t>二、注册审查要点</w:t>
      </w:r>
    </w:p>
    <w:p w14:paraId="16DA64E2">
      <w:pPr>
        <w:tabs>
          <w:tab w:val="left" w:pos="6720"/>
        </w:tabs>
        <w:spacing w:line="560" w:lineRule="exact"/>
        <w:outlineLvl w:val="0"/>
        <w:rPr>
          <w:rFonts w:eastAsia="楷体_GB2312"/>
          <w:bCs/>
        </w:rPr>
      </w:pPr>
      <w:r>
        <w:rPr>
          <w:rFonts w:hint="eastAsia" w:eastAsia="楷体_GB2312"/>
          <w:bCs/>
        </w:rPr>
        <w:t>（</w:t>
      </w:r>
      <w:r>
        <w:rPr>
          <w:rFonts w:eastAsia="楷体_GB2312"/>
          <w:bCs/>
        </w:rPr>
        <w:t>一）监管信息</w:t>
      </w:r>
    </w:p>
    <w:p w14:paraId="565B7415">
      <w:pPr>
        <w:spacing w:line="560" w:lineRule="exact"/>
        <w:rPr>
          <w:rFonts w:eastAsia="仿宋_GB2312"/>
          <w:szCs w:val="24"/>
        </w:rPr>
      </w:pPr>
      <w:r>
        <w:rPr>
          <w:rFonts w:eastAsia="仿宋_GB2312"/>
          <w:szCs w:val="24"/>
        </w:rPr>
        <w:t>注册申请人应提供申请表、产品列表、既往沟通记录（如不适用，应当明确声明申报产品没有既往申报和/或申报前沟通）、关联文件（如主文档授权信）及其他管理信息等。</w:t>
      </w:r>
    </w:p>
    <w:p w14:paraId="7B3942AA">
      <w:pPr>
        <w:rPr>
          <w:rFonts w:eastAsia="仿宋_GB2312"/>
        </w:rPr>
      </w:pPr>
      <w:r>
        <w:rPr>
          <w:rFonts w:eastAsia="仿宋_GB2312"/>
        </w:rPr>
        <w:t>1.</w:t>
      </w:r>
      <w:r>
        <w:rPr>
          <w:rFonts w:hint="eastAsia" w:eastAsia="仿宋_GB2312"/>
        </w:rPr>
        <w:t>申请表</w:t>
      </w:r>
    </w:p>
    <w:p w14:paraId="7B2EC192">
      <w:pPr>
        <w:rPr>
          <w:rFonts w:eastAsia="仿宋_GB2312"/>
        </w:rPr>
      </w:pPr>
      <w:r>
        <w:rPr>
          <w:rFonts w:hint="eastAsia" w:eastAsia="仿宋_GB2312"/>
        </w:rPr>
        <w:t>1.1</w:t>
      </w:r>
      <w:r>
        <w:rPr>
          <w:rFonts w:eastAsia="仿宋_GB2312"/>
        </w:rPr>
        <w:t>产品名称</w:t>
      </w:r>
    </w:p>
    <w:p w14:paraId="0E2F5B0F">
      <w:pPr>
        <w:rPr>
          <w:rFonts w:eastAsia="仿宋_GB2312"/>
        </w:rPr>
      </w:pPr>
      <w:r>
        <w:rPr>
          <w:rFonts w:hint="eastAsia" w:ascii="仿宋_GB2312" w:hAnsi="仿宋_GB2312" w:eastAsia="仿宋_GB2312" w:cs="仿宋_GB2312"/>
          <w:color w:val="000000"/>
        </w:rPr>
        <w:t>产品名称应符合《医疗器械通用名称命名规则》或国家标准、行业标准上的通用名称，由一个核心词和一般不超过三个特征词组成，以体现产品的特性、使用特点和预期用途。品名</w:t>
      </w:r>
      <w:r>
        <w:rPr>
          <w:rFonts w:eastAsia="仿宋_GB2312"/>
        </w:rPr>
        <w:t>举例：一次性使用负压引流器、一次性使用负压引流球</w:t>
      </w:r>
      <w:r>
        <w:rPr>
          <w:rFonts w:hint="eastAsia" w:eastAsia="仿宋_GB2312"/>
        </w:rPr>
        <w:t>、一次性使用负压引流器及组件</w:t>
      </w:r>
      <w:r>
        <w:rPr>
          <w:rFonts w:eastAsia="仿宋_GB2312"/>
        </w:rPr>
        <w:t>等。</w:t>
      </w:r>
    </w:p>
    <w:p w14:paraId="0574F74B">
      <w:pPr>
        <w:rPr>
          <w:rFonts w:eastAsia="仿宋_GB2312"/>
        </w:rPr>
      </w:pPr>
      <w:r>
        <w:rPr>
          <w:rFonts w:hint="eastAsia" w:eastAsia="仿宋_GB2312"/>
        </w:rPr>
        <w:t>1.</w:t>
      </w:r>
      <w:r>
        <w:rPr>
          <w:rFonts w:eastAsia="仿宋_GB2312"/>
        </w:rPr>
        <w:t>2管理类别、分类编码</w:t>
      </w:r>
    </w:p>
    <w:p w14:paraId="06136594">
      <w:pPr>
        <w:rPr>
          <w:rFonts w:ascii="仿宋_GB2312" w:hAnsi="仿宋_GB2312" w:eastAsia="仿宋_GB2312" w:cs="仿宋_GB2312"/>
          <w:color w:val="000000"/>
        </w:rPr>
      </w:pPr>
      <w:r>
        <w:rPr>
          <w:rFonts w:ascii="仿宋_GB2312" w:hAnsi="仿宋_GB2312" w:eastAsia="仿宋_GB2312" w:cs="仿宋_GB2312"/>
          <w:color w:val="000000"/>
        </w:rPr>
        <w:t>根据《医疗器械分类目录》，</w:t>
      </w:r>
      <w:r>
        <w:rPr>
          <w:rFonts w:hint="eastAsia" w:ascii="仿宋_GB2312" w:hAnsi="仿宋_GB2312" w:eastAsia="仿宋_GB2312" w:cs="仿宋_GB2312"/>
          <w:color w:val="000000"/>
        </w:rPr>
        <w:t>申报产品按第二类医疗器械管理，分类编码为14-06-03。</w:t>
      </w:r>
    </w:p>
    <w:p w14:paraId="016E8235">
      <w:pPr>
        <w:rPr>
          <w:rFonts w:eastAsia="仿宋_GB2312"/>
        </w:rPr>
      </w:pPr>
      <w:r>
        <w:rPr>
          <w:rFonts w:hint="eastAsia" w:eastAsia="仿宋_GB2312"/>
        </w:rPr>
        <w:t>1.</w:t>
      </w:r>
      <w:r>
        <w:rPr>
          <w:rFonts w:eastAsia="仿宋_GB2312"/>
        </w:rPr>
        <w:t>3注册单元划分的原则和实例</w:t>
      </w:r>
    </w:p>
    <w:p w14:paraId="07F3D40B">
      <w:pPr>
        <w:outlineLvl w:val="1"/>
        <w:rPr>
          <w:rFonts w:eastAsia="仿宋_GB2312"/>
        </w:rPr>
      </w:pPr>
      <w:r>
        <w:rPr>
          <w:rFonts w:eastAsia="仿宋_GB2312"/>
        </w:rPr>
        <w:t>申报产品的注册单元原则上以产品的技术原理、主要结构组成、性能指标和适用范围为划分依据，同时应满足《医疗器械注册单元划分指导原则》相关要求。</w:t>
      </w:r>
    </w:p>
    <w:p w14:paraId="769D2F3D">
      <w:pPr>
        <w:pStyle w:val="2"/>
        <w:rPr>
          <w:rFonts w:eastAsia="仿宋_GB2312"/>
        </w:rPr>
      </w:pPr>
      <w:r>
        <w:rPr>
          <w:rFonts w:hint="eastAsia" w:eastAsia="仿宋_GB2312"/>
        </w:rPr>
        <w:t>产品结构型式不同导致性能指标存在差异而影响产品安全有效性时，建议划分为不同的注册单元。</w:t>
      </w:r>
    </w:p>
    <w:p w14:paraId="2A913555">
      <w:pPr>
        <w:rPr>
          <w:rFonts w:eastAsia="仿宋_GB2312"/>
        </w:rPr>
      </w:pPr>
      <w:r>
        <w:rPr>
          <w:rFonts w:eastAsia="仿宋_GB2312"/>
        </w:rPr>
        <w:t>如：</w:t>
      </w:r>
      <w:r>
        <w:rPr>
          <w:rFonts w:hint="eastAsia" w:eastAsia="仿宋_GB2312"/>
        </w:rPr>
        <w:t>手动负压引流器及组件、预置负压引流器及组件</w:t>
      </w:r>
      <w:r>
        <w:rPr>
          <w:rFonts w:eastAsia="仿宋_GB2312"/>
        </w:rPr>
        <w:t>建议划分为不同的注册单元。</w:t>
      </w:r>
    </w:p>
    <w:p w14:paraId="1832866B">
      <w:pPr>
        <w:rPr>
          <w:rFonts w:eastAsia="仿宋_GB2312"/>
        </w:rPr>
      </w:pPr>
      <w:r>
        <w:rPr>
          <w:rFonts w:hint="eastAsia" w:eastAsia="仿宋_GB2312"/>
        </w:rPr>
        <w:t>1.</w:t>
      </w:r>
      <w:r>
        <w:rPr>
          <w:rFonts w:eastAsia="仿宋_GB2312"/>
        </w:rPr>
        <w:t>4型号规格</w:t>
      </w:r>
    </w:p>
    <w:p w14:paraId="47AFB1F3">
      <w:pPr>
        <w:rPr>
          <w:rFonts w:eastAsia="仿宋_GB2312"/>
        </w:rPr>
      </w:pPr>
      <w:r>
        <w:rPr>
          <w:rFonts w:eastAsia="仿宋_GB2312"/>
        </w:rPr>
        <w:t>应明确申报产品的型号规格。</w:t>
      </w:r>
    </w:p>
    <w:p w14:paraId="15F59C4A">
      <w:pPr>
        <w:rPr>
          <w:rFonts w:eastAsia="仿宋_GB2312"/>
        </w:rPr>
      </w:pPr>
      <w:r>
        <w:rPr>
          <w:rFonts w:hint="eastAsia" w:eastAsia="仿宋_GB2312"/>
        </w:rPr>
        <w:t>1.</w:t>
      </w:r>
      <w:r>
        <w:rPr>
          <w:rFonts w:eastAsia="仿宋_GB2312"/>
        </w:rPr>
        <w:t>5结构及组成</w:t>
      </w:r>
    </w:p>
    <w:p w14:paraId="781884CA">
      <w:pPr>
        <w:ind w:left="640" w:leftChars="200" w:right="-102" w:rightChars="-32" w:firstLine="0" w:firstLineChars="0"/>
        <w:rPr>
          <w:rFonts w:eastAsia="仿宋_GB2312"/>
        </w:rPr>
      </w:pPr>
      <w:r>
        <w:rPr>
          <w:rFonts w:eastAsia="仿宋_GB2312"/>
        </w:rPr>
        <w:t>结构组成中部件名称应规范。各项文件中结构及组成应一致。2.产品列表</w:t>
      </w:r>
    </w:p>
    <w:p w14:paraId="5E50E97C">
      <w:pPr>
        <w:rPr>
          <w:rFonts w:eastAsia="仿宋_GB2312"/>
        </w:rPr>
      </w:pPr>
      <w:r>
        <w:rPr>
          <w:rFonts w:hint="eastAsia" w:eastAsia="仿宋_GB2312"/>
        </w:rPr>
        <w:t>应以表格形式</w:t>
      </w:r>
      <w:r>
        <w:rPr>
          <w:rFonts w:eastAsia="仿宋_GB2312"/>
        </w:rPr>
        <w:t>列出拟申报产品的型号、规格、结构及组成、附件，以及每个规格型号的标识（如型号或部件的编号、器械唯一标识等）和描述说明（如</w:t>
      </w:r>
      <w:r>
        <w:rPr>
          <w:rFonts w:hint="eastAsia" w:eastAsia="仿宋_GB2312"/>
        </w:rPr>
        <w:t>组件材质、包装方式</w:t>
      </w:r>
      <w:r>
        <w:rPr>
          <w:rFonts w:eastAsia="仿宋_GB2312"/>
        </w:rPr>
        <w:t>等）。</w:t>
      </w:r>
    </w:p>
    <w:p w14:paraId="62FA1DC4">
      <w:pPr>
        <w:rPr>
          <w:rFonts w:eastAsia="仿宋_GB2312"/>
        </w:rPr>
      </w:pPr>
      <w:r>
        <w:rPr>
          <w:rFonts w:hint="eastAsia" w:eastAsia="仿宋_GB2312"/>
        </w:rPr>
        <w:t>3.既往沟通记录（如适用）</w:t>
      </w:r>
    </w:p>
    <w:p w14:paraId="4CC53775">
      <w:pPr>
        <w:rPr>
          <w:rFonts w:eastAsia="仿宋_GB2312"/>
        </w:rPr>
      </w:pPr>
      <w:r>
        <w:rPr>
          <w:rFonts w:hint="eastAsia" w:eastAsia="仿宋_GB2312"/>
        </w:rPr>
        <w:t>在产品申报前，如果注册申请人与监管机构针对申报产品以会议形式进行了沟通，或者申报产品与既往注册申报相关，应提交相关沟通记录。</w:t>
      </w:r>
    </w:p>
    <w:p w14:paraId="2FEB20B3">
      <w:pPr>
        <w:rPr>
          <w:rFonts w:eastAsia="仿宋_GB2312"/>
        </w:rPr>
      </w:pPr>
      <w:r>
        <w:rPr>
          <w:rFonts w:hint="eastAsia" w:eastAsia="仿宋_GB2312"/>
        </w:rPr>
        <w:t>4.主文档授权信（如适用）</w:t>
      </w:r>
    </w:p>
    <w:p w14:paraId="6DD4AE91">
      <w:pPr>
        <w:rPr>
          <w:rFonts w:eastAsia="仿宋_GB2312"/>
        </w:rPr>
      </w:pPr>
      <w:r>
        <w:rPr>
          <w:rFonts w:hint="eastAsia" w:eastAsia="仿宋_GB2312"/>
        </w:rPr>
        <w:t>申请人应当对主文档引用的情况进行说明。</w:t>
      </w:r>
    </w:p>
    <w:p w14:paraId="72BBA13F">
      <w:pPr>
        <w:rPr>
          <w:rFonts w:eastAsia="仿宋_GB2312"/>
        </w:rPr>
      </w:pPr>
      <w:r>
        <w:rPr>
          <w:rFonts w:hint="eastAsia" w:eastAsia="仿宋_GB2312"/>
        </w:rPr>
        <w:t>5.其它管理信息</w:t>
      </w:r>
    </w:p>
    <w:p w14:paraId="125F4699">
      <w:pPr>
        <w:rPr>
          <w:rFonts w:eastAsia="仿宋_GB2312"/>
        </w:rPr>
      </w:pPr>
      <w:r>
        <w:rPr>
          <w:rFonts w:hint="eastAsia" w:eastAsia="仿宋_GB2312"/>
        </w:rPr>
        <w:t>5.1按照《创新医疗器械特别审查程序》审批的境内医疗器械申请注册时，应当提交通过创新医疗器械审查的相关说明。</w:t>
      </w:r>
    </w:p>
    <w:p w14:paraId="235D6019">
      <w:pPr>
        <w:rPr>
          <w:rFonts w:eastAsia="仿宋_GB2312"/>
        </w:rPr>
      </w:pPr>
      <w:r>
        <w:rPr>
          <w:rFonts w:hint="eastAsia" w:eastAsia="仿宋_GB2312"/>
        </w:rPr>
        <w:t>5.2按照《医疗器械应急审批程序》审批的医疗器械产品申请注册时，应当提交通过医疗器械应急审批的相关说明。</w:t>
      </w:r>
    </w:p>
    <w:p w14:paraId="6A2BC61A">
      <w:pPr>
        <w:rPr>
          <w:rFonts w:eastAsia="仿宋_GB2312"/>
        </w:rPr>
      </w:pPr>
      <w:r>
        <w:rPr>
          <w:rFonts w:hint="eastAsia" w:eastAsia="仿宋_GB2312"/>
        </w:rPr>
        <w:t>5.3委托其他企业生产的，应当提供受托企业资格文件（营业执照副本复印件）、委托合同和质量协议。</w:t>
      </w:r>
    </w:p>
    <w:p w14:paraId="0086A928">
      <w:pPr>
        <w:tabs>
          <w:tab w:val="left" w:pos="6720"/>
        </w:tabs>
        <w:spacing w:line="560" w:lineRule="exact"/>
        <w:outlineLvl w:val="0"/>
        <w:rPr>
          <w:rFonts w:eastAsia="楷体_GB2312"/>
          <w:bCs/>
        </w:rPr>
      </w:pPr>
      <w:r>
        <w:rPr>
          <w:rFonts w:hint="eastAsia" w:eastAsia="楷体_GB2312"/>
          <w:bCs/>
        </w:rPr>
        <w:t>（二）综述资料</w:t>
      </w:r>
    </w:p>
    <w:p w14:paraId="637CC3D0">
      <w:pPr>
        <w:rPr>
          <w:rFonts w:eastAsia="仿宋_GB2312"/>
        </w:rPr>
      </w:pPr>
      <w:r>
        <w:rPr>
          <w:rFonts w:hint="eastAsia" w:eastAsia="仿宋_GB2312"/>
        </w:rPr>
        <w:t>1</w:t>
      </w:r>
      <w:r>
        <w:rPr>
          <w:rFonts w:eastAsia="仿宋_GB2312"/>
        </w:rPr>
        <w:t>.产品描述</w:t>
      </w:r>
    </w:p>
    <w:p w14:paraId="2C5BDB85">
      <w:pPr>
        <w:rPr>
          <w:rFonts w:eastAsia="仿宋_GB2312"/>
        </w:rPr>
      </w:pPr>
      <w:r>
        <w:rPr>
          <w:rFonts w:hint="eastAsia" w:eastAsia="仿宋_GB2312"/>
        </w:rPr>
        <w:t>1</w:t>
      </w:r>
      <w:r>
        <w:rPr>
          <w:rFonts w:eastAsia="仿宋_GB2312"/>
        </w:rPr>
        <w:t>.1工作原理</w:t>
      </w:r>
    </w:p>
    <w:p w14:paraId="335B5F3A">
      <w:pPr>
        <w:rPr>
          <w:rFonts w:eastAsia="仿宋_GB2312"/>
        </w:rPr>
      </w:pPr>
      <w:r>
        <w:rPr>
          <w:rFonts w:hint="eastAsia" w:eastAsia="仿宋_GB2312"/>
        </w:rPr>
        <w:t>应描述申报产品的工作原理。</w:t>
      </w:r>
      <w:r>
        <w:rPr>
          <w:rFonts w:eastAsia="仿宋_GB2312"/>
        </w:rPr>
        <w:t>产品</w:t>
      </w:r>
      <w:r>
        <w:rPr>
          <w:rFonts w:hint="eastAsia" w:eastAsia="仿宋_GB2312"/>
        </w:rPr>
        <w:t>通常与</w:t>
      </w:r>
      <w:r>
        <w:rPr>
          <w:rFonts w:eastAsia="仿宋_GB2312"/>
        </w:rPr>
        <w:t>引流导管相连，在负压</w:t>
      </w:r>
      <w:r>
        <w:rPr>
          <w:rFonts w:hint="eastAsia" w:eastAsia="仿宋_GB2312"/>
        </w:rPr>
        <w:t>吸引</w:t>
      </w:r>
      <w:r>
        <w:rPr>
          <w:rFonts w:eastAsia="仿宋_GB2312"/>
        </w:rPr>
        <w:t>作用下，将人体组织间或体腔中积聚的脓</w:t>
      </w:r>
      <w:r>
        <w:rPr>
          <w:rFonts w:hint="eastAsia" w:eastAsia="仿宋_GB2312"/>
        </w:rPr>
        <w:t>液</w:t>
      </w:r>
      <w:r>
        <w:rPr>
          <w:rFonts w:eastAsia="仿宋_GB2312"/>
        </w:rPr>
        <w:t>、渗出血液、组织液及其他液体</w:t>
      </w:r>
      <w:r>
        <w:rPr>
          <w:rFonts w:hint="eastAsia" w:eastAsia="仿宋_GB2312"/>
        </w:rPr>
        <w:t>引导</w:t>
      </w:r>
      <w:r>
        <w:rPr>
          <w:rFonts w:eastAsia="仿宋_GB2312"/>
        </w:rPr>
        <w:t>至体外，防止液体淤积导致术后感染。起到充当负压传导介质和/或引导、收集引流液的作用。</w:t>
      </w:r>
    </w:p>
    <w:p w14:paraId="4B1CAAF5">
      <w:pPr>
        <w:rPr>
          <w:rFonts w:eastAsia="仿宋_GB2312"/>
        </w:rPr>
      </w:pPr>
      <w:r>
        <w:rPr>
          <w:rFonts w:hint="eastAsia" w:eastAsia="仿宋_GB2312"/>
        </w:rPr>
        <w:t>1</w:t>
      </w:r>
      <w:r>
        <w:rPr>
          <w:rFonts w:eastAsia="仿宋_GB2312"/>
        </w:rPr>
        <w:t>.2结构及组成</w:t>
      </w:r>
    </w:p>
    <w:p w14:paraId="7AAF7DDF">
      <w:pPr>
        <w:rPr>
          <w:rFonts w:eastAsia="仿宋_GB2312"/>
        </w:rPr>
      </w:pPr>
      <w:r>
        <w:rPr>
          <w:rFonts w:hint="eastAsia" w:eastAsia="仿宋_GB2312"/>
        </w:rPr>
        <w:t>产品主要</w:t>
      </w:r>
      <w:r>
        <w:rPr>
          <w:rFonts w:eastAsia="仿宋_GB2312"/>
        </w:rPr>
        <w:t>由</w:t>
      </w:r>
      <w:r>
        <w:rPr>
          <w:rFonts w:hint="eastAsia" w:eastAsia="仿宋_GB2312"/>
        </w:rPr>
        <w:t>负压引流器</w:t>
      </w:r>
      <w:r>
        <w:rPr>
          <w:rFonts w:eastAsia="仿宋_GB2312"/>
        </w:rPr>
        <w:t>器身、弹簧、调节器组</w:t>
      </w:r>
      <w:r>
        <w:rPr>
          <w:rFonts w:hint="eastAsia" w:eastAsia="仿宋_GB2312"/>
        </w:rPr>
        <w:t>件</w:t>
      </w:r>
      <w:r>
        <w:rPr>
          <w:rFonts w:eastAsia="仿宋_GB2312"/>
        </w:rPr>
        <w:t>、连接接头、连接管、止流夹、</w:t>
      </w:r>
      <w:r>
        <w:rPr>
          <w:rFonts w:hint="eastAsia" w:eastAsia="仿宋_GB2312"/>
        </w:rPr>
        <w:t>止溢阀、防逆流单向阀、</w:t>
      </w:r>
      <w:r>
        <w:rPr>
          <w:rFonts w:eastAsia="仿宋_GB2312"/>
        </w:rPr>
        <w:t>护帽、引流袋、手动负压源（负压球）组成</w:t>
      </w:r>
      <w:r>
        <w:rPr>
          <w:rFonts w:hint="eastAsia" w:eastAsia="仿宋_GB2312"/>
        </w:rPr>
        <w:t>，收集装置中可含有固化剂。产品通常分为手动负压引流器及组件、预置负压引流器及组件。</w:t>
      </w:r>
      <w:r>
        <w:rPr>
          <w:rFonts w:eastAsia="仿宋_GB2312"/>
        </w:rPr>
        <w:t>无菌提供。不包括插入体内的引流导管。</w:t>
      </w:r>
    </w:p>
    <w:p w14:paraId="7C02028C">
      <w:pPr>
        <w:rPr>
          <w:rFonts w:eastAsia="仿宋_GB2312"/>
        </w:rPr>
      </w:pPr>
      <w:r>
        <w:rPr>
          <w:rFonts w:hint="eastAsia" w:eastAsia="仿宋_GB2312"/>
        </w:rPr>
        <w:t>手动负压引流器及组件常见</w:t>
      </w:r>
      <w:r>
        <w:rPr>
          <w:rFonts w:eastAsia="仿宋_GB2312"/>
        </w:rPr>
        <w:t>外形结构见图1。</w:t>
      </w:r>
    </w:p>
    <w:p w14:paraId="648BC9D8">
      <w:pPr>
        <w:spacing w:line="240" w:lineRule="auto"/>
        <w:ind w:firstLine="0" w:firstLineChars="0"/>
        <w:jc w:val="left"/>
      </w:pPr>
      <w:r>
        <w:rPr>
          <w:rFonts w:eastAsia="Times New Roman"/>
          <w:snapToGrid w:val="0"/>
          <w:w w:val="0"/>
          <w:kern w:val="0"/>
          <w:u w:color="000000"/>
          <w:shd w:val="clear" w:color="auto" w:fill="FFFFFF" w:themeFill="background1"/>
        </w:rPr>
        <w:drawing>
          <wp:anchor distT="0" distB="0" distL="0" distR="0" simplePos="0" relativeHeight="251659264" behindDoc="1" locked="0" layoutInCell="1" allowOverlap="1">
            <wp:simplePos x="0" y="0"/>
            <wp:positionH relativeFrom="column">
              <wp:posOffset>2717800</wp:posOffset>
            </wp:positionH>
            <wp:positionV relativeFrom="paragraph">
              <wp:posOffset>90805</wp:posOffset>
            </wp:positionV>
            <wp:extent cx="1242060" cy="1191895"/>
            <wp:effectExtent l="0" t="0" r="15240" b="8255"/>
            <wp:wrapNone/>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12" cstate="print">
                      <a:lum bright="6000" contrast="-6000"/>
                      <a:extLst>
                        <a:ext uri="{28A0092B-C50C-407E-A947-70E740481C1C}">
                          <a14:useLocalDpi xmlns:a14="http://schemas.microsoft.com/office/drawing/2010/main" val="0"/>
                        </a:ext>
                      </a:extLst>
                    </a:blip>
                    <a:srcRect l="67305" t="25348" r="1492" b="31757"/>
                    <a:stretch>
                      <a:fillRect/>
                    </a:stretch>
                  </pic:blipFill>
                  <pic:spPr>
                    <a:xfrm>
                      <a:off x="0" y="0"/>
                      <a:ext cx="1242060" cy="1191895"/>
                    </a:xfrm>
                    <a:prstGeom prst="rect">
                      <a:avLst/>
                    </a:prstGeom>
                    <a:noFill/>
                    <a:ln>
                      <a:noFill/>
                    </a:ln>
                  </pic:spPr>
                </pic:pic>
              </a:graphicData>
            </a:graphic>
          </wp:anchor>
        </w:drawing>
      </w:r>
      <w:r>
        <w:rPr>
          <w:shd w:val="clear" w:color="auto" w:fill="FFFFFF" w:themeFill="background1"/>
        </w:rPr>
        <w:t xml:space="preserve">      </w:t>
      </w:r>
      <w:r>
        <w:rPr>
          <w:rFonts w:hint="eastAsia"/>
          <w:shd w:val="clear" w:color="auto" w:fill="FFFFFF" w:themeFill="background1"/>
        </w:rPr>
        <w:t xml:space="preserve">   </w:t>
      </w:r>
      <w:r>
        <w:rPr>
          <w:shd w:val="clear" w:color="auto" w:fill="FFFFFF" w:themeFill="background1"/>
        </w:rPr>
        <w:t xml:space="preserve">    </w:t>
      </w:r>
      <w:r>
        <w:rPr>
          <w:rFonts w:eastAsia="Times New Roman"/>
          <w:snapToGrid w:val="0"/>
          <w:w w:val="0"/>
          <w:kern w:val="0"/>
          <w:sz w:val="0"/>
          <w:szCs w:val="0"/>
          <w:u w:color="000000"/>
          <w:shd w:val="clear" w:color="auto" w:fill="FFFFFF" w:themeFill="background1"/>
          <w:lang w:val="zh-CN" w:bidi="zh-CN"/>
        </w:rPr>
        <w:t xml:space="preserve">  </w:t>
      </w:r>
      <w:r>
        <w:rPr>
          <w:rFonts w:hint="eastAsia" w:eastAsiaTheme="minorEastAsia"/>
          <w:snapToGrid w:val="0"/>
          <w:w w:val="0"/>
          <w:kern w:val="0"/>
          <w:sz w:val="0"/>
          <w:szCs w:val="0"/>
          <w:u w:color="000000"/>
          <w:shd w:val="clear" w:color="auto" w:fill="FFFFFF" w:themeFill="background1"/>
          <w:lang w:val="zh-CN" w:bidi="zh-CN"/>
        </w:rPr>
        <w:t xml:space="preserve">    </w:t>
      </w:r>
      <w:r>
        <w:rPr>
          <w:shd w:val="clear" w:color="auto" w:fill="FFFFFF" w:themeFill="background1"/>
        </w:rPr>
        <w:drawing>
          <wp:inline distT="0" distB="0" distL="0" distR="0">
            <wp:extent cx="1293495" cy="1280160"/>
            <wp:effectExtent l="0" t="0" r="1905" b="15240"/>
            <wp:docPr id="2788032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03248" name="图片 4"/>
                    <pic:cNvPicPr>
                      <a:picLocks noChangeAspect="1" noChangeArrowheads="1"/>
                    </pic:cNvPicPr>
                  </pic:nvPicPr>
                  <pic:blipFill>
                    <a:blip r:embed="rId13" cstate="print">
                      <a:lum bright="6000"/>
                      <a:extLst>
                        <a:ext uri="{28A0092B-C50C-407E-A947-70E740481C1C}">
                          <a14:useLocalDpi xmlns:a14="http://schemas.microsoft.com/office/drawing/2010/main" val="0"/>
                        </a:ext>
                      </a:extLst>
                    </a:blip>
                    <a:srcRect l="49704"/>
                    <a:stretch>
                      <a:fillRect/>
                    </a:stretch>
                  </pic:blipFill>
                  <pic:spPr>
                    <a:xfrm rot="10800000">
                      <a:off x="0" y="0"/>
                      <a:ext cx="1293495" cy="1309249"/>
                    </a:xfrm>
                    <a:prstGeom prst="rect">
                      <a:avLst/>
                    </a:prstGeom>
                    <a:noFill/>
                    <a:ln>
                      <a:noFill/>
                    </a:ln>
                  </pic:spPr>
                </pic:pic>
              </a:graphicData>
            </a:graphic>
          </wp:inline>
        </w:drawing>
      </w:r>
    </w:p>
    <w:p w14:paraId="1CF66C94">
      <w:pPr>
        <w:spacing w:line="240" w:lineRule="auto"/>
        <w:ind w:firstLine="0" w:firstLineChars="0"/>
      </w:pPr>
      <w:r>
        <w:rPr>
          <w:rFonts w:hint="eastAsia"/>
        </w:rPr>
        <w:t xml:space="preserve"> </w:t>
      </w:r>
      <w:r>
        <w:t xml:space="preserve">       </w:t>
      </w:r>
      <w:r>
        <w:rPr>
          <w:rFonts w:hint="eastAsia"/>
        </w:rPr>
        <w:t xml:space="preserve">  </w:t>
      </w:r>
      <w:r>
        <w:t xml:space="preserve"> </w:t>
      </w:r>
      <w:r>
        <w:rPr>
          <w:rFonts w:hint="eastAsia"/>
        </w:rPr>
        <w:t xml:space="preserve">  </w:t>
      </w:r>
      <w:r>
        <w:rPr>
          <w:rFonts w:hint="eastAsia"/>
        </w:rPr>
        <w:drawing>
          <wp:inline distT="0" distB="0" distL="0" distR="0">
            <wp:extent cx="1276985" cy="1147445"/>
            <wp:effectExtent l="0" t="0" r="18415" b="1460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noChangeArrowheads="1"/>
                    </pic:cNvPicPr>
                  </pic:nvPicPr>
                  <pic:blipFill>
                    <a:blip r:embed="rId14" cstate="print">
                      <a:lum bright="6000"/>
                      <a:extLst>
                        <a:ext uri="{28A0092B-C50C-407E-A947-70E740481C1C}">
                          <a14:useLocalDpi xmlns:a14="http://schemas.microsoft.com/office/drawing/2010/main" val="0"/>
                        </a:ext>
                      </a:extLst>
                    </a:blip>
                    <a:srcRect/>
                    <a:stretch>
                      <a:fillRect/>
                    </a:stretch>
                  </pic:blipFill>
                  <pic:spPr>
                    <a:xfrm>
                      <a:off x="0" y="0"/>
                      <a:ext cx="1276985" cy="1147445"/>
                    </a:xfrm>
                    <a:prstGeom prst="rect">
                      <a:avLst/>
                    </a:prstGeom>
                    <a:noFill/>
                    <a:ln>
                      <a:noFill/>
                    </a:ln>
                  </pic:spPr>
                </pic:pic>
              </a:graphicData>
            </a:graphic>
          </wp:inline>
        </w:drawing>
      </w:r>
      <w:r>
        <w:rPr>
          <w:rFonts w:hint="eastAsia"/>
        </w:rPr>
        <w:t xml:space="preserve"> </w:t>
      </w:r>
      <w:r>
        <w:rPr>
          <w:rFonts w:eastAsia="Times New Roman"/>
          <w:snapToGrid w:val="0"/>
          <w:w w:val="0"/>
          <w:kern w:val="0"/>
          <w:u w:color="000000"/>
          <w:shd w:val="clear" w:color="auto" w:fill="FFFFFF" w:themeFill="background1"/>
        </w:rPr>
        <w:drawing>
          <wp:inline distT="0" distB="0" distL="0" distR="0">
            <wp:extent cx="1216660" cy="1144270"/>
            <wp:effectExtent l="0" t="0" r="2540" b="1778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15" cstate="print">
                      <a:lum bright="18000"/>
                      <a:extLst>
                        <a:ext uri="{28A0092B-C50C-407E-A947-70E740481C1C}">
                          <a14:useLocalDpi xmlns:a14="http://schemas.microsoft.com/office/drawing/2010/main" val="0"/>
                        </a:ext>
                      </a:extLst>
                    </a:blip>
                    <a:srcRect l="34730" t="25018" r="34127" b="31289"/>
                    <a:stretch>
                      <a:fillRect/>
                    </a:stretch>
                  </pic:blipFill>
                  <pic:spPr>
                    <a:xfrm>
                      <a:off x="0" y="0"/>
                      <a:ext cx="1216660" cy="1144270"/>
                    </a:xfrm>
                    <a:prstGeom prst="rect">
                      <a:avLst/>
                    </a:prstGeom>
                    <a:noFill/>
                    <a:ln>
                      <a:noFill/>
                    </a:ln>
                  </pic:spPr>
                </pic:pic>
              </a:graphicData>
            </a:graphic>
          </wp:inline>
        </w:drawing>
      </w:r>
      <w:r>
        <w:rPr>
          <w:rFonts w:hint="eastAsia"/>
        </w:rPr>
        <w:t xml:space="preserve"> </w:t>
      </w:r>
    </w:p>
    <w:p w14:paraId="42518038">
      <w:pPr>
        <w:spacing w:line="240" w:lineRule="auto"/>
        <w:ind w:firstLine="0" w:firstLineChars="0"/>
        <w:jc w:val="center"/>
      </w:pPr>
      <w:r>
        <w:rPr>
          <w:rFonts w:hint="eastAsia"/>
        </w:rPr>
        <w:t>图1</w:t>
      </w:r>
      <w:r>
        <w:rPr>
          <w:rFonts w:hint="eastAsia" w:eastAsia="仿宋_GB2312"/>
        </w:rPr>
        <w:t>手动负压引流器及组件</w:t>
      </w:r>
    </w:p>
    <w:p w14:paraId="4FE08586">
      <w:pPr>
        <w:spacing w:line="240" w:lineRule="auto"/>
        <w:ind w:firstLine="0" w:firstLineChars="0"/>
        <w:jc w:val="center"/>
        <w:rPr>
          <w:rFonts w:eastAsia="仿宋_GB2312"/>
        </w:rPr>
      </w:pPr>
      <w:r>
        <w:rPr>
          <w:rFonts w:hint="eastAsia" w:eastAsia="仿宋_GB2312"/>
        </w:rPr>
        <w:t>预置负压引流器及组件常见</w:t>
      </w:r>
      <w:r>
        <w:rPr>
          <w:rFonts w:eastAsia="仿宋_GB2312"/>
        </w:rPr>
        <w:t>外形结构见图</w:t>
      </w:r>
      <w:r>
        <w:rPr>
          <w:rFonts w:hint="eastAsia" w:eastAsia="仿宋_GB2312"/>
        </w:rPr>
        <w:t>2</w:t>
      </w:r>
      <w:r>
        <w:rPr>
          <w:rFonts w:eastAsia="仿宋_GB2312"/>
        </w:rPr>
        <w:t>。</w:t>
      </w:r>
    </w:p>
    <w:p w14:paraId="412CBA76">
      <w:pPr>
        <w:spacing w:line="240" w:lineRule="auto"/>
        <w:ind w:firstLine="0" w:firstLineChars="0"/>
        <w:jc w:val="center"/>
      </w:pPr>
      <w:r>
        <w:drawing>
          <wp:inline distT="0" distB="0" distL="0" distR="0">
            <wp:extent cx="1026160" cy="1474470"/>
            <wp:effectExtent l="0" t="0" r="2540" b="11430"/>
            <wp:docPr id="4815581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8165"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flipH="1">
                      <a:off x="0" y="0"/>
                      <a:ext cx="1026160" cy="1474470"/>
                    </a:xfrm>
                    <a:prstGeom prst="rect">
                      <a:avLst/>
                    </a:prstGeom>
                    <a:noFill/>
                    <a:ln>
                      <a:noFill/>
                    </a:ln>
                  </pic:spPr>
                </pic:pic>
              </a:graphicData>
            </a:graphic>
          </wp:inline>
        </w:drawing>
      </w:r>
      <w:r>
        <w:rPr>
          <w:rFonts w:hint="eastAsia"/>
        </w:rPr>
        <w:t xml:space="preserve">      </w:t>
      </w:r>
      <w:r>
        <w:rPr>
          <w:rFonts w:hint="eastAsia"/>
        </w:rPr>
        <w:drawing>
          <wp:inline distT="0" distB="0" distL="0" distR="0">
            <wp:extent cx="1290320" cy="1378585"/>
            <wp:effectExtent l="0" t="0" r="5080" b="12065"/>
            <wp:docPr id="5029952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95269" name="图片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290320" cy="1378585"/>
                    </a:xfrm>
                    <a:prstGeom prst="rect">
                      <a:avLst/>
                    </a:prstGeom>
                    <a:noFill/>
                    <a:ln>
                      <a:noFill/>
                    </a:ln>
                  </pic:spPr>
                </pic:pic>
              </a:graphicData>
            </a:graphic>
          </wp:inline>
        </w:drawing>
      </w:r>
      <w:r>
        <w:rPr>
          <w:rFonts w:hint="eastAsia"/>
        </w:rPr>
        <w:t xml:space="preserve">   </w:t>
      </w:r>
    </w:p>
    <w:p w14:paraId="778B5F8B">
      <w:pPr>
        <w:spacing w:line="240" w:lineRule="auto"/>
        <w:ind w:firstLine="0" w:firstLineChars="0"/>
        <w:jc w:val="center"/>
      </w:pPr>
      <w:r>
        <w:rPr>
          <w:rFonts w:hint="eastAsia"/>
        </w:rPr>
        <w:t>图2</w:t>
      </w:r>
      <w:r>
        <w:rPr>
          <w:rFonts w:hint="eastAsia" w:eastAsia="仿宋_GB2312"/>
        </w:rPr>
        <w:t>预置负压引流器及组件</w:t>
      </w:r>
    </w:p>
    <w:p w14:paraId="3A3EF1EA">
      <w:pPr>
        <w:rPr>
          <w:rFonts w:eastAsia="仿宋_GB2312"/>
        </w:rPr>
      </w:pPr>
      <w:r>
        <w:rPr>
          <w:rFonts w:hint="eastAsia" w:eastAsia="仿宋_GB2312"/>
        </w:rPr>
        <w:t>1</w:t>
      </w:r>
      <w:r>
        <w:rPr>
          <w:rFonts w:eastAsia="仿宋_GB2312"/>
        </w:rPr>
        <w:t>.3型号规格</w:t>
      </w:r>
    </w:p>
    <w:p w14:paraId="595E80F4">
      <w:pPr>
        <w:rPr>
          <w:rFonts w:eastAsia="仿宋_GB2312"/>
        </w:rPr>
      </w:pPr>
      <w:r>
        <w:rPr>
          <w:rFonts w:eastAsia="仿宋_GB2312"/>
        </w:rPr>
        <w:t>说明产品的型号规格及划分依据，明确各型号规格的区别。</w:t>
      </w:r>
    </w:p>
    <w:p w14:paraId="27A787DC">
      <w:pPr>
        <w:rPr>
          <w:rFonts w:eastAsia="仿宋_GB2312"/>
        </w:rPr>
      </w:pPr>
      <w:r>
        <w:rPr>
          <w:rFonts w:hint="eastAsia" w:eastAsia="仿宋_GB2312"/>
        </w:rPr>
        <w:t>1</w:t>
      </w:r>
      <w:r>
        <w:rPr>
          <w:rFonts w:eastAsia="仿宋_GB2312"/>
        </w:rPr>
        <w:t>.4包装说明</w:t>
      </w:r>
    </w:p>
    <w:p w14:paraId="75A52A8C">
      <w:pPr>
        <w:rPr>
          <w:rFonts w:eastAsia="仿宋_GB2312"/>
        </w:rPr>
      </w:pPr>
      <w:r>
        <w:rPr>
          <w:rFonts w:eastAsia="仿宋_GB2312"/>
        </w:rPr>
        <w:t>说明产品的包装，写明产品各包装（初包装、中包装、大包装）的信息。产品的初包装应与灭菌方法相适应。</w:t>
      </w:r>
    </w:p>
    <w:p w14:paraId="1DCD483F">
      <w:pPr>
        <w:rPr>
          <w:rFonts w:eastAsia="仿宋_GB2312"/>
        </w:rPr>
      </w:pPr>
      <w:r>
        <w:rPr>
          <w:rFonts w:hint="eastAsia" w:eastAsia="仿宋_GB2312"/>
        </w:rPr>
        <w:t>1</w:t>
      </w:r>
      <w:r>
        <w:rPr>
          <w:rFonts w:eastAsia="仿宋_GB2312"/>
        </w:rPr>
        <w:t>.5研发历程</w:t>
      </w:r>
    </w:p>
    <w:p w14:paraId="2D44B297">
      <w:pPr>
        <w:rPr>
          <w:rFonts w:eastAsia="仿宋_GB2312"/>
        </w:rPr>
      </w:pPr>
      <w:r>
        <w:rPr>
          <w:rFonts w:eastAsia="仿宋_GB2312"/>
        </w:rPr>
        <w:t>阐述申请注册产品的研发背景和目的。如有参考的同类产品或前代产品，应当提供同类产品或前代产品的信息，并说明选择其作为研发参考的原因。</w:t>
      </w:r>
    </w:p>
    <w:p w14:paraId="337F838A">
      <w:pPr>
        <w:rPr>
          <w:rFonts w:eastAsia="仿宋_GB2312"/>
        </w:rPr>
      </w:pPr>
      <w:r>
        <w:rPr>
          <w:rFonts w:hint="eastAsia" w:eastAsia="仿宋_GB2312"/>
        </w:rPr>
        <w:t>1</w:t>
      </w:r>
      <w:r>
        <w:rPr>
          <w:rFonts w:eastAsia="仿宋_GB2312"/>
        </w:rPr>
        <w:t>.6与同类和/或前代产品的参考和比较</w:t>
      </w:r>
    </w:p>
    <w:p w14:paraId="21A4CCF7">
      <w:pPr>
        <w:rPr>
          <w:rFonts w:eastAsia="仿宋_GB2312"/>
        </w:rPr>
      </w:pPr>
      <w:r>
        <w:rPr>
          <w:rFonts w:eastAsia="仿宋_GB2312"/>
        </w:rPr>
        <w:t>列表比较说明申报产品与同类产品和/或前代产品（如有）在工作原理、结构组成、制造材料、性能指标，以及适用范围等方面的异同。</w:t>
      </w:r>
    </w:p>
    <w:p w14:paraId="405C6028">
      <w:pPr>
        <w:rPr>
          <w:rFonts w:eastAsia="仿宋_GB2312"/>
        </w:rPr>
      </w:pPr>
      <w:r>
        <w:rPr>
          <w:rFonts w:hint="eastAsia" w:eastAsia="仿宋_GB2312"/>
        </w:rPr>
        <w:t>2</w:t>
      </w:r>
      <w:r>
        <w:rPr>
          <w:rFonts w:eastAsia="仿宋_GB2312"/>
        </w:rPr>
        <w:t>.适用范围</w:t>
      </w:r>
      <w:r>
        <w:rPr>
          <w:rFonts w:hint="eastAsia" w:eastAsia="仿宋_GB2312"/>
        </w:rPr>
        <w:t>和</w:t>
      </w:r>
      <w:r>
        <w:rPr>
          <w:rFonts w:eastAsia="仿宋_GB2312"/>
        </w:rPr>
        <w:t>禁忌证</w:t>
      </w:r>
    </w:p>
    <w:p w14:paraId="6988AA3E">
      <w:pPr>
        <w:rPr>
          <w:rFonts w:eastAsia="仿宋_GB2312"/>
        </w:rPr>
      </w:pPr>
      <w:r>
        <w:rPr>
          <w:rFonts w:hint="eastAsia" w:eastAsia="仿宋_GB2312"/>
        </w:rPr>
        <w:t>2</w:t>
      </w:r>
      <w:r>
        <w:rPr>
          <w:rFonts w:eastAsia="仿宋_GB2312"/>
        </w:rPr>
        <w:t>.1适用范围</w:t>
      </w:r>
    </w:p>
    <w:p w14:paraId="113ECD71">
      <w:pPr>
        <w:rPr>
          <w:rFonts w:eastAsia="仿宋_GB2312"/>
        </w:rPr>
      </w:pPr>
      <w:r>
        <w:rPr>
          <w:rFonts w:hint="eastAsia" w:eastAsia="仿宋_GB2312"/>
        </w:rPr>
        <w:t>产品</w:t>
      </w:r>
      <w:r>
        <w:rPr>
          <w:rFonts w:eastAsia="仿宋_GB2312"/>
        </w:rPr>
        <w:t>用于临床负压引流时，与插入体内的引流导管相连接，起到充当负压传导介质和/或引导、收集引流液的作用。</w:t>
      </w:r>
    </w:p>
    <w:p w14:paraId="4A14B8D3">
      <w:pPr>
        <w:rPr>
          <w:rFonts w:eastAsia="仿宋_GB2312"/>
        </w:rPr>
      </w:pPr>
      <w:r>
        <w:rPr>
          <w:rFonts w:hint="eastAsia" w:eastAsia="仿宋_GB2312"/>
        </w:rPr>
        <w:t>2</w:t>
      </w:r>
      <w:r>
        <w:rPr>
          <w:rFonts w:eastAsia="仿宋_GB2312"/>
        </w:rPr>
        <w:t>.2预期使用环境</w:t>
      </w:r>
    </w:p>
    <w:p w14:paraId="00992FAC">
      <w:pPr>
        <w:rPr>
          <w:rFonts w:eastAsia="仿宋_GB2312"/>
        </w:rPr>
      </w:pPr>
      <w:r>
        <w:rPr>
          <w:rFonts w:eastAsia="仿宋_GB2312"/>
          <w:snapToGrid w:val="0"/>
          <w:kern w:val="0"/>
        </w:rPr>
        <w:t>应明确</w:t>
      </w:r>
      <w:r>
        <w:rPr>
          <w:rFonts w:hint="eastAsia" w:eastAsia="仿宋_GB2312"/>
          <w:snapToGrid w:val="0"/>
          <w:kern w:val="0"/>
        </w:rPr>
        <w:t>申报</w:t>
      </w:r>
      <w:r>
        <w:rPr>
          <w:rFonts w:eastAsia="仿宋_GB2312"/>
          <w:snapToGrid w:val="0"/>
          <w:kern w:val="0"/>
        </w:rPr>
        <w:t>产品使用场所</w:t>
      </w:r>
      <w:r>
        <w:rPr>
          <w:rFonts w:hint="eastAsia" w:eastAsia="仿宋_GB2312"/>
          <w:snapToGrid w:val="0"/>
          <w:kern w:val="0"/>
        </w:rPr>
        <w:t>要求，</w:t>
      </w:r>
      <w:r>
        <w:rPr>
          <w:rFonts w:hint="eastAsia" w:ascii="仿宋_GB2312" w:hAnsi="仿宋_GB2312" w:eastAsia="仿宋_GB2312" w:cs="仿宋_GB2312"/>
        </w:rPr>
        <w:t>如医疗机构等</w:t>
      </w:r>
      <w:r>
        <w:rPr>
          <w:rFonts w:eastAsia="仿宋_GB2312"/>
        </w:rPr>
        <w:t>。</w:t>
      </w:r>
    </w:p>
    <w:p w14:paraId="6AB33F53">
      <w:pPr>
        <w:pStyle w:val="41"/>
        <w:spacing w:line="560" w:lineRule="exact"/>
        <w:ind w:firstLine="645"/>
        <w:rPr>
          <w:rFonts w:eastAsia="仿宋_GB2312"/>
          <w:snapToGrid w:val="0"/>
          <w:kern w:val="0"/>
          <w:sz w:val="32"/>
          <w:szCs w:val="32"/>
        </w:rPr>
      </w:pPr>
      <w:r>
        <w:rPr>
          <w:rFonts w:eastAsia="仿宋_GB2312"/>
          <w:snapToGrid w:val="0"/>
          <w:kern w:val="0"/>
          <w:sz w:val="32"/>
          <w:szCs w:val="32"/>
        </w:rPr>
        <w:t>2.3适用人群</w:t>
      </w:r>
    </w:p>
    <w:p w14:paraId="2581A7A5">
      <w:pPr>
        <w:pStyle w:val="42"/>
        <w:overflowPunct w:val="0"/>
        <w:autoSpaceDE w:val="0"/>
        <w:autoSpaceDN w:val="0"/>
        <w:spacing w:line="56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应详述</w:t>
      </w:r>
      <w:r>
        <w:rPr>
          <w:rFonts w:hint="eastAsia" w:ascii="Times New Roman" w:hAnsi="Times New Roman" w:eastAsia="仿宋_GB2312"/>
          <w:snapToGrid w:val="0"/>
          <w:kern w:val="0"/>
          <w:sz w:val="32"/>
          <w:szCs w:val="32"/>
        </w:rPr>
        <w:t>申报</w:t>
      </w:r>
      <w:r>
        <w:rPr>
          <w:rFonts w:ascii="Times New Roman" w:hAnsi="Times New Roman" w:eastAsia="仿宋_GB2312"/>
          <w:snapToGrid w:val="0"/>
          <w:kern w:val="0"/>
          <w:sz w:val="32"/>
          <w:szCs w:val="32"/>
        </w:rPr>
        <w:t>产品的适用人群。</w:t>
      </w:r>
    </w:p>
    <w:p w14:paraId="666B022A">
      <w:pPr>
        <w:overflowPunct w:val="0"/>
        <w:autoSpaceDE w:val="0"/>
        <w:autoSpaceDN w:val="0"/>
        <w:spacing w:line="560" w:lineRule="exact"/>
        <w:rPr>
          <w:rFonts w:eastAsia="仿宋_GB2312"/>
          <w:snapToGrid w:val="0"/>
          <w:kern w:val="0"/>
        </w:rPr>
      </w:pPr>
      <w:r>
        <w:rPr>
          <w:rFonts w:eastAsia="仿宋_GB2312"/>
          <w:snapToGrid w:val="0"/>
          <w:kern w:val="0"/>
        </w:rPr>
        <w:t>2.4禁忌证</w:t>
      </w:r>
    </w:p>
    <w:p w14:paraId="5388833C">
      <w:pPr>
        <w:pStyle w:val="2"/>
        <w:rPr>
          <w:rFonts w:eastAsia="仿宋_GB2312"/>
          <w:snapToGrid w:val="0"/>
          <w:kern w:val="0"/>
        </w:rPr>
      </w:pPr>
      <w:r>
        <w:rPr>
          <w:rFonts w:hint="eastAsia" w:eastAsia="仿宋_GB2312"/>
          <w:snapToGrid w:val="0"/>
          <w:kern w:val="0"/>
        </w:rPr>
        <w:t>应说明申报产品临床应用的禁忌证，应当明确说明申报产品不适宜应用的特定人群或特定情况等信息。如：对原材料过敏者禁用，对不明确过敏者慎用等。</w:t>
      </w:r>
    </w:p>
    <w:p w14:paraId="2CDCE562">
      <w:pPr>
        <w:rPr>
          <w:rFonts w:eastAsia="仿宋_GB2312"/>
          <w:kern w:val="0"/>
        </w:rPr>
      </w:pPr>
      <w:r>
        <w:rPr>
          <w:rFonts w:hint="eastAsia" w:eastAsia="仿宋_GB2312"/>
          <w:kern w:val="0"/>
        </w:rPr>
        <w:t>3</w:t>
      </w:r>
      <w:r>
        <w:rPr>
          <w:rFonts w:eastAsia="仿宋_GB2312"/>
          <w:kern w:val="0"/>
        </w:rPr>
        <w:t>.</w:t>
      </w:r>
      <w:r>
        <w:rPr>
          <w:rFonts w:eastAsia="仿宋_GB2312"/>
        </w:rPr>
        <w:t>产品的不良事件历史记录</w:t>
      </w:r>
    </w:p>
    <w:p w14:paraId="5C5A50A0">
      <w:pPr>
        <w:widowControl/>
        <w:spacing w:line="560" w:lineRule="exact"/>
        <w:rPr>
          <w:rFonts w:eastAsia="仿宋_GB2312"/>
          <w:snapToGrid w:val="0"/>
          <w:kern w:val="0"/>
        </w:rPr>
      </w:pPr>
      <w:r>
        <w:rPr>
          <w:rFonts w:eastAsia="仿宋_GB2312"/>
        </w:rPr>
        <w:t>产品在临床中出现的问题主要有：不通畅、</w:t>
      </w:r>
      <w:r>
        <w:rPr>
          <w:rFonts w:hint="eastAsia" w:eastAsia="仿宋_GB2312"/>
        </w:rPr>
        <w:t>泄漏</w:t>
      </w:r>
      <w:r>
        <w:rPr>
          <w:rFonts w:eastAsia="仿宋_GB2312"/>
        </w:rPr>
        <w:t>等。</w:t>
      </w:r>
    </w:p>
    <w:p w14:paraId="662AE7BF">
      <w:pPr>
        <w:tabs>
          <w:tab w:val="left" w:pos="6720"/>
        </w:tabs>
        <w:spacing w:line="560" w:lineRule="exact"/>
        <w:outlineLvl w:val="0"/>
        <w:rPr>
          <w:rFonts w:eastAsia="楷体_GB2312"/>
          <w:bCs/>
        </w:rPr>
      </w:pPr>
      <w:r>
        <w:rPr>
          <w:rFonts w:hint="eastAsia" w:eastAsia="楷体_GB2312"/>
          <w:bCs/>
        </w:rPr>
        <w:t>（三）非临床资料</w:t>
      </w:r>
    </w:p>
    <w:p w14:paraId="11EEFF86">
      <w:pPr>
        <w:tabs>
          <w:tab w:val="left" w:pos="6720"/>
        </w:tabs>
        <w:outlineLvl w:val="0"/>
        <w:rPr>
          <w:rFonts w:eastAsia="仿宋_GB2312"/>
          <w:bCs/>
        </w:rPr>
      </w:pPr>
      <w:bookmarkStart w:id="0" w:name="_Toc25867"/>
      <w:r>
        <w:rPr>
          <w:rFonts w:eastAsia="仿宋_GB2312"/>
          <w:kern w:val="0"/>
        </w:rPr>
        <w:t>1.产品风险管理资料</w:t>
      </w:r>
    </w:p>
    <w:p w14:paraId="0D498D2C">
      <w:pPr>
        <w:overflowPunct w:val="0"/>
        <w:autoSpaceDE w:val="0"/>
        <w:autoSpaceDN w:val="0"/>
        <w:spacing w:line="560" w:lineRule="exact"/>
        <w:rPr>
          <w:rFonts w:eastAsia="仿宋_GB2312"/>
          <w:kern w:val="0"/>
          <w:lang w:val="zh-CN"/>
        </w:rPr>
      </w:pPr>
      <w:r>
        <w:rPr>
          <w:rFonts w:eastAsia="仿宋_GB2312"/>
          <w:kern w:val="0"/>
        </w:rPr>
        <w:t>应依据</w:t>
      </w:r>
      <w:r>
        <w:rPr>
          <w:rFonts w:hint="eastAsia" w:eastAsia="仿宋_GB2312"/>
          <w:kern w:val="0"/>
        </w:rPr>
        <w:t>GB</w:t>
      </w:r>
      <w:r>
        <w:rPr>
          <w:rFonts w:eastAsia="仿宋_GB2312"/>
          <w:kern w:val="0"/>
        </w:rPr>
        <w:t xml:space="preserve">/T </w:t>
      </w:r>
      <w:r>
        <w:rPr>
          <w:rFonts w:hint="eastAsia" w:eastAsia="仿宋_GB2312"/>
          <w:kern w:val="0"/>
        </w:rPr>
        <w:t>42062</w:t>
      </w:r>
      <w:r>
        <w:rPr>
          <w:rFonts w:eastAsia="仿宋_GB2312"/>
          <w:kern w:val="0"/>
          <w:lang w:val="zh-CN"/>
        </w:rPr>
        <w:t>提供产品风险管理报告。注册申请人应重点说明：申报产品的研制阶段已对有关可能的危害及产生的风险进行了估计和评价，针对性地实施了降低风险的技术和管理方面的措施。产品性能测试对上述措施的有效性进行了验证，达到了通用和专用标准的要求。注册申请人对所有剩余风险进行了评价，全部达到可接受的水平。产品风险分析资料应为注册申请人关于产品安全性的承诺提供支持。</w:t>
      </w:r>
      <w:r>
        <w:rPr>
          <w:rFonts w:hint="eastAsia" w:eastAsia="仿宋_GB2312"/>
          <w:kern w:val="0"/>
          <w:lang w:val="zh-CN"/>
        </w:rPr>
        <w:t>应对申报产品的可能危害进行判定并列出清单（</w:t>
      </w:r>
      <w:r>
        <w:rPr>
          <w:rFonts w:hint="eastAsia" w:eastAsia="仿宋_GB2312"/>
          <w:kern w:val="0"/>
        </w:rPr>
        <w:t>详</w:t>
      </w:r>
      <w:r>
        <w:rPr>
          <w:rFonts w:hint="eastAsia" w:eastAsia="仿宋_GB2312"/>
          <w:kern w:val="0"/>
          <w:lang w:val="zh-CN"/>
        </w:rPr>
        <w:t>见</w:t>
      </w:r>
      <w:r>
        <w:rPr>
          <w:rFonts w:hint="eastAsia" w:eastAsia="仿宋_GB2312"/>
          <w:kern w:val="0"/>
        </w:rPr>
        <w:t>附件</w:t>
      </w:r>
      <w:r>
        <w:rPr>
          <w:rFonts w:hint="eastAsia" w:eastAsia="仿宋_GB2312"/>
          <w:kern w:val="0"/>
          <w:lang w:val="zh-CN"/>
        </w:rPr>
        <w:t>）。</w:t>
      </w:r>
    </w:p>
    <w:p w14:paraId="2036595E">
      <w:pPr>
        <w:overflowPunct w:val="0"/>
        <w:autoSpaceDE w:val="0"/>
        <w:autoSpaceDN w:val="0"/>
        <w:spacing w:line="560" w:lineRule="exact"/>
        <w:rPr>
          <w:rFonts w:eastAsia="仿宋_GB2312"/>
          <w:kern w:val="0"/>
        </w:rPr>
      </w:pPr>
      <w:r>
        <w:rPr>
          <w:rFonts w:eastAsia="仿宋_GB2312"/>
          <w:kern w:val="0"/>
        </w:rPr>
        <w:t>2.医疗器械安全和性能基本原则清单</w:t>
      </w:r>
    </w:p>
    <w:p w14:paraId="625A7765">
      <w:pPr>
        <w:overflowPunct w:val="0"/>
        <w:autoSpaceDE w:val="0"/>
        <w:autoSpaceDN w:val="0"/>
        <w:spacing w:line="560" w:lineRule="exact"/>
        <w:rPr>
          <w:rFonts w:eastAsia="仿宋_GB2312"/>
          <w:kern w:val="0"/>
        </w:rPr>
      </w:pPr>
      <w:r>
        <w:rPr>
          <w:rFonts w:hint="eastAsia" w:eastAsia="仿宋_GB2312"/>
          <w:kern w:val="0"/>
        </w:rPr>
        <w:t>说明申报产品符合《医疗器械安全和性能基本原则清单》各项适用要求所采用的方法，以及证明其符合性的文件。对于《医疗器械安全和性能基本原则清单》中不适用的各项要求，应当说明理由。</w:t>
      </w:r>
    </w:p>
    <w:p w14:paraId="02DCEE17">
      <w:pPr>
        <w:overflowPunct w:val="0"/>
        <w:autoSpaceDE w:val="0"/>
        <w:autoSpaceDN w:val="0"/>
        <w:spacing w:line="560" w:lineRule="exact"/>
        <w:rPr>
          <w:rFonts w:eastAsia="仿宋_GB2312"/>
          <w:kern w:val="0"/>
        </w:rPr>
      </w:pPr>
      <w:bookmarkStart w:id="1" w:name="_Toc2716"/>
      <w:bookmarkStart w:id="2" w:name="_Toc12709"/>
      <w:r>
        <w:rPr>
          <w:rFonts w:eastAsia="仿宋_GB2312"/>
          <w:kern w:val="0"/>
        </w:rPr>
        <w:t>3.产品技术要求及检验报告</w:t>
      </w:r>
      <w:bookmarkEnd w:id="0"/>
      <w:bookmarkEnd w:id="1"/>
      <w:bookmarkEnd w:id="2"/>
      <w:r>
        <w:rPr>
          <w:rFonts w:eastAsia="仿宋_GB2312"/>
          <w:kern w:val="0"/>
        </w:rPr>
        <w:tab/>
      </w:r>
    </w:p>
    <w:p w14:paraId="2D502EFB">
      <w:pPr>
        <w:overflowPunct w:val="0"/>
        <w:autoSpaceDE w:val="0"/>
        <w:autoSpaceDN w:val="0"/>
        <w:spacing w:line="560" w:lineRule="exact"/>
        <w:rPr>
          <w:rFonts w:eastAsia="仿宋_GB2312"/>
          <w:kern w:val="0"/>
        </w:rPr>
      </w:pPr>
      <w:bookmarkStart w:id="3" w:name="_Toc9427"/>
      <w:bookmarkStart w:id="4" w:name="_Toc230"/>
      <w:bookmarkStart w:id="5" w:name="_Toc28465"/>
      <w:r>
        <w:rPr>
          <w:rFonts w:eastAsia="仿宋_GB2312"/>
          <w:kern w:val="0"/>
        </w:rPr>
        <w:t>产品技术要求的制定应符合《医疗器械产品技术要求编写指导原则》</w:t>
      </w:r>
      <w:r>
        <w:rPr>
          <w:rFonts w:hint="eastAsia" w:eastAsia="仿宋_GB2312"/>
          <w:kern w:val="0"/>
        </w:rPr>
        <w:t>、</w:t>
      </w:r>
      <w:r>
        <w:rPr>
          <w:rFonts w:eastAsia="仿宋_GB2312"/>
          <w:kern w:val="0"/>
        </w:rPr>
        <w:t>YY</w:t>
      </w:r>
      <w:r>
        <w:rPr>
          <w:rFonts w:hint="eastAsia" w:eastAsia="仿宋_GB2312"/>
          <w:kern w:val="0"/>
        </w:rPr>
        <w:t>/T</w:t>
      </w:r>
      <w:r>
        <w:rPr>
          <w:rFonts w:eastAsia="仿宋_GB2312"/>
          <w:kern w:val="0"/>
        </w:rPr>
        <w:t xml:space="preserve"> 0</w:t>
      </w:r>
      <w:r>
        <w:rPr>
          <w:rFonts w:hint="eastAsia" w:eastAsia="仿宋_GB2312"/>
          <w:kern w:val="0"/>
        </w:rPr>
        <w:t>489等</w:t>
      </w:r>
      <w:r>
        <w:rPr>
          <w:rFonts w:eastAsia="仿宋_GB2312"/>
          <w:kern w:val="0"/>
        </w:rPr>
        <w:t>相关法规</w:t>
      </w:r>
      <w:r>
        <w:rPr>
          <w:rFonts w:hint="eastAsia" w:eastAsia="仿宋_GB2312"/>
          <w:kern w:val="0"/>
        </w:rPr>
        <w:t>或行业标准</w:t>
      </w:r>
      <w:r>
        <w:rPr>
          <w:rFonts w:eastAsia="仿宋_GB2312"/>
          <w:kern w:val="0"/>
        </w:rPr>
        <w:t>要求。本条款给出需要考虑的产品主要技术指标，如有其他指标，可参考相应的国家标准、行业标准，根据企业自身产品的技术特点制定相应的技术要求。</w:t>
      </w:r>
    </w:p>
    <w:p w14:paraId="3D9716F9">
      <w:pPr>
        <w:overflowPunct w:val="0"/>
        <w:autoSpaceDE w:val="0"/>
        <w:autoSpaceDN w:val="0"/>
        <w:spacing w:line="560" w:lineRule="exact"/>
        <w:rPr>
          <w:rFonts w:eastAsia="仿宋_GB2312"/>
          <w:kern w:val="0"/>
        </w:rPr>
      </w:pPr>
      <w:r>
        <w:rPr>
          <w:rFonts w:eastAsia="仿宋_GB2312"/>
          <w:kern w:val="0"/>
        </w:rPr>
        <w:t>3.1产品技术要求</w:t>
      </w:r>
    </w:p>
    <w:p w14:paraId="69FCDBA9">
      <w:pPr>
        <w:overflowPunct w:val="0"/>
        <w:autoSpaceDE w:val="0"/>
        <w:autoSpaceDN w:val="0"/>
        <w:spacing w:line="560" w:lineRule="exact"/>
        <w:rPr>
          <w:rFonts w:eastAsia="仿宋_GB2312"/>
          <w:kern w:val="0"/>
        </w:rPr>
      </w:pPr>
      <w:r>
        <w:rPr>
          <w:rFonts w:hint="eastAsia" w:eastAsia="仿宋_GB2312"/>
          <w:kern w:val="0"/>
        </w:rPr>
        <w:t>申报产品的性能指标建议包含以下几点（包括但不限于此）：</w:t>
      </w:r>
      <w:r>
        <w:rPr>
          <w:rFonts w:eastAsia="仿宋_GB2312"/>
          <w:kern w:val="0"/>
        </w:rPr>
        <w:t>外观、</w:t>
      </w:r>
      <w:r>
        <w:rPr>
          <w:rFonts w:hint="eastAsia" w:eastAsia="仿宋_GB2312"/>
          <w:kern w:val="0"/>
        </w:rPr>
        <w:t>尺寸（容量）、峰值拉力</w:t>
      </w:r>
      <w:r>
        <w:rPr>
          <w:rFonts w:eastAsia="仿宋_GB2312"/>
          <w:kern w:val="0"/>
        </w:rPr>
        <w:t>、抗变形、抗冲击、无泄漏、防逆流</w:t>
      </w:r>
      <w:r>
        <w:rPr>
          <w:rFonts w:hint="eastAsia" w:eastAsia="仿宋_GB2312"/>
          <w:kern w:val="0"/>
        </w:rPr>
        <w:t>单向阀</w:t>
      </w:r>
      <w:r>
        <w:rPr>
          <w:rFonts w:eastAsia="仿宋_GB2312"/>
          <w:kern w:val="0"/>
        </w:rPr>
        <w:t>、初始负压（若</w:t>
      </w:r>
      <w:r>
        <w:rPr>
          <w:rFonts w:hint="eastAsia" w:eastAsia="仿宋_GB2312"/>
          <w:kern w:val="0"/>
        </w:rPr>
        <w:t>适用</w:t>
      </w:r>
      <w:r>
        <w:rPr>
          <w:rFonts w:eastAsia="仿宋_GB2312"/>
          <w:kern w:val="0"/>
        </w:rPr>
        <w:t>）</w:t>
      </w:r>
      <w:r>
        <w:rPr>
          <w:rFonts w:hint="eastAsia" w:eastAsia="仿宋_GB2312"/>
          <w:kern w:val="0"/>
        </w:rPr>
        <w:t>、止溢阀（如适用）、固化剂（如适用）、环氧乙烷残留量（如适用）、无菌、化学性能</w:t>
      </w:r>
      <w:r>
        <w:rPr>
          <w:rFonts w:hint="eastAsia" w:eastAsia="仿宋_GB2312"/>
          <w:kern w:val="0"/>
          <w:lang w:eastAsia="zh-CN"/>
        </w:rPr>
        <w:t>（如适用）</w:t>
      </w:r>
      <w:r>
        <w:rPr>
          <w:rFonts w:eastAsia="仿宋_GB2312"/>
          <w:kern w:val="0"/>
        </w:rPr>
        <w:t>。</w:t>
      </w:r>
    </w:p>
    <w:p w14:paraId="5D1EE8A8">
      <w:pPr>
        <w:overflowPunct w:val="0"/>
        <w:autoSpaceDE w:val="0"/>
        <w:autoSpaceDN w:val="0"/>
        <w:spacing w:line="560" w:lineRule="exact"/>
        <w:rPr>
          <w:rFonts w:eastAsia="仿宋_GB2312"/>
          <w:kern w:val="0"/>
        </w:rPr>
      </w:pPr>
      <w:r>
        <w:rPr>
          <w:rFonts w:hint="eastAsia" w:eastAsia="仿宋_GB2312"/>
          <w:kern w:val="0"/>
        </w:rPr>
        <w:t>对含附件的产品，如引流收集袋、止流夹等，应制定能满足其临床性能的</w:t>
      </w:r>
      <w:r>
        <w:rPr>
          <w:rFonts w:hint="eastAsia" w:eastAsia="仿宋_GB2312"/>
          <w:kern w:val="0"/>
          <w:lang w:eastAsia="zh-CN"/>
        </w:rPr>
        <w:t>性能</w:t>
      </w:r>
      <w:r>
        <w:rPr>
          <w:rFonts w:hint="eastAsia" w:eastAsia="仿宋_GB2312"/>
          <w:kern w:val="0"/>
        </w:rPr>
        <w:t>指标</w:t>
      </w:r>
      <w:r>
        <w:rPr>
          <w:rFonts w:hint="eastAsia" w:eastAsia="仿宋_GB2312"/>
          <w:kern w:val="0"/>
          <w:lang w:eastAsia="zh-CN"/>
        </w:rPr>
        <w:t>。</w:t>
      </w:r>
      <w:r>
        <w:rPr>
          <w:rFonts w:hint="eastAsia" w:eastAsia="仿宋_GB2312"/>
          <w:kern w:val="0"/>
        </w:rPr>
        <w:t>注册申请人对宣称的其他技术参数和功能，应在产品技术要求中予以规定等。</w:t>
      </w:r>
    </w:p>
    <w:p w14:paraId="77BBCC40">
      <w:pPr>
        <w:overflowPunct w:val="0"/>
        <w:autoSpaceDE w:val="0"/>
        <w:autoSpaceDN w:val="0"/>
        <w:spacing w:line="560" w:lineRule="exact"/>
        <w:rPr>
          <w:rFonts w:eastAsia="仿宋_GB2312"/>
          <w:kern w:val="0"/>
        </w:rPr>
      </w:pPr>
      <w:r>
        <w:rPr>
          <w:rFonts w:eastAsia="仿宋_GB2312"/>
          <w:kern w:val="0"/>
        </w:rPr>
        <w:t>3.2检验方法</w:t>
      </w:r>
    </w:p>
    <w:p w14:paraId="27ADAE73">
      <w:pPr>
        <w:overflowPunct w:val="0"/>
        <w:autoSpaceDE w:val="0"/>
        <w:autoSpaceDN w:val="0"/>
        <w:spacing w:line="560" w:lineRule="exact"/>
        <w:rPr>
          <w:rFonts w:eastAsia="仿宋_GB2312"/>
          <w:kern w:val="0"/>
        </w:rPr>
      </w:pPr>
      <w:r>
        <w:rPr>
          <w:rFonts w:hint="eastAsia" w:eastAsia="仿宋_GB2312"/>
          <w:kern w:val="0"/>
        </w:rPr>
        <w:t xml:space="preserve">申报产品的检验方法应根据性能指标制定，优先采用已颁布的标准或公认的检验方法。其他检验方法需提供相应的方法学依据及理论基础，同时保证检验方法具有可操作性和重现性，必要时可附相应图示进行说明，文本较大的可以附录形式提供。   </w:t>
      </w:r>
    </w:p>
    <w:p w14:paraId="0EAF5BA4">
      <w:pPr>
        <w:overflowPunct w:val="0"/>
        <w:autoSpaceDE w:val="0"/>
        <w:autoSpaceDN w:val="0"/>
        <w:spacing w:line="560" w:lineRule="exact"/>
        <w:rPr>
          <w:rFonts w:eastAsia="仿宋_GB2312"/>
          <w:kern w:val="0"/>
        </w:rPr>
      </w:pPr>
      <w:r>
        <w:rPr>
          <w:rFonts w:hint="eastAsia" w:eastAsia="仿宋_GB2312"/>
          <w:kern w:val="0"/>
        </w:rPr>
        <w:t>3.3</w:t>
      </w:r>
      <w:r>
        <w:rPr>
          <w:rFonts w:eastAsia="仿宋_GB2312"/>
          <w:kern w:val="0"/>
        </w:rPr>
        <w:t>产品检验报告</w:t>
      </w:r>
    </w:p>
    <w:p w14:paraId="03554808">
      <w:pPr>
        <w:overflowPunct w:val="0"/>
        <w:autoSpaceDE w:val="0"/>
        <w:autoSpaceDN w:val="0"/>
        <w:spacing w:line="560" w:lineRule="exact"/>
        <w:rPr>
          <w:rFonts w:eastAsia="仿宋_GB2312"/>
          <w:kern w:val="0"/>
        </w:rPr>
      </w:pPr>
      <w:r>
        <w:rPr>
          <w:rFonts w:eastAsia="仿宋_GB2312"/>
          <w:kern w:val="0"/>
        </w:rPr>
        <w:t>可提交注册申请人出具的自检报告或委托有资质的医疗器械检验机构出具的检验报告。若提交自检报告，应按照《医疗器械</w:t>
      </w:r>
      <w:r>
        <w:rPr>
          <w:rFonts w:hint="eastAsia" w:eastAsia="仿宋_GB2312"/>
          <w:kern w:val="0"/>
        </w:rPr>
        <w:t>注册</w:t>
      </w:r>
      <w:r>
        <w:rPr>
          <w:rFonts w:eastAsia="仿宋_GB2312"/>
          <w:kern w:val="0"/>
        </w:rPr>
        <w:t xml:space="preserve">自检管理规定》的要求提供相关资料。 </w:t>
      </w:r>
    </w:p>
    <w:p w14:paraId="7AD0BCEE">
      <w:pPr>
        <w:overflowPunct w:val="0"/>
        <w:autoSpaceDE w:val="0"/>
        <w:autoSpaceDN w:val="0"/>
        <w:spacing w:line="560" w:lineRule="exact"/>
        <w:rPr>
          <w:rFonts w:eastAsia="仿宋_GB2312"/>
          <w:kern w:val="0"/>
        </w:rPr>
      </w:pPr>
      <w:r>
        <w:rPr>
          <w:rFonts w:eastAsia="仿宋_GB2312"/>
          <w:kern w:val="0"/>
        </w:rPr>
        <w:t>3.</w:t>
      </w:r>
      <w:r>
        <w:rPr>
          <w:rFonts w:hint="eastAsia" w:eastAsia="仿宋_GB2312"/>
          <w:kern w:val="0"/>
        </w:rPr>
        <w:t>4</w:t>
      </w:r>
      <w:r>
        <w:rPr>
          <w:rFonts w:eastAsia="仿宋_GB2312"/>
          <w:kern w:val="0"/>
        </w:rPr>
        <w:t>同一注册单元内注册检验典型性产品确定原则</w:t>
      </w:r>
    </w:p>
    <w:p w14:paraId="76473F0F">
      <w:pPr>
        <w:overflowPunct w:val="0"/>
        <w:autoSpaceDE w:val="0"/>
        <w:autoSpaceDN w:val="0"/>
        <w:spacing w:line="560" w:lineRule="exact"/>
        <w:rPr>
          <w:rFonts w:eastAsia="仿宋_GB2312"/>
          <w:kern w:val="0"/>
        </w:rPr>
      </w:pPr>
      <w:r>
        <w:rPr>
          <w:rFonts w:hint="eastAsia" w:eastAsia="仿宋_GB2312"/>
          <w:kern w:val="0"/>
        </w:rPr>
        <w:t>同一注册单元中所检验产品应能够代表注册单元内其他产品安全性和有效性。代表产品的确定可以通过比较同一注册单元内所有产品的主要原材料、生产工艺、技术结构、性能指标和预期用途等资料，说明其能够代表注册单元内其他产品的安全性和有效性。必要时提交不同型号规格产品的差异性检测报告。</w:t>
      </w:r>
    </w:p>
    <w:p w14:paraId="2DEA7D96">
      <w:pPr>
        <w:overflowPunct w:val="0"/>
        <w:autoSpaceDE w:val="0"/>
        <w:autoSpaceDN w:val="0"/>
        <w:spacing w:line="560" w:lineRule="exact"/>
        <w:rPr>
          <w:rFonts w:eastAsia="仿宋_GB2312"/>
          <w:kern w:val="0"/>
        </w:rPr>
      </w:pPr>
      <w:r>
        <w:rPr>
          <w:rFonts w:eastAsia="仿宋_GB2312"/>
          <w:kern w:val="0"/>
        </w:rPr>
        <w:t>4.研究资料</w:t>
      </w:r>
    </w:p>
    <w:p w14:paraId="74D2DF28">
      <w:pPr>
        <w:overflowPunct w:val="0"/>
        <w:autoSpaceDE w:val="0"/>
        <w:autoSpaceDN w:val="0"/>
        <w:spacing w:line="560" w:lineRule="exact"/>
        <w:rPr>
          <w:rFonts w:eastAsia="仿宋_GB2312"/>
          <w:kern w:val="0"/>
        </w:rPr>
      </w:pPr>
      <w:r>
        <w:rPr>
          <w:rFonts w:hint="eastAsia" w:eastAsia="仿宋_GB2312"/>
          <w:kern w:val="0"/>
        </w:rPr>
        <w:t>4.1化学和物理性能研究</w:t>
      </w:r>
    </w:p>
    <w:p w14:paraId="60BBEC5F">
      <w:pPr>
        <w:overflowPunct w:val="0"/>
        <w:autoSpaceDE w:val="0"/>
        <w:autoSpaceDN w:val="0"/>
        <w:spacing w:line="560" w:lineRule="exact"/>
        <w:rPr>
          <w:rFonts w:eastAsia="仿宋_GB2312"/>
          <w:kern w:val="0"/>
        </w:rPr>
      </w:pPr>
      <w:r>
        <w:rPr>
          <w:rFonts w:eastAsia="仿宋_GB2312"/>
          <w:kern w:val="0"/>
        </w:rPr>
        <w:t xml:space="preserve">应详述产品技术要求中主要性能指标及检验方法的确定依据，提供采用的原因及理论基础。可参考行业标准YY/T </w:t>
      </w:r>
      <w:r>
        <w:rPr>
          <w:rFonts w:hint="eastAsia" w:eastAsia="仿宋_GB2312"/>
          <w:kern w:val="0"/>
        </w:rPr>
        <w:t>0489</w:t>
      </w:r>
      <w:r>
        <w:rPr>
          <w:rFonts w:eastAsia="仿宋_GB2312"/>
          <w:kern w:val="0"/>
        </w:rPr>
        <w:t>，制定适合产品部分的技术指标并说明依据，另结合实际临床使用情况及临床需求，开展产品</w:t>
      </w:r>
      <w:r>
        <w:rPr>
          <w:rFonts w:hint="eastAsia" w:eastAsia="仿宋_GB2312"/>
          <w:kern w:val="0"/>
        </w:rPr>
        <w:t>配合</w:t>
      </w:r>
      <w:r>
        <w:rPr>
          <w:rFonts w:eastAsia="仿宋_GB2312"/>
          <w:kern w:val="0"/>
        </w:rPr>
        <w:t>使用性能</w:t>
      </w:r>
      <w:r>
        <w:rPr>
          <w:rFonts w:hint="eastAsia" w:eastAsia="仿宋_GB2312"/>
          <w:kern w:val="0"/>
        </w:rPr>
        <w:t>，或者</w:t>
      </w:r>
      <w:r>
        <w:rPr>
          <w:rFonts w:eastAsia="仿宋_GB2312"/>
          <w:kern w:val="0"/>
        </w:rPr>
        <w:t>特殊设计等研究，并提供具体的研究证据资料。如适用的国家标准、行业标准中有不采纳的条款，应将不采纳的条款及其理由予以阐明。</w:t>
      </w:r>
    </w:p>
    <w:p w14:paraId="61AC4478">
      <w:pPr>
        <w:overflowPunct w:val="0"/>
        <w:autoSpaceDE w:val="0"/>
        <w:autoSpaceDN w:val="0"/>
        <w:spacing w:line="560" w:lineRule="exact"/>
        <w:rPr>
          <w:rFonts w:eastAsia="仿宋_GB2312"/>
          <w:kern w:val="0"/>
        </w:rPr>
      </w:pPr>
      <w:r>
        <w:rPr>
          <w:rFonts w:eastAsia="仿宋_GB2312"/>
          <w:kern w:val="0"/>
        </w:rPr>
        <w:t>4.2生物学特性研究</w:t>
      </w:r>
    </w:p>
    <w:p w14:paraId="08DD7CD3">
      <w:pPr>
        <w:overflowPunct w:val="0"/>
        <w:autoSpaceDE w:val="0"/>
        <w:autoSpaceDN w:val="0"/>
        <w:spacing w:line="560" w:lineRule="exact"/>
        <w:rPr>
          <w:rFonts w:eastAsia="仿宋_GB2312"/>
          <w:kern w:val="0"/>
        </w:rPr>
      </w:pPr>
      <w:r>
        <w:rPr>
          <w:rFonts w:eastAsia="仿宋_GB2312"/>
          <w:kern w:val="0"/>
        </w:rPr>
        <w:t>应描述产品与人体接触的材料，以及接触的性质和时间</w:t>
      </w:r>
      <w:r>
        <w:rPr>
          <w:rFonts w:hint="eastAsia" w:eastAsia="仿宋_GB2312"/>
          <w:kern w:val="0"/>
        </w:rPr>
        <w:t>。产品中</w:t>
      </w:r>
      <w:r>
        <w:rPr>
          <w:rFonts w:eastAsia="仿宋_GB2312"/>
          <w:kern w:val="0"/>
        </w:rPr>
        <w:t>不与</w:t>
      </w:r>
      <w:r>
        <w:rPr>
          <w:rFonts w:hint="eastAsia" w:eastAsia="仿宋_GB2312"/>
          <w:kern w:val="0"/>
        </w:rPr>
        <w:t>人体</w:t>
      </w:r>
      <w:r>
        <w:rPr>
          <w:rFonts w:eastAsia="仿宋_GB2312"/>
          <w:kern w:val="0"/>
        </w:rPr>
        <w:t>接触的</w:t>
      </w:r>
      <w:r>
        <w:rPr>
          <w:rFonts w:hint="eastAsia" w:eastAsia="仿宋_GB2312"/>
          <w:kern w:val="0"/>
        </w:rPr>
        <w:t>组件</w:t>
      </w:r>
      <w:r>
        <w:rPr>
          <w:rFonts w:eastAsia="仿宋_GB2312"/>
          <w:kern w:val="0"/>
        </w:rPr>
        <w:t>，应在生物相容性评价资料中提交豁免生物学试验的理由和论证。</w:t>
      </w:r>
      <w:r>
        <w:rPr>
          <w:rFonts w:hint="eastAsia" w:eastAsia="仿宋_GB2312"/>
          <w:kern w:val="0"/>
        </w:rPr>
        <w:t>产品中</w:t>
      </w:r>
      <w:r>
        <w:rPr>
          <w:rFonts w:eastAsia="仿宋_GB2312"/>
          <w:kern w:val="0"/>
        </w:rPr>
        <w:t>预期与人体接触的</w:t>
      </w:r>
      <w:r>
        <w:rPr>
          <w:rFonts w:hint="eastAsia" w:eastAsia="仿宋_GB2312"/>
          <w:kern w:val="0"/>
        </w:rPr>
        <w:t>组件</w:t>
      </w:r>
      <w:r>
        <w:rPr>
          <w:rFonts w:eastAsia="仿宋_GB2312"/>
          <w:kern w:val="0"/>
        </w:rPr>
        <w:t>，</w:t>
      </w:r>
      <w:r>
        <w:rPr>
          <w:rFonts w:hint="eastAsia" w:eastAsia="仿宋_GB2312"/>
          <w:kern w:val="0"/>
        </w:rPr>
        <w:t>应</w:t>
      </w:r>
      <w:r>
        <w:rPr>
          <w:rFonts w:eastAsia="仿宋_GB2312"/>
          <w:kern w:val="0"/>
        </w:rPr>
        <w:t>按照GB/T 16886.1和《医疗器械生物学评价和审查指南》的要求对其进行生物相容性评价。</w:t>
      </w:r>
    </w:p>
    <w:p w14:paraId="6698AF19">
      <w:pPr>
        <w:overflowPunct w:val="0"/>
        <w:autoSpaceDE w:val="0"/>
        <w:autoSpaceDN w:val="0"/>
        <w:spacing w:line="560" w:lineRule="exact"/>
        <w:rPr>
          <w:rFonts w:eastAsia="仿宋_GB2312"/>
          <w:kern w:val="0"/>
        </w:rPr>
      </w:pPr>
      <w:r>
        <w:rPr>
          <w:rFonts w:eastAsia="仿宋_GB2312"/>
          <w:kern w:val="0"/>
        </w:rPr>
        <w:t>若开展申报产品与已上市产品等同性比较的生物相容性评价，应按照《医疗器械生物学评价和审查指南》要求进行评价，应提供资料证明申报产品与已上市产品具有等同性。</w:t>
      </w:r>
    </w:p>
    <w:p w14:paraId="1E46EDBF">
      <w:pPr>
        <w:overflowPunct w:val="0"/>
        <w:autoSpaceDE w:val="0"/>
        <w:autoSpaceDN w:val="0"/>
        <w:spacing w:line="560" w:lineRule="exact"/>
        <w:rPr>
          <w:rFonts w:eastAsia="仿宋_GB2312"/>
          <w:kern w:val="0"/>
        </w:rPr>
      </w:pPr>
      <w:r>
        <w:rPr>
          <w:rFonts w:eastAsia="仿宋_GB2312"/>
          <w:kern w:val="0"/>
        </w:rPr>
        <w:t>若无法证明申报产品与已上市产品的等同性，应按照GB/T 16886.1的要求开展申报产品生物相容性试验。</w:t>
      </w:r>
    </w:p>
    <w:p w14:paraId="4A38F139">
      <w:pPr>
        <w:overflowPunct w:val="0"/>
        <w:autoSpaceDE w:val="0"/>
        <w:autoSpaceDN w:val="0"/>
        <w:spacing w:line="560" w:lineRule="exact"/>
        <w:rPr>
          <w:rFonts w:eastAsia="仿宋_GB2312"/>
          <w:kern w:val="0"/>
        </w:rPr>
      </w:pPr>
      <w:r>
        <w:rPr>
          <w:rFonts w:eastAsia="仿宋_GB2312"/>
          <w:kern w:val="0"/>
        </w:rPr>
        <w:t>4.3灭菌工艺研究</w:t>
      </w:r>
    </w:p>
    <w:p w14:paraId="132BA669">
      <w:pPr>
        <w:overflowPunct w:val="0"/>
        <w:autoSpaceDE w:val="0"/>
        <w:autoSpaceDN w:val="0"/>
        <w:spacing w:line="560" w:lineRule="exact"/>
        <w:rPr>
          <w:rFonts w:eastAsia="仿宋_GB2312"/>
          <w:kern w:val="0"/>
        </w:rPr>
      </w:pPr>
      <w:r>
        <w:rPr>
          <w:rFonts w:hint="eastAsia" w:eastAsia="仿宋_GB2312"/>
          <w:kern w:val="0"/>
        </w:rPr>
        <w:t>应</w:t>
      </w:r>
      <w:r>
        <w:rPr>
          <w:rFonts w:eastAsia="仿宋_GB2312"/>
          <w:kern w:val="0"/>
        </w:rPr>
        <w:t>提交产品</w:t>
      </w:r>
      <w:r>
        <w:rPr>
          <w:rFonts w:hint="eastAsia" w:eastAsia="仿宋_GB2312"/>
          <w:kern w:val="0"/>
        </w:rPr>
        <w:t>无菌</w:t>
      </w:r>
      <w:r>
        <w:rPr>
          <w:rFonts w:eastAsia="仿宋_GB2312"/>
          <w:kern w:val="0"/>
        </w:rPr>
        <w:t>包装及灭菌方法选择的依据，经过确认并进行常规控制</w:t>
      </w:r>
      <w:r>
        <w:rPr>
          <w:rFonts w:hint="eastAsia" w:eastAsia="仿宋_GB2312"/>
          <w:kern w:val="0"/>
        </w:rPr>
        <w:t>。应考虑选用的灭菌工艺是否会对产品产生影响。注册申请人应开展以下方面的研究：</w:t>
      </w:r>
    </w:p>
    <w:p w14:paraId="0A2ED7B2">
      <w:pPr>
        <w:overflowPunct w:val="0"/>
        <w:autoSpaceDE w:val="0"/>
        <w:autoSpaceDN w:val="0"/>
        <w:spacing w:line="560" w:lineRule="exact"/>
        <w:rPr>
          <w:rFonts w:eastAsia="仿宋_GB2312"/>
          <w:kern w:val="0"/>
        </w:rPr>
      </w:pPr>
      <w:r>
        <w:rPr>
          <w:rFonts w:eastAsia="仿宋_GB2312"/>
          <w:kern w:val="0"/>
        </w:rPr>
        <w:t>4.</w:t>
      </w:r>
      <w:r>
        <w:rPr>
          <w:rFonts w:hint="eastAsia" w:eastAsia="仿宋_GB2312"/>
          <w:kern w:val="0"/>
        </w:rPr>
        <w:t>3.1</w:t>
      </w:r>
      <w:r>
        <w:rPr>
          <w:rFonts w:eastAsia="仿宋_GB2312"/>
          <w:kern w:val="0"/>
        </w:rPr>
        <w:t>产品与灭菌过程的适应性：应考察灭菌方法等工艺过程对于产品的影响。</w:t>
      </w:r>
    </w:p>
    <w:p w14:paraId="0E72EE36">
      <w:pPr>
        <w:overflowPunct w:val="0"/>
        <w:autoSpaceDE w:val="0"/>
        <w:autoSpaceDN w:val="0"/>
        <w:spacing w:line="560" w:lineRule="exact"/>
        <w:rPr>
          <w:rFonts w:eastAsia="仿宋_GB2312"/>
          <w:kern w:val="0"/>
        </w:rPr>
      </w:pPr>
      <w:r>
        <w:rPr>
          <w:rFonts w:eastAsia="仿宋_GB2312"/>
          <w:kern w:val="0"/>
        </w:rPr>
        <w:t>4.</w:t>
      </w:r>
      <w:r>
        <w:rPr>
          <w:rFonts w:hint="eastAsia" w:eastAsia="仿宋_GB2312"/>
          <w:kern w:val="0"/>
        </w:rPr>
        <w:t>3.2</w:t>
      </w:r>
      <w:r>
        <w:rPr>
          <w:rFonts w:eastAsia="仿宋_GB2312"/>
          <w:kern w:val="0"/>
        </w:rPr>
        <w:t>包装与灭菌过程的适应性。</w:t>
      </w:r>
    </w:p>
    <w:p w14:paraId="4304ED99">
      <w:pPr>
        <w:overflowPunct w:val="0"/>
        <w:autoSpaceDE w:val="0"/>
        <w:autoSpaceDN w:val="0"/>
        <w:spacing w:line="560" w:lineRule="exact"/>
        <w:rPr>
          <w:rFonts w:eastAsia="仿宋_GB2312"/>
          <w:kern w:val="0"/>
        </w:rPr>
      </w:pPr>
      <w:r>
        <w:rPr>
          <w:rFonts w:eastAsia="仿宋_GB2312"/>
          <w:kern w:val="0"/>
        </w:rPr>
        <w:t>4.</w:t>
      </w:r>
      <w:r>
        <w:rPr>
          <w:rFonts w:hint="eastAsia" w:eastAsia="仿宋_GB2312"/>
          <w:kern w:val="0"/>
        </w:rPr>
        <w:t>3.3</w:t>
      </w:r>
      <w:r>
        <w:rPr>
          <w:rFonts w:eastAsia="仿宋_GB2312"/>
          <w:kern w:val="0"/>
        </w:rPr>
        <w:t>应明确灭菌工艺（方法和参数）和无菌保证水平（SAL），无菌保证水平（SAL）应达到1</w:t>
      </w:r>
      <w:r>
        <w:rPr>
          <w:rFonts w:eastAsia="仿宋_GB2312"/>
          <w:kern w:val="0"/>
          <w:vertAlign w:val="baseline"/>
        </w:rPr>
        <w:t>0</w:t>
      </w:r>
      <w:r>
        <w:rPr>
          <w:rFonts w:eastAsia="仿宋_GB2312"/>
          <w:kern w:val="0"/>
          <w:vertAlign w:val="superscript"/>
        </w:rPr>
        <w:t>-6</w:t>
      </w:r>
      <w:r>
        <w:rPr>
          <w:rFonts w:eastAsia="仿宋_GB2312"/>
          <w:kern w:val="0"/>
        </w:rPr>
        <w:t>，提供灭菌确认报告。可根据适用情况选择不同的灭菌方式：</w:t>
      </w:r>
    </w:p>
    <w:p w14:paraId="5976BC37">
      <w:pPr>
        <w:overflowPunct w:val="0"/>
        <w:autoSpaceDE w:val="0"/>
        <w:autoSpaceDN w:val="0"/>
        <w:spacing w:line="560" w:lineRule="exact"/>
        <w:rPr>
          <w:rFonts w:eastAsia="仿宋_GB2312"/>
          <w:kern w:val="0"/>
        </w:rPr>
      </w:pPr>
      <w:r>
        <w:rPr>
          <w:rFonts w:eastAsia="仿宋_GB2312"/>
          <w:kern w:val="0"/>
        </w:rPr>
        <w:t>如采用</w:t>
      </w:r>
      <w:r>
        <w:rPr>
          <w:rFonts w:hint="eastAsia" w:eastAsia="仿宋_GB2312"/>
          <w:kern w:val="0"/>
        </w:rPr>
        <w:t>环氧乙烷</w:t>
      </w:r>
      <w:r>
        <w:rPr>
          <w:rFonts w:eastAsia="仿宋_GB2312"/>
          <w:kern w:val="0"/>
        </w:rPr>
        <w:t>灭菌，参照</w:t>
      </w:r>
      <w:r>
        <w:rPr>
          <w:rFonts w:hint="eastAsia" w:eastAsia="仿宋_GB2312"/>
          <w:kern w:val="0"/>
        </w:rPr>
        <w:t>GB 18279</w:t>
      </w:r>
      <w:r>
        <w:rPr>
          <w:rFonts w:eastAsia="仿宋_GB2312"/>
          <w:kern w:val="0"/>
        </w:rPr>
        <w:t>的要求开展研究；</w:t>
      </w:r>
    </w:p>
    <w:p w14:paraId="10971F28">
      <w:pPr>
        <w:overflowPunct w:val="0"/>
        <w:autoSpaceDE w:val="0"/>
        <w:autoSpaceDN w:val="0"/>
        <w:spacing w:line="560" w:lineRule="exact"/>
        <w:rPr>
          <w:rFonts w:eastAsia="仿宋_GB2312"/>
          <w:kern w:val="0"/>
        </w:rPr>
      </w:pPr>
      <w:r>
        <w:rPr>
          <w:rFonts w:eastAsia="仿宋_GB2312"/>
          <w:kern w:val="0"/>
        </w:rPr>
        <w:t>如采用辐射灭菌，参照GB 18280.1、GB 18280.2、GB/T 18280.3等标准的要求开展研究</w:t>
      </w:r>
      <w:r>
        <w:rPr>
          <w:rFonts w:hint="eastAsia" w:eastAsia="仿宋_GB2312"/>
          <w:kern w:val="0"/>
        </w:rPr>
        <w:t>。</w:t>
      </w:r>
    </w:p>
    <w:p w14:paraId="2E70A69F">
      <w:pPr>
        <w:overflowPunct w:val="0"/>
        <w:autoSpaceDE w:val="0"/>
        <w:autoSpaceDN w:val="0"/>
        <w:spacing w:line="560" w:lineRule="exact"/>
        <w:rPr>
          <w:rFonts w:eastAsia="仿宋_GB2312"/>
          <w:kern w:val="0"/>
        </w:rPr>
      </w:pPr>
      <w:r>
        <w:rPr>
          <w:rFonts w:eastAsia="仿宋_GB2312"/>
          <w:kern w:val="0"/>
        </w:rPr>
        <w:t>4.</w:t>
      </w:r>
      <w:r>
        <w:rPr>
          <w:rFonts w:hint="eastAsia" w:eastAsia="仿宋_GB2312"/>
          <w:kern w:val="0"/>
        </w:rPr>
        <w:t>3.4残留毒性（如适用）：产品经灭菌后可能产生残留物质,需对灭菌的产品进行残留毒性的研究，明确残留物信息及采取的处理方法，并提供相关研究资料。</w:t>
      </w:r>
    </w:p>
    <w:p w14:paraId="1D01B8C3">
      <w:pPr>
        <w:overflowPunct w:val="0"/>
        <w:autoSpaceDE w:val="0"/>
        <w:autoSpaceDN w:val="0"/>
        <w:spacing w:line="560" w:lineRule="exact"/>
        <w:rPr>
          <w:rFonts w:eastAsia="仿宋_GB2312"/>
          <w:kern w:val="0"/>
        </w:rPr>
      </w:pPr>
      <w:r>
        <w:rPr>
          <w:rFonts w:hint="eastAsia" w:eastAsia="仿宋_GB2312"/>
          <w:kern w:val="0"/>
        </w:rPr>
        <w:t>如环氧乙烷灭菌，应当参考GB/T 16886.7明确残留物信息（如EO、ECH）及采取的处理方法和条件，并提供研究资料。</w:t>
      </w:r>
    </w:p>
    <w:p w14:paraId="15AD8494">
      <w:pPr>
        <w:overflowPunct w:val="0"/>
        <w:autoSpaceDE w:val="0"/>
        <w:autoSpaceDN w:val="0"/>
        <w:spacing w:line="560" w:lineRule="exact"/>
        <w:rPr>
          <w:rFonts w:eastAsia="仿宋_GB2312"/>
          <w:kern w:val="0"/>
        </w:rPr>
      </w:pPr>
      <w:r>
        <w:rPr>
          <w:rFonts w:hint="eastAsia" w:eastAsia="仿宋_GB2312"/>
          <w:kern w:val="0"/>
        </w:rPr>
        <w:t>对于预置负压引流器及组件，应重点关注环氧乙烷解析工艺过程和环氧乙烷残留量控制，并能维持瓶内预置负压不发生超标偏移。</w:t>
      </w:r>
    </w:p>
    <w:p w14:paraId="759298A5">
      <w:pPr>
        <w:overflowPunct w:val="0"/>
        <w:autoSpaceDE w:val="0"/>
        <w:autoSpaceDN w:val="0"/>
        <w:spacing w:line="560" w:lineRule="exact"/>
        <w:rPr>
          <w:rFonts w:eastAsia="仿宋_GB2312"/>
          <w:kern w:val="0"/>
        </w:rPr>
      </w:pPr>
      <w:r>
        <w:rPr>
          <w:rFonts w:hint="eastAsia" w:eastAsia="仿宋_GB2312"/>
          <w:kern w:val="0"/>
        </w:rPr>
        <w:t>4</w:t>
      </w:r>
      <w:r>
        <w:rPr>
          <w:rFonts w:eastAsia="仿宋_GB2312"/>
          <w:kern w:val="0"/>
        </w:rPr>
        <w:t>.</w:t>
      </w:r>
      <w:r>
        <w:rPr>
          <w:rFonts w:hint="eastAsia" w:eastAsia="仿宋_GB2312"/>
          <w:kern w:val="0"/>
        </w:rPr>
        <w:t>4</w:t>
      </w:r>
      <w:r>
        <w:rPr>
          <w:rFonts w:eastAsia="仿宋_GB2312"/>
          <w:kern w:val="0"/>
        </w:rPr>
        <w:t>稳定性研究</w:t>
      </w:r>
    </w:p>
    <w:p w14:paraId="4FEA49CB">
      <w:pPr>
        <w:overflowPunct w:val="0"/>
        <w:autoSpaceDE w:val="0"/>
        <w:autoSpaceDN w:val="0"/>
        <w:spacing w:line="560" w:lineRule="exact"/>
        <w:rPr>
          <w:rFonts w:eastAsia="仿宋_GB2312"/>
          <w:kern w:val="0"/>
        </w:rPr>
      </w:pPr>
      <w:r>
        <w:rPr>
          <w:rFonts w:hint="eastAsia" w:eastAsia="仿宋_GB2312"/>
          <w:kern w:val="0"/>
        </w:rPr>
        <w:t>4</w:t>
      </w:r>
      <w:r>
        <w:rPr>
          <w:rFonts w:eastAsia="仿宋_GB2312"/>
          <w:kern w:val="0"/>
        </w:rPr>
        <w:t>.</w:t>
      </w:r>
      <w:r>
        <w:rPr>
          <w:rFonts w:hint="eastAsia" w:eastAsia="仿宋_GB2312"/>
          <w:kern w:val="0"/>
        </w:rPr>
        <w:t>4.1</w:t>
      </w:r>
      <w:r>
        <w:rPr>
          <w:rFonts w:eastAsia="仿宋_GB2312"/>
          <w:kern w:val="0"/>
        </w:rPr>
        <w:t xml:space="preserve">货架有效期 </w:t>
      </w:r>
    </w:p>
    <w:p w14:paraId="1D1FDC21">
      <w:pPr>
        <w:overflowPunct w:val="0"/>
        <w:autoSpaceDE w:val="0"/>
        <w:autoSpaceDN w:val="0"/>
        <w:spacing w:line="560" w:lineRule="exact"/>
        <w:rPr>
          <w:rFonts w:eastAsia="仿宋_GB2312"/>
          <w:kern w:val="0"/>
        </w:rPr>
      </w:pPr>
      <w:r>
        <w:rPr>
          <w:rFonts w:eastAsia="仿宋_GB2312"/>
          <w:kern w:val="0"/>
        </w:rPr>
        <w:t>应提供货架有效期研究资料，证明在货架有效期内，产品可保持性能功能满足使用要求。</w:t>
      </w:r>
    </w:p>
    <w:p w14:paraId="2AFD4667">
      <w:pPr>
        <w:overflowPunct w:val="0"/>
        <w:autoSpaceDE w:val="0"/>
        <w:autoSpaceDN w:val="0"/>
        <w:spacing w:line="560" w:lineRule="exact"/>
        <w:rPr>
          <w:rFonts w:eastAsia="仿宋_GB2312"/>
          <w:kern w:val="0"/>
        </w:rPr>
      </w:pPr>
      <w:r>
        <w:rPr>
          <w:rFonts w:eastAsia="仿宋_GB2312"/>
          <w:kern w:val="0"/>
        </w:rPr>
        <w:t>产品货架有效期验证可采用实时稳定性试验或加速稳定性试验。加速稳定性试验的具体要求可参考YY/T 0681系列标准、YY/T 0698系列标准、GB/T 19633系列标准。无论加速稳定性试验还是实时稳定性试验，注册申请人均需在试验方案中设定检测项目、检测方法及判定标准。检测项目包括产品自身性能检测和包装系统性能检测两方面。前者需选择与医疗器械货架有效期密切相关的物理、化学检测项目</w:t>
      </w:r>
      <w:r>
        <w:rPr>
          <w:rFonts w:hint="eastAsia" w:eastAsia="仿宋_GB2312"/>
          <w:kern w:val="0"/>
        </w:rPr>
        <w:t>（如为预置负压引流器及组件，还应重点关注预置负压情况），</w:t>
      </w:r>
      <w:r>
        <w:rPr>
          <w:rFonts w:eastAsia="仿宋_GB2312"/>
          <w:kern w:val="0"/>
        </w:rPr>
        <w:t>后者包括包装完整性、包装强度和微生物屏障性能等验证项目。当加速稳定性试验与实时稳定性试验结果不一致时，应以实时稳定性试验结果为准。</w:t>
      </w:r>
    </w:p>
    <w:p w14:paraId="722664AE">
      <w:pPr>
        <w:overflowPunct w:val="0"/>
        <w:autoSpaceDE w:val="0"/>
        <w:autoSpaceDN w:val="0"/>
        <w:spacing w:line="560" w:lineRule="exact"/>
        <w:rPr>
          <w:rFonts w:eastAsia="仿宋_GB2312"/>
          <w:kern w:val="0"/>
        </w:rPr>
      </w:pPr>
      <w:r>
        <w:rPr>
          <w:rFonts w:hint="eastAsia" w:eastAsia="仿宋_GB2312"/>
          <w:kern w:val="0"/>
        </w:rPr>
        <w:t>4</w:t>
      </w:r>
      <w:r>
        <w:rPr>
          <w:rFonts w:eastAsia="仿宋_GB2312"/>
          <w:kern w:val="0"/>
        </w:rPr>
        <w:t>.</w:t>
      </w:r>
      <w:r>
        <w:rPr>
          <w:rFonts w:hint="eastAsia" w:eastAsia="仿宋_GB2312"/>
          <w:kern w:val="0"/>
        </w:rPr>
        <w:t>4.2</w:t>
      </w:r>
      <w:r>
        <w:rPr>
          <w:rFonts w:eastAsia="仿宋_GB2312"/>
          <w:kern w:val="0"/>
        </w:rPr>
        <w:t>运输稳定性</w:t>
      </w:r>
    </w:p>
    <w:p w14:paraId="5F102233">
      <w:pPr>
        <w:overflowPunct w:val="0"/>
        <w:autoSpaceDE w:val="0"/>
        <w:autoSpaceDN w:val="0"/>
        <w:spacing w:line="560" w:lineRule="exact"/>
        <w:rPr>
          <w:rFonts w:eastAsia="仿宋_GB2312"/>
          <w:kern w:val="0"/>
        </w:rPr>
      </w:pPr>
      <w:r>
        <w:rPr>
          <w:rFonts w:eastAsia="仿宋_GB2312"/>
          <w:kern w:val="0"/>
        </w:rPr>
        <w:t>应当提供运输稳定性和包装研究资料，证明在生产企业规定的运输贮存条件下，运输和贮存过程中的环境条件（例如：震动、振动、温度和湿度的波动）不会对产品的性能，包括完整性，造成不利影响，并能够保持无菌状态。可依据GB/T 19633、GB/T 4857系列标准对包装进行分析研究和评价。</w:t>
      </w:r>
    </w:p>
    <w:p w14:paraId="7F2A70C5">
      <w:pPr>
        <w:overflowPunct w:val="0"/>
        <w:autoSpaceDE w:val="0"/>
        <w:autoSpaceDN w:val="0"/>
        <w:spacing w:line="560" w:lineRule="exact"/>
        <w:rPr>
          <w:rFonts w:eastAsia="仿宋_GB2312"/>
          <w:kern w:val="0"/>
        </w:rPr>
      </w:pPr>
      <w:r>
        <w:rPr>
          <w:rFonts w:hint="eastAsia" w:eastAsia="仿宋_GB2312"/>
          <w:kern w:val="0"/>
        </w:rPr>
        <w:t>4</w:t>
      </w:r>
      <w:r>
        <w:rPr>
          <w:rFonts w:eastAsia="仿宋_GB2312"/>
          <w:kern w:val="0"/>
        </w:rPr>
        <w:t>.</w:t>
      </w:r>
      <w:r>
        <w:rPr>
          <w:rFonts w:hint="eastAsia" w:eastAsia="仿宋_GB2312"/>
          <w:kern w:val="0"/>
        </w:rPr>
        <w:t>5可用性研究</w:t>
      </w:r>
    </w:p>
    <w:p w14:paraId="4B449AA5">
      <w:pPr>
        <w:overflowPunct w:val="0"/>
        <w:autoSpaceDE w:val="0"/>
        <w:autoSpaceDN w:val="0"/>
        <w:spacing w:line="560" w:lineRule="exact"/>
        <w:rPr>
          <w:rFonts w:eastAsia="仿宋_GB2312"/>
          <w:kern w:val="0"/>
        </w:rPr>
      </w:pPr>
      <w:r>
        <w:rPr>
          <w:rFonts w:hint="eastAsia" w:eastAsia="仿宋_GB2312"/>
          <w:kern w:val="0"/>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691E8445">
      <w:pPr>
        <w:overflowPunct w:val="0"/>
        <w:autoSpaceDE w:val="0"/>
        <w:autoSpaceDN w:val="0"/>
        <w:spacing w:line="560" w:lineRule="exact"/>
        <w:rPr>
          <w:rFonts w:eastAsia="仿宋_GB2312"/>
          <w:kern w:val="0"/>
        </w:rPr>
      </w:pPr>
      <w:r>
        <w:rPr>
          <w:rFonts w:hint="eastAsia" w:eastAsia="仿宋_GB2312"/>
          <w:kern w:val="0"/>
        </w:rPr>
        <w:t>使用错误评估报告用于细化风险管理报告关于可用性的内容，包括基本信息、使用风险级别、核心要素、同类医疗器械上市后使用问题分析、使用风险管理、结论等内容。申请人在对同类产品上市后使用问题进行分析时，应重点考虑产品泄漏、负压维持、引流物收集等问题。</w:t>
      </w:r>
    </w:p>
    <w:p w14:paraId="5068487F">
      <w:pPr>
        <w:overflowPunct w:val="0"/>
        <w:autoSpaceDE w:val="0"/>
        <w:autoSpaceDN w:val="0"/>
        <w:spacing w:line="560" w:lineRule="exact"/>
        <w:rPr>
          <w:rFonts w:eastAsia="仿宋_GB2312"/>
          <w:kern w:val="0"/>
        </w:rPr>
      </w:pPr>
      <w:r>
        <w:rPr>
          <w:rFonts w:hint="eastAsia" w:eastAsia="仿宋_GB2312"/>
          <w:kern w:val="0"/>
        </w:rPr>
        <w:t>4.6</w:t>
      </w:r>
      <w:r>
        <w:rPr>
          <w:rFonts w:eastAsia="仿宋_GB2312"/>
          <w:kern w:val="0"/>
        </w:rPr>
        <w:t>证明产品安全性、有效性的其他研究资料</w:t>
      </w:r>
    </w:p>
    <w:p w14:paraId="1BDE38BE">
      <w:pPr>
        <w:overflowPunct w:val="0"/>
        <w:autoSpaceDE w:val="0"/>
        <w:autoSpaceDN w:val="0"/>
        <w:spacing w:line="560" w:lineRule="exact"/>
        <w:rPr>
          <w:rFonts w:eastAsia="仿宋_GB2312"/>
          <w:kern w:val="0"/>
        </w:rPr>
      </w:pPr>
      <w:r>
        <w:rPr>
          <w:rFonts w:eastAsia="仿宋_GB2312"/>
          <w:kern w:val="0"/>
        </w:rPr>
        <w:t>产品如含有固化剂，应开展固化剂与产品的兼容性研究</w:t>
      </w:r>
      <w:r>
        <w:rPr>
          <w:rFonts w:hint="eastAsia" w:eastAsia="仿宋_GB2312"/>
          <w:kern w:val="0"/>
        </w:rPr>
        <w:t>、与收集引流物的固化效果等性能研究。</w:t>
      </w:r>
    </w:p>
    <w:p w14:paraId="6A2449ED">
      <w:pPr>
        <w:overflowPunct w:val="0"/>
        <w:autoSpaceDE w:val="0"/>
        <w:autoSpaceDN w:val="0"/>
        <w:spacing w:line="560" w:lineRule="exact"/>
        <w:rPr>
          <w:rFonts w:eastAsia="仿宋_GB2312"/>
          <w:kern w:val="0"/>
        </w:rPr>
      </w:pPr>
      <w:r>
        <w:rPr>
          <w:rFonts w:hint="eastAsia" w:eastAsia="仿宋_GB2312"/>
          <w:kern w:val="0"/>
        </w:rPr>
        <w:t>产品如为预置负压引流器及组件，应明确预置负压的范围。</w:t>
      </w:r>
    </w:p>
    <w:p w14:paraId="3939207F">
      <w:pPr>
        <w:overflowPunct w:val="0"/>
        <w:autoSpaceDE w:val="0"/>
        <w:autoSpaceDN w:val="0"/>
        <w:spacing w:line="560" w:lineRule="exact"/>
        <w:rPr>
          <w:rFonts w:eastAsia="仿宋_GB2312"/>
          <w:kern w:val="0"/>
        </w:rPr>
      </w:pPr>
      <w:r>
        <w:rPr>
          <w:rFonts w:eastAsia="仿宋_GB2312"/>
          <w:kern w:val="0"/>
        </w:rPr>
        <w:t xml:space="preserve"> </w:t>
      </w:r>
      <w:bookmarkEnd w:id="3"/>
      <w:bookmarkEnd w:id="4"/>
      <w:bookmarkEnd w:id="5"/>
      <w:bookmarkStart w:id="6" w:name="OLE_LINK41"/>
      <w:r>
        <w:rPr>
          <w:rFonts w:hint="eastAsia" w:eastAsia="仿宋_GB2312"/>
          <w:kern w:val="0"/>
        </w:rPr>
        <w:t>4</w:t>
      </w:r>
      <w:r>
        <w:rPr>
          <w:rFonts w:eastAsia="仿宋_GB2312"/>
          <w:kern w:val="0"/>
        </w:rPr>
        <w:t>.</w:t>
      </w:r>
      <w:r>
        <w:rPr>
          <w:rFonts w:hint="eastAsia" w:eastAsia="仿宋_GB2312"/>
          <w:kern w:val="0"/>
        </w:rPr>
        <w:t>7</w:t>
      </w:r>
      <w:r>
        <w:rPr>
          <w:rFonts w:eastAsia="仿宋_GB2312"/>
          <w:kern w:val="0"/>
        </w:rPr>
        <w:t>其他资料</w:t>
      </w:r>
    </w:p>
    <w:p w14:paraId="5A62FA7C">
      <w:pPr>
        <w:overflowPunct w:val="0"/>
        <w:autoSpaceDE w:val="0"/>
        <w:autoSpaceDN w:val="0"/>
        <w:spacing w:line="560" w:lineRule="exact"/>
        <w:rPr>
          <w:rFonts w:eastAsia="仿宋_GB2312"/>
          <w:kern w:val="0"/>
        </w:rPr>
      </w:pPr>
      <w:r>
        <w:rPr>
          <w:rFonts w:eastAsia="仿宋_GB2312"/>
          <w:kern w:val="0"/>
        </w:rPr>
        <w:t>该产品</w:t>
      </w:r>
      <w:r>
        <w:rPr>
          <w:rFonts w:hint="eastAsia" w:eastAsia="仿宋_GB2312"/>
          <w:kern w:val="0"/>
        </w:rPr>
        <w:t>已</w:t>
      </w:r>
      <w:r>
        <w:rPr>
          <w:rFonts w:eastAsia="仿宋_GB2312"/>
          <w:kern w:val="0"/>
        </w:rPr>
        <w:t>列入《免于</w:t>
      </w:r>
      <w:r>
        <w:rPr>
          <w:rFonts w:hint="eastAsia" w:eastAsia="仿宋_GB2312"/>
          <w:kern w:val="0"/>
        </w:rPr>
        <w:t>进行</w:t>
      </w:r>
      <w:r>
        <w:rPr>
          <w:rFonts w:eastAsia="仿宋_GB2312"/>
          <w:kern w:val="0"/>
        </w:rPr>
        <w:t>临床评价医疗器械目录》（以下简称《目录》）</w:t>
      </w:r>
      <w:r>
        <w:rPr>
          <w:rFonts w:hint="eastAsia" w:eastAsia="仿宋_GB2312"/>
          <w:kern w:val="0"/>
        </w:rPr>
        <w:t>，注册</w:t>
      </w:r>
      <w:r>
        <w:rPr>
          <w:rFonts w:eastAsia="仿宋_GB2312"/>
          <w:kern w:val="0"/>
        </w:rPr>
        <w:t>申请人应当按照《列入免于临床评价医疗器械目录产品对比说明技术指导原则》</w:t>
      </w:r>
      <w:r>
        <w:rPr>
          <w:rFonts w:hint="eastAsia" w:eastAsia="仿宋_GB2312"/>
          <w:kern w:val="0"/>
        </w:rPr>
        <w:t>提供相应资料</w:t>
      </w:r>
      <w:r>
        <w:rPr>
          <w:rFonts w:eastAsia="仿宋_GB2312"/>
          <w:kern w:val="0"/>
        </w:rPr>
        <w:t>，从基本原理、结构组成、性能、安全性、适用范围等方面，证明产品的安全有效性。</w:t>
      </w:r>
    </w:p>
    <w:p w14:paraId="61F2D708">
      <w:pPr>
        <w:tabs>
          <w:tab w:val="left" w:pos="6720"/>
        </w:tabs>
        <w:spacing w:line="560" w:lineRule="exact"/>
        <w:outlineLvl w:val="0"/>
        <w:rPr>
          <w:rFonts w:eastAsia="楷体_GB2312"/>
          <w:bCs/>
        </w:rPr>
      </w:pPr>
      <w:r>
        <w:rPr>
          <w:rFonts w:hint="eastAsia" w:eastAsia="楷体_GB2312"/>
          <w:bCs/>
        </w:rPr>
        <w:t>（四）临床评价资料</w:t>
      </w:r>
    </w:p>
    <w:p w14:paraId="6E1CDEE7">
      <w:pPr>
        <w:pStyle w:val="2"/>
        <w:ind w:firstLine="624"/>
        <w:jc w:val="both"/>
        <w:rPr>
          <w:rFonts w:eastAsia="仿宋_GB2312"/>
          <w:spacing w:val="-4"/>
          <w:kern w:val="0"/>
        </w:rPr>
      </w:pPr>
      <w:r>
        <w:rPr>
          <w:rFonts w:hint="eastAsia" w:eastAsia="仿宋_GB2312"/>
          <w:spacing w:val="-4"/>
          <w:kern w:val="0"/>
        </w:rPr>
        <w:t>对于不符合《目录》的产品，应按照</w:t>
      </w:r>
      <w:bookmarkStart w:id="7" w:name="OLE_LINK29"/>
      <w:r>
        <w:rPr>
          <w:rFonts w:hint="eastAsia" w:eastAsia="仿宋_GB2312"/>
          <w:spacing w:val="-4"/>
          <w:kern w:val="0"/>
        </w:rPr>
        <w:t>《医疗器械临床评价技术指导原则》</w:t>
      </w:r>
      <w:bookmarkEnd w:id="7"/>
      <w:r>
        <w:rPr>
          <w:rFonts w:hint="eastAsia" w:eastAsia="仿宋_GB2312"/>
          <w:spacing w:val="-4"/>
          <w:kern w:val="0"/>
        </w:rPr>
        <w:t>等要求提交临床评价资料。</w:t>
      </w:r>
    </w:p>
    <w:bookmarkEnd w:id="6"/>
    <w:p w14:paraId="03AD71A3">
      <w:pPr>
        <w:tabs>
          <w:tab w:val="left" w:pos="6720"/>
        </w:tabs>
        <w:spacing w:line="560" w:lineRule="exact"/>
        <w:outlineLvl w:val="0"/>
        <w:rPr>
          <w:rFonts w:eastAsia="楷体_GB2312"/>
          <w:bCs/>
        </w:rPr>
      </w:pPr>
      <w:r>
        <w:rPr>
          <w:rFonts w:hint="eastAsia" w:eastAsia="楷体_GB2312"/>
          <w:bCs/>
        </w:rPr>
        <w:t>（五）产品说明书和标签样稿</w:t>
      </w:r>
    </w:p>
    <w:p w14:paraId="3FE84A0C">
      <w:pPr>
        <w:overflowPunct w:val="0"/>
        <w:autoSpaceDE w:val="0"/>
        <w:autoSpaceDN w:val="0"/>
        <w:spacing w:line="560" w:lineRule="exact"/>
        <w:rPr>
          <w:rFonts w:eastAsia="仿宋_GB2312"/>
          <w:kern w:val="0"/>
        </w:rPr>
      </w:pPr>
      <w:r>
        <w:rPr>
          <w:rFonts w:eastAsia="仿宋_GB2312"/>
          <w:kern w:val="0"/>
        </w:rPr>
        <w:t>产品说明书和标签样稿应符合《医疗器械说明书和标签管理规定》及YY/T 0466.1等相关标准的规定。同时根据产品适用情况可参考以下要求：</w:t>
      </w:r>
    </w:p>
    <w:p w14:paraId="43623213">
      <w:pPr>
        <w:overflowPunct w:val="0"/>
        <w:autoSpaceDE w:val="0"/>
        <w:autoSpaceDN w:val="0"/>
        <w:spacing w:line="560" w:lineRule="exact"/>
        <w:rPr>
          <w:rFonts w:eastAsia="仿宋_GB2312"/>
          <w:kern w:val="0"/>
        </w:rPr>
      </w:pPr>
      <w:r>
        <w:rPr>
          <w:rFonts w:hint="eastAsia" w:eastAsia="仿宋_GB2312"/>
          <w:kern w:val="0"/>
        </w:rPr>
        <w:t>1.产品的结构组成及主要性能指标应与产品技术要求内容一致。</w:t>
      </w:r>
    </w:p>
    <w:p w14:paraId="04FACD39">
      <w:pPr>
        <w:overflowPunct w:val="0"/>
        <w:autoSpaceDE w:val="0"/>
        <w:autoSpaceDN w:val="0"/>
        <w:spacing w:line="560" w:lineRule="exact"/>
        <w:rPr>
          <w:rFonts w:eastAsia="仿宋_GB2312"/>
          <w:kern w:val="0"/>
        </w:rPr>
      </w:pPr>
      <w:r>
        <w:rPr>
          <w:rFonts w:hint="eastAsia" w:eastAsia="仿宋_GB2312"/>
          <w:kern w:val="0"/>
        </w:rPr>
        <w:t>2.无菌形式提供的产品应当注明灭菌方式、“无菌”等字样或符号；</w:t>
      </w:r>
    </w:p>
    <w:p w14:paraId="74AC3DFC">
      <w:pPr>
        <w:overflowPunct w:val="0"/>
        <w:autoSpaceDE w:val="0"/>
        <w:autoSpaceDN w:val="0"/>
        <w:spacing w:line="560" w:lineRule="exact"/>
        <w:rPr>
          <w:rFonts w:eastAsia="仿宋_GB2312"/>
          <w:kern w:val="0"/>
        </w:rPr>
      </w:pPr>
      <w:r>
        <w:rPr>
          <w:rFonts w:hint="eastAsia" w:eastAsia="仿宋_GB2312"/>
          <w:kern w:val="0"/>
        </w:rPr>
        <w:t>3.提供产品的具体使用方法或图示。</w:t>
      </w:r>
    </w:p>
    <w:p w14:paraId="573DDC97">
      <w:pPr>
        <w:overflowPunct w:val="0"/>
        <w:autoSpaceDE w:val="0"/>
        <w:autoSpaceDN w:val="0"/>
        <w:spacing w:line="560" w:lineRule="exact"/>
        <w:rPr>
          <w:rFonts w:eastAsia="仿宋_GB2312"/>
          <w:kern w:val="0"/>
        </w:rPr>
      </w:pPr>
      <w:r>
        <w:rPr>
          <w:rFonts w:hint="eastAsia" w:eastAsia="仿宋_GB2312"/>
          <w:kern w:val="0"/>
        </w:rPr>
        <w:t>4.应提示对产品材料有过敏史者禁用，以及可能产生过敏的情况。</w:t>
      </w:r>
    </w:p>
    <w:p w14:paraId="1E2F50F4">
      <w:pPr>
        <w:overflowPunct w:val="0"/>
        <w:autoSpaceDE w:val="0"/>
        <w:autoSpaceDN w:val="0"/>
        <w:spacing w:line="560" w:lineRule="exact"/>
        <w:rPr>
          <w:rFonts w:eastAsia="仿宋_GB2312"/>
          <w:kern w:val="0"/>
        </w:rPr>
      </w:pPr>
      <w:r>
        <w:rPr>
          <w:rFonts w:hint="eastAsia" w:eastAsia="仿宋_GB2312"/>
          <w:kern w:val="0"/>
        </w:rPr>
        <w:t xml:space="preserve">5.应提示一次性使用，使用后销毁，包装如有破损，严禁使用。 </w:t>
      </w:r>
    </w:p>
    <w:p w14:paraId="50536FAE">
      <w:pPr>
        <w:overflowPunct w:val="0"/>
        <w:autoSpaceDE w:val="0"/>
        <w:autoSpaceDN w:val="0"/>
        <w:spacing w:line="560" w:lineRule="exact"/>
        <w:rPr>
          <w:rFonts w:eastAsia="仿宋_GB2312"/>
          <w:kern w:val="0"/>
        </w:rPr>
      </w:pPr>
      <w:r>
        <w:rPr>
          <w:rFonts w:hint="eastAsia" w:eastAsia="仿宋_GB2312"/>
          <w:kern w:val="0"/>
        </w:rPr>
        <w:t>6</w:t>
      </w:r>
      <w:r>
        <w:rPr>
          <w:rFonts w:eastAsia="仿宋_GB2312"/>
          <w:kern w:val="0"/>
        </w:rPr>
        <w:t>.</w:t>
      </w:r>
      <w:r>
        <w:rPr>
          <w:rFonts w:hint="eastAsia" w:eastAsia="仿宋_GB2312"/>
          <w:kern w:val="0"/>
        </w:rPr>
        <w:t>应注意过高负压可能对人体造成的伤害，提示使用风险，预置负压引流瓶应</w:t>
      </w:r>
      <w:r>
        <w:rPr>
          <w:rFonts w:eastAsia="仿宋_GB2312"/>
          <w:kern w:val="0"/>
        </w:rPr>
        <w:t>明确初始负压</w:t>
      </w:r>
      <w:r>
        <w:rPr>
          <w:rFonts w:hint="eastAsia" w:eastAsia="仿宋_GB2312"/>
          <w:kern w:val="0"/>
        </w:rPr>
        <w:t>（如适用）。增加产品所能承受的最大负压值。</w:t>
      </w:r>
    </w:p>
    <w:p w14:paraId="1EF72534">
      <w:pPr>
        <w:overflowPunct w:val="0"/>
        <w:autoSpaceDE w:val="0"/>
        <w:autoSpaceDN w:val="0"/>
        <w:spacing w:line="560" w:lineRule="exact"/>
        <w:rPr>
          <w:rFonts w:eastAsia="仿宋_GB2312"/>
          <w:kern w:val="0"/>
        </w:rPr>
      </w:pPr>
      <w:r>
        <w:rPr>
          <w:rFonts w:hint="eastAsia" w:eastAsia="仿宋_GB2312"/>
          <w:kern w:val="0"/>
        </w:rPr>
        <w:t>7</w:t>
      </w:r>
      <w:r>
        <w:rPr>
          <w:rFonts w:eastAsia="仿宋_GB2312"/>
          <w:kern w:val="0"/>
        </w:rPr>
        <w:t>.</w:t>
      </w:r>
      <w:r>
        <w:rPr>
          <w:rFonts w:hint="eastAsia" w:eastAsia="仿宋_GB2312"/>
          <w:kern w:val="0"/>
        </w:rPr>
        <w:t>提示</w:t>
      </w:r>
      <w:r>
        <w:rPr>
          <w:rFonts w:eastAsia="仿宋_GB2312"/>
          <w:kern w:val="0"/>
        </w:rPr>
        <w:t>对日常护理的要求，如排液、重置负压等进行说明</w:t>
      </w:r>
      <w:r>
        <w:rPr>
          <w:rFonts w:hint="eastAsia" w:eastAsia="仿宋_GB2312"/>
          <w:kern w:val="0"/>
        </w:rPr>
        <w:t>。</w:t>
      </w:r>
    </w:p>
    <w:p w14:paraId="3113C115">
      <w:pPr>
        <w:tabs>
          <w:tab w:val="left" w:pos="6720"/>
        </w:tabs>
        <w:spacing w:line="560" w:lineRule="exact"/>
        <w:outlineLvl w:val="0"/>
        <w:rPr>
          <w:rFonts w:eastAsia="楷体_GB2312"/>
          <w:bCs/>
        </w:rPr>
      </w:pPr>
      <w:r>
        <w:rPr>
          <w:rFonts w:hint="eastAsia" w:eastAsia="楷体_GB2312"/>
          <w:bCs/>
        </w:rPr>
        <w:t>（六）质量管理体系文件</w:t>
      </w:r>
    </w:p>
    <w:p w14:paraId="6580490B">
      <w:pPr>
        <w:overflowPunct w:val="0"/>
        <w:autoSpaceDE w:val="0"/>
        <w:autoSpaceDN w:val="0"/>
        <w:spacing w:line="560" w:lineRule="exact"/>
        <w:rPr>
          <w:rFonts w:eastAsia="仿宋_GB2312"/>
          <w:kern w:val="0"/>
        </w:rPr>
      </w:pPr>
      <w:r>
        <w:rPr>
          <w:rFonts w:eastAsia="仿宋_GB2312"/>
          <w:kern w:val="0"/>
        </w:rPr>
        <w:t>注册申请人应按照《关于公布医疗器械注册申报资料要求和批准证明文件格式的公告》提交申报产品的质量管理体系文件，产品质量管理体系文件应符合《医疗器械生产质量管理规范》的要求。</w:t>
      </w:r>
    </w:p>
    <w:p w14:paraId="18FB69B5">
      <w:pPr>
        <w:rPr>
          <w:rFonts w:ascii="黑体" w:hAnsi="黑体" w:eastAsia="黑体" w:cs="黑体"/>
        </w:rPr>
      </w:pPr>
      <w:r>
        <w:rPr>
          <w:rFonts w:hint="eastAsia" w:ascii="黑体" w:hAnsi="黑体" w:eastAsia="黑体" w:cs="黑体"/>
        </w:rPr>
        <w:t>三、参考文献</w:t>
      </w:r>
    </w:p>
    <w:p w14:paraId="43010DB7">
      <w:pPr>
        <w:spacing w:line="560" w:lineRule="exact"/>
        <w:outlineLvl w:val="0"/>
        <w:rPr>
          <w:rFonts w:eastAsia="仿宋_GB2312" w:cs="仿宋_GB2312"/>
          <w:bCs/>
        </w:rPr>
      </w:pPr>
      <w:r>
        <w:rPr>
          <w:rFonts w:hint="eastAsia" w:eastAsia="仿宋_GB2312" w:cs="仿宋_GB2312"/>
          <w:bCs/>
        </w:rPr>
        <w:t>[1]</w:t>
      </w:r>
      <w:r>
        <w:rPr>
          <w:rFonts w:hint="eastAsia" w:eastAsia="仿宋_GB2312" w:cs="仿宋_GB2312"/>
          <w:bCs/>
          <w:lang w:val="en"/>
        </w:rPr>
        <w:t>中华人民共和国国务院.</w:t>
      </w:r>
      <w:r>
        <w:rPr>
          <w:rFonts w:hint="eastAsia" w:eastAsia="仿宋_GB2312" w:cs="仿宋_GB2312"/>
          <w:bCs/>
        </w:rPr>
        <w:t>医疗器械监督管理条例:</w:t>
      </w:r>
      <w:r>
        <w:rPr>
          <w:rFonts w:hint="eastAsia" w:eastAsia="仿宋_GB2312" w:cs="仿宋_GB2312"/>
          <w:bCs/>
          <w:lang w:val="en"/>
        </w:rPr>
        <w:t>中华人民共和国国务院令第739号</w:t>
      </w:r>
      <w:r>
        <w:rPr>
          <w:rFonts w:hint="eastAsia" w:eastAsia="仿宋_GB2312" w:cs="仿宋_GB2312"/>
          <w:bCs/>
        </w:rPr>
        <w:t>[Z].</w:t>
      </w:r>
    </w:p>
    <w:p w14:paraId="76F29946">
      <w:pPr>
        <w:spacing w:line="560" w:lineRule="exact"/>
        <w:outlineLvl w:val="0"/>
        <w:rPr>
          <w:rFonts w:eastAsia="仿宋_GB2312" w:cs="仿宋_GB2312"/>
          <w:bCs/>
        </w:rPr>
      </w:pPr>
      <w:r>
        <w:rPr>
          <w:rFonts w:hint="eastAsia" w:eastAsia="仿宋_GB2312" w:cs="仿宋_GB2312"/>
          <w:bCs/>
        </w:rPr>
        <w:t>[2]国家市场监督管理总局.医疗器械注册与备案管理办法:国家市场监督管理总局令第47号[Z].</w:t>
      </w:r>
    </w:p>
    <w:p w14:paraId="15C21611">
      <w:pPr>
        <w:spacing w:line="560" w:lineRule="exact"/>
        <w:outlineLvl w:val="0"/>
        <w:rPr>
          <w:rFonts w:eastAsia="仿宋_GB2312" w:cs="仿宋_GB2312"/>
          <w:bCs/>
        </w:rPr>
      </w:pPr>
      <w:r>
        <w:rPr>
          <w:rFonts w:hint="eastAsia" w:eastAsia="仿宋_GB2312" w:cs="仿宋_GB2312"/>
          <w:bCs/>
        </w:rPr>
        <w:t>[3]国家药品监督管理局.医疗器械注册申报资料要求和批准证明文件格式:国家药监局公告2021年第121号[Z].</w:t>
      </w:r>
    </w:p>
    <w:p w14:paraId="70468153">
      <w:pPr>
        <w:spacing w:line="560" w:lineRule="exact"/>
        <w:outlineLvl w:val="0"/>
        <w:rPr>
          <w:rFonts w:eastAsia="仿宋_GB2312" w:cs="仿宋_GB2312"/>
          <w:bCs/>
        </w:rPr>
      </w:pPr>
      <w:r>
        <w:rPr>
          <w:rFonts w:hint="eastAsia" w:eastAsia="仿宋_GB2312" w:cs="仿宋_GB2312"/>
          <w:bCs/>
        </w:rPr>
        <w:t>[4]</w:t>
      </w:r>
      <w:r>
        <w:rPr>
          <w:rFonts w:hint="eastAsia" w:eastAsia="仿宋_GB2312" w:cs="仿宋_GB2312"/>
          <w:bCs/>
          <w:lang w:val="en"/>
        </w:rPr>
        <w:t>国家食品药品监督管理局</w:t>
      </w:r>
      <w:r>
        <w:rPr>
          <w:rFonts w:hint="eastAsia" w:eastAsia="仿宋_GB2312" w:cs="仿宋_GB2312"/>
          <w:bCs/>
        </w:rPr>
        <w:t>.医疗器械注册单元划分指导原则:总局通</w:t>
      </w:r>
      <w:r>
        <w:rPr>
          <w:rFonts w:hint="eastAsia" w:eastAsia="仿宋_GB2312" w:cs="仿宋_GB2312"/>
          <w:bCs/>
          <w:lang w:val="en"/>
        </w:rPr>
        <w:t>告2017年第187号</w:t>
      </w:r>
      <w:r>
        <w:rPr>
          <w:rFonts w:hint="eastAsia" w:eastAsia="仿宋_GB2312" w:cs="仿宋_GB2312"/>
          <w:bCs/>
        </w:rPr>
        <w:t>[Z].</w:t>
      </w:r>
    </w:p>
    <w:p w14:paraId="4F50D23C">
      <w:pPr>
        <w:spacing w:line="560" w:lineRule="exact"/>
        <w:outlineLvl w:val="0"/>
        <w:rPr>
          <w:rFonts w:eastAsia="仿宋_GB2312" w:cs="仿宋_GB2312"/>
          <w:bCs/>
        </w:rPr>
      </w:pPr>
      <w:bookmarkStart w:id="8" w:name="_Hlk126776306"/>
      <w:r>
        <w:rPr>
          <w:rFonts w:hint="eastAsia" w:eastAsia="仿宋_GB2312" w:cs="仿宋_GB2312"/>
          <w:bCs/>
        </w:rPr>
        <w:t>[5]</w:t>
      </w:r>
      <w:bookmarkEnd w:id="8"/>
      <w:r>
        <w:rPr>
          <w:rFonts w:hint="eastAsia" w:eastAsia="仿宋_GB2312" w:cs="仿宋_GB2312"/>
          <w:bCs/>
          <w:lang w:val="en"/>
        </w:rPr>
        <w:t>国家食品药品监督管理局</w:t>
      </w:r>
      <w:r>
        <w:rPr>
          <w:rFonts w:hint="eastAsia" w:eastAsia="仿宋_GB2312" w:cs="仿宋_GB2312"/>
          <w:bCs/>
        </w:rPr>
        <w:t>.医疗器械分类目录:</w:t>
      </w:r>
      <w:r>
        <w:rPr>
          <w:rFonts w:hint="eastAsia" w:eastAsia="仿宋_GB2312" w:cs="仿宋_GB2312"/>
          <w:bCs/>
          <w:lang w:val="en"/>
        </w:rPr>
        <w:t>国家食品药品监督管理总局公告2017年第104号</w:t>
      </w:r>
      <w:r>
        <w:rPr>
          <w:rFonts w:hint="eastAsia" w:eastAsia="仿宋_GB2312" w:cs="仿宋_GB2312"/>
          <w:bCs/>
        </w:rPr>
        <w:t>[Z].</w:t>
      </w:r>
    </w:p>
    <w:p w14:paraId="443B9821">
      <w:pPr>
        <w:spacing w:line="560" w:lineRule="exact"/>
        <w:outlineLvl w:val="0"/>
        <w:rPr>
          <w:rFonts w:eastAsia="仿宋_GB2312" w:cs="仿宋_GB2312"/>
          <w:bCs/>
        </w:rPr>
      </w:pPr>
      <w:r>
        <w:rPr>
          <w:rFonts w:hint="eastAsia" w:eastAsia="仿宋_GB2312" w:cs="仿宋_GB2312"/>
          <w:bCs/>
        </w:rPr>
        <w:t>[6]国家药品监督管理局.医疗器械安全和性能基本原则清单:国家药监局公告2021年第121号[Z].</w:t>
      </w:r>
    </w:p>
    <w:p w14:paraId="615DF178">
      <w:pPr>
        <w:spacing w:line="560" w:lineRule="exact"/>
        <w:outlineLvl w:val="0"/>
        <w:rPr>
          <w:rFonts w:eastAsia="仿宋_GB2312" w:cs="仿宋_GB2312"/>
          <w:bCs/>
        </w:rPr>
      </w:pPr>
      <w:r>
        <w:rPr>
          <w:rFonts w:hint="eastAsia" w:eastAsia="仿宋_GB2312" w:cs="仿宋_GB2312"/>
          <w:bCs/>
        </w:rPr>
        <w:t>[7]国家药品监督管理局.医疗器械产品技术要求编写指导原则:国家药监局公告2022年第8号[Z].</w:t>
      </w:r>
    </w:p>
    <w:p w14:paraId="6DA3ADB4">
      <w:pPr>
        <w:spacing w:line="560" w:lineRule="exact"/>
        <w:outlineLvl w:val="0"/>
        <w:rPr>
          <w:rFonts w:eastAsia="仿宋_GB2312" w:cs="仿宋_GB2312"/>
          <w:bCs/>
        </w:rPr>
      </w:pPr>
      <w:r>
        <w:rPr>
          <w:rFonts w:hint="eastAsia" w:eastAsia="仿宋_GB2312" w:cs="仿宋_GB2312"/>
          <w:bCs/>
        </w:rPr>
        <w:t>[8]国家药品监督管理局.医疗器械注册自检管理规定:国家药监局公告2021年第126号[Z].</w:t>
      </w:r>
    </w:p>
    <w:p w14:paraId="6DCA2533">
      <w:pPr>
        <w:spacing w:line="560" w:lineRule="exact"/>
        <w:outlineLvl w:val="0"/>
        <w:rPr>
          <w:rFonts w:eastAsia="仿宋_GB2312" w:cs="仿宋_GB2312"/>
          <w:bCs/>
        </w:rPr>
      </w:pPr>
      <w:r>
        <w:rPr>
          <w:rFonts w:hint="eastAsia" w:eastAsia="仿宋_GB2312" w:cs="仿宋_GB2312"/>
          <w:bCs/>
        </w:rPr>
        <w:t>[9]国家食品药品监督管理局.医疗器械生物学评价和审查指南:国家食品药品监督管理局通知</w:t>
      </w:r>
      <w:r>
        <w:rPr>
          <w:rFonts w:hint="eastAsia" w:eastAsia="仿宋_GB2312" w:cs="仿宋_GB2312"/>
          <w:bCs/>
          <w:lang w:val="en"/>
        </w:rPr>
        <w:t>2007年345号</w:t>
      </w:r>
      <w:r>
        <w:rPr>
          <w:rFonts w:hint="eastAsia" w:eastAsia="仿宋_GB2312" w:cs="仿宋_GB2312"/>
          <w:bCs/>
        </w:rPr>
        <w:t>[Z].</w:t>
      </w:r>
    </w:p>
    <w:p w14:paraId="28E1D72A">
      <w:pPr>
        <w:spacing w:line="560" w:lineRule="exact"/>
        <w:outlineLvl w:val="0"/>
        <w:rPr>
          <w:rFonts w:eastAsia="仿宋_GB2312" w:cs="仿宋_GB2312"/>
          <w:bCs/>
        </w:rPr>
      </w:pPr>
      <w:r>
        <w:rPr>
          <w:rFonts w:hint="eastAsia" w:eastAsia="仿宋_GB2312" w:cs="仿宋_GB2312"/>
          <w:bCs/>
        </w:rPr>
        <w:t>[10]国家药品监督管理局.列入免于临床评价医疗器械目录产品对比说明技术指导原则:</w:t>
      </w:r>
      <w:r>
        <w:rPr>
          <w:rFonts w:hint="eastAsia" w:eastAsia="仿宋_GB2312" w:cs="仿宋_GB2312"/>
          <w:bCs/>
          <w:lang w:val="en"/>
        </w:rPr>
        <w:t>国家药监局通告2021年第73号</w:t>
      </w:r>
      <w:r>
        <w:rPr>
          <w:rFonts w:hint="eastAsia" w:eastAsia="仿宋_GB2312" w:cs="仿宋_GB2312"/>
          <w:bCs/>
        </w:rPr>
        <w:t>[Z].</w:t>
      </w:r>
    </w:p>
    <w:p w14:paraId="7E7E580A">
      <w:pPr>
        <w:spacing w:line="560" w:lineRule="exact"/>
        <w:outlineLvl w:val="0"/>
        <w:rPr>
          <w:rFonts w:eastAsia="仿宋_GB2312" w:cs="仿宋_GB2312"/>
          <w:bCs/>
        </w:rPr>
      </w:pPr>
      <w:r>
        <w:rPr>
          <w:rFonts w:hint="eastAsia" w:eastAsia="仿宋_GB2312" w:cs="仿宋_GB2312"/>
          <w:bCs/>
        </w:rPr>
        <w:t>[11]国家药品监督管理局.免于进行临床评价医疗器械目录：</w:t>
      </w:r>
      <w:r>
        <w:rPr>
          <w:rFonts w:hint="eastAsia" w:eastAsia="仿宋_GB2312" w:cs="仿宋_GB2312"/>
          <w:bCs/>
          <w:lang w:val="en"/>
        </w:rPr>
        <w:t>国家药监局通告</w:t>
      </w:r>
      <w:r>
        <w:rPr>
          <w:rFonts w:hint="eastAsia" w:eastAsia="仿宋_GB2312" w:cs="仿宋_GB2312"/>
          <w:bCs/>
        </w:rPr>
        <w:t>2025</w:t>
      </w:r>
      <w:r>
        <w:rPr>
          <w:rFonts w:hint="eastAsia" w:eastAsia="仿宋_GB2312" w:cs="仿宋_GB2312"/>
          <w:bCs/>
          <w:lang w:val="en"/>
        </w:rPr>
        <w:t>年第</w:t>
      </w:r>
      <w:r>
        <w:rPr>
          <w:rFonts w:hint="eastAsia" w:eastAsia="仿宋_GB2312" w:cs="仿宋_GB2312"/>
          <w:bCs/>
        </w:rPr>
        <w:t>19</w:t>
      </w:r>
      <w:r>
        <w:rPr>
          <w:rFonts w:hint="eastAsia" w:eastAsia="仿宋_GB2312" w:cs="仿宋_GB2312"/>
          <w:bCs/>
          <w:lang w:val="en"/>
        </w:rPr>
        <w:t>号</w:t>
      </w:r>
      <w:r>
        <w:rPr>
          <w:rFonts w:hint="eastAsia" w:eastAsia="仿宋_GB2312" w:cs="仿宋_GB2312"/>
          <w:bCs/>
        </w:rPr>
        <w:t>[Z].</w:t>
      </w:r>
    </w:p>
    <w:p w14:paraId="74386D44">
      <w:pPr>
        <w:spacing w:line="560" w:lineRule="exact"/>
        <w:outlineLvl w:val="0"/>
        <w:rPr>
          <w:rFonts w:eastAsia="仿宋_GB2312" w:cs="仿宋_GB2312"/>
          <w:bCs/>
        </w:rPr>
      </w:pPr>
      <w:r>
        <w:rPr>
          <w:rFonts w:hint="eastAsia" w:eastAsia="仿宋_GB2312" w:cs="仿宋_GB2312"/>
          <w:bCs/>
        </w:rPr>
        <w:t>[12]国家食品药品监督管理局.医疗器械说明书和标签管理规定:国家食品药品监督管理总局令第6号[Z].</w:t>
      </w:r>
    </w:p>
    <w:p w14:paraId="2A798254">
      <w:pPr>
        <w:spacing w:line="560" w:lineRule="exact"/>
        <w:outlineLvl w:val="0"/>
        <w:rPr>
          <w:rFonts w:eastAsia="仿宋_GB2312" w:cs="仿宋_GB2312"/>
          <w:bCs/>
        </w:rPr>
      </w:pPr>
      <w:r>
        <w:rPr>
          <w:rFonts w:hint="eastAsia" w:eastAsia="仿宋_GB2312" w:cs="仿宋_GB2312"/>
          <w:bCs/>
        </w:rPr>
        <w:t>[13]</w:t>
      </w:r>
      <w:r>
        <w:rPr>
          <w:rFonts w:hint="eastAsia" w:eastAsia="仿宋_GB2312" w:cs="仿宋_GB2312"/>
          <w:bCs/>
          <w:lang w:val="en"/>
        </w:rPr>
        <w:t>GB 18279</w:t>
      </w:r>
      <w:r>
        <w:rPr>
          <w:rFonts w:hint="eastAsia" w:eastAsia="仿宋_GB2312" w:cs="仿宋_GB2312"/>
          <w:bCs/>
        </w:rPr>
        <w:t>.1</w:t>
      </w:r>
      <w:r>
        <w:rPr>
          <w:rFonts w:hint="eastAsia" w:eastAsia="仿宋_GB2312" w:cs="仿宋_GB2312"/>
          <w:bCs/>
          <w:lang w:val="en"/>
        </w:rPr>
        <w:t>,医疗保健产品灭菌 环氧乙烷 第1部分：医疗器械灭菌过程的开发、确认和常规控制的要求[S].</w:t>
      </w:r>
    </w:p>
    <w:p w14:paraId="7202C618">
      <w:pPr>
        <w:spacing w:line="560" w:lineRule="exact"/>
        <w:outlineLvl w:val="0"/>
        <w:rPr>
          <w:rFonts w:eastAsia="仿宋_GB2312" w:cs="仿宋_GB2312"/>
          <w:bCs/>
        </w:rPr>
      </w:pPr>
      <w:r>
        <w:rPr>
          <w:rFonts w:hint="eastAsia" w:eastAsia="仿宋_GB2312" w:cs="仿宋_GB2312"/>
          <w:bCs/>
        </w:rPr>
        <w:t>[14]GB 18280.1,医疗保健产品灭菌 辐射 第1部分：医疗器械灭菌过程的开发、确认和常规控制要求[S].</w:t>
      </w:r>
    </w:p>
    <w:p w14:paraId="64AF936C">
      <w:pPr>
        <w:spacing w:line="560" w:lineRule="exact"/>
        <w:outlineLvl w:val="0"/>
        <w:rPr>
          <w:rFonts w:eastAsia="仿宋_GB2312" w:cs="仿宋_GB2312"/>
          <w:bCs/>
        </w:rPr>
      </w:pPr>
      <w:r>
        <w:rPr>
          <w:rFonts w:hint="eastAsia" w:eastAsia="仿宋_GB2312" w:cs="仿宋_GB2312"/>
          <w:bCs/>
        </w:rPr>
        <w:t>[15]GB 18280.2,医疗保健产品灭菌 辐射 第2部分：建立灭菌剂量[S].</w:t>
      </w:r>
    </w:p>
    <w:p w14:paraId="3832F0B8">
      <w:pPr>
        <w:spacing w:line="560" w:lineRule="exact"/>
        <w:outlineLvl w:val="0"/>
        <w:rPr>
          <w:rFonts w:eastAsia="仿宋_GB2312" w:cs="仿宋_GB2312"/>
          <w:bCs/>
        </w:rPr>
      </w:pPr>
      <w:r>
        <w:rPr>
          <w:rFonts w:hint="eastAsia" w:eastAsia="仿宋_GB2312" w:cs="仿宋_GB2312"/>
          <w:bCs/>
        </w:rPr>
        <w:t>[16]</w:t>
      </w:r>
      <w:r>
        <w:rPr>
          <w:rFonts w:hint="eastAsia" w:eastAsia="仿宋_GB2312" w:cs="仿宋_GB2312"/>
          <w:bCs/>
          <w:lang w:val="en"/>
        </w:rPr>
        <w:t>GB/T 18280.3,医疗保健产品灭菌 辐射 第3部分：剂量测量指南[S].</w:t>
      </w:r>
    </w:p>
    <w:p w14:paraId="6EF84F6F">
      <w:pPr>
        <w:spacing w:line="560" w:lineRule="exact"/>
        <w:outlineLvl w:val="0"/>
        <w:rPr>
          <w:rFonts w:eastAsia="仿宋_GB2312" w:cs="仿宋_GB2312"/>
          <w:bCs/>
          <w:lang w:val="en"/>
        </w:rPr>
      </w:pPr>
      <w:r>
        <w:rPr>
          <w:rFonts w:hint="eastAsia" w:eastAsia="仿宋_GB2312" w:cs="仿宋_GB2312"/>
          <w:bCs/>
        </w:rPr>
        <w:t>[17]</w:t>
      </w:r>
      <w:r>
        <w:rPr>
          <w:rFonts w:hint="eastAsia" w:eastAsia="仿宋_GB2312" w:cs="仿宋_GB2312"/>
          <w:bCs/>
          <w:lang w:val="en"/>
        </w:rPr>
        <w:t>GB/T 1962.1,注射器、注射针及其他医疗器械6%（鲁尔）圆锥接头 第1部分通用要求[S].</w:t>
      </w:r>
    </w:p>
    <w:p w14:paraId="7747DF14">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18</w:t>
      </w:r>
      <w:r>
        <w:rPr>
          <w:rFonts w:hint="eastAsia" w:eastAsia="仿宋_GB2312" w:cs="仿宋_GB2312"/>
          <w:bCs/>
          <w:lang w:val="en"/>
        </w:rPr>
        <w:t>] GB/T 14233.1,医用输液、输血、注射器具检验方法第1部分：化学分析方法[S].</w:t>
      </w:r>
    </w:p>
    <w:p w14:paraId="532DEB68">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19</w:t>
      </w:r>
      <w:r>
        <w:rPr>
          <w:rFonts w:hint="eastAsia" w:eastAsia="仿宋_GB2312" w:cs="仿宋_GB2312"/>
          <w:bCs/>
          <w:lang w:val="en"/>
        </w:rPr>
        <w:t>]GB/T 14233.2,医用输液、输血、注射器具检验方法  第2部分：生物学试验方法[S].</w:t>
      </w:r>
    </w:p>
    <w:p w14:paraId="175FD456">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20</w:t>
      </w:r>
      <w:r>
        <w:rPr>
          <w:rFonts w:hint="eastAsia" w:eastAsia="仿宋_GB2312" w:cs="仿宋_GB2312"/>
          <w:bCs/>
          <w:lang w:val="en"/>
        </w:rPr>
        <w:t>]GB/T 19633.1,最终灭菌医疗器械包装 第1部分：材料、无菌屏障系统和包装系统的要求[S].</w:t>
      </w:r>
    </w:p>
    <w:p w14:paraId="6977EFFE">
      <w:pPr>
        <w:spacing w:line="560" w:lineRule="exact"/>
        <w:outlineLvl w:val="0"/>
        <w:rPr>
          <w:rFonts w:eastAsia="仿宋_GB2312" w:cs="仿宋_GB2312"/>
          <w:bCs/>
          <w:lang w:val="en"/>
        </w:rPr>
      </w:pPr>
      <w:r>
        <w:rPr>
          <w:rFonts w:hint="eastAsia" w:eastAsia="仿宋_GB2312" w:cs="仿宋_GB2312"/>
          <w:bCs/>
          <w:lang w:val="en"/>
        </w:rPr>
        <w:t>[2</w:t>
      </w:r>
      <w:r>
        <w:rPr>
          <w:rFonts w:hint="eastAsia" w:eastAsia="仿宋_GB2312" w:cs="仿宋_GB2312"/>
          <w:bCs/>
        </w:rPr>
        <w:t>1</w:t>
      </w:r>
      <w:r>
        <w:rPr>
          <w:rFonts w:hint="eastAsia" w:eastAsia="仿宋_GB2312" w:cs="仿宋_GB2312"/>
          <w:bCs/>
          <w:lang w:val="en"/>
        </w:rPr>
        <w:t>]GB/T 19633.2,最终灭菌医疗器械包装 第2部分：成形、密封和装配过程的确认的要求[S].</w:t>
      </w:r>
    </w:p>
    <w:p w14:paraId="4FC8C2E9">
      <w:pPr>
        <w:spacing w:line="560" w:lineRule="exact"/>
        <w:outlineLvl w:val="0"/>
        <w:rPr>
          <w:rFonts w:eastAsia="仿宋_GB2312" w:cs="仿宋_GB2312"/>
          <w:bCs/>
          <w:lang w:val="en"/>
        </w:rPr>
      </w:pPr>
      <w:r>
        <w:rPr>
          <w:rFonts w:hint="eastAsia" w:eastAsia="仿宋_GB2312" w:cs="仿宋_GB2312"/>
          <w:bCs/>
          <w:lang w:val="en"/>
        </w:rPr>
        <w:t>[2</w:t>
      </w:r>
      <w:r>
        <w:rPr>
          <w:rFonts w:hint="eastAsia" w:eastAsia="仿宋_GB2312" w:cs="仿宋_GB2312"/>
          <w:bCs/>
        </w:rPr>
        <w:t>2</w:t>
      </w:r>
      <w:r>
        <w:rPr>
          <w:rFonts w:hint="eastAsia" w:eastAsia="仿宋_GB2312" w:cs="仿宋_GB2312"/>
          <w:bCs/>
          <w:lang w:val="en"/>
        </w:rPr>
        <w:t>]GB/T 42061,医疗器械质量管理体系用于法规的要求[S].</w:t>
      </w:r>
    </w:p>
    <w:p w14:paraId="60F5D758">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23</w:t>
      </w:r>
      <w:r>
        <w:rPr>
          <w:rFonts w:hint="eastAsia" w:eastAsia="仿宋_GB2312" w:cs="仿宋_GB2312"/>
          <w:bCs/>
          <w:lang w:val="en"/>
        </w:rPr>
        <w:t>]GB/T 42062,医疗器械风险管理对医疗器械的应用[S].</w:t>
      </w:r>
    </w:p>
    <w:p w14:paraId="12A06CF3">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24</w:t>
      </w:r>
      <w:r>
        <w:rPr>
          <w:rFonts w:hint="eastAsia" w:eastAsia="仿宋_GB2312" w:cs="仿宋_GB2312"/>
          <w:bCs/>
          <w:lang w:val="en"/>
        </w:rPr>
        <w:t>]GB/T 16886.1,医疗器械生物学评价 第1部分：风险管理过程中的评价与试验[S].</w:t>
      </w:r>
    </w:p>
    <w:p w14:paraId="3FC9AAA6">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25</w:t>
      </w:r>
      <w:r>
        <w:rPr>
          <w:rFonts w:hint="eastAsia" w:eastAsia="仿宋_GB2312" w:cs="仿宋_GB2312"/>
          <w:bCs/>
          <w:lang w:val="en"/>
        </w:rPr>
        <w:t>]GB/T 16886.5,医疗器械生物学评价 第5部分：体外细胞毒性试验[S].</w:t>
      </w:r>
    </w:p>
    <w:p w14:paraId="325D0CCD">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26</w:t>
      </w:r>
      <w:r>
        <w:rPr>
          <w:rFonts w:hint="eastAsia" w:eastAsia="仿宋_GB2312" w:cs="仿宋_GB2312"/>
          <w:bCs/>
          <w:lang w:val="en"/>
        </w:rPr>
        <w:t>] GB/T 16886.7,医疗器械生物学评价 第7部分：环氧乙烷灭菌残留量[S].</w:t>
      </w:r>
    </w:p>
    <w:p w14:paraId="34770E8A">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27</w:t>
      </w:r>
      <w:r>
        <w:rPr>
          <w:rFonts w:hint="eastAsia" w:eastAsia="仿宋_GB2312" w:cs="仿宋_GB2312"/>
          <w:bCs/>
          <w:lang w:val="en"/>
        </w:rPr>
        <w:t>]GB/T 16886.10,医疗器械生物学评价</w:t>
      </w:r>
      <w:r>
        <w:rPr>
          <w:rFonts w:hint="eastAsia" w:eastAsia="仿宋_GB2312" w:cs="仿宋_GB2312"/>
          <w:bCs/>
        </w:rPr>
        <w:t xml:space="preserve"> </w:t>
      </w:r>
      <w:r>
        <w:rPr>
          <w:rFonts w:hint="eastAsia" w:eastAsia="仿宋_GB2312" w:cs="仿宋_GB2312"/>
          <w:bCs/>
          <w:lang w:val="en"/>
        </w:rPr>
        <w:t>第10部分：皮肤致敏试验[S].</w:t>
      </w:r>
    </w:p>
    <w:p w14:paraId="7076C2CB">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28</w:t>
      </w:r>
      <w:r>
        <w:rPr>
          <w:rFonts w:hint="eastAsia" w:eastAsia="仿宋_GB2312" w:cs="仿宋_GB2312"/>
          <w:bCs/>
          <w:lang w:val="en"/>
        </w:rPr>
        <w:t>]GB/T 16886.12,医疗器械生物学评价 第12部分：样品制备与参照材料[S].</w:t>
      </w:r>
    </w:p>
    <w:p w14:paraId="214582E6">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29</w:t>
      </w:r>
      <w:r>
        <w:rPr>
          <w:rFonts w:hint="eastAsia" w:eastAsia="仿宋_GB2312" w:cs="仿宋_GB2312"/>
          <w:bCs/>
          <w:lang w:val="en"/>
        </w:rPr>
        <w:t>]</w:t>
      </w:r>
      <w:r>
        <w:rPr>
          <w:rFonts w:hint="eastAsia" w:eastAsia="仿宋_GB2312" w:cs="仿宋_GB2312"/>
          <w:bCs/>
        </w:rPr>
        <w:t>GB/T16886.23</w:t>
      </w:r>
      <w:r>
        <w:rPr>
          <w:rFonts w:hint="eastAsia" w:eastAsia="仿宋_GB2312" w:cs="仿宋_GB2312"/>
          <w:bCs/>
          <w:lang w:val="en"/>
        </w:rPr>
        <w:t>,医疗器械生物学评价</w:t>
      </w:r>
      <w:r>
        <w:rPr>
          <w:rFonts w:hint="eastAsia" w:eastAsia="仿宋_GB2312" w:cs="仿宋_GB2312"/>
          <w:bCs/>
        </w:rPr>
        <w:t xml:space="preserve"> </w:t>
      </w:r>
      <w:r>
        <w:rPr>
          <w:rFonts w:hint="eastAsia" w:eastAsia="仿宋_GB2312" w:cs="仿宋_GB2312"/>
          <w:bCs/>
          <w:lang w:val="en"/>
        </w:rPr>
        <w:t>第</w:t>
      </w:r>
      <w:r>
        <w:rPr>
          <w:rFonts w:hint="eastAsia" w:eastAsia="仿宋_GB2312" w:cs="仿宋_GB2312"/>
          <w:bCs/>
        </w:rPr>
        <w:t>23</w:t>
      </w:r>
      <w:r>
        <w:rPr>
          <w:rFonts w:hint="eastAsia" w:eastAsia="仿宋_GB2312" w:cs="仿宋_GB2312"/>
          <w:bCs/>
          <w:lang w:val="en"/>
        </w:rPr>
        <w:t>部分：</w:t>
      </w:r>
      <w:r>
        <w:rPr>
          <w:rFonts w:hint="eastAsia" w:eastAsia="仿宋_GB2312" w:cs="仿宋_GB2312"/>
          <w:bCs/>
        </w:rPr>
        <w:t>刺激</w:t>
      </w:r>
      <w:r>
        <w:rPr>
          <w:rFonts w:hint="eastAsia" w:eastAsia="仿宋_GB2312" w:cs="仿宋_GB2312"/>
          <w:bCs/>
          <w:lang w:val="en"/>
        </w:rPr>
        <w:t>试验[S].</w:t>
      </w:r>
    </w:p>
    <w:p w14:paraId="23C5FF72">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30</w:t>
      </w:r>
      <w:r>
        <w:rPr>
          <w:rFonts w:hint="eastAsia" w:eastAsia="仿宋_GB2312" w:cs="仿宋_GB2312"/>
          <w:bCs/>
          <w:lang w:val="en"/>
        </w:rPr>
        <w:t>]YY/T 0466.1,医疗器械用于制造商提供信息的的符号 第1部分: 通用要求[S].</w:t>
      </w:r>
    </w:p>
    <w:p w14:paraId="5BDFA461">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31</w:t>
      </w:r>
      <w:r>
        <w:rPr>
          <w:rFonts w:hint="eastAsia" w:eastAsia="仿宋_GB2312" w:cs="仿宋_GB2312"/>
          <w:bCs/>
          <w:lang w:val="en"/>
        </w:rPr>
        <w:t>]</w:t>
      </w:r>
      <w:r>
        <w:rPr>
          <w:rFonts w:hint="eastAsia" w:eastAsia="仿宋_GB2312" w:cs="仿宋_GB2312"/>
          <w:bCs/>
        </w:rPr>
        <w:t>YY/T 0489,一次性使用无菌引流导管及辅助器械[S].</w:t>
      </w:r>
    </w:p>
    <w:p w14:paraId="2F40552A">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32</w:t>
      </w:r>
      <w:r>
        <w:rPr>
          <w:rFonts w:hint="eastAsia" w:eastAsia="仿宋_GB2312" w:cs="仿宋_GB2312"/>
          <w:bCs/>
          <w:lang w:val="en"/>
        </w:rPr>
        <w:t>]YY/T 0681.1,无菌医疗器械包装试验方法第1部分：加速老化试验指南[S].</w:t>
      </w:r>
    </w:p>
    <w:p w14:paraId="70BD1985">
      <w:pPr>
        <w:spacing w:line="560" w:lineRule="exact"/>
        <w:outlineLvl w:val="0"/>
        <w:rPr>
          <w:rFonts w:eastAsia="仿宋_GB2312" w:cs="仿宋_GB2312"/>
          <w:bCs/>
          <w:lang w:val="en"/>
        </w:rPr>
      </w:pPr>
      <w:r>
        <w:rPr>
          <w:rFonts w:hint="eastAsia" w:eastAsia="仿宋_GB2312" w:cs="仿宋_GB2312"/>
          <w:bCs/>
          <w:lang w:val="en"/>
        </w:rPr>
        <w:t>[</w:t>
      </w:r>
      <w:r>
        <w:rPr>
          <w:rFonts w:hint="eastAsia" w:eastAsia="仿宋_GB2312" w:cs="仿宋_GB2312"/>
          <w:bCs/>
        </w:rPr>
        <w:t>33</w:t>
      </w:r>
      <w:r>
        <w:rPr>
          <w:rFonts w:hint="eastAsia" w:eastAsia="仿宋_GB2312" w:cs="仿宋_GB2312"/>
          <w:bCs/>
          <w:lang w:val="en"/>
        </w:rPr>
        <w:t>]YY/T 0698.2,最终灭菌医疗器械包装材料 第2部分：灭菌包裹材料要求和试验方法[S].</w:t>
      </w:r>
    </w:p>
    <w:p w14:paraId="2A38DED4">
      <w:pPr>
        <w:spacing w:line="560" w:lineRule="exact"/>
        <w:outlineLvl w:val="0"/>
        <w:rPr>
          <w:rFonts w:eastAsia="仿宋_GB2312" w:cs="仿宋_GB2312"/>
          <w:bCs/>
        </w:rPr>
      </w:pPr>
      <w:r>
        <w:rPr>
          <w:rFonts w:hint="eastAsia" w:eastAsia="仿宋_GB2312" w:cs="仿宋_GB2312"/>
          <w:bCs/>
        </w:rPr>
        <w:t>[34]</w:t>
      </w:r>
      <w:r>
        <w:rPr>
          <w:rFonts w:hint="eastAsia" w:eastAsia="仿宋_GB2312" w:cs="仿宋_GB2312"/>
          <w:bCs/>
          <w:lang w:val="en"/>
        </w:rPr>
        <w:t>中华人民共和国药典[S].</w:t>
      </w:r>
    </w:p>
    <w:p w14:paraId="5A92A004">
      <w:pPr>
        <w:spacing w:line="560" w:lineRule="exact"/>
        <w:outlineLvl w:val="0"/>
        <w:rPr>
          <w:rFonts w:eastAsia="仿宋_GB2312" w:cs="仿宋_GB2312"/>
          <w:bCs/>
        </w:rPr>
      </w:pPr>
    </w:p>
    <w:p w14:paraId="3EF9288B">
      <w:pPr>
        <w:pStyle w:val="29"/>
        <w:rPr>
          <w:rStyle w:val="25"/>
          <w:rFonts w:ascii="Times New Roman" w:eastAsia="黑体" w:cs="Times New Roman"/>
          <w:bCs w:val="0"/>
          <w:sz w:val="32"/>
          <w:szCs w:val="32"/>
        </w:rPr>
      </w:pPr>
    </w:p>
    <w:p w14:paraId="4502955C">
      <w:pPr>
        <w:widowControl/>
        <w:ind w:firstLine="0" w:firstLineChars="0"/>
        <w:jc w:val="left"/>
        <w:rPr>
          <w:rStyle w:val="25"/>
          <w:rFonts w:eastAsia="黑体"/>
          <w:sz w:val="32"/>
          <w:szCs w:val="32"/>
        </w:rPr>
      </w:pPr>
      <w:r>
        <w:rPr>
          <w:rStyle w:val="25"/>
          <w:rFonts w:eastAsia="黑体"/>
          <w:sz w:val="32"/>
          <w:szCs w:val="32"/>
        </w:rPr>
        <w:br w:type="page"/>
      </w:r>
    </w:p>
    <w:p w14:paraId="18FF9FC6">
      <w:pPr>
        <w:jc w:val="left"/>
        <w:rPr>
          <w:rStyle w:val="25"/>
          <w:rFonts w:eastAsia="黑体"/>
          <w:sz w:val="32"/>
          <w:szCs w:val="32"/>
        </w:rPr>
      </w:pPr>
      <w:r>
        <w:rPr>
          <w:rStyle w:val="25"/>
          <w:rFonts w:eastAsia="黑体"/>
          <w:sz w:val="32"/>
          <w:szCs w:val="32"/>
        </w:rPr>
        <w:t>附表</w:t>
      </w:r>
    </w:p>
    <w:p w14:paraId="5168A3CC">
      <w:pPr>
        <w:rPr>
          <w:rStyle w:val="25"/>
          <w:rFonts w:eastAsia="黑体"/>
          <w:sz w:val="32"/>
          <w:szCs w:val="32"/>
        </w:rPr>
      </w:pPr>
    </w:p>
    <w:p w14:paraId="060B7371">
      <w:pPr>
        <w:ind w:firstLine="880" w:firstLineChars="0"/>
        <w:jc w:val="center"/>
        <w:rPr>
          <w:rStyle w:val="25"/>
          <w:rFonts w:ascii="方正小标宋简体" w:hAnsi="黑体" w:eastAsia="方正小标宋简体" w:cs="黑体"/>
          <w:bCs/>
          <w:sz w:val="44"/>
          <w:szCs w:val="44"/>
        </w:rPr>
      </w:pPr>
      <w:r>
        <w:rPr>
          <w:rStyle w:val="25"/>
          <w:rFonts w:hint="eastAsia" w:ascii="方正小标宋简体" w:hAnsi="黑体" w:eastAsia="方正小标宋简体" w:cs="黑体"/>
          <w:bCs/>
          <w:sz w:val="44"/>
          <w:szCs w:val="44"/>
        </w:rPr>
        <w:t>产品主要危险（举例）</w:t>
      </w:r>
    </w:p>
    <w:p w14:paraId="457B11F5">
      <w:pPr>
        <w:ind w:firstLine="560"/>
        <w:jc w:val="center"/>
        <w:rPr>
          <w:rStyle w:val="25"/>
          <w:rFonts w:eastAsia="黑体"/>
          <w:sz w:val="28"/>
          <w:szCs w:val="28"/>
        </w:rPr>
      </w:pPr>
    </w:p>
    <w:tbl>
      <w:tblPr>
        <w:tblStyle w:val="14"/>
        <w:tblW w:w="9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1166"/>
        <w:gridCol w:w="2007"/>
        <w:gridCol w:w="3214"/>
        <w:gridCol w:w="2705"/>
      </w:tblGrid>
      <w:tr w14:paraId="7C17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trHeight w:val="495" w:hRule="atLeast"/>
          <w:tblHeader/>
          <w:jc w:val="center"/>
        </w:trPr>
        <w:tc>
          <w:tcPr>
            <w:tcW w:w="3173" w:type="dxa"/>
            <w:gridSpan w:val="2"/>
            <w:vAlign w:val="center"/>
          </w:tcPr>
          <w:p w14:paraId="487E2FF7">
            <w:pPr>
              <w:spacing w:line="560" w:lineRule="exact"/>
              <w:ind w:firstLine="0" w:firstLineChars="0"/>
              <w:jc w:val="center"/>
              <w:rPr>
                <w:rFonts w:ascii="黑体" w:hAnsi="黑体" w:eastAsia="黑体" w:cs="仿宋_GB2312"/>
                <w:bCs/>
                <w:sz w:val="28"/>
                <w:szCs w:val="28"/>
              </w:rPr>
            </w:pPr>
            <w:r>
              <w:rPr>
                <w:rFonts w:ascii="黑体" w:hAnsi="黑体" w:eastAsia="黑体" w:cs="仿宋_GB2312"/>
                <w:bCs/>
                <w:sz w:val="28"/>
                <w:szCs w:val="28"/>
              </w:rPr>
              <w:t>危险的分类</w:t>
            </w:r>
          </w:p>
        </w:tc>
        <w:tc>
          <w:tcPr>
            <w:tcW w:w="3214" w:type="dxa"/>
            <w:vAlign w:val="center"/>
          </w:tcPr>
          <w:p w14:paraId="23D94FD7">
            <w:pPr>
              <w:spacing w:line="560" w:lineRule="exact"/>
              <w:ind w:firstLine="0" w:firstLineChars="0"/>
              <w:jc w:val="center"/>
              <w:rPr>
                <w:rFonts w:ascii="黑体" w:hAnsi="黑体" w:eastAsia="黑体" w:cs="仿宋_GB2312"/>
                <w:bCs/>
                <w:sz w:val="28"/>
                <w:szCs w:val="28"/>
              </w:rPr>
            </w:pPr>
            <w:r>
              <w:rPr>
                <w:rFonts w:ascii="黑体" w:hAnsi="黑体" w:eastAsia="黑体" w:cs="仿宋_GB2312"/>
                <w:bCs/>
                <w:sz w:val="28"/>
                <w:szCs w:val="28"/>
              </w:rPr>
              <w:t>危险的形成因素</w:t>
            </w:r>
          </w:p>
        </w:tc>
        <w:tc>
          <w:tcPr>
            <w:tcW w:w="2705" w:type="dxa"/>
            <w:vAlign w:val="center"/>
          </w:tcPr>
          <w:p w14:paraId="1C359B3D">
            <w:pPr>
              <w:spacing w:line="560" w:lineRule="exact"/>
              <w:ind w:firstLine="0" w:firstLineChars="0"/>
              <w:jc w:val="center"/>
              <w:rPr>
                <w:rFonts w:ascii="黑体" w:hAnsi="黑体" w:eastAsia="黑体" w:cs="仿宋_GB2312"/>
                <w:bCs/>
                <w:sz w:val="28"/>
                <w:szCs w:val="28"/>
              </w:rPr>
            </w:pPr>
            <w:r>
              <w:rPr>
                <w:rFonts w:ascii="黑体" w:hAnsi="黑体" w:eastAsia="黑体" w:cs="仿宋_GB2312"/>
                <w:bCs/>
                <w:sz w:val="28"/>
                <w:szCs w:val="28"/>
              </w:rPr>
              <w:t>可能的后果</w:t>
            </w:r>
          </w:p>
        </w:tc>
      </w:tr>
      <w:tr w14:paraId="14B5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restart"/>
            <w:vAlign w:val="center"/>
          </w:tcPr>
          <w:p w14:paraId="2649AD82">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生物学危害</w:t>
            </w:r>
          </w:p>
          <w:p w14:paraId="7FB292DF">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15CE0BDF">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生物污染</w:t>
            </w:r>
          </w:p>
        </w:tc>
        <w:tc>
          <w:tcPr>
            <w:tcW w:w="3214" w:type="dxa"/>
            <w:vAlign w:val="center"/>
          </w:tcPr>
          <w:p w14:paraId="035FE40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生产环境控制不好</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灭菌操作不严格</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包装破损</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使用时操作不正规</w:t>
            </w:r>
          </w:p>
        </w:tc>
        <w:tc>
          <w:tcPr>
            <w:tcW w:w="2705" w:type="dxa"/>
            <w:vAlign w:val="center"/>
          </w:tcPr>
          <w:p w14:paraId="63DC3F39">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产品带菌，引起患者感染</w:t>
            </w:r>
          </w:p>
        </w:tc>
      </w:tr>
      <w:tr w14:paraId="6173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vAlign w:val="center"/>
          </w:tcPr>
          <w:p w14:paraId="013F33B5">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2CF51F06">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生物不相容性</w:t>
            </w:r>
          </w:p>
        </w:tc>
        <w:tc>
          <w:tcPr>
            <w:tcW w:w="3214" w:type="dxa"/>
            <w:vAlign w:val="center"/>
          </w:tcPr>
          <w:p w14:paraId="3756B576">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采用不合格的原辅材料、其他加工助剂残留、成品环氧乙烷残留</w:t>
            </w:r>
          </w:p>
        </w:tc>
        <w:tc>
          <w:tcPr>
            <w:tcW w:w="2705" w:type="dxa"/>
            <w:vAlign w:val="center"/>
          </w:tcPr>
          <w:p w14:paraId="491E0163">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毒性或刺激反应</w:t>
            </w:r>
          </w:p>
        </w:tc>
      </w:tr>
      <w:tr w14:paraId="36B4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trHeight w:val="1507" w:hRule="atLeast"/>
          <w:jc w:val="center"/>
        </w:trPr>
        <w:tc>
          <w:tcPr>
            <w:tcW w:w="1166" w:type="dxa"/>
            <w:vMerge w:val="continue"/>
          </w:tcPr>
          <w:p w14:paraId="02C10974">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7035ECB3">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不正确的配方（化学成分）</w:t>
            </w:r>
          </w:p>
        </w:tc>
        <w:tc>
          <w:tcPr>
            <w:tcW w:w="3214" w:type="dxa"/>
            <w:vAlign w:val="center"/>
          </w:tcPr>
          <w:p w14:paraId="07D342EC">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未按照工艺要求配料</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添加剂或助剂使用比例不正确</w:t>
            </w:r>
          </w:p>
        </w:tc>
        <w:tc>
          <w:tcPr>
            <w:tcW w:w="2705" w:type="dxa"/>
            <w:vAlign w:val="center"/>
          </w:tcPr>
          <w:p w14:paraId="6278D4A5">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有可能引起小分子物质残留量过大，造成毒性危害</w:t>
            </w:r>
          </w:p>
        </w:tc>
      </w:tr>
      <w:tr w14:paraId="6B4F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trHeight w:val="1215" w:hRule="atLeast"/>
          <w:jc w:val="center"/>
        </w:trPr>
        <w:tc>
          <w:tcPr>
            <w:tcW w:w="1166" w:type="dxa"/>
            <w:vMerge w:val="continue"/>
          </w:tcPr>
          <w:p w14:paraId="5C538CCE">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0B38FA38">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再感染和/或交叉感染</w:t>
            </w:r>
          </w:p>
        </w:tc>
        <w:tc>
          <w:tcPr>
            <w:tcW w:w="3214" w:type="dxa"/>
            <w:vAlign w:val="center"/>
          </w:tcPr>
          <w:p w14:paraId="2517671C">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使用不当、标识不清</w:t>
            </w:r>
          </w:p>
        </w:tc>
        <w:tc>
          <w:tcPr>
            <w:tcW w:w="2705" w:type="dxa"/>
            <w:vAlign w:val="center"/>
          </w:tcPr>
          <w:p w14:paraId="6DEC58B8">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引起局部或者交叉感染</w:t>
            </w:r>
          </w:p>
        </w:tc>
      </w:tr>
      <w:tr w14:paraId="0CE6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restart"/>
            <w:vAlign w:val="center"/>
          </w:tcPr>
          <w:p w14:paraId="56A5DC5A">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环境危害</w:t>
            </w:r>
          </w:p>
        </w:tc>
        <w:tc>
          <w:tcPr>
            <w:tcW w:w="2007" w:type="dxa"/>
            <w:vAlign w:val="center"/>
          </w:tcPr>
          <w:p w14:paraId="3636AAD3">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储存或运行偏离预订的环境条件</w:t>
            </w:r>
          </w:p>
        </w:tc>
        <w:tc>
          <w:tcPr>
            <w:tcW w:w="3214" w:type="dxa"/>
            <w:vAlign w:val="center"/>
          </w:tcPr>
          <w:p w14:paraId="0686099F">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储运条件（如温度、湿度）不符合要求</w:t>
            </w:r>
          </w:p>
        </w:tc>
        <w:tc>
          <w:tcPr>
            <w:tcW w:w="2705" w:type="dxa"/>
            <w:vAlign w:val="center"/>
          </w:tcPr>
          <w:p w14:paraId="202F07D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产品老化</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无菌有效期缩短</w:t>
            </w:r>
          </w:p>
        </w:tc>
      </w:tr>
      <w:tr w14:paraId="70D9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vAlign w:val="center"/>
          </w:tcPr>
          <w:p w14:paraId="0B746523">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2ACA1755">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意外的机械破坏</w:t>
            </w:r>
          </w:p>
        </w:tc>
        <w:tc>
          <w:tcPr>
            <w:tcW w:w="3214" w:type="dxa"/>
            <w:vAlign w:val="center"/>
          </w:tcPr>
          <w:p w14:paraId="0E5264D1">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储运、使用过程中发生意外的机械性破坏</w:t>
            </w:r>
          </w:p>
        </w:tc>
        <w:tc>
          <w:tcPr>
            <w:tcW w:w="2705" w:type="dxa"/>
            <w:vAlign w:val="center"/>
          </w:tcPr>
          <w:p w14:paraId="49065A8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产品使用性能无法得到保证</w:t>
            </w:r>
          </w:p>
        </w:tc>
      </w:tr>
      <w:tr w14:paraId="05CA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166" w:type="dxa"/>
            <w:vMerge w:val="continue"/>
            <w:vAlign w:val="center"/>
          </w:tcPr>
          <w:p w14:paraId="263C2A24">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234D347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由于废物和/或医疗器械处置的污染</w:t>
            </w:r>
          </w:p>
        </w:tc>
        <w:tc>
          <w:tcPr>
            <w:tcW w:w="3214" w:type="dxa"/>
            <w:vAlign w:val="center"/>
          </w:tcPr>
          <w:p w14:paraId="6DC56F28">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使用后的产品没有按照要求集中销毁</w:t>
            </w:r>
          </w:p>
        </w:tc>
        <w:tc>
          <w:tcPr>
            <w:tcW w:w="2705" w:type="dxa"/>
            <w:vAlign w:val="center"/>
          </w:tcPr>
          <w:p w14:paraId="03B5E875">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造成环境污染或者细菌的交叉感染</w:t>
            </w:r>
          </w:p>
        </w:tc>
      </w:tr>
      <w:tr w14:paraId="13C6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trHeight w:val="1071" w:hRule="atLeast"/>
          <w:jc w:val="center"/>
        </w:trPr>
        <w:tc>
          <w:tcPr>
            <w:tcW w:w="1166" w:type="dxa"/>
            <w:vMerge w:val="restart"/>
            <w:vAlign w:val="center"/>
          </w:tcPr>
          <w:p w14:paraId="701322DC">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与医疗器械使用有关的危害</w:t>
            </w:r>
          </w:p>
          <w:p w14:paraId="0DC48AAB">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707E55E5">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不适当的标记</w:t>
            </w:r>
          </w:p>
        </w:tc>
        <w:tc>
          <w:tcPr>
            <w:tcW w:w="3214" w:type="dxa"/>
            <w:vAlign w:val="center"/>
          </w:tcPr>
          <w:p w14:paraId="7FE1233A">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标记不清晰、错误、没有按照要求进行标记</w:t>
            </w:r>
          </w:p>
        </w:tc>
        <w:tc>
          <w:tcPr>
            <w:tcW w:w="2705" w:type="dxa"/>
            <w:vAlign w:val="center"/>
          </w:tcPr>
          <w:p w14:paraId="36CB46F0">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错误使用</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储存错误</w:t>
            </w:r>
          </w:p>
          <w:p w14:paraId="024D4E82">
            <w:pPr>
              <w:spacing w:line="560" w:lineRule="exact"/>
              <w:ind w:firstLine="0" w:firstLineChars="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产品辨别错误</w:t>
            </w:r>
          </w:p>
        </w:tc>
      </w:tr>
      <w:tr w14:paraId="4CD4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tcPr>
          <w:p w14:paraId="261C9A57">
            <w:pPr>
              <w:spacing w:line="560" w:lineRule="exact"/>
              <w:ind w:firstLine="0" w:firstLineChars="0"/>
              <w:rPr>
                <w:rFonts w:ascii="仿宋_GB2312" w:hAnsi="仿宋_GB2312" w:eastAsia="仿宋_GB2312" w:cs="仿宋_GB2312"/>
                <w:bCs/>
                <w:sz w:val="28"/>
                <w:szCs w:val="28"/>
              </w:rPr>
            </w:pPr>
          </w:p>
        </w:tc>
        <w:tc>
          <w:tcPr>
            <w:tcW w:w="2007" w:type="dxa"/>
          </w:tcPr>
          <w:p w14:paraId="69B56DF3">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不适当的操作说明，如：</w:t>
            </w:r>
          </w:p>
          <w:p w14:paraId="78FCB684">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（1）器械一起使用的附件规范不适当</w:t>
            </w:r>
          </w:p>
          <w:p w14:paraId="0D848136">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（2）规范不适当</w:t>
            </w:r>
          </w:p>
          <w:p w14:paraId="5A5B6372">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（3）明书过于复杂</w:t>
            </w:r>
          </w:p>
          <w:p w14:paraId="0BE6D59B">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（4）维修规范不适当</w:t>
            </w:r>
          </w:p>
        </w:tc>
        <w:tc>
          <w:tcPr>
            <w:tcW w:w="3214" w:type="dxa"/>
            <w:vAlign w:val="center"/>
          </w:tcPr>
          <w:p w14:paraId="1D48EF36">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包装破损无法识别</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操作要点不突出</w:t>
            </w:r>
          </w:p>
        </w:tc>
        <w:tc>
          <w:tcPr>
            <w:tcW w:w="2705" w:type="dxa"/>
            <w:vAlign w:val="center"/>
          </w:tcPr>
          <w:p w14:paraId="581BA186">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无法保证使用安全性</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导致操作失误</w:t>
            </w:r>
          </w:p>
          <w:p w14:paraId="6EE81F49">
            <w:pPr>
              <w:spacing w:line="560" w:lineRule="exact"/>
              <w:ind w:firstLine="0" w:firstLineChars="0"/>
              <w:rPr>
                <w:rFonts w:ascii="仿宋_GB2312" w:hAnsi="仿宋_GB2312" w:eastAsia="仿宋_GB2312" w:cs="仿宋_GB2312"/>
                <w:bCs/>
                <w:sz w:val="28"/>
                <w:szCs w:val="28"/>
              </w:rPr>
            </w:pPr>
          </w:p>
        </w:tc>
      </w:tr>
      <w:tr w14:paraId="17A8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tcPr>
          <w:p w14:paraId="18968A27">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3B2E96FF">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由不熟练/未经培训的人员使用</w:t>
            </w:r>
          </w:p>
        </w:tc>
        <w:tc>
          <w:tcPr>
            <w:tcW w:w="3214" w:type="dxa"/>
            <w:vAlign w:val="center"/>
          </w:tcPr>
          <w:p w14:paraId="0B27CD51">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操作不熟练、操作失误</w:t>
            </w:r>
          </w:p>
        </w:tc>
        <w:tc>
          <w:tcPr>
            <w:tcW w:w="2705" w:type="dxa"/>
            <w:vAlign w:val="center"/>
          </w:tcPr>
          <w:p w14:paraId="13CFDA7B">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无法保证使用安全性；导致操作失误。</w:t>
            </w:r>
          </w:p>
        </w:tc>
      </w:tr>
      <w:tr w14:paraId="2DF6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tcPr>
          <w:p w14:paraId="4AF84D7B">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63F9D2D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合理可预见的误用</w:t>
            </w:r>
          </w:p>
        </w:tc>
        <w:tc>
          <w:tcPr>
            <w:tcW w:w="3214" w:type="dxa"/>
            <w:vAlign w:val="center"/>
          </w:tcPr>
          <w:p w14:paraId="1008DDA4">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规格型号选用错误</w:t>
            </w:r>
          </w:p>
        </w:tc>
        <w:tc>
          <w:tcPr>
            <w:tcW w:w="2705" w:type="dxa"/>
            <w:vAlign w:val="center"/>
          </w:tcPr>
          <w:p w14:paraId="1797B96C">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导致无法达到满意的引流效果</w:t>
            </w:r>
          </w:p>
        </w:tc>
      </w:tr>
      <w:tr w14:paraId="7E87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tcPr>
          <w:p w14:paraId="51BA50CB">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54BF2342">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对副作用的警告不充分</w:t>
            </w:r>
          </w:p>
        </w:tc>
        <w:tc>
          <w:tcPr>
            <w:tcW w:w="3214" w:type="dxa"/>
            <w:vAlign w:val="center"/>
          </w:tcPr>
          <w:p w14:paraId="3717EC87">
            <w:pPr>
              <w:spacing w:line="560" w:lineRule="exact"/>
              <w:ind w:firstLine="0" w:firstLineChars="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对操作人员警示不足</w:t>
            </w:r>
          </w:p>
        </w:tc>
        <w:tc>
          <w:tcPr>
            <w:tcW w:w="2705" w:type="dxa"/>
            <w:vAlign w:val="center"/>
          </w:tcPr>
          <w:p w14:paraId="5D7B7C34">
            <w:pPr>
              <w:spacing w:line="560" w:lineRule="exact"/>
              <w:ind w:firstLine="0" w:firstLineChars="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患者出现过敏、刺激反应</w:t>
            </w:r>
          </w:p>
        </w:tc>
      </w:tr>
      <w:tr w14:paraId="6294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tcPr>
          <w:p w14:paraId="664E7B63">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3B9D9292">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对一次性使用医疗器械很可能再次使用的危害警告不适当</w:t>
            </w:r>
          </w:p>
        </w:tc>
        <w:tc>
          <w:tcPr>
            <w:tcW w:w="3214" w:type="dxa"/>
            <w:vAlign w:val="center"/>
          </w:tcPr>
          <w:p w14:paraId="0A5D10A2">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造成重复使用</w:t>
            </w:r>
          </w:p>
          <w:p w14:paraId="6328AA86">
            <w:pPr>
              <w:spacing w:line="560" w:lineRule="exact"/>
              <w:ind w:firstLine="0" w:firstLineChars="0"/>
              <w:rPr>
                <w:rFonts w:ascii="仿宋_GB2312" w:hAnsi="仿宋_GB2312" w:eastAsia="仿宋_GB2312" w:cs="仿宋_GB2312"/>
                <w:bCs/>
                <w:sz w:val="28"/>
                <w:szCs w:val="28"/>
              </w:rPr>
            </w:pPr>
          </w:p>
        </w:tc>
        <w:tc>
          <w:tcPr>
            <w:tcW w:w="2705" w:type="dxa"/>
            <w:vAlign w:val="center"/>
          </w:tcPr>
          <w:p w14:paraId="749E37F4">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交叉感染</w:t>
            </w:r>
          </w:p>
        </w:tc>
      </w:tr>
      <w:tr w14:paraId="2F09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trHeight w:val="1966" w:hRule="atLeast"/>
          <w:jc w:val="center"/>
        </w:trPr>
        <w:tc>
          <w:tcPr>
            <w:tcW w:w="1166" w:type="dxa"/>
            <w:tcBorders>
              <w:top w:val="nil"/>
            </w:tcBorders>
            <w:vAlign w:val="center"/>
          </w:tcPr>
          <w:p w14:paraId="6DB94338">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不适当不合适或过于复杂的使用者接口</w:t>
            </w:r>
          </w:p>
        </w:tc>
        <w:tc>
          <w:tcPr>
            <w:tcW w:w="2007" w:type="dxa"/>
            <w:tcBorders>
              <w:top w:val="nil"/>
            </w:tcBorders>
            <w:vAlign w:val="center"/>
          </w:tcPr>
          <w:p w14:paraId="2559A795">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违反或缩减说明书、程序等</w:t>
            </w:r>
          </w:p>
        </w:tc>
        <w:tc>
          <w:tcPr>
            <w:tcW w:w="3214" w:type="dxa"/>
            <w:vAlign w:val="center"/>
          </w:tcPr>
          <w:p w14:paraId="2C01FDE1">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操作方法、注意事项、储存方法、警示事项等表述不清</w:t>
            </w:r>
          </w:p>
        </w:tc>
        <w:tc>
          <w:tcPr>
            <w:tcW w:w="2705" w:type="dxa"/>
            <w:vAlign w:val="center"/>
          </w:tcPr>
          <w:p w14:paraId="33AA0A7D">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重复使用引起感染</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没有集中销毁造成环境危害等</w:t>
            </w:r>
          </w:p>
        </w:tc>
      </w:tr>
      <w:tr w14:paraId="2E43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166" w:type="dxa"/>
            <w:vMerge w:val="restart"/>
            <w:vAlign w:val="center"/>
          </w:tcPr>
          <w:p w14:paraId="26CCA9D9">
            <w:pPr>
              <w:spacing w:line="560" w:lineRule="exact"/>
              <w:ind w:firstLine="0" w:firstLineChars="0"/>
              <w:rPr>
                <w:rFonts w:ascii="仿宋_GB2312" w:hAnsi="仿宋_GB2312" w:eastAsia="仿宋_GB2312" w:cs="仿宋_GB2312"/>
                <w:bCs/>
                <w:sz w:val="28"/>
                <w:szCs w:val="28"/>
              </w:rPr>
            </w:pPr>
          </w:p>
          <w:p w14:paraId="1492F195">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功能性失效、维修和老化引起的危害</w:t>
            </w:r>
          </w:p>
        </w:tc>
        <w:tc>
          <w:tcPr>
            <w:tcW w:w="2007" w:type="dxa"/>
            <w:vAlign w:val="center"/>
          </w:tcPr>
          <w:p w14:paraId="7B4094B2">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对医疗器械寿命终止缺少适当的决定</w:t>
            </w:r>
          </w:p>
        </w:tc>
        <w:tc>
          <w:tcPr>
            <w:tcW w:w="3214" w:type="dxa"/>
            <w:vAlign w:val="center"/>
          </w:tcPr>
          <w:p w14:paraId="5C9A7ECC">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没有标识产品有效期</w:t>
            </w:r>
          </w:p>
        </w:tc>
        <w:tc>
          <w:tcPr>
            <w:tcW w:w="2705" w:type="dxa"/>
            <w:vAlign w:val="center"/>
          </w:tcPr>
          <w:p w14:paraId="1D9F701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超出有效期的产品被使用，造成细菌感染或因材料老化产生而导致产品性能不符合要求（如</w:t>
            </w:r>
            <w:r>
              <w:rPr>
                <w:rFonts w:hint="eastAsia" w:ascii="仿宋_GB2312" w:hAnsi="仿宋_GB2312" w:eastAsia="仿宋_GB2312" w:cs="仿宋_GB2312"/>
                <w:bCs/>
                <w:sz w:val="28"/>
                <w:szCs w:val="28"/>
              </w:rPr>
              <w:t>负压不足、泄漏</w:t>
            </w:r>
            <w:r>
              <w:rPr>
                <w:rFonts w:ascii="仿宋_GB2312" w:hAnsi="仿宋_GB2312" w:eastAsia="仿宋_GB2312" w:cs="仿宋_GB2312"/>
                <w:bCs/>
                <w:sz w:val="28"/>
                <w:szCs w:val="28"/>
              </w:rPr>
              <w:t>等）</w:t>
            </w:r>
          </w:p>
        </w:tc>
      </w:tr>
      <w:tr w14:paraId="2953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tcPr>
          <w:p w14:paraId="3240C2B1">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5C276F01">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不适当的包装（医疗器械的污染和/或变质）</w:t>
            </w:r>
          </w:p>
        </w:tc>
        <w:tc>
          <w:tcPr>
            <w:tcW w:w="3214" w:type="dxa"/>
            <w:vAlign w:val="center"/>
          </w:tcPr>
          <w:p w14:paraId="58651DF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没有进行包装确认</w:t>
            </w:r>
          </w:p>
        </w:tc>
        <w:tc>
          <w:tcPr>
            <w:tcW w:w="2705" w:type="dxa"/>
            <w:vAlign w:val="center"/>
          </w:tcPr>
          <w:p w14:paraId="526D634A">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不能确保产品无菌，从而导致出现细菌感染</w:t>
            </w:r>
          </w:p>
        </w:tc>
      </w:tr>
      <w:tr w14:paraId="738A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cantSplit/>
          <w:jc w:val="center"/>
        </w:trPr>
        <w:tc>
          <w:tcPr>
            <w:tcW w:w="1166" w:type="dxa"/>
            <w:vMerge w:val="continue"/>
          </w:tcPr>
          <w:p w14:paraId="4459BCC6">
            <w:pPr>
              <w:spacing w:line="560" w:lineRule="exact"/>
              <w:ind w:firstLine="0" w:firstLineChars="0"/>
              <w:rPr>
                <w:rFonts w:ascii="仿宋_GB2312" w:hAnsi="仿宋_GB2312" w:eastAsia="仿宋_GB2312" w:cs="仿宋_GB2312"/>
                <w:bCs/>
                <w:sz w:val="28"/>
                <w:szCs w:val="28"/>
              </w:rPr>
            </w:pPr>
          </w:p>
        </w:tc>
        <w:tc>
          <w:tcPr>
            <w:tcW w:w="2007" w:type="dxa"/>
            <w:vAlign w:val="center"/>
          </w:tcPr>
          <w:p w14:paraId="463D00C1">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再次使用和/或不适当的再次使用</w:t>
            </w:r>
          </w:p>
        </w:tc>
        <w:tc>
          <w:tcPr>
            <w:tcW w:w="3214" w:type="dxa"/>
            <w:vAlign w:val="center"/>
          </w:tcPr>
          <w:p w14:paraId="0E37633D">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产品标识没有明确只限一次性使用</w:t>
            </w:r>
          </w:p>
        </w:tc>
        <w:tc>
          <w:tcPr>
            <w:tcW w:w="2705" w:type="dxa"/>
            <w:vAlign w:val="center"/>
          </w:tcPr>
          <w:p w14:paraId="7400E91E">
            <w:pPr>
              <w:spacing w:line="560" w:lineRule="exact"/>
              <w:ind w:firstLine="0" w:firstLineChars="0"/>
              <w:rPr>
                <w:rFonts w:ascii="仿宋_GB2312" w:hAnsi="仿宋_GB2312" w:eastAsia="仿宋_GB2312" w:cs="仿宋_GB2312"/>
                <w:bCs/>
                <w:sz w:val="28"/>
                <w:szCs w:val="28"/>
              </w:rPr>
            </w:pPr>
            <w:r>
              <w:rPr>
                <w:rFonts w:ascii="仿宋_GB2312" w:hAnsi="仿宋_GB2312" w:eastAsia="仿宋_GB2312" w:cs="仿宋_GB2312"/>
                <w:bCs/>
                <w:sz w:val="28"/>
                <w:szCs w:val="28"/>
              </w:rPr>
              <w:t>出现细菌感染、交叉感染</w:t>
            </w:r>
          </w:p>
        </w:tc>
      </w:tr>
    </w:tbl>
    <w:p w14:paraId="2F4485EB">
      <w:pPr>
        <w:pStyle w:val="2"/>
      </w:pPr>
    </w:p>
    <w:p w14:paraId="7FCC0104">
      <w:pPr>
        <w:pStyle w:val="2"/>
      </w:pPr>
    </w:p>
    <w:p w14:paraId="3ED72D8C">
      <w:pPr>
        <w:pStyle w:val="2"/>
      </w:pPr>
    </w:p>
    <w:p w14:paraId="4D60B838">
      <w:pPr>
        <w:pStyle w:val="2"/>
      </w:pPr>
    </w:p>
    <w:p w14:paraId="0ED894D4">
      <w:pPr>
        <w:pStyle w:val="2"/>
        <w:rPr>
          <w:rFonts w:hint="default"/>
          <w:lang w:val="en-US" w:eastAsia="zh-CN"/>
        </w:rPr>
      </w:pPr>
      <w:bookmarkStart w:id="9" w:name="_GoBack"/>
      <w:bookmarkEnd w:id="9"/>
    </w:p>
    <w:sectPr>
      <w:headerReference r:id="rId7" w:type="first"/>
      <w:footerReference r:id="rId10" w:type="first"/>
      <w:headerReference r:id="rId5" w:type="default"/>
      <w:footerReference r:id="rId8" w:type="default"/>
      <w:headerReference r:id="rId6" w:type="even"/>
      <w:footerReference r:id="rId9" w:type="even"/>
      <w:pgSz w:w="11906" w:h="16838"/>
      <w:pgMar w:top="1701" w:right="1588" w:bottom="1701" w:left="1588" w:header="851" w:footer="992" w:gutter="0"/>
      <w:lnNumType w:countBy="1" w:restart="continuous"/>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E66C9CA-F0F5-7FAE-1A37-606A2B29A5CA}"/>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189745D9-14BF-3682-1A37-606AD5EA63DE}"/>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embedRegular r:id="rId3" w:fontKey="{7E86A802-142A-C0B8-1A37-606A484E8122}"/>
  </w:font>
  <w:font w:name="仿宋">
    <w:panose1 w:val="02010609060101010101"/>
    <w:charset w:val="86"/>
    <w:family w:val="modern"/>
    <w:pitch w:val="default"/>
    <w:sig w:usb0="800002BF" w:usb1="38CF7CFA" w:usb2="00000016" w:usb3="00000000" w:csb0="00040001" w:csb1="00000000"/>
    <w:embedRegular r:id="rId4" w:fontKey="{BEA25D57-6830-C1F0-1A37-606A1096F3FF}"/>
  </w:font>
  <w:font w:name="DejaVu Sans">
    <w:panose1 w:val="020B0603030804020204"/>
    <w:charset w:val="00"/>
    <w:family w:val="auto"/>
    <w:pitch w:val="default"/>
    <w:sig w:usb0="E7006EFF" w:usb1="D200FDFF" w:usb2="0A246029" w:usb3="0400200C" w:csb0="600001FF" w:csb1="DFFF0000"/>
    <w:embedRegular r:id="rId5" w:fontKey="{C6E6B43B-787E-A0E5-1A37-606AD27276FD}"/>
  </w:font>
  <w:font w:name="Calibri Light">
    <w:altName w:val="DejaVu Sans"/>
    <w:panose1 w:val="020F0302020204030204"/>
    <w:charset w:val="00"/>
    <w:family w:val="swiss"/>
    <w:pitch w:val="default"/>
    <w:sig w:usb0="00000000" w:usb1="00000000"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6" w:fontKey="{A7749F48-5F00-E1C9-1A37-606A6EFD3C12}"/>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embedRegular r:id="rId7" w:fontKey="{80B4445A-8B80-FD18-1A37-606A52185CC3}"/>
  </w:font>
  <w:font w:name="MS Shell Dlg">
    <w:altName w:val="Liberation Sans"/>
    <w:panose1 w:val="020B0604020202020204"/>
    <w:charset w:val="00"/>
    <w:family w:val="swiss"/>
    <w:pitch w:val="default"/>
    <w:sig w:usb0="00000000" w:usb1="00000000" w:usb2="00000029" w:usb3="00000000" w:csb0="000101FF" w:csb1="00000000"/>
  </w:font>
  <w:font w:name="Liberation Sans">
    <w:panose1 w:val="020B0604020202020204"/>
    <w:charset w:val="00"/>
    <w:family w:val="auto"/>
    <w:pitch w:val="default"/>
    <w:sig w:usb0="A00002AF" w:usb1="500078FB" w:usb2="00000000" w:usb3="00000000" w:csb0="6000009F" w:csb1="DFD70000"/>
    <w:embedRegular r:id="rId8" w:fontKey="{85A0163D-E53B-3938-1A37-606AC0090186}"/>
  </w:font>
  <w:font w:name="Tahoma">
    <w:altName w:val="DejaVu Sans"/>
    <w:panose1 w:val="020B0604030504040204"/>
    <w:charset w:val="86"/>
    <w:family w:val="swiss"/>
    <w:pitch w:val="default"/>
    <w:sig w:usb0="00000000" w:usb1="00000000"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9" w:fontKey="{6BBC5712-D653-45BA-1A37-606AC66B3711}"/>
  </w:font>
  <w:font w:name="方正小标宋简体">
    <w:panose1 w:val="03000509000000000000"/>
    <w:charset w:val="86"/>
    <w:family w:val="script"/>
    <w:pitch w:val="default"/>
    <w:sig w:usb0="00000001" w:usb1="080E0000" w:usb2="00000000" w:usb3="00000000" w:csb0="00040000" w:csb1="00000000"/>
    <w:embedRegular r:id="rId10" w:fontKey="{298DDF61-62EC-EE51-1A37-606A23E3BB18}"/>
  </w:font>
  <w:font w:name="Wingdings 3">
    <w:panose1 w:val="05040102010807070707"/>
    <w:charset w:val="00"/>
    <w:family w:val="auto"/>
    <w:pitch w:val="default"/>
    <w:sig w:usb0="00000000" w:usb1="00000000" w:usb2="00000000" w:usb3="00000000" w:csb0="80000000" w:csb1="00000000"/>
    <w:embedRegular r:id="rId11" w:fontKey="{FDD8F200-5D9A-288C-1A37-606A889D0F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3D72F">
    <w:pPr>
      <w:pStyle w:val="8"/>
      <w:ind w:firstLine="560"/>
    </w:pPr>
    <w:r>
      <w:t xml:space="preserve">— </w:t>
    </w:r>
    <w:sdt>
      <w:sdtPr>
        <w:id w:val="-1"/>
      </w:sdtPr>
      <w:sdtContent>
        <w:r>
          <w:fldChar w:fldCharType="begin"/>
        </w:r>
        <w:r>
          <w:instrText xml:space="preserve">PAGE   \* MERGEFORMAT</w:instrText>
        </w:r>
        <w:r>
          <w:fldChar w:fldCharType="separate"/>
        </w:r>
        <w:r>
          <w:rPr>
            <w:lang w:val="zh-CN"/>
          </w:rPr>
          <w:t>1</w:t>
        </w:r>
        <w:r>
          <w:fldChar w:fldCharType="end"/>
        </w:r>
      </w:sdtContent>
    </w:sdt>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3732D">
    <w:pPr>
      <w:pStyle w:val="8"/>
      <w:ind w:firstLine="560"/>
    </w:pPr>
    <w:r>
      <w:t xml:space="preserve">— </w:t>
    </w:r>
    <w:sdt>
      <w:sdtPr>
        <w:id w:val="136153350"/>
      </w:sdtPr>
      <w:sdtContent>
        <w:r>
          <w:fldChar w:fldCharType="begin"/>
        </w:r>
        <w:r>
          <w:instrText xml:space="preserve">PAGE   \* MERGEFORMAT</w:instrText>
        </w:r>
        <w:r>
          <w:fldChar w:fldCharType="separate"/>
        </w:r>
        <w:r>
          <w:rPr>
            <w:lang w:val="zh-CN"/>
          </w:rPr>
          <w:t>2</w:t>
        </w:r>
        <w:r>
          <w:fldChar w:fldCharType="end"/>
        </w:r>
      </w:sdtContent>
    </w:sdt>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A82D2">
    <w:pPr>
      <w:pStyle w:val="8"/>
      <w:ind w:firstLine="5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D2AD5">
    <w:pPr>
      <w:pStyle w:val="9"/>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7EB2">
    <w:pPr>
      <w:pStyle w:val="9"/>
      <w:pBdr>
        <w:bottom w:val="none" w:color="auto" w:sz="0" w:space="1"/>
      </w:pBdr>
      <w:ind w:firstLine="0" w:firstLineChars="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9D315">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NTllZTE1M2VlMTk2NzE5ZTYxMWI4ZGRhMjIwNTEifQ=="/>
  </w:docVars>
  <w:rsids>
    <w:rsidRoot w:val="00172A27"/>
    <w:rsid w:val="000126FF"/>
    <w:rsid w:val="00022FD3"/>
    <w:rsid w:val="0004407F"/>
    <w:rsid w:val="000469F5"/>
    <w:rsid w:val="0007779D"/>
    <w:rsid w:val="000D293D"/>
    <w:rsid w:val="001647A2"/>
    <w:rsid w:val="00172A27"/>
    <w:rsid w:val="001731F7"/>
    <w:rsid w:val="001A6A5A"/>
    <w:rsid w:val="001B79D7"/>
    <w:rsid w:val="001C0A53"/>
    <w:rsid w:val="002369C5"/>
    <w:rsid w:val="00280AD6"/>
    <w:rsid w:val="00283F0F"/>
    <w:rsid w:val="00297198"/>
    <w:rsid w:val="002A593A"/>
    <w:rsid w:val="002A6CA1"/>
    <w:rsid w:val="002D2E9F"/>
    <w:rsid w:val="002D5532"/>
    <w:rsid w:val="002D7CBB"/>
    <w:rsid w:val="00326AA7"/>
    <w:rsid w:val="00365293"/>
    <w:rsid w:val="003C14E8"/>
    <w:rsid w:val="004732E5"/>
    <w:rsid w:val="004A2E28"/>
    <w:rsid w:val="004B25D0"/>
    <w:rsid w:val="004D6061"/>
    <w:rsid w:val="004E3F3C"/>
    <w:rsid w:val="004F5F77"/>
    <w:rsid w:val="00522102"/>
    <w:rsid w:val="005568AB"/>
    <w:rsid w:val="00597D69"/>
    <w:rsid w:val="005B3DAA"/>
    <w:rsid w:val="005D0FCC"/>
    <w:rsid w:val="00623852"/>
    <w:rsid w:val="00651D02"/>
    <w:rsid w:val="0067382B"/>
    <w:rsid w:val="006C6A4F"/>
    <w:rsid w:val="006D6CD8"/>
    <w:rsid w:val="006E74C7"/>
    <w:rsid w:val="00796E20"/>
    <w:rsid w:val="007C2479"/>
    <w:rsid w:val="008204AF"/>
    <w:rsid w:val="0084493C"/>
    <w:rsid w:val="008625D6"/>
    <w:rsid w:val="00872A76"/>
    <w:rsid w:val="008A4457"/>
    <w:rsid w:val="008B3165"/>
    <w:rsid w:val="008B731E"/>
    <w:rsid w:val="008C5993"/>
    <w:rsid w:val="008D0713"/>
    <w:rsid w:val="008F72C0"/>
    <w:rsid w:val="009166BE"/>
    <w:rsid w:val="009341E1"/>
    <w:rsid w:val="00934C43"/>
    <w:rsid w:val="00944A03"/>
    <w:rsid w:val="0096650C"/>
    <w:rsid w:val="00971A54"/>
    <w:rsid w:val="00984371"/>
    <w:rsid w:val="00985B2A"/>
    <w:rsid w:val="00985E87"/>
    <w:rsid w:val="00996326"/>
    <w:rsid w:val="009C0C14"/>
    <w:rsid w:val="009D77F3"/>
    <w:rsid w:val="00A071A0"/>
    <w:rsid w:val="00A62AA3"/>
    <w:rsid w:val="00A7484B"/>
    <w:rsid w:val="00A933F6"/>
    <w:rsid w:val="00A9343F"/>
    <w:rsid w:val="00AD1392"/>
    <w:rsid w:val="00AD3C63"/>
    <w:rsid w:val="00AF24A6"/>
    <w:rsid w:val="00B33CE2"/>
    <w:rsid w:val="00B424BE"/>
    <w:rsid w:val="00B576FE"/>
    <w:rsid w:val="00B8513F"/>
    <w:rsid w:val="00B902A9"/>
    <w:rsid w:val="00B97E73"/>
    <w:rsid w:val="00BA0FC4"/>
    <w:rsid w:val="00BC400F"/>
    <w:rsid w:val="00BC7CBB"/>
    <w:rsid w:val="00BE1101"/>
    <w:rsid w:val="00BF5DBF"/>
    <w:rsid w:val="00BF6B38"/>
    <w:rsid w:val="00C30ADF"/>
    <w:rsid w:val="00C374B9"/>
    <w:rsid w:val="00C557B1"/>
    <w:rsid w:val="00C90DC8"/>
    <w:rsid w:val="00CE3315"/>
    <w:rsid w:val="00D00B49"/>
    <w:rsid w:val="00D17CBF"/>
    <w:rsid w:val="00D8600A"/>
    <w:rsid w:val="00DD5AA5"/>
    <w:rsid w:val="00E442B9"/>
    <w:rsid w:val="00E4441A"/>
    <w:rsid w:val="00EC2BAB"/>
    <w:rsid w:val="00ED5331"/>
    <w:rsid w:val="00ED56E8"/>
    <w:rsid w:val="00EE49CF"/>
    <w:rsid w:val="00F03466"/>
    <w:rsid w:val="00F110CA"/>
    <w:rsid w:val="00F76842"/>
    <w:rsid w:val="00F775B4"/>
    <w:rsid w:val="00FE7190"/>
    <w:rsid w:val="011A2041"/>
    <w:rsid w:val="016110B2"/>
    <w:rsid w:val="021B1651"/>
    <w:rsid w:val="03046647"/>
    <w:rsid w:val="038A6620"/>
    <w:rsid w:val="04D11143"/>
    <w:rsid w:val="053A184E"/>
    <w:rsid w:val="07204D09"/>
    <w:rsid w:val="083825E5"/>
    <w:rsid w:val="08B70031"/>
    <w:rsid w:val="097E605F"/>
    <w:rsid w:val="0A1841FE"/>
    <w:rsid w:val="0A47024B"/>
    <w:rsid w:val="0BD6574A"/>
    <w:rsid w:val="0CB01EE3"/>
    <w:rsid w:val="0CEE5FC6"/>
    <w:rsid w:val="0EAF1C40"/>
    <w:rsid w:val="0EFB62CD"/>
    <w:rsid w:val="0FC62D36"/>
    <w:rsid w:val="11FD6F55"/>
    <w:rsid w:val="12172547"/>
    <w:rsid w:val="123A0C48"/>
    <w:rsid w:val="13CF6603"/>
    <w:rsid w:val="140965C3"/>
    <w:rsid w:val="14524790"/>
    <w:rsid w:val="156B1A2E"/>
    <w:rsid w:val="16B55DAC"/>
    <w:rsid w:val="171C4DC0"/>
    <w:rsid w:val="172EF6B0"/>
    <w:rsid w:val="1892219F"/>
    <w:rsid w:val="1A4377A1"/>
    <w:rsid w:val="1A472B8C"/>
    <w:rsid w:val="1A523746"/>
    <w:rsid w:val="1B14501E"/>
    <w:rsid w:val="1B4B0C98"/>
    <w:rsid w:val="1B973B1B"/>
    <w:rsid w:val="1BAB5A04"/>
    <w:rsid w:val="1C290815"/>
    <w:rsid w:val="1CAB69CA"/>
    <w:rsid w:val="1D171E50"/>
    <w:rsid w:val="1D46352A"/>
    <w:rsid w:val="1D7C0366"/>
    <w:rsid w:val="1DC67012"/>
    <w:rsid w:val="1E8F21B9"/>
    <w:rsid w:val="1F3E492F"/>
    <w:rsid w:val="201E567A"/>
    <w:rsid w:val="20AF3435"/>
    <w:rsid w:val="20EC5803"/>
    <w:rsid w:val="21561698"/>
    <w:rsid w:val="216443E3"/>
    <w:rsid w:val="224B29C2"/>
    <w:rsid w:val="22615479"/>
    <w:rsid w:val="23BE21BE"/>
    <w:rsid w:val="23FA22E6"/>
    <w:rsid w:val="261F7BCC"/>
    <w:rsid w:val="26720558"/>
    <w:rsid w:val="26F86B26"/>
    <w:rsid w:val="286766E4"/>
    <w:rsid w:val="28E15521"/>
    <w:rsid w:val="28ED2A28"/>
    <w:rsid w:val="2A1A11CC"/>
    <w:rsid w:val="2A7E6EA6"/>
    <w:rsid w:val="2AEB0009"/>
    <w:rsid w:val="2B6852D7"/>
    <w:rsid w:val="2C0C6A9D"/>
    <w:rsid w:val="2C497045"/>
    <w:rsid w:val="2E625818"/>
    <w:rsid w:val="2F6066F3"/>
    <w:rsid w:val="2FA95B77"/>
    <w:rsid w:val="305C3331"/>
    <w:rsid w:val="30717EB5"/>
    <w:rsid w:val="31523460"/>
    <w:rsid w:val="31D202DE"/>
    <w:rsid w:val="32144BB9"/>
    <w:rsid w:val="322403FA"/>
    <w:rsid w:val="32337EFE"/>
    <w:rsid w:val="32C78CBE"/>
    <w:rsid w:val="32FB1E2D"/>
    <w:rsid w:val="32FC7B27"/>
    <w:rsid w:val="33693F78"/>
    <w:rsid w:val="342C6138"/>
    <w:rsid w:val="34D332FE"/>
    <w:rsid w:val="358F874B"/>
    <w:rsid w:val="366A124C"/>
    <w:rsid w:val="36C35588"/>
    <w:rsid w:val="37AA4BD7"/>
    <w:rsid w:val="38961E84"/>
    <w:rsid w:val="39846181"/>
    <w:rsid w:val="3C0A4C3A"/>
    <w:rsid w:val="3D2A7CD4"/>
    <w:rsid w:val="3D407D16"/>
    <w:rsid w:val="3DAFFAAF"/>
    <w:rsid w:val="3E0E7A13"/>
    <w:rsid w:val="3ED6472C"/>
    <w:rsid w:val="3F5D4164"/>
    <w:rsid w:val="3F7B05ED"/>
    <w:rsid w:val="3FD774B1"/>
    <w:rsid w:val="3FE22211"/>
    <w:rsid w:val="40276748"/>
    <w:rsid w:val="408D0011"/>
    <w:rsid w:val="40B76E3C"/>
    <w:rsid w:val="41404B99"/>
    <w:rsid w:val="422363B0"/>
    <w:rsid w:val="422C1AAB"/>
    <w:rsid w:val="43E85D96"/>
    <w:rsid w:val="45107462"/>
    <w:rsid w:val="45840B96"/>
    <w:rsid w:val="46724784"/>
    <w:rsid w:val="477535AD"/>
    <w:rsid w:val="47B9A283"/>
    <w:rsid w:val="485E3715"/>
    <w:rsid w:val="489240B8"/>
    <w:rsid w:val="48A00AFD"/>
    <w:rsid w:val="48F33E66"/>
    <w:rsid w:val="496B2DEF"/>
    <w:rsid w:val="499C12C5"/>
    <w:rsid w:val="49BA0D55"/>
    <w:rsid w:val="4A5A1E95"/>
    <w:rsid w:val="4A606796"/>
    <w:rsid w:val="4A613290"/>
    <w:rsid w:val="4B3D390D"/>
    <w:rsid w:val="4B663938"/>
    <w:rsid w:val="4CB9218D"/>
    <w:rsid w:val="4DA92202"/>
    <w:rsid w:val="4FEFB93C"/>
    <w:rsid w:val="50E97F21"/>
    <w:rsid w:val="51874608"/>
    <w:rsid w:val="51A010F8"/>
    <w:rsid w:val="52011DFF"/>
    <w:rsid w:val="520D4227"/>
    <w:rsid w:val="52831447"/>
    <w:rsid w:val="52BF3B0D"/>
    <w:rsid w:val="52F32469"/>
    <w:rsid w:val="534F1565"/>
    <w:rsid w:val="535E2B61"/>
    <w:rsid w:val="5377DDDD"/>
    <w:rsid w:val="53C963F4"/>
    <w:rsid w:val="545011FD"/>
    <w:rsid w:val="5453081C"/>
    <w:rsid w:val="54546B8D"/>
    <w:rsid w:val="54A56FC5"/>
    <w:rsid w:val="54D13CF2"/>
    <w:rsid w:val="55663322"/>
    <w:rsid w:val="569F6540"/>
    <w:rsid w:val="56CA4983"/>
    <w:rsid w:val="57C86004"/>
    <w:rsid w:val="59CD09E7"/>
    <w:rsid w:val="59FC0CE8"/>
    <w:rsid w:val="5AB15D76"/>
    <w:rsid w:val="5AC24903"/>
    <w:rsid w:val="5AF97E00"/>
    <w:rsid w:val="5BF44F90"/>
    <w:rsid w:val="5C8262C5"/>
    <w:rsid w:val="5C8807CC"/>
    <w:rsid w:val="5CC02415"/>
    <w:rsid w:val="5CFD2526"/>
    <w:rsid w:val="5D0B1EE6"/>
    <w:rsid w:val="5D22703A"/>
    <w:rsid w:val="5D3F66DF"/>
    <w:rsid w:val="5D4C0A06"/>
    <w:rsid w:val="5DFF53EC"/>
    <w:rsid w:val="5EEB4145"/>
    <w:rsid w:val="5F4DF88F"/>
    <w:rsid w:val="5F692468"/>
    <w:rsid w:val="5F6D308F"/>
    <w:rsid w:val="5F7F4E9A"/>
    <w:rsid w:val="60397415"/>
    <w:rsid w:val="61947725"/>
    <w:rsid w:val="63A24596"/>
    <w:rsid w:val="63CA644B"/>
    <w:rsid w:val="641D4DE4"/>
    <w:rsid w:val="64583414"/>
    <w:rsid w:val="64BF1F2A"/>
    <w:rsid w:val="652C63CF"/>
    <w:rsid w:val="65416C31"/>
    <w:rsid w:val="65820E39"/>
    <w:rsid w:val="65DB7F4A"/>
    <w:rsid w:val="66CF2DC1"/>
    <w:rsid w:val="66E9147E"/>
    <w:rsid w:val="66FFC16E"/>
    <w:rsid w:val="6775D56D"/>
    <w:rsid w:val="67765CE5"/>
    <w:rsid w:val="685A78CF"/>
    <w:rsid w:val="6947747F"/>
    <w:rsid w:val="695E52C5"/>
    <w:rsid w:val="6A2863B7"/>
    <w:rsid w:val="6B611022"/>
    <w:rsid w:val="6B721A2E"/>
    <w:rsid w:val="6C4A2BCC"/>
    <w:rsid w:val="6CBF6E27"/>
    <w:rsid w:val="6D9F40DB"/>
    <w:rsid w:val="6DA31863"/>
    <w:rsid w:val="6DB91EF9"/>
    <w:rsid w:val="6DCD2DC3"/>
    <w:rsid w:val="6E9D3792"/>
    <w:rsid w:val="6F0F4BAE"/>
    <w:rsid w:val="6FDF9F6A"/>
    <w:rsid w:val="70C1323B"/>
    <w:rsid w:val="7195489F"/>
    <w:rsid w:val="719B7F30"/>
    <w:rsid w:val="73460977"/>
    <w:rsid w:val="73726A6F"/>
    <w:rsid w:val="73FFD55F"/>
    <w:rsid w:val="75271ADB"/>
    <w:rsid w:val="76B76FDB"/>
    <w:rsid w:val="76DF5187"/>
    <w:rsid w:val="77533239"/>
    <w:rsid w:val="77870C32"/>
    <w:rsid w:val="77CC07D0"/>
    <w:rsid w:val="77FB39BB"/>
    <w:rsid w:val="77FE481C"/>
    <w:rsid w:val="77FF111E"/>
    <w:rsid w:val="7820118F"/>
    <w:rsid w:val="783F7EE7"/>
    <w:rsid w:val="788744AC"/>
    <w:rsid w:val="79816F6A"/>
    <w:rsid w:val="79D87727"/>
    <w:rsid w:val="79FE1C75"/>
    <w:rsid w:val="7AB014CC"/>
    <w:rsid w:val="7AC6A0D3"/>
    <w:rsid w:val="7AF31598"/>
    <w:rsid w:val="7B87299F"/>
    <w:rsid w:val="7BF7F2A4"/>
    <w:rsid w:val="7BFA911E"/>
    <w:rsid w:val="7D5B30A1"/>
    <w:rsid w:val="7D714447"/>
    <w:rsid w:val="7DBF392E"/>
    <w:rsid w:val="7E546050"/>
    <w:rsid w:val="7E863191"/>
    <w:rsid w:val="7EF70939"/>
    <w:rsid w:val="7F2714DF"/>
    <w:rsid w:val="7F7F4D52"/>
    <w:rsid w:val="7F8F46AA"/>
    <w:rsid w:val="7FFF350C"/>
    <w:rsid w:val="8BDF93A4"/>
    <w:rsid w:val="8FF7F193"/>
    <w:rsid w:val="9377F002"/>
    <w:rsid w:val="9BB7546D"/>
    <w:rsid w:val="9FFF4BDA"/>
    <w:rsid w:val="ABF7C9DA"/>
    <w:rsid w:val="B96FC946"/>
    <w:rsid w:val="BC9B7801"/>
    <w:rsid w:val="BE67F581"/>
    <w:rsid w:val="D3DFB9B9"/>
    <w:rsid w:val="DADFCC90"/>
    <w:rsid w:val="DB75A6FF"/>
    <w:rsid w:val="DDDCE8A4"/>
    <w:rsid w:val="DDDE6B8A"/>
    <w:rsid w:val="DDF77555"/>
    <w:rsid w:val="DFD5C1C4"/>
    <w:rsid w:val="E7D69A0B"/>
    <w:rsid w:val="E7FE78EE"/>
    <w:rsid w:val="E7FED557"/>
    <w:rsid w:val="E7FF4900"/>
    <w:rsid w:val="E9FFEB1F"/>
    <w:rsid w:val="EB6E96BD"/>
    <w:rsid w:val="EDF6D12F"/>
    <w:rsid w:val="EE3F7652"/>
    <w:rsid w:val="EFBEED1A"/>
    <w:rsid w:val="F3F9D9CC"/>
    <w:rsid w:val="F5BE5DEC"/>
    <w:rsid w:val="F5BFF50E"/>
    <w:rsid w:val="F63D5A96"/>
    <w:rsid w:val="F7BBC9CB"/>
    <w:rsid w:val="FEF88793"/>
    <w:rsid w:val="FF7EBEE9"/>
    <w:rsid w:val="FFDEF9B2"/>
    <w:rsid w:val="FFFD2E6A"/>
    <w:rsid w:val="FFFFA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20" w:lineRule="exact"/>
      <w:ind w:firstLine="640" w:firstLineChars="200"/>
      <w:jc w:val="both"/>
    </w:pPr>
    <w:rPr>
      <w:rFonts w:ascii="Times New Roman" w:hAnsi="Times New Roman" w:eastAsia="仿宋" w:cs="Times New Roman"/>
      <w:kern w:val="2"/>
      <w:sz w:val="32"/>
      <w:szCs w:val="32"/>
      <w:lang w:val="en-US" w:eastAsia="zh-CN" w:bidi="ar-SA"/>
    </w:rPr>
  </w:style>
  <w:style w:type="paragraph" w:styleId="3">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4">
    <w:name w:val="heading 3"/>
    <w:basedOn w:val="1"/>
    <w:next w:val="1"/>
    <w:qFormat/>
    <w:uiPriority w:val="0"/>
    <w:pPr>
      <w:ind w:left="300" w:leftChars="300"/>
      <w:jc w:val="left"/>
      <w:outlineLvl w:val="2"/>
    </w:pPr>
    <w:rPr>
      <w:rFonts w:hint="eastAsia" w:ascii="宋体" w:hAnsi="宋体"/>
      <w:kern w:val="0"/>
      <w:szCs w:val="27"/>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spacing w:line="520" w:lineRule="exact"/>
      <w:ind w:firstLine="640" w:firstLineChars="200"/>
    </w:pPr>
    <w:rPr>
      <w:rFonts w:ascii="Times New Roman" w:hAnsi="Times New Roman" w:eastAsia="仿宋" w:cs="Times New Roman"/>
      <w:kern w:val="2"/>
      <w:sz w:val="32"/>
      <w:szCs w:val="32"/>
      <w:lang w:val="en-US" w:eastAsia="zh-CN" w:bidi="ar-SA"/>
    </w:rPr>
  </w:style>
  <w:style w:type="paragraph" w:styleId="5">
    <w:name w:val="annotation text"/>
    <w:basedOn w:val="1"/>
    <w:link w:val="36"/>
    <w:qFormat/>
    <w:uiPriority w:val="0"/>
    <w:pPr>
      <w:jc w:val="left"/>
    </w:pPr>
  </w:style>
  <w:style w:type="paragraph" w:styleId="6">
    <w:name w:val="Plain Text"/>
    <w:basedOn w:val="1"/>
    <w:qFormat/>
    <w:uiPriority w:val="0"/>
    <w:rPr>
      <w:rFonts w:hint="eastAsia" w:ascii="宋体" w:hAnsi="Courier New"/>
      <w:szCs w:val="20"/>
    </w:rPr>
  </w:style>
  <w:style w:type="paragraph" w:styleId="7">
    <w:name w:val="Balloon Text"/>
    <w:basedOn w:val="1"/>
    <w:link w:val="35"/>
    <w:qFormat/>
    <w:uiPriority w:val="0"/>
    <w:rPr>
      <w:sz w:val="18"/>
      <w:szCs w:val="18"/>
    </w:rPr>
  </w:style>
  <w:style w:type="paragraph" w:styleId="8">
    <w:name w:val="footer"/>
    <w:basedOn w:val="1"/>
    <w:link w:val="20"/>
    <w:qFormat/>
    <w:uiPriority w:val="99"/>
    <w:pPr>
      <w:tabs>
        <w:tab w:val="center" w:pos="4153"/>
        <w:tab w:val="right" w:pos="8306"/>
      </w:tabs>
      <w:wordWrap w:val="0"/>
      <w:snapToGrid w:val="0"/>
      <w:jc w:val="right"/>
    </w:pPr>
    <w:rPr>
      <w:sz w:val="28"/>
      <w:szCs w:val="2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qFormat/>
    <w:uiPriority w:val="0"/>
    <w:pPr>
      <w:spacing w:before="120"/>
      <w:jc w:val="left"/>
      <w:outlineLvl w:val="1"/>
    </w:pPr>
    <w:rPr>
      <w:rFonts w:ascii="Calibri Light" w:hAnsi="Calibri Light" w:eastAsia="楷体_GB2312"/>
      <w:bCs/>
      <w:kern w:val="28"/>
    </w:rPr>
  </w:style>
  <w:style w:type="paragraph" w:styleId="11">
    <w:name w:val="Normal (Web)"/>
    <w:basedOn w:val="1"/>
    <w:qFormat/>
    <w:uiPriority w:val="0"/>
    <w:rPr>
      <w:sz w:val="24"/>
    </w:rPr>
  </w:style>
  <w:style w:type="paragraph" w:styleId="12">
    <w:name w:val="Title"/>
    <w:basedOn w:val="1"/>
    <w:next w:val="1"/>
    <w:link w:val="22"/>
    <w:qFormat/>
    <w:uiPriority w:val="0"/>
    <w:pPr>
      <w:spacing w:before="240" w:after="60"/>
      <w:jc w:val="center"/>
      <w:outlineLvl w:val="0"/>
    </w:pPr>
    <w:rPr>
      <w:rFonts w:ascii="Cambria" w:hAnsi="Cambria"/>
      <w:b/>
      <w:bCs/>
    </w:rPr>
  </w:style>
  <w:style w:type="paragraph" w:styleId="13">
    <w:name w:val="annotation subject"/>
    <w:basedOn w:val="5"/>
    <w:next w:val="5"/>
    <w:link w:val="37"/>
    <w:qFormat/>
    <w:uiPriority w:val="0"/>
    <w:rPr>
      <w:b/>
      <w:bCs/>
    </w:rPr>
  </w:style>
  <w:style w:type="character" w:styleId="16">
    <w:name w:val="page number"/>
    <w:qFormat/>
    <w:uiPriority w:val="0"/>
  </w:style>
  <w:style w:type="character" w:styleId="17">
    <w:name w:val="line number"/>
    <w:basedOn w:val="15"/>
    <w:qFormat/>
    <w:uiPriority w:val="0"/>
  </w:style>
  <w:style w:type="character" w:styleId="18">
    <w:name w:val="annotation reference"/>
    <w:basedOn w:val="15"/>
    <w:qFormat/>
    <w:uiPriority w:val="0"/>
    <w:rPr>
      <w:sz w:val="21"/>
      <w:szCs w:val="21"/>
    </w:rPr>
  </w:style>
  <w:style w:type="character" w:customStyle="1" w:styleId="19">
    <w:name w:val="标题 1 字符"/>
    <w:link w:val="3"/>
    <w:qFormat/>
    <w:uiPriority w:val="0"/>
    <w:rPr>
      <w:rFonts w:eastAsia="宋体"/>
      <w:b/>
      <w:bCs/>
      <w:kern w:val="44"/>
      <w:sz w:val="44"/>
      <w:szCs w:val="44"/>
      <w:lang w:val="en-US" w:eastAsia="zh-CN" w:bidi="ar-SA"/>
    </w:rPr>
  </w:style>
  <w:style w:type="character" w:customStyle="1" w:styleId="20">
    <w:name w:val="页脚 字符"/>
    <w:link w:val="8"/>
    <w:qFormat/>
    <w:uiPriority w:val="99"/>
    <w:rPr>
      <w:kern w:val="2"/>
      <w:sz w:val="28"/>
      <w:szCs w:val="28"/>
    </w:rPr>
  </w:style>
  <w:style w:type="character" w:customStyle="1" w:styleId="21">
    <w:name w:val="页眉 字符"/>
    <w:link w:val="9"/>
    <w:qFormat/>
    <w:uiPriority w:val="0"/>
    <w:rPr>
      <w:kern w:val="2"/>
      <w:sz w:val="18"/>
      <w:szCs w:val="18"/>
    </w:rPr>
  </w:style>
  <w:style w:type="character" w:customStyle="1" w:styleId="22">
    <w:name w:val="标题 字符"/>
    <w:link w:val="12"/>
    <w:qFormat/>
    <w:uiPriority w:val="0"/>
    <w:rPr>
      <w:rFonts w:ascii="Cambria" w:hAnsi="Cambria" w:eastAsia="宋体"/>
      <w:b/>
      <w:bCs/>
      <w:kern w:val="2"/>
      <w:sz w:val="32"/>
      <w:szCs w:val="32"/>
      <w:lang w:val="en-US" w:eastAsia="zh-CN" w:bidi="ar-SA"/>
    </w:rPr>
  </w:style>
  <w:style w:type="character" w:customStyle="1" w:styleId="23">
    <w:name w:val="ca-10"/>
    <w:qFormat/>
    <w:uiPriority w:val="0"/>
  </w:style>
  <w:style w:type="character" w:customStyle="1" w:styleId="24">
    <w:name w:val="ca-9"/>
    <w:qFormat/>
    <w:uiPriority w:val="0"/>
  </w:style>
  <w:style w:type="character" w:customStyle="1" w:styleId="25">
    <w:name w:val="f101"/>
    <w:qFormat/>
    <w:uiPriority w:val="0"/>
    <w:rPr>
      <w:sz w:val="24"/>
      <w:szCs w:val="24"/>
    </w:rPr>
  </w:style>
  <w:style w:type="character" w:customStyle="1" w:styleId="26">
    <w:name w:val="ca-8"/>
    <w:qFormat/>
    <w:uiPriority w:val="0"/>
  </w:style>
  <w:style w:type="character" w:customStyle="1" w:styleId="27">
    <w:name w:val="王奕改内文 Char Char"/>
    <w:link w:val="28"/>
    <w:qFormat/>
    <w:uiPriority w:val="0"/>
    <w:rPr>
      <w:rFonts w:ascii="宋体" w:hAnsi="宋体" w:eastAsia="宋体" w:cs="MS Shell Dlg"/>
      <w:color w:val="000000"/>
      <w:spacing w:val="-4"/>
      <w:sz w:val="24"/>
      <w:szCs w:val="24"/>
      <w:lang w:val="en-US" w:eastAsia="zh-CN" w:bidi="ar-SA"/>
    </w:rPr>
  </w:style>
  <w:style w:type="paragraph" w:customStyle="1" w:styleId="28">
    <w:name w:val="王奕改内文"/>
    <w:basedOn w:val="29"/>
    <w:link w:val="27"/>
    <w:qFormat/>
    <w:uiPriority w:val="0"/>
    <w:rPr>
      <w:rFonts w:hAnsi="宋体"/>
      <w:spacing w:val="-4"/>
    </w:rPr>
  </w:style>
  <w:style w:type="paragraph" w:customStyle="1" w:styleId="29">
    <w:name w:val="王奕，内文"/>
    <w:basedOn w:val="11"/>
    <w:qFormat/>
    <w:uiPriority w:val="0"/>
    <w:pPr>
      <w:widowControl/>
      <w:spacing w:line="400" w:lineRule="exact"/>
      <w:ind w:right="-102"/>
      <w:jc w:val="center"/>
    </w:pPr>
    <w:rPr>
      <w:rFonts w:ascii="宋体" w:eastAsia="宋体" w:cs="黑体"/>
      <w:bCs/>
      <w:sz w:val="44"/>
      <w:szCs w:val="44"/>
    </w:rPr>
  </w:style>
  <w:style w:type="character" w:customStyle="1" w:styleId="30">
    <w:name w:val="ca-3"/>
    <w:qFormat/>
    <w:uiPriority w:val="0"/>
  </w:style>
  <w:style w:type="paragraph" w:customStyle="1" w:styleId="3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2">
    <w:name w:val="pa-5"/>
    <w:basedOn w:val="1"/>
    <w:qFormat/>
    <w:uiPriority w:val="0"/>
    <w:pPr>
      <w:widowControl/>
      <w:spacing w:before="150" w:after="150"/>
      <w:jc w:val="left"/>
    </w:pPr>
    <w:rPr>
      <w:rFonts w:ascii="宋体" w:hAnsi="宋体" w:cs="宋体"/>
      <w:kern w:val="0"/>
      <w:sz w:val="24"/>
    </w:rPr>
  </w:style>
  <w:style w:type="paragraph" w:customStyle="1" w:styleId="33">
    <w:name w:val="pa-6"/>
    <w:basedOn w:val="1"/>
    <w:qFormat/>
    <w:uiPriority w:val="0"/>
    <w:pPr>
      <w:widowControl/>
      <w:spacing w:before="150" w:after="150"/>
      <w:jc w:val="left"/>
    </w:pPr>
    <w:rPr>
      <w:rFonts w:ascii="宋体" w:hAnsi="宋体" w:cs="宋体"/>
      <w:kern w:val="0"/>
      <w:sz w:val="24"/>
    </w:rPr>
  </w:style>
  <w:style w:type="paragraph" w:styleId="34">
    <w:name w:val="List Paragraph"/>
    <w:basedOn w:val="1"/>
    <w:qFormat/>
    <w:uiPriority w:val="34"/>
    <w:pPr>
      <w:ind w:firstLine="420"/>
    </w:pPr>
    <w:rPr>
      <w:rFonts w:asciiTheme="minorHAnsi" w:hAnsiTheme="minorHAnsi" w:eastAsiaTheme="minorEastAsia" w:cstheme="minorBidi"/>
      <w:szCs w:val="22"/>
    </w:rPr>
  </w:style>
  <w:style w:type="character" w:customStyle="1" w:styleId="35">
    <w:name w:val="批注框文本 字符"/>
    <w:basedOn w:val="15"/>
    <w:link w:val="7"/>
    <w:qFormat/>
    <w:uiPriority w:val="0"/>
    <w:rPr>
      <w:kern w:val="2"/>
      <w:sz w:val="18"/>
      <w:szCs w:val="18"/>
    </w:rPr>
  </w:style>
  <w:style w:type="character" w:customStyle="1" w:styleId="36">
    <w:name w:val="批注文字 字符"/>
    <w:basedOn w:val="15"/>
    <w:link w:val="5"/>
    <w:qFormat/>
    <w:uiPriority w:val="0"/>
    <w:rPr>
      <w:kern w:val="2"/>
      <w:sz w:val="21"/>
      <w:szCs w:val="24"/>
    </w:rPr>
  </w:style>
  <w:style w:type="character" w:customStyle="1" w:styleId="37">
    <w:name w:val="批注主题 字符"/>
    <w:basedOn w:val="36"/>
    <w:link w:val="13"/>
    <w:qFormat/>
    <w:uiPriority w:val="0"/>
    <w:rPr>
      <w:kern w:val="2"/>
      <w:sz w:val="21"/>
      <w:szCs w:val="24"/>
    </w:rPr>
  </w:style>
  <w:style w:type="paragraph" w:customStyle="1" w:styleId="38">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39">
    <w:name w:val="无间隔1"/>
    <w:qFormat/>
    <w:uiPriority w:val="0"/>
    <w:rPr>
      <w:rFonts w:ascii="Tahoma" w:hAnsi="Tahoma" w:eastAsia="微软雅黑" w:cs="Times New Roman"/>
      <w:sz w:val="22"/>
      <w:szCs w:val="22"/>
      <w:lang w:val="en-US" w:eastAsia="zh-CN" w:bidi="ar-SA"/>
    </w:rPr>
  </w:style>
  <w:style w:type="paragraph" w:customStyle="1" w:styleId="40">
    <w:name w:val="纯文本1"/>
    <w:basedOn w:val="1"/>
    <w:qFormat/>
    <w:uiPriority w:val="0"/>
    <w:rPr>
      <w:rFonts w:ascii="宋体" w:hAnsi="宋体" w:eastAsia="仿宋_GB2312"/>
      <w:kern w:val="0"/>
      <w:sz w:val="28"/>
      <w:szCs w:val="21"/>
    </w:rPr>
  </w:style>
  <w:style w:type="paragraph" w:customStyle="1" w:styleId="41">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正文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19</Pages>
  <Words>6403</Words>
  <Characters>7099</Characters>
  <Lines>58</Lines>
  <Paragraphs>16</Paragraphs>
  <TotalTime>3</TotalTime>
  <ScaleCrop>false</ScaleCrop>
  <LinksUpToDate>false</LinksUpToDate>
  <CharactersWithSpaces>7212</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2011-05-19T16:34:00Z</dcterms:created>
  <dc:creator>lx</dc:creator>
  <cp:lastModifiedBy>wuyuanshenping</cp:lastModifiedBy>
  <cp:lastPrinted>2026-05-30T16:32:00Z</cp:lastPrinted>
  <dcterms:modified xsi:type="dcterms:W3CDTF">2026-07-22T11:20:58Z</dcterms:modified>
  <dc:title>负压引流装置技术审查指导原则</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E3A61D57B9234E31A961D8F10924310E_13</vt:lpwstr>
  </property>
  <property fmtid="{D5CDD505-2E9C-101B-9397-08002B2CF9AE}" pid="4" name="KSOTemplateDocerSaveRecord">
    <vt:lpwstr>eyJoZGlkIjoiMTQ0YTQxODVlNjRkNjcxMjcxMzkxOWM5MjJhODgzZmIiLCJ1c2VySWQiOiIzMDE2NDQzOTEifQ==</vt:lpwstr>
  </property>
</Properties>
</file>