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608CFD">
      <w:pPr>
        <w:spacing w:line="520" w:lineRule="exact"/>
        <w:ind w:right="-67" w:rightChars="-32" w:firstLine="1320" w:firstLineChars="300"/>
        <w:jc w:val="left"/>
        <w:rPr>
          <w:rFonts w:hint="eastAsia" w:eastAsia="方正小标宋简体"/>
          <w:sz w:val="44"/>
        </w:rPr>
      </w:pPr>
      <w:r>
        <w:rPr>
          <w:rFonts w:hint="eastAsia" w:eastAsia="方正小标宋简体"/>
          <w:sz w:val="44"/>
        </w:rPr>
        <w:t>穴位磁疗器具注册审查指导原则</w:t>
      </w:r>
    </w:p>
    <w:p w14:paraId="4F0E4020">
      <w:pPr>
        <w:spacing w:line="520" w:lineRule="exact"/>
        <w:ind w:right="-67" w:rightChars="-32" w:firstLine="2640" w:firstLineChars="600"/>
        <w:rPr>
          <w:rFonts w:hint="eastAsia" w:eastAsia="方正小标宋简体"/>
          <w:sz w:val="44"/>
          <w:lang w:eastAsia="zh-CN"/>
        </w:rPr>
      </w:pPr>
      <w:r>
        <w:rPr>
          <w:rFonts w:hint="eastAsia" w:eastAsia="方正小标宋简体"/>
          <w:sz w:val="44"/>
          <w:lang w:eastAsia="zh-CN"/>
        </w:rPr>
        <w:t>（征求意见稿）</w:t>
      </w:r>
    </w:p>
    <w:p w14:paraId="46076F14">
      <w:pPr>
        <w:spacing w:line="520" w:lineRule="exact"/>
        <w:ind w:firstLine="640" w:firstLineChars="200"/>
        <w:rPr>
          <w:rFonts w:eastAsia="仿宋_GB2312"/>
          <w:sz w:val="32"/>
          <w:szCs w:val="32"/>
        </w:rPr>
      </w:pPr>
    </w:p>
    <w:p w14:paraId="14B6DE23">
      <w:pPr>
        <w:spacing w:line="520" w:lineRule="exact"/>
        <w:ind w:firstLine="640" w:firstLineChars="200"/>
        <w:rPr>
          <w:rFonts w:eastAsia="仿宋_GB2312"/>
          <w:sz w:val="32"/>
          <w:szCs w:val="32"/>
        </w:rPr>
      </w:pPr>
      <w:r>
        <w:rPr>
          <w:rFonts w:eastAsia="仿宋_GB2312"/>
          <w:sz w:val="32"/>
          <w:szCs w:val="32"/>
        </w:rPr>
        <w:t>本指导原则旨在指导注册申请人对</w:t>
      </w:r>
      <w:r>
        <w:rPr>
          <w:rFonts w:hint="eastAsia" w:eastAsia="仿宋_GB2312"/>
          <w:sz w:val="32"/>
          <w:szCs w:val="32"/>
        </w:rPr>
        <w:t>穴位磁疗器具</w:t>
      </w:r>
      <w:r>
        <w:rPr>
          <w:rFonts w:eastAsia="仿宋_GB2312"/>
          <w:sz w:val="32"/>
          <w:szCs w:val="32"/>
        </w:rPr>
        <w:t>产品注册申报资料的准备及撰写，同时也为技术审评部门对注册申报资料的审评提供技术参考。</w:t>
      </w:r>
    </w:p>
    <w:p w14:paraId="115BEEA2">
      <w:pPr>
        <w:spacing w:line="520" w:lineRule="exact"/>
        <w:ind w:firstLine="640" w:firstLineChars="200"/>
        <w:rPr>
          <w:rFonts w:eastAsia="仿宋_GB2312"/>
          <w:sz w:val="32"/>
          <w:szCs w:val="32"/>
        </w:rPr>
      </w:pPr>
      <w:r>
        <w:rPr>
          <w:rFonts w:eastAsia="仿宋_GB2312"/>
          <w:sz w:val="32"/>
          <w:szCs w:val="32"/>
        </w:rPr>
        <w:t>本指导原则是对</w:t>
      </w:r>
      <w:r>
        <w:rPr>
          <w:rFonts w:hint="eastAsia" w:eastAsia="仿宋_GB2312"/>
          <w:sz w:val="32"/>
          <w:szCs w:val="32"/>
        </w:rPr>
        <w:t>穴位磁疗器具</w:t>
      </w:r>
      <w:r>
        <w:rPr>
          <w:rFonts w:eastAsia="仿宋_GB2312"/>
          <w:sz w:val="32"/>
          <w:szCs w:val="32"/>
        </w:rPr>
        <w:t>注册申报资料的一般要求，注册申请人需依据产品的具体特性确定其中内容是否</w:t>
      </w:r>
      <w:r>
        <w:rPr>
          <w:rFonts w:hint="eastAsia" w:eastAsia="仿宋_GB2312"/>
          <w:sz w:val="32"/>
          <w:szCs w:val="32"/>
        </w:rPr>
        <w:t>适用</w:t>
      </w:r>
      <w:r>
        <w:rPr>
          <w:rFonts w:eastAsia="仿宋_GB2312"/>
          <w:sz w:val="32"/>
          <w:szCs w:val="32"/>
        </w:rPr>
        <w:t>。若不适用，需具体阐述理由及相应的科学依据，并依据产品的具体特性对注册申报资料的内容进行充实和细化。</w:t>
      </w:r>
    </w:p>
    <w:p w14:paraId="181F09AB">
      <w:pPr>
        <w:spacing w:line="520" w:lineRule="exact"/>
        <w:ind w:firstLine="640" w:firstLineChars="200"/>
        <w:rPr>
          <w:rFonts w:eastAsia="仿宋_GB2312"/>
          <w:sz w:val="32"/>
          <w:szCs w:val="32"/>
        </w:rPr>
      </w:pPr>
      <w:r>
        <w:rPr>
          <w:rFonts w:eastAsia="仿宋_GB2312"/>
          <w:sz w:val="32"/>
          <w:szCs w:val="32"/>
        </w:rPr>
        <w:t>本指导原则是供注册申请人和技术审评人员的指导性文件，但不包括注册审批所涉及的行政事项，亦不作为法规强制执行，需在遵循相关法规和强制性标准的前提下使用本指导原则。如果有能够满足相关法规要求的其他方法，也可以采用，但是需要提供详细的研究资料和验证资料。</w:t>
      </w:r>
    </w:p>
    <w:p w14:paraId="6D8894CD">
      <w:pPr>
        <w:spacing w:line="520" w:lineRule="exact"/>
        <w:ind w:firstLine="640" w:firstLineChars="200"/>
        <w:rPr>
          <w:rFonts w:eastAsia="黑体"/>
          <w:sz w:val="32"/>
          <w:szCs w:val="32"/>
        </w:rPr>
      </w:pPr>
      <w:r>
        <w:rPr>
          <w:rFonts w:eastAsia="仿宋_GB2312"/>
          <w:sz w:val="32"/>
          <w:szCs w:val="32"/>
        </w:rPr>
        <w:t>本指导原则是在现行法规和标准体系以及当前认知水平下制定的，随着法规和标准的不断完善，以及科学技术的不断发展，本指导原则相关内容也将进行适时的调整。</w:t>
      </w:r>
    </w:p>
    <w:p w14:paraId="473E3927">
      <w:pPr>
        <w:spacing w:line="520" w:lineRule="exact"/>
        <w:ind w:firstLine="640" w:firstLineChars="200"/>
        <w:rPr>
          <w:rFonts w:eastAsia="黑体"/>
          <w:sz w:val="32"/>
          <w:szCs w:val="32"/>
        </w:rPr>
      </w:pPr>
      <w:r>
        <w:rPr>
          <w:rFonts w:eastAsia="黑体"/>
          <w:sz w:val="32"/>
          <w:szCs w:val="32"/>
        </w:rPr>
        <w:t>一、适用范围</w:t>
      </w:r>
    </w:p>
    <w:p w14:paraId="1E21A92A">
      <w:pPr>
        <w:spacing w:line="520" w:lineRule="exact"/>
        <w:ind w:firstLine="640" w:firstLineChars="200"/>
        <w:rPr>
          <w:rFonts w:eastAsia="仿宋_GB2312"/>
          <w:sz w:val="32"/>
          <w:szCs w:val="32"/>
        </w:rPr>
      </w:pPr>
      <w:r>
        <w:rPr>
          <w:rFonts w:hint="eastAsia" w:eastAsia="仿宋_GB2312"/>
          <w:sz w:val="32"/>
          <w:szCs w:val="32"/>
        </w:rPr>
        <w:t>本指导原则适用于穴位磁疗器具产品注册。穴位磁疗器具通常由永磁体或磁性物质和医用胶布组成。应用磁场作用于人体穴位的器具，以达到辅助治疗或缓解症状目的的医疗器械。用于对穴位进行磁疗。按现行《医疗器械分类目录》，该类产品属于20中医器械，一级产品类别为03中医器具，二级产品类别为09穴位磁疗器具，分类编码为20-03-09，管理类别为II类。</w:t>
      </w:r>
    </w:p>
    <w:p w14:paraId="5F7FFE98">
      <w:pPr>
        <w:spacing w:line="520" w:lineRule="exact"/>
        <w:ind w:firstLine="640" w:firstLineChars="200"/>
        <w:rPr>
          <w:rFonts w:eastAsia="仿宋_GB2312" w:cs="仿宋_GB2312"/>
          <w:snapToGrid w:val="0"/>
          <w:sz w:val="32"/>
          <w:szCs w:val="32"/>
        </w:rPr>
      </w:pPr>
      <w:r>
        <w:rPr>
          <w:rFonts w:hint="eastAsia" w:eastAsia="仿宋_GB2312" w:cs="仿宋_GB2312"/>
          <w:snapToGrid w:val="0"/>
          <w:sz w:val="32"/>
          <w:szCs w:val="32"/>
        </w:rPr>
        <w:t>本指导原则适用于无源穴位磁疗产品，不包含任何需电源驱动的设备。产品仅通过永磁体产生静磁场。本指导原则不适用于结合其他物理因子（如热传导、电刺激）的组合式物理治疗器具。本指导原则不适用于仅含有远红外发热材料的穴位贴敷类产品；本指导原则不适用于含有化学成分、中药材（或天然植物）及其提取物等，所含成分发挥药理学、免疫学或者代谢作用的穴位贴敷类产品；本指导原则不适用于含有化学成分、中药材（或天然植物）及其提取物等，不能证明不发挥药理学、免疫学或者代谢作用的穴位贴敷类产品。</w:t>
      </w:r>
    </w:p>
    <w:p w14:paraId="7BB5EF9C">
      <w:pPr>
        <w:spacing w:line="520" w:lineRule="exact"/>
        <w:ind w:firstLine="640" w:firstLineChars="200"/>
        <w:rPr>
          <w:rFonts w:eastAsia="黑体"/>
          <w:sz w:val="32"/>
          <w:szCs w:val="32"/>
        </w:rPr>
      </w:pPr>
      <w:r>
        <w:rPr>
          <w:rFonts w:eastAsia="黑体"/>
          <w:sz w:val="32"/>
          <w:szCs w:val="32"/>
        </w:rPr>
        <w:t>二、注册审查要点</w:t>
      </w:r>
    </w:p>
    <w:p w14:paraId="5273A0D1">
      <w:pPr>
        <w:spacing w:line="520" w:lineRule="exact"/>
        <w:ind w:firstLine="640" w:firstLineChars="200"/>
        <w:rPr>
          <w:rFonts w:eastAsia="楷体_GB2312"/>
          <w:sz w:val="32"/>
          <w:szCs w:val="32"/>
        </w:rPr>
      </w:pPr>
      <w:r>
        <w:rPr>
          <w:rFonts w:eastAsia="楷体_GB2312"/>
          <w:sz w:val="32"/>
          <w:szCs w:val="32"/>
        </w:rPr>
        <w:t>（</w:t>
      </w:r>
      <w:r>
        <w:rPr>
          <w:rFonts w:hint="eastAsia" w:eastAsia="楷体_GB2312"/>
          <w:sz w:val="32"/>
          <w:szCs w:val="32"/>
        </w:rPr>
        <w:t>一</w:t>
      </w:r>
      <w:r>
        <w:rPr>
          <w:rFonts w:eastAsia="楷体_GB2312"/>
          <w:sz w:val="32"/>
          <w:szCs w:val="32"/>
        </w:rPr>
        <w:t>）监管信息</w:t>
      </w:r>
    </w:p>
    <w:p w14:paraId="33A77446">
      <w:pPr>
        <w:pStyle w:val="11"/>
        <w:spacing w:line="520" w:lineRule="exact"/>
        <w:ind w:firstLine="640" w:firstLineChars="200"/>
        <w:rPr>
          <w:rFonts w:ascii="Times New Roman" w:hAnsi="Times New Roman"/>
          <w:snapToGrid w:val="0"/>
          <w:sz w:val="32"/>
          <w:szCs w:val="32"/>
        </w:rPr>
      </w:pPr>
      <w:r>
        <w:rPr>
          <w:rFonts w:hint="eastAsia" w:ascii="Times New Roman" w:hAnsi="Times New Roman"/>
          <w:snapToGrid w:val="0"/>
          <w:sz w:val="32"/>
          <w:szCs w:val="32"/>
        </w:rPr>
        <w:t>1.申请表</w:t>
      </w:r>
    </w:p>
    <w:p w14:paraId="28AE1808">
      <w:pPr>
        <w:pStyle w:val="11"/>
        <w:spacing w:line="520" w:lineRule="exact"/>
        <w:ind w:firstLine="640" w:firstLineChars="200"/>
        <w:rPr>
          <w:sz w:val="32"/>
          <w:szCs w:val="32"/>
        </w:rPr>
      </w:pPr>
      <w:r>
        <w:rPr>
          <w:rFonts w:hint="eastAsia" w:ascii="Times New Roman" w:hAnsi="Times New Roman"/>
          <w:snapToGrid w:val="0"/>
          <w:sz w:val="32"/>
          <w:szCs w:val="32"/>
        </w:rPr>
        <w:t>按照填表要求填写。</w:t>
      </w:r>
    </w:p>
    <w:p w14:paraId="27E196BB">
      <w:pPr>
        <w:spacing w:line="520" w:lineRule="exact"/>
        <w:ind w:firstLine="640" w:firstLineChars="200"/>
        <w:rPr>
          <w:rFonts w:eastAsia="仿宋_GB2312"/>
          <w:sz w:val="32"/>
          <w:szCs w:val="32"/>
        </w:rPr>
      </w:pPr>
      <w:r>
        <w:rPr>
          <w:rFonts w:hint="eastAsia" w:eastAsia="仿宋_GB2312"/>
          <w:sz w:val="32"/>
          <w:szCs w:val="32"/>
        </w:rPr>
        <w:t>1.1产品名称</w:t>
      </w:r>
    </w:p>
    <w:p w14:paraId="498AB1F5">
      <w:pPr>
        <w:spacing w:line="520" w:lineRule="exact"/>
        <w:ind w:firstLine="640" w:firstLineChars="200"/>
        <w:rPr>
          <w:rFonts w:eastAsia="仿宋_GB2312"/>
          <w:sz w:val="32"/>
          <w:szCs w:val="32"/>
        </w:rPr>
      </w:pPr>
      <w:r>
        <w:rPr>
          <w:rFonts w:hint="eastAsia" w:eastAsia="仿宋_GB2312"/>
          <w:sz w:val="32"/>
          <w:szCs w:val="32"/>
        </w:rPr>
        <w:t>产品命名需符合《医疗器械通用名称命名规则》《物理治疗器械通用名称命名指导原则》的要求。产品名称应基于工作原理进行命名，如穴位磁疗贴、穴位磁疗器、穴位磁疗片。不以治疗病种、治疗功效等方式命名。不得有绝对化词语（如“速效”“最佳”）命名。</w:t>
      </w:r>
    </w:p>
    <w:p w14:paraId="5AD4529F">
      <w:pPr>
        <w:spacing w:line="520" w:lineRule="exact"/>
        <w:ind w:firstLine="640" w:firstLineChars="200"/>
        <w:rPr>
          <w:rFonts w:eastAsia="仿宋_GB2312"/>
          <w:sz w:val="32"/>
          <w:szCs w:val="32"/>
        </w:rPr>
      </w:pPr>
      <w:r>
        <w:rPr>
          <w:rFonts w:hint="eastAsia" w:eastAsia="仿宋_GB2312"/>
          <w:sz w:val="32"/>
          <w:szCs w:val="32"/>
        </w:rPr>
        <w:t>1.2</w:t>
      </w:r>
      <w:r>
        <w:rPr>
          <w:rFonts w:hint="eastAsia" w:eastAsia="仿宋_GB2312"/>
          <w:sz w:val="32"/>
        </w:rPr>
        <w:t>管理</w:t>
      </w:r>
      <w:r>
        <w:rPr>
          <w:rFonts w:eastAsia="仿宋_GB2312"/>
          <w:sz w:val="32"/>
        </w:rPr>
        <w:t>类别、分类编码</w:t>
      </w:r>
    </w:p>
    <w:p w14:paraId="1B1B67DE">
      <w:pPr>
        <w:spacing w:line="520" w:lineRule="exact"/>
        <w:ind w:firstLine="640" w:firstLineChars="200"/>
        <w:rPr>
          <w:rFonts w:eastAsia="仿宋_GB2312"/>
          <w:sz w:val="32"/>
          <w:szCs w:val="28"/>
        </w:rPr>
      </w:pPr>
      <w:r>
        <w:rPr>
          <w:rFonts w:hint="eastAsia" w:eastAsia="仿宋_GB2312"/>
          <w:sz w:val="32"/>
          <w:szCs w:val="28"/>
        </w:rPr>
        <w:t>穴位磁疗器具按照国家食品药品监督管理总局《医疗器械分类目录》（2017年第104号）的规定，属于《医疗器械分类目录》中子目录20中医器械，一级产品类别03中医器具，二级产品类别09穴位磁疗器具，分类编号：20-03-09，管理类别Ⅱ类。</w:t>
      </w:r>
    </w:p>
    <w:p w14:paraId="01C3E6EE">
      <w:pPr>
        <w:spacing w:line="520" w:lineRule="exact"/>
        <w:ind w:firstLine="640" w:firstLineChars="200"/>
        <w:rPr>
          <w:rFonts w:eastAsia="仿宋_GB2312"/>
          <w:sz w:val="32"/>
          <w:szCs w:val="32"/>
        </w:rPr>
      </w:pPr>
      <w:r>
        <w:rPr>
          <w:rFonts w:hint="eastAsia" w:eastAsia="仿宋_GB2312"/>
          <w:sz w:val="32"/>
          <w:szCs w:val="32"/>
        </w:rPr>
        <w:t>1.3</w:t>
      </w:r>
      <w:r>
        <w:rPr>
          <w:rFonts w:eastAsia="仿宋_GB2312"/>
          <w:sz w:val="32"/>
          <w:szCs w:val="32"/>
        </w:rPr>
        <w:t>注册单元划分的原则</w:t>
      </w:r>
    </w:p>
    <w:p w14:paraId="79B2464C">
      <w:pPr>
        <w:overflowPunct w:val="0"/>
        <w:autoSpaceDE w:val="0"/>
        <w:autoSpaceDN w:val="0"/>
        <w:spacing w:line="520" w:lineRule="exact"/>
        <w:ind w:firstLine="640" w:firstLineChars="200"/>
        <w:rPr>
          <w:rFonts w:eastAsia="仿宋_GB2312"/>
          <w:snapToGrid w:val="0"/>
          <w:kern w:val="0"/>
          <w:sz w:val="32"/>
          <w:szCs w:val="32"/>
        </w:rPr>
      </w:pPr>
      <w:r>
        <w:rPr>
          <w:rFonts w:hint="eastAsia" w:eastAsia="仿宋_GB2312"/>
          <w:snapToGrid w:val="0"/>
          <w:kern w:val="0"/>
          <w:sz w:val="32"/>
          <w:szCs w:val="32"/>
        </w:rPr>
        <w:t>注册单元的划分应参照《医疗器械注册单元划分指导原则》的要求，以产品的技术原理、结构组成、性能指标和适用范围等因素为划分依据。</w:t>
      </w:r>
    </w:p>
    <w:p w14:paraId="64E106D1">
      <w:pPr>
        <w:overflowPunct w:val="0"/>
        <w:autoSpaceDE w:val="0"/>
        <w:autoSpaceDN w:val="0"/>
        <w:spacing w:line="520" w:lineRule="exact"/>
        <w:ind w:firstLine="640" w:firstLineChars="200"/>
        <w:rPr>
          <w:rFonts w:eastAsia="仿宋_GB2312"/>
          <w:snapToGrid w:val="0"/>
          <w:kern w:val="0"/>
          <w:sz w:val="32"/>
          <w:szCs w:val="32"/>
        </w:rPr>
      </w:pPr>
      <w:r>
        <w:rPr>
          <w:rFonts w:hint="eastAsia" w:eastAsia="仿宋_GB2312"/>
          <w:snapToGrid w:val="0"/>
          <w:kern w:val="0"/>
          <w:sz w:val="32"/>
          <w:szCs w:val="32"/>
        </w:rPr>
        <w:t>1.3.1预期用途不用的穴位磁疗器具，应分为不同的注册单元。例如：穴位磁疗器具在作用于穴位的部位不同，需作为独立注册单元。</w:t>
      </w:r>
    </w:p>
    <w:p w14:paraId="3B1A579A">
      <w:pPr>
        <w:overflowPunct w:val="0"/>
        <w:autoSpaceDE w:val="0"/>
        <w:autoSpaceDN w:val="0"/>
        <w:spacing w:line="520" w:lineRule="exact"/>
        <w:ind w:firstLine="640" w:firstLineChars="200"/>
        <w:rPr>
          <w:rFonts w:eastAsia="仿宋_GB2312"/>
          <w:snapToGrid w:val="0"/>
          <w:kern w:val="0"/>
          <w:sz w:val="32"/>
          <w:szCs w:val="32"/>
        </w:rPr>
      </w:pPr>
      <w:r>
        <w:rPr>
          <w:rFonts w:hint="eastAsia" w:eastAsia="仿宋_GB2312"/>
          <w:snapToGrid w:val="0"/>
          <w:kern w:val="0"/>
          <w:sz w:val="32"/>
          <w:szCs w:val="32"/>
        </w:rPr>
        <w:t>1.3.2结构组成的差异性若影响安全性与有效性时，应分为不同的注册单元。例如：穴位磁疗贴（一次性使用）与穴位磁疗护具（重复使用）应为不同的注册单元。</w:t>
      </w:r>
    </w:p>
    <w:p w14:paraId="61C8D555">
      <w:pPr>
        <w:overflowPunct w:val="0"/>
        <w:autoSpaceDE w:val="0"/>
        <w:autoSpaceDN w:val="0"/>
        <w:spacing w:line="520" w:lineRule="exact"/>
        <w:ind w:firstLine="640" w:firstLineChars="200"/>
        <w:rPr>
          <w:rFonts w:eastAsia="仿宋_GB2312"/>
          <w:snapToGrid w:val="0"/>
          <w:kern w:val="0"/>
          <w:sz w:val="32"/>
          <w:szCs w:val="32"/>
        </w:rPr>
      </w:pPr>
      <w:r>
        <w:rPr>
          <w:rFonts w:hint="eastAsia" w:eastAsia="仿宋_GB2312"/>
          <w:snapToGrid w:val="0"/>
          <w:kern w:val="0"/>
          <w:sz w:val="32"/>
          <w:szCs w:val="32"/>
        </w:rPr>
        <w:t>1.3.3磁场强度范围明显不同造成有效性差异时，应划分为不同的注册单元。例如：如钕铁硼（强磁）与铁氧体（弱磁）不可为同一注册单元。</w:t>
      </w:r>
    </w:p>
    <w:p w14:paraId="265F9DF7">
      <w:pPr>
        <w:pStyle w:val="11"/>
        <w:spacing w:line="520" w:lineRule="exact"/>
        <w:ind w:firstLine="640" w:firstLineChars="200"/>
        <w:rPr>
          <w:rFonts w:ascii="Times New Roman" w:hAnsi="Times New Roman"/>
          <w:snapToGrid w:val="0"/>
          <w:sz w:val="32"/>
          <w:szCs w:val="32"/>
        </w:rPr>
      </w:pPr>
      <w:r>
        <w:rPr>
          <w:rFonts w:ascii="Times New Roman" w:hAnsi="Times New Roman"/>
          <w:snapToGrid w:val="0"/>
          <w:sz w:val="32"/>
          <w:szCs w:val="32"/>
        </w:rPr>
        <w:t>1.4型号规格</w:t>
      </w:r>
    </w:p>
    <w:p w14:paraId="5CC221A0">
      <w:pPr>
        <w:pStyle w:val="11"/>
        <w:spacing w:line="520" w:lineRule="exact"/>
        <w:ind w:firstLine="640" w:firstLineChars="200"/>
        <w:rPr>
          <w:rFonts w:ascii="Times New Roman" w:hAnsi="Times New Roman"/>
          <w:snapToGrid w:val="0"/>
          <w:sz w:val="32"/>
          <w:szCs w:val="32"/>
        </w:rPr>
      </w:pPr>
      <w:r>
        <w:rPr>
          <w:rFonts w:hint="eastAsia" w:ascii="Times New Roman" w:hAnsi="Times New Roman"/>
          <w:snapToGrid w:val="0"/>
          <w:sz w:val="32"/>
          <w:szCs w:val="32"/>
        </w:rPr>
        <w:t>应明确申报产品的型号规格。型号应将具体形状描述出来，规格应能够对应于该产品实际运用的情况，型号规格应能够与适用范围相适应。</w:t>
      </w:r>
    </w:p>
    <w:p w14:paraId="311279B9">
      <w:pPr>
        <w:pStyle w:val="11"/>
        <w:spacing w:line="520" w:lineRule="exact"/>
        <w:ind w:firstLine="640" w:firstLineChars="200"/>
        <w:rPr>
          <w:rFonts w:ascii="Times New Roman" w:hAnsi="Times New Roman"/>
          <w:snapToGrid w:val="0"/>
          <w:sz w:val="32"/>
          <w:szCs w:val="32"/>
        </w:rPr>
      </w:pPr>
      <w:r>
        <w:rPr>
          <w:rFonts w:ascii="Times New Roman" w:hAnsi="Times New Roman"/>
          <w:snapToGrid w:val="0"/>
          <w:sz w:val="32"/>
          <w:szCs w:val="32"/>
        </w:rPr>
        <w:t>1.5结构及组成</w:t>
      </w:r>
    </w:p>
    <w:p w14:paraId="46E91668">
      <w:pPr>
        <w:spacing w:line="520" w:lineRule="exact"/>
        <w:ind w:firstLine="640" w:firstLineChars="200"/>
        <w:rPr>
          <w:sz w:val="32"/>
          <w:szCs w:val="32"/>
        </w:rPr>
      </w:pPr>
      <w:r>
        <w:rPr>
          <w:rFonts w:hint="eastAsia" w:eastAsia="仿宋_GB2312"/>
          <w:snapToGrid w:val="0"/>
          <w:kern w:val="0"/>
          <w:sz w:val="32"/>
          <w:szCs w:val="32"/>
        </w:rPr>
        <w:t>结构与组成的部件命名应该规范描述。应明确核心部件和附属部件，应明确磁体（磁极）的具体材料、数量。如：穴位磁疗贴中产生了磁场的磁片和数量应在结构组成中体现。结构组成中不应包含具有药理、免疫学、代谢作用的成分；不应包含可被人体吸收的成分。</w:t>
      </w:r>
    </w:p>
    <w:p w14:paraId="436C28B9">
      <w:pPr>
        <w:overflowPunct w:val="0"/>
        <w:autoSpaceDE w:val="0"/>
        <w:autoSpaceDN w:val="0"/>
        <w:spacing w:line="520" w:lineRule="exact"/>
        <w:ind w:firstLine="640" w:firstLineChars="200"/>
        <w:rPr>
          <w:rFonts w:eastAsia="仿宋_GB2312"/>
          <w:snapToGrid w:val="0"/>
          <w:kern w:val="0"/>
          <w:sz w:val="32"/>
          <w:szCs w:val="32"/>
        </w:rPr>
      </w:pPr>
      <w:r>
        <w:rPr>
          <w:rFonts w:hint="eastAsia" w:eastAsia="仿宋_GB2312"/>
          <w:snapToGrid w:val="0"/>
          <w:kern w:val="0"/>
          <w:sz w:val="32"/>
          <w:szCs w:val="32"/>
        </w:rPr>
        <w:t>2.产品列表</w:t>
      </w:r>
    </w:p>
    <w:p w14:paraId="59EFC590">
      <w:pPr>
        <w:overflowPunct w:val="0"/>
        <w:autoSpaceDE w:val="0"/>
        <w:autoSpaceDN w:val="0"/>
        <w:spacing w:line="520" w:lineRule="exact"/>
        <w:ind w:firstLine="640" w:firstLineChars="200"/>
        <w:rPr>
          <w:rFonts w:eastAsia="仿宋_GB2312"/>
          <w:snapToGrid w:val="0"/>
          <w:kern w:val="0"/>
          <w:sz w:val="32"/>
          <w:szCs w:val="32"/>
        </w:rPr>
      </w:pPr>
      <w:r>
        <w:rPr>
          <w:rFonts w:hint="eastAsia" w:eastAsia="仿宋_GB2312"/>
          <w:snapToGrid w:val="0"/>
          <w:kern w:val="0"/>
          <w:sz w:val="32"/>
          <w:szCs w:val="32"/>
        </w:rPr>
        <w:t>以表格形式列出拟申报产品的型号、规格、结构及组成、附件，以及每个型号规格的标识（如型号或部件的编号，器械唯一标识等）和描述说明（如尺寸、材质等）。</w:t>
      </w:r>
    </w:p>
    <w:p w14:paraId="6BB8F26E">
      <w:pPr>
        <w:overflowPunct w:val="0"/>
        <w:autoSpaceDE w:val="0"/>
        <w:autoSpaceDN w:val="0"/>
        <w:spacing w:line="520" w:lineRule="exact"/>
        <w:ind w:firstLine="640" w:firstLineChars="200"/>
        <w:rPr>
          <w:rFonts w:eastAsia="仿宋_GB2312"/>
          <w:snapToGrid w:val="0"/>
          <w:kern w:val="0"/>
          <w:sz w:val="32"/>
          <w:szCs w:val="32"/>
        </w:rPr>
      </w:pPr>
      <w:r>
        <w:rPr>
          <w:rFonts w:hint="eastAsia" w:eastAsia="仿宋_GB2312"/>
          <w:snapToGrid w:val="0"/>
          <w:kern w:val="0"/>
          <w:sz w:val="32"/>
          <w:szCs w:val="32"/>
        </w:rPr>
        <w:t>3.既往沟通记录</w:t>
      </w:r>
    </w:p>
    <w:p w14:paraId="49FF239F">
      <w:pPr>
        <w:spacing w:line="520" w:lineRule="exact"/>
        <w:ind w:firstLine="640" w:firstLineChars="200"/>
        <w:rPr>
          <w:rFonts w:eastAsia="仿宋_GB2312"/>
          <w:sz w:val="32"/>
          <w:szCs w:val="32"/>
        </w:rPr>
      </w:pPr>
      <w:r>
        <w:rPr>
          <w:rFonts w:hint="eastAsia" w:eastAsia="仿宋_GB2312"/>
          <w:bCs/>
          <w:sz w:val="32"/>
          <w:szCs w:val="32"/>
        </w:rPr>
        <w:t>在产品申报前，如果申请人与监管机构针对申报产品以会议形式进行了沟通，或者申报产品与既往注册申报相关，则应提交相关沟通记录。</w:t>
      </w:r>
    </w:p>
    <w:p w14:paraId="5FB39E41">
      <w:pPr>
        <w:spacing w:line="520" w:lineRule="exact"/>
        <w:ind w:firstLine="640" w:firstLineChars="200"/>
        <w:rPr>
          <w:rFonts w:eastAsia="楷体_GB2312"/>
          <w:sz w:val="32"/>
          <w:szCs w:val="32"/>
        </w:rPr>
      </w:pPr>
      <w:r>
        <w:rPr>
          <w:rFonts w:eastAsia="楷体_GB2312"/>
          <w:sz w:val="32"/>
          <w:szCs w:val="32"/>
        </w:rPr>
        <w:t>（二）综述资料</w:t>
      </w:r>
    </w:p>
    <w:p w14:paraId="65F6CD77">
      <w:pPr>
        <w:numPr>
          <w:ilvl w:val="0"/>
          <w:numId w:val="1"/>
        </w:numPr>
        <w:overflowPunct w:val="0"/>
        <w:spacing w:line="520" w:lineRule="exact"/>
        <w:rPr>
          <w:rFonts w:eastAsia="仿宋_GB2312"/>
          <w:sz w:val="32"/>
          <w:szCs w:val="32"/>
        </w:rPr>
      </w:pPr>
      <w:r>
        <w:rPr>
          <w:rFonts w:eastAsia="仿宋_GB2312"/>
          <w:sz w:val="32"/>
          <w:szCs w:val="32"/>
        </w:rPr>
        <w:t>产品描述</w:t>
      </w:r>
    </w:p>
    <w:p w14:paraId="684E87B6">
      <w:pPr>
        <w:overflowPunct w:val="0"/>
        <w:spacing w:line="520" w:lineRule="exact"/>
        <w:ind w:firstLine="640" w:firstLineChars="200"/>
        <w:rPr>
          <w:rFonts w:eastAsia="仿宋_GB2312"/>
          <w:sz w:val="32"/>
          <w:szCs w:val="32"/>
        </w:rPr>
      </w:pPr>
      <w:r>
        <w:rPr>
          <w:rFonts w:hint="eastAsia" w:eastAsia="仿宋_GB2312"/>
          <w:sz w:val="32"/>
          <w:szCs w:val="32"/>
        </w:rPr>
        <w:t>产品描述应全面、详细，需至少包括申报产品工作原理、原材料、结构组成及相应图示、使用方法等。</w:t>
      </w:r>
    </w:p>
    <w:p w14:paraId="5A61A300">
      <w:pPr>
        <w:pStyle w:val="10"/>
        <w:overflowPunct w:val="0"/>
        <w:autoSpaceDE w:val="0"/>
        <w:autoSpaceDN w:val="0"/>
        <w:spacing w:line="520" w:lineRule="exact"/>
        <w:ind w:right="210" w:firstLine="640"/>
        <w:outlineLvl w:val="3"/>
        <w:rPr>
          <w:rFonts w:ascii="Times New Roman" w:hAnsi="Times New Roman" w:eastAsia="仿宋_GB2312"/>
          <w:snapToGrid w:val="0"/>
          <w:kern w:val="0"/>
          <w:sz w:val="32"/>
          <w:szCs w:val="32"/>
        </w:rPr>
      </w:pPr>
      <w:r>
        <w:rPr>
          <w:rFonts w:hint="eastAsia" w:ascii="Times New Roman" w:hAnsi="Times New Roman" w:eastAsia="仿宋_GB2312"/>
          <w:snapToGrid w:val="0"/>
          <w:kern w:val="0"/>
          <w:sz w:val="32"/>
          <w:szCs w:val="32"/>
        </w:rPr>
        <w:t>1.1器械及操作原理描述</w:t>
      </w:r>
    </w:p>
    <w:p w14:paraId="0BBAA437">
      <w:pPr>
        <w:pStyle w:val="10"/>
        <w:overflowPunct w:val="0"/>
        <w:autoSpaceDE w:val="0"/>
        <w:autoSpaceDN w:val="0"/>
        <w:spacing w:line="520" w:lineRule="exact"/>
        <w:ind w:right="210" w:firstLine="640"/>
        <w:rPr>
          <w:rFonts w:ascii="Times New Roman" w:hAnsi="Times New Roman" w:eastAsia="仿宋_GB2312"/>
          <w:snapToGrid w:val="0"/>
          <w:kern w:val="0"/>
          <w:sz w:val="32"/>
          <w:szCs w:val="32"/>
        </w:rPr>
      </w:pPr>
      <w:r>
        <w:rPr>
          <w:rFonts w:hint="eastAsia" w:ascii="Times New Roman" w:hAnsi="Times New Roman" w:eastAsia="仿宋_GB2312"/>
          <w:snapToGrid w:val="0"/>
          <w:kern w:val="0"/>
          <w:sz w:val="32"/>
          <w:szCs w:val="32"/>
        </w:rPr>
        <w:t>1.1.1</w:t>
      </w:r>
      <w:r>
        <w:rPr>
          <w:rFonts w:ascii="Times New Roman" w:hAnsi="Times New Roman" w:eastAsia="仿宋_GB2312"/>
          <w:snapToGrid w:val="0"/>
          <w:kern w:val="0"/>
          <w:sz w:val="32"/>
          <w:szCs w:val="32"/>
        </w:rPr>
        <w:t>工作原理</w:t>
      </w:r>
    </w:p>
    <w:p w14:paraId="05CC7C89">
      <w:pPr>
        <w:tabs>
          <w:tab w:val="left" w:pos="312"/>
        </w:tabs>
        <w:spacing w:line="520" w:lineRule="exact"/>
        <w:ind w:firstLine="640" w:firstLineChars="200"/>
        <w:outlineLvl w:val="2"/>
        <w:rPr>
          <w:rFonts w:eastAsia="仿宋_GB2312" w:cs="仿宋_GB2312"/>
          <w:sz w:val="32"/>
          <w:szCs w:val="32"/>
        </w:rPr>
      </w:pPr>
      <w:r>
        <w:rPr>
          <w:rFonts w:hint="eastAsia" w:eastAsia="仿宋_GB2312" w:cs="仿宋_GB2312"/>
          <w:sz w:val="32"/>
          <w:szCs w:val="32"/>
        </w:rPr>
        <w:t>需详细描述产品的工作原理，申报资料原理中应要求提供结合经络、穴位理论阐述产品作用机理的说明，解释选择特定磁场参数（如强度、频率）作用于特定穴位的依据。</w:t>
      </w:r>
    </w:p>
    <w:p w14:paraId="3A1F922C">
      <w:pPr>
        <w:overflowPunct w:val="0"/>
        <w:spacing w:line="520" w:lineRule="exact"/>
        <w:ind w:firstLine="640" w:firstLineChars="200"/>
        <w:rPr>
          <w:rFonts w:hint="eastAsia" w:eastAsia="仿宋_GB2312"/>
          <w:sz w:val="32"/>
          <w:szCs w:val="32"/>
          <w:highlight w:val="none"/>
        </w:rPr>
      </w:pPr>
      <w:r>
        <w:rPr>
          <w:rFonts w:hint="eastAsia" w:eastAsia="仿宋_GB2312"/>
          <w:sz w:val="32"/>
          <w:szCs w:val="32"/>
          <w:highlight w:val="none"/>
        </w:rPr>
        <w:t>磁体：应根据产品的不同特性紧紧围绕“通过永磁体产生的特定强度的静磁场，持续作用于人体体表中医特定穴位.以达到辅助治疗或缓解不适目的”展开描述。</w:t>
      </w:r>
    </w:p>
    <w:p w14:paraId="16988E0C">
      <w:pPr>
        <w:overflowPunct w:val="0"/>
        <w:spacing w:line="520" w:lineRule="exact"/>
        <w:ind w:firstLine="640" w:firstLineChars="200"/>
        <w:rPr>
          <w:rFonts w:hint="eastAsia" w:eastAsia="仿宋_GB2312"/>
          <w:sz w:val="32"/>
          <w:szCs w:val="32"/>
          <w:highlight w:val="none"/>
        </w:rPr>
      </w:pPr>
      <w:r>
        <w:rPr>
          <w:rFonts w:hint="eastAsia" w:eastAsia="仿宋_GB2312"/>
          <w:sz w:val="32"/>
          <w:szCs w:val="32"/>
          <w:highlight w:val="none"/>
        </w:rPr>
        <w:t>磁极：当两块磁体的异名极（N极和S极）以相对的方向贴敷在治疗部位两侧时，由于异性相吸，磁力线会穿过手腕组织，在两个磁极之间形成一个连贯、贯通的磁场回路。相比于单块磁片，这种对置法能让磁力线更充分地穿透治疗部位。</w:t>
      </w:r>
    </w:p>
    <w:p w14:paraId="386EC27F">
      <w:pPr>
        <w:overflowPunct w:val="0"/>
        <w:spacing w:line="520" w:lineRule="exact"/>
        <w:ind w:firstLine="640" w:firstLineChars="200"/>
        <w:rPr>
          <w:rFonts w:hint="eastAsia" w:eastAsia="仿宋_GB2312"/>
          <w:sz w:val="32"/>
          <w:szCs w:val="32"/>
          <w:highlight w:val="none"/>
          <w:lang w:val="en-US" w:eastAsia="zh-CN"/>
        </w:rPr>
      </w:pPr>
      <w:r>
        <w:rPr>
          <w:rFonts w:hint="eastAsia" w:eastAsia="仿宋_GB2312"/>
          <w:sz w:val="32"/>
          <w:szCs w:val="32"/>
          <w:highlight w:val="none"/>
        </w:rPr>
        <w:t>作用机理： 穴位磁疗是以经络系统为基础。磁场对机体的作用，不仅在磁场达到的局部病变区产生效果，如止痛、消肿，而且它对经络系统有调整作用。实验针灸学研究认为，经络是一个具有全息通路、多能效应的信息应答系统，是机体调节内环境和适应外环境变化的高度自动化新的平衡调整系统。经络自身可以发出声、光、电、磁、热等物理信号，也能接受和控制各种物理信号刺激，从而产生调节治疗作用。根据临床实践得知，当机体发生病变时，相应经络上的电阻就不平衡。一般情况，机体亢进时电阻值下降，减退时增高，由此可见，调节经络的电阻平衡就可以辅助缓解疾病。</w:t>
      </w:r>
      <w:r>
        <w:rPr>
          <w:rFonts w:hint="eastAsia" w:eastAsia="仿宋_GB2312"/>
          <w:sz w:val="32"/>
          <w:szCs w:val="32"/>
          <w:highlight w:val="none"/>
          <w:lang w:val="en-US" w:eastAsia="zh-CN"/>
        </w:rPr>
        <w:t xml:space="preserve">     </w:t>
      </w:r>
    </w:p>
    <w:p w14:paraId="423DACB9">
      <w:pPr>
        <w:overflowPunct w:val="0"/>
        <w:spacing w:line="520" w:lineRule="exact"/>
        <w:ind w:firstLine="640" w:firstLineChars="200"/>
        <w:rPr>
          <w:rFonts w:hint="eastAsia" w:eastAsia="仿宋_GB2312"/>
          <w:sz w:val="32"/>
          <w:szCs w:val="32"/>
          <w:highlight w:val="none"/>
        </w:rPr>
      </w:pPr>
      <w:r>
        <w:rPr>
          <w:rFonts w:hint="eastAsia" w:eastAsia="仿宋_GB2312"/>
          <w:sz w:val="32"/>
          <w:szCs w:val="32"/>
          <w:highlight w:val="none"/>
        </w:rPr>
        <w:t>磁场对生物电的作用</w:t>
      </w:r>
      <w:r>
        <w:rPr>
          <w:rFonts w:hint="eastAsia" w:eastAsia="仿宋_GB2312"/>
          <w:sz w:val="32"/>
          <w:szCs w:val="32"/>
          <w:highlight w:val="none"/>
          <w:lang w:eastAsia="zh-CN"/>
        </w:rPr>
        <w:t>，</w:t>
      </w:r>
      <w:r>
        <w:rPr>
          <w:rFonts w:hint="eastAsia" w:eastAsia="仿宋_GB2312"/>
          <w:sz w:val="32"/>
          <w:szCs w:val="32"/>
          <w:highlight w:val="none"/>
        </w:rPr>
        <w:t>人体内有各种生物电流，如心电、脑电、肌电和神经动作电位等，生物电是生理活动的重要组成部分，在磁场作用下，生物电流将受到磁场力的作用，即磁场将对生物电流的分布，电荷运动形式和能量状态发生作用，使有关组织器官的功能发生相应变化。此外，生物体在氧化还原反应过程中，发生电子的传递，磁场可能对电子传递过程产生作用，而影响生化反应过程。</w:t>
      </w:r>
    </w:p>
    <w:p w14:paraId="0FF386C1">
      <w:pPr>
        <w:overflowPunct w:val="0"/>
        <w:spacing w:line="520" w:lineRule="exact"/>
        <w:ind w:firstLine="640" w:firstLineChars="200"/>
        <w:rPr>
          <w:rFonts w:hint="eastAsia" w:eastAsia="仿宋_GB2312"/>
          <w:sz w:val="32"/>
          <w:szCs w:val="32"/>
          <w:highlight w:val="none"/>
        </w:rPr>
      </w:pPr>
      <w:r>
        <w:rPr>
          <w:rFonts w:hint="eastAsia" w:eastAsia="仿宋_GB2312"/>
          <w:sz w:val="32"/>
          <w:szCs w:val="32"/>
          <w:highlight w:val="none"/>
          <w:lang w:eastAsia="zh-CN"/>
        </w:rPr>
        <w:t>酶</w:t>
      </w:r>
      <w:r>
        <w:rPr>
          <w:rFonts w:hint="eastAsia" w:eastAsia="仿宋_GB2312"/>
          <w:sz w:val="32"/>
          <w:szCs w:val="32"/>
          <w:highlight w:val="none"/>
        </w:rPr>
        <w:t>在细胞内生成，其化学本质属于蛋白质的生物催化剂，有些酶类的催化活性，除了蛋白质部分外，还需要金属离子，即金属离子是酶活性的组成部分。有些酶的分子虽不含有金属，但需要</w:t>
      </w:r>
      <w:r>
        <w:rPr>
          <w:rFonts w:hint="eastAsia" w:eastAsia="仿宋_GB2312"/>
          <w:sz w:val="32"/>
          <w:szCs w:val="32"/>
          <w:highlight w:val="none"/>
          <w:lang w:eastAsia="zh-CN"/>
        </w:rPr>
        <w:t>金属离子激活，</w:t>
      </w:r>
      <w:r>
        <w:rPr>
          <w:rFonts w:hint="eastAsia" w:eastAsia="仿宋_GB2312"/>
          <w:sz w:val="32"/>
          <w:szCs w:val="32"/>
          <w:highlight w:val="none"/>
        </w:rPr>
        <w:t>磁场可能通过金属离子和非金属离子的作用影响酶的活性，对人体产生作用。</w:t>
      </w:r>
    </w:p>
    <w:p w14:paraId="4BAB4C39">
      <w:pPr>
        <w:overflowPunct w:val="0"/>
        <w:spacing w:line="520" w:lineRule="exact"/>
        <w:ind w:firstLine="640" w:firstLineChars="200"/>
        <w:rPr>
          <w:rFonts w:eastAsia="仿宋_GB2312"/>
          <w:sz w:val="32"/>
          <w:szCs w:val="32"/>
        </w:rPr>
      </w:pPr>
      <w:r>
        <w:rPr>
          <w:rFonts w:hint="eastAsia" w:eastAsia="仿宋_GB2312"/>
          <w:sz w:val="32"/>
          <w:szCs w:val="32"/>
        </w:rPr>
        <w:t>以上描述来源于参考</w:t>
      </w:r>
      <w:r>
        <w:rPr>
          <w:rFonts w:hint="eastAsia" w:eastAsia="仿宋_GB2312"/>
          <w:sz w:val="32"/>
          <w:szCs w:val="32"/>
          <w:lang w:eastAsia="zh-CN"/>
        </w:rPr>
        <w:t>书籍和</w:t>
      </w:r>
      <w:r>
        <w:rPr>
          <w:rFonts w:hint="eastAsia" w:eastAsia="仿宋_GB2312"/>
          <w:sz w:val="32"/>
          <w:szCs w:val="32"/>
        </w:rPr>
        <w:t>参考文献，未列举完全，仅供参考。原理描述不得夸大，不得使用“治愈癌症”、“再生组织”等无证据支持的表述。</w:t>
      </w:r>
    </w:p>
    <w:p w14:paraId="5259EBB7">
      <w:pPr>
        <w:overflowPunct w:val="0"/>
        <w:spacing w:line="520" w:lineRule="exact"/>
        <w:ind w:left="567"/>
        <w:rPr>
          <w:rFonts w:eastAsia="仿宋_GB2312"/>
          <w:sz w:val="28"/>
          <w:szCs w:val="28"/>
        </w:rPr>
      </w:pPr>
      <w:r>
        <w:rPr>
          <w:rFonts w:hint="eastAsia" w:eastAsia="仿宋_GB2312"/>
          <w:sz w:val="32"/>
          <w:szCs w:val="32"/>
        </w:rPr>
        <w:t>1.2</w:t>
      </w:r>
      <w:r>
        <w:rPr>
          <w:rFonts w:eastAsia="仿宋_GB2312"/>
          <w:sz w:val="32"/>
          <w:szCs w:val="32"/>
        </w:rPr>
        <w:t>结构组成</w:t>
      </w:r>
    </w:p>
    <w:p w14:paraId="67C9E032">
      <w:pPr>
        <w:spacing w:line="520" w:lineRule="exact"/>
        <w:ind w:firstLine="640" w:firstLineChars="200"/>
        <w:rPr>
          <w:rFonts w:eastAsia="仿宋_GB2312" w:cs="仿宋_GB2312"/>
          <w:sz w:val="32"/>
          <w:szCs w:val="32"/>
        </w:rPr>
      </w:pPr>
      <w:r>
        <w:rPr>
          <w:rFonts w:hint="eastAsia" w:eastAsia="仿宋_GB2312" w:cs="仿宋_GB2312"/>
          <w:sz w:val="32"/>
          <w:szCs w:val="32"/>
        </w:rPr>
        <w:t>静磁场治疗器具通常由核心部件（永磁体或磁性物质）和固定装置（如无纺布、医用胶带、绑带等）、外壳组成。此部分应详细描述核心部件和附属部件，应明确磁体（磁极）的具体材料、数量。</w:t>
      </w:r>
      <w:r>
        <w:rPr>
          <w:rFonts w:hint="eastAsia" w:eastAsia="仿宋_GB2312"/>
          <w:snapToGrid w:val="0"/>
          <w:kern w:val="0"/>
          <w:sz w:val="32"/>
          <w:szCs w:val="32"/>
        </w:rPr>
        <w:t>磁极分为固定磁极和活动磁极，固定磁极被永久固定在特定位置，不可移动。活动磁极位置可进行调节。</w:t>
      </w:r>
    </w:p>
    <w:p w14:paraId="542D6174">
      <w:pPr>
        <w:spacing w:line="520" w:lineRule="exact"/>
        <w:ind w:firstLine="640" w:firstLineChars="200"/>
        <w:rPr>
          <w:rFonts w:eastAsia="仿宋_GB2312" w:cs="仿宋_GB2312"/>
          <w:sz w:val="32"/>
          <w:szCs w:val="32"/>
        </w:rPr>
      </w:pPr>
      <w:r>
        <w:rPr>
          <w:rFonts w:hint="eastAsia" w:eastAsia="仿宋_GB2312" w:cs="仿宋_GB2312"/>
          <w:sz w:val="32"/>
          <w:szCs w:val="32"/>
        </w:rPr>
        <w:t>1.3型号规格</w:t>
      </w:r>
    </w:p>
    <w:p w14:paraId="2B7EECD9">
      <w:pPr>
        <w:tabs>
          <w:tab w:val="left" w:pos="312"/>
        </w:tabs>
        <w:spacing w:line="520" w:lineRule="exact"/>
        <w:ind w:firstLine="640" w:firstLineChars="200"/>
        <w:outlineLvl w:val="2"/>
        <w:rPr>
          <w:rFonts w:eastAsia="仿宋_GB2312" w:cs="仿宋_GB2312"/>
          <w:sz w:val="32"/>
          <w:szCs w:val="32"/>
        </w:rPr>
      </w:pPr>
      <w:r>
        <w:rPr>
          <w:rFonts w:hint="eastAsia" w:eastAsia="仿宋_GB2312" w:cs="仿宋_GB2312"/>
          <w:sz w:val="32"/>
          <w:szCs w:val="32"/>
        </w:rPr>
        <w:t>应明确申报产品的型号规格。型号应将具体形状描述出来，规格应能够对应于该产品实际运用的情况，型号规格应能够与适用范围相适应。建议以表格形式呈现。</w:t>
      </w:r>
    </w:p>
    <w:p w14:paraId="49D25552">
      <w:pPr>
        <w:tabs>
          <w:tab w:val="left" w:pos="312"/>
        </w:tabs>
        <w:spacing w:line="520" w:lineRule="exact"/>
        <w:ind w:firstLine="640" w:firstLineChars="200"/>
        <w:outlineLvl w:val="2"/>
        <w:rPr>
          <w:rFonts w:eastAsia="仿宋_GB2312" w:cs="仿宋_GB2312"/>
          <w:sz w:val="32"/>
          <w:szCs w:val="32"/>
        </w:rPr>
      </w:pPr>
      <w:r>
        <w:rPr>
          <w:rFonts w:hint="eastAsia" w:eastAsia="仿宋_GB2312" w:cs="仿宋_GB2312"/>
          <w:sz w:val="32"/>
          <w:szCs w:val="32"/>
        </w:rPr>
        <w:t>1.4包装说明</w:t>
      </w:r>
    </w:p>
    <w:p w14:paraId="08C4929C">
      <w:pPr>
        <w:tabs>
          <w:tab w:val="left" w:pos="312"/>
        </w:tabs>
        <w:spacing w:line="520" w:lineRule="exact"/>
        <w:ind w:firstLine="640" w:firstLineChars="200"/>
        <w:outlineLvl w:val="2"/>
        <w:rPr>
          <w:rFonts w:eastAsia="仿宋_GB2312" w:cs="仿宋_GB2312"/>
          <w:sz w:val="32"/>
          <w:szCs w:val="32"/>
        </w:rPr>
      </w:pPr>
      <w:r>
        <w:rPr>
          <w:rFonts w:hint="eastAsia" w:eastAsia="仿宋_GB2312" w:cs="仿宋_GB2312"/>
          <w:sz w:val="32"/>
          <w:szCs w:val="32"/>
        </w:rPr>
        <w:t>说明所有产品组成的包装信息、包装防护系统的信息和如何确保最终使用者可清晰地辨识包装的完整性。明确最小销售单元内包含的产品数量及其中每一独立产品或配件的包装形式。必要时，可提供图示及照片进行说明。</w:t>
      </w:r>
    </w:p>
    <w:p w14:paraId="56229413">
      <w:pPr>
        <w:tabs>
          <w:tab w:val="left" w:pos="312"/>
        </w:tabs>
        <w:spacing w:line="520" w:lineRule="exact"/>
        <w:ind w:firstLine="640" w:firstLineChars="200"/>
        <w:outlineLvl w:val="2"/>
        <w:rPr>
          <w:rFonts w:eastAsia="仿宋_GB2312" w:cs="仿宋_GB2312"/>
          <w:bCs/>
          <w:sz w:val="32"/>
          <w:szCs w:val="32"/>
        </w:rPr>
      </w:pPr>
      <w:r>
        <w:rPr>
          <w:rFonts w:hint="eastAsia" w:eastAsia="仿宋_GB2312" w:cs="仿宋_GB2312"/>
          <w:bCs/>
          <w:sz w:val="32"/>
          <w:szCs w:val="32"/>
        </w:rPr>
        <w:t>1.5研发历程</w:t>
      </w:r>
    </w:p>
    <w:p w14:paraId="44E8DBA3">
      <w:pPr>
        <w:tabs>
          <w:tab w:val="left" w:pos="540"/>
        </w:tabs>
        <w:spacing w:line="520" w:lineRule="exact"/>
        <w:ind w:firstLine="640" w:firstLineChars="200"/>
        <w:outlineLvl w:val="2"/>
        <w:rPr>
          <w:rFonts w:eastAsia="仿宋_GB2312" w:cs="仿宋_GB2312"/>
          <w:sz w:val="32"/>
          <w:szCs w:val="32"/>
        </w:rPr>
      </w:pPr>
      <w:r>
        <w:rPr>
          <w:rFonts w:hint="eastAsia" w:eastAsia="仿宋_GB2312" w:cs="仿宋_GB2312"/>
          <w:sz w:val="32"/>
          <w:szCs w:val="32"/>
        </w:rPr>
        <w:t>阐述申请注册产品的研发背景和目的。如有参考的同类产品或前代产品，应当提供同类产品或前代产品的信息，并说明选择其作为研发参考的原因。</w:t>
      </w:r>
    </w:p>
    <w:p w14:paraId="38B3349B">
      <w:pPr>
        <w:tabs>
          <w:tab w:val="left" w:pos="540"/>
        </w:tabs>
        <w:spacing w:line="520" w:lineRule="exact"/>
        <w:ind w:firstLine="640" w:firstLineChars="200"/>
        <w:outlineLvl w:val="2"/>
        <w:rPr>
          <w:rFonts w:eastAsia="仿宋_GB2312" w:cs="仿宋_GB2312"/>
          <w:sz w:val="32"/>
          <w:szCs w:val="32"/>
        </w:rPr>
      </w:pPr>
      <w:r>
        <w:rPr>
          <w:rFonts w:hint="eastAsia" w:eastAsia="仿宋_GB2312" w:cs="仿宋_GB2312"/>
          <w:bCs/>
          <w:sz w:val="32"/>
          <w:szCs w:val="32"/>
        </w:rPr>
        <w:t>1.6与同类和/或前代产品比较</w:t>
      </w:r>
    </w:p>
    <w:p w14:paraId="04E76F03">
      <w:pPr>
        <w:tabs>
          <w:tab w:val="left" w:pos="540"/>
        </w:tabs>
        <w:spacing w:line="520" w:lineRule="exact"/>
        <w:ind w:firstLine="640" w:firstLineChars="200"/>
        <w:outlineLvl w:val="2"/>
        <w:rPr>
          <w:rFonts w:eastAsia="仿宋_GB2312"/>
          <w:bCs/>
          <w:sz w:val="32"/>
          <w:szCs w:val="32"/>
        </w:rPr>
      </w:pPr>
      <w:r>
        <w:rPr>
          <w:rFonts w:hint="eastAsia" w:eastAsia="仿宋_GB2312"/>
          <w:bCs/>
          <w:sz w:val="32"/>
          <w:szCs w:val="32"/>
        </w:rPr>
        <w:t>列表比较说明申报产品与同类产品和/或前代产品在工作原理、结构组成、制造材料、性能指标、作用方式，以及适用范围等方面的异同。</w:t>
      </w:r>
    </w:p>
    <w:p w14:paraId="59E08350">
      <w:pPr>
        <w:numPr>
          <w:ilvl w:val="0"/>
          <w:numId w:val="1"/>
        </w:numPr>
        <w:overflowPunct w:val="0"/>
        <w:spacing w:line="520" w:lineRule="exact"/>
        <w:rPr>
          <w:rFonts w:eastAsia="仿宋_GB2312"/>
          <w:sz w:val="32"/>
          <w:szCs w:val="32"/>
        </w:rPr>
      </w:pPr>
      <w:r>
        <w:rPr>
          <w:rFonts w:hint="eastAsia" w:eastAsia="仿宋_GB2312"/>
          <w:sz w:val="32"/>
          <w:szCs w:val="32"/>
        </w:rPr>
        <w:t>适用范围/预期用途</w:t>
      </w:r>
    </w:p>
    <w:p w14:paraId="1C3E3B96">
      <w:pPr>
        <w:pStyle w:val="10"/>
        <w:overflowPunct w:val="0"/>
        <w:autoSpaceDE w:val="0"/>
        <w:autoSpaceDN w:val="0"/>
        <w:spacing w:line="520" w:lineRule="exact"/>
        <w:ind w:right="210" w:firstLine="640"/>
        <w:outlineLvl w:val="3"/>
        <w:rPr>
          <w:rFonts w:ascii="Times New Roman" w:hAnsi="Times New Roman" w:eastAsia="仿宋_GB2312"/>
          <w:snapToGrid w:val="0"/>
          <w:kern w:val="0"/>
          <w:sz w:val="32"/>
          <w:szCs w:val="32"/>
        </w:rPr>
      </w:pPr>
      <w:r>
        <w:rPr>
          <w:rFonts w:hint="eastAsia" w:ascii="Times New Roman" w:hAnsi="Times New Roman" w:eastAsia="仿宋_GB2312"/>
          <w:snapToGrid w:val="0"/>
          <w:kern w:val="0"/>
          <w:sz w:val="32"/>
          <w:szCs w:val="32"/>
        </w:rPr>
        <w:t>2.1</w:t>
      </w:r>
      <w:r>
        <w:rPr>
          <w:rFonts w:ascii="Times New Roman" w:hAnsi="Times New Roman" w:eastAsia="仿宋_GB2312"/>
          <w:snapToGrid w:val="0"/>
          <w:kern w:val="0"/>
          <w:sz w:val="32"/>
          <w:szCs w:val="32"/>
        </w:rPr>
        <w:t>适用范围</w:t>
      </w:r>
    </w:p>
    <w:p w14:paraId="241E1D15">
      <w:pPr>
        <w:tabs>
          <w:tab w:val="left" w:pos="540"/>
        </w:tabs>
        <w:spacing w:line="520" w:lineRule="exact"/>
        <w:ind w:firstLine="640" w:firstLineChars="200"/>
        <w:outlineLvl w:val="2"/>
        <w:rPr>
          <w:rFonts w:eastAsia="仿宋"/>
          <w:snapToGrid w:val="0"/>
          <w:kern w:val="0"/>
          <w:sz w:val="32"/>
          <w:szCs w:val="32"/>
        </w:rPr>
      </w:pPr>
      <w:r>
        <w:rPr>
          <w:rFonts w:hint="eastAsia" w:ascii="仿宋" w:hAnsi="仿宋" w:eastAsia="仿宋" w:cs="仿宋"/>
          <w:sz w:val="32"/>
          <w:szCs w:val="32"/>
        </w:rPr>
        <w:t>适用范围：适用范围应仅作用于“穴位”，而不体现穴位的具体名称、作用部位。产品适用范围应符合《医疗器械分类目录》（2017年第104号）中的描述：用于对穴位进行磁疗。最终适用范围根据经过确认的临床评价结果确定，一般包括临床适应证或治疗部位和治疗作用。仅描述“缓解”“辅助”作用。</w:t>
      </w:r>
    </w:p>
    <w:p w14:paraId="74E68CB2">
      <w:pPr>
        <w:pStyle w:val="10"/>
        <w:overflowPunct w:val="0"/>
        <w:autoSpaceDE w:val="0"/>
        <w:autoSpaceDN w:val="0"/>
        <w:spacing w:line="520" w:lineRule="exact"/>
        <w:ind w:right="210" w:firstLine="640"/>
        <w:outlineLvl w:val="3"/>
        <w:rPr>
          <w:rFonts w:ascii="Times New Roman" w:hAnsi="Times New Roman" w:eastAsia="仿宋_GB2312"/>
          <w:snapToGrid w:val="0"/>
          <w:kern w:val="0"/>
          <w:sz w:val="32"/>
          <w:szCs w:val="32"/>
        </w:rPr>
      </w:pPr>
      <w:r>
        <w:rPr>
          <w:rFonts w:hint="eastAsia" w:ascii="Times New Roman" w:hAnsi="Times New Roman" w:eastAsia="仿宋_GB2312"/>
          <w:snapToGrid w:val="0"/>
          <w:kern w:val="0"/>
          <w:sz w:val="32"/>
          <w:szCs w:val="32"/>
        </w:rPr>
        <w:t>2.2</w:t>
      </w:r>
      <w:r>
        <w:rPr>
          <w:rFonts w:ascii="Times New Roman" w:hAnsi="Times New Roman" w:eastAsia="仿宋_GB2312"/>
          <w:snapToGrid w:val="0"/>
          <w:kern w:val="0"/>
          <w:sz w:val="32"/>
          <w:szCs w:val="32"/>
        </w:rPr>
        <w:t>预期使用环境</w:t>
      </w:r>
    </w:p>
    <w:p w14:paraId="172230FD">
      <w:pPr>
        <w:pStyle w:val="10"/>
        <w:overflowPunct w:val="0"/>
        <w:autoSpaceDE w:val="0"/>
        <w:autoSpaceDN w:val="0"/>
        <w:spacing w:line="520" w:lineRule="exact"/>
        <w:ind w:right="210" w:firstLine="640"/>
        <w:outlineLvl w:val="3"/>
        <w:rPr>
          <w:rFonts w:ascii="Times New Roman" w:hAnsi="Times New Roman" w:eastAsia="仿宋_GB2312"/>
          <w:snapToGrid w:val="0"/>
          <w:kern w:val="0"/>
          <w:sz w:val="32"/>
          <w:szCs w:val="32"/>
        </w:rPr>
      </w:pPr>
      <w:r>
        <w:rPr>
          <w:rFonts w:hint="eastAsia" w:ascii="Times New Roman" w:hAnsi="Times New Roman" w:eastAsia="仿宋_GB2312"/>
          <w:snapToGrid w:val="0"/>
          <w:kern w:val="0"/>
          <w:sz w:val="32"/>
          <w:szCs w:val="32"/>
        </w:rPr>
        <w:t xml:space="preserve"> 应明确预期使用环境，如医疗机构或家庭环境。</w:t>
      </w:r>
    </w:p>
    <w:p w14:paraId="2A324CE8">
      <w:pPr>
        <w:spacing w:line="520" w:lineRule="exact"/>
        <w:ind w:firstLine="645"/>
        <w:rPr>
          <w:rFonts w:eastAsia="仿宋_GB2312"/>
          <w:snapToGrid w:val="0"/>
          <w:kern w:val="0"/>
          <w:sz w:val="32"/>
          <w:szCs w:val="32"/>
        </w:rPr>
      </w:pPr>
      <w:r>
        <w:rPr>
          <w:rFonts w:eastAsia="仿宋_GB2312"/>
          <w:snapToGrid w:val="0"/>
          <w:kern w:val="0"/>
          <w:sz w:val="32"/>
          <w:szCs w:val="32"/>
        </w:rPr>
        <w:t>2.3适用人群</w:t>
      </w:r>
    </w:p>
    <w:p w14:paraId="1AC9A4A3">
      <w:pPr>
        <w:tabs>
          <w:tab w:val="left" w:pos="540"/>
        </w:tabs>
        <w:spacing w:line="520" w:lineRule="exact"/>
        <w:ind w:firstLine="640" w:firstLineChars="200"/>
        <w:rPr>
          <w:rFonts w:eastAsia="仿宋_GB2312"/>
          <w:snapToGrid w:val="0"/>
          <w:kern w:val="0"/>
          <w:sz w:val="32"/>
          <w:szCs w:val="32"/>
        </w:rPr>
      </w:pPr>
      <w:r>
        <w:rPr>
          <w:rFonts w:hint="eastAsia" w:ascii="仿宋" w:hAnsi="仿宋" w:eastAsia="仿宋" w:cs="仿宋"/>
          <w:sz w:val="32"/>
          <w:szCs w:val="32"/>
        </w:rPr>
        <w:t>明确目标患者人群的信息。</w:t>
      </w:r>
    </w:p>
    <w:p w14:paraId="7FB6C7EE">
      <w:pPr>
        <w:spacing w:line="520" w:lineRule="exact"/>
        <w:ind w:firstLine="645"/>
        <w:rPr>
          <w:rFonts w:eastAsia="仿宋_GB2312"/>
          <w:snapToGrid w:val="0"/>
          <w:kern w:val="0"/>
          <w:sz w:val="32"/>
          <w:szCs w:val="32"/>
        </w:rPr>
      </w:pPr>
      <w:r>
        <w:rPr>
          <w:rFonts w:eastAsia="仿宋_GB2312"/>
          <w:snapToGrid w:val="0"/>
          <w:kern w:val="0"/>
          <w:sz w:val="32"/>
          <w:szCs w:val="32"/>
        </w:rPr>
        <w:t>2.4禁忌</w:t>
      </w:r>
      <w:r>
        <w:rPr>
          <w:rFonts w:hint="eastAsia" w:eastAsia="仿宋_GB2312"/>
          <w:snapToGrid w:val="0"/>
          <w:kern w:val="0"/>
          <w:sz w:val="32"/>
          <w:szCs w:val="32"/>
        </w:rPr>
        <w:t>证</w:t>
      </w:r>
    </w:p>
    <w:p w14:paraId="27DD6DCB">
      <w:pPr>
        <w:tabs>
          <w:tab w:val="left" w:pos="540"/>
        </w:tabs>
        <w:spacing w:line="520" w:lineRule="exact"/>
        <w:ind w:firstLine="640" w:firstLineChars="200"/>
        <w:rPr>
          <w:rFonts w:eastAsia="仿宋_GB2312"/>
          <w:sz w:val="32"/>
          <w:szCs w:val="32"/>
        </w:rPr>
      </w:pPr>
      <w:r>
        <w:rPr>
          <w:rFonts w:hint="eastAsia" w:ascii="仿宋" w:hAnsi="仿宋" w:eastAsia="仿宋" w:cs="仿宋"/>
          <w:sz w:val="32"/>
          <w:szCs w:val="32"/>
        </w:rPr>
        <w:t>应当明确说明该器械不适宜应用的特定人群或特定情况等信息。如对磁疗有明显不良反应者；孕妇禁用或慎用相关穴位；局部皮肤有破损、炎症的穴位禁用等。体内有金属植入物的患者、恶性肿瘤患者、有开放性伤口的患者、血管性栓塞者，以及白细胞低下者慎用。</w:t>
      </w:r>
    </w:p>
    <w:p w14:paraId="02314C5F">
      <w:pPr>
        <w:numPr>
          <w:ilvl w:val="0"/>
          <w:numId w:val="1"/>
        </w:numPr>
        <w:overflowPunct w:val="0"/>
        <w:spacing w:line="520" w:lineRule="exact"/>
        <w:rPr>
          <w:rFonts w:eastAsia="仿宋_GB2312"/>
          <w:sz w:val="32"/>
          <w:szCs w:val="32"/>
        </w:rPr>
      </w:pPr>
      <w:r>
        <w:rPr>
          <w:rFonts w:hint="eastAsia" w:eastAsia="仿宋_GB2312"/>
          <w:sz w:val="32"/>
          <w:szCs w:val="32"/>
        </w:rPr>
        <w:t>申报产品上市历史</w:t>
      </w:r>
    </w:p>
    <w:p w14:paraId="16AA8E32">
      <w:pPr>
        <w:overflowPunct w:val="0"/>
        <w:spacing w:line="520" w:lineRule="exact"/>
        <w:ind w:left="567"/>
        <w:rPr>
          <w:rFonts w:eastAsia="仿宋_GB2312"/>
          <w:sz w:val="32"/>
          <w:szCs w:val="32"/>
        </w:rPr>
      </w:pPr>
      <w:r>
        <w:rPr>
          <w:rFonts w:hint="eastAsia" w:eastAsia="仿宋_GB2312"/>
          <w:sz w:val="32"/>
          <w:szCs w:val="32"/>
        </w:rPr>
        <w:t>如适用，应当提交申报产品的下列资料：</w:t>
      </w:r>
    </w:p>
    <w:p w14:paraId="5EBD847E">
      <w:pPr>
        <w:spacing w:line="520" w:lineRule="exact"/>
        <w:ind w:firstLine="645"/>
        <w:rPr>
          <w:rFonts w:eastAsia="仿宋_GB2312"/>
          <w:snapToGrid w:val="0"/>
          <w:kern w:val="0"/>
          <w:sz w:val="32"/>
          <w:szCs w:val="32"/>
        </w:rPr>
      </w:pPr>
      <w:r>
        <w:rPr>
          <w:rFonts w:hint="eastAsia" w:eastAsia="仿宋_GB2312"/>
          <w:snapToGrid w:val="0"/>
          <w:kern w:val="0"/>
          <w:sz w:val="32"/>
          <w:szCs w:val="32"/>
        </w:rPr>
        <w:t>3.1上市情况</w:t>
      </w:r>
    </w:p>
    <w:p w14:paraId="75B6C024">
      <w:pPr>
        <w:spacing w:line="520" w:lineRule="exact"/>
        <w:ind w:firstLine="645"/>
        <w:rPr>
          <w:rFonts w:eastAsia="仿宋_GB2312"/>
          <w:snapToGrid w:val="0"/>
          <w:kern w:val="0"/>
          <w:sz w:val="32"/>
          <w:szCs w:val="32"/>
        </w:rPr>
      </w:pPr>
      <w:r>
        <w:rPr>
          <w:rFonts w:hint="eastAsia" w:eastAsia="仿宋_GB2312"/>
          <w:snapToGrid w:val="0"/>
          <w:kern w:val="0"/>
          <w:sz w:val="32"/>
          <w:szCs w:val="32"/>
        </w:rPr>
        <w:t>截至提交注册申请前，申报产品在各国家或地区的上市批准时间、销售情况（近5年在各国家销售数量总结，不良事件、召回比例）。若申报产品在不同国家或地区上市时有差异（如设计、标签、技术参数等），应当逐一描述。</w:t>
      </w:r>
    </w:p>
    <w:p w14:paraId="59686EB0">
      <w:pPr>
        <w:overflowPunct w:val="0"/>
        <w:spacing w:line="520" w:lineRule="exact"/>
        <w:ind w:firstLine="640" w:firstLineChars="200"/>
        <w:rPr>
          <w:rFonts w:eastAsia="仿宋_GB2312"/>
          <w:sz w:val="32"/>
          <w:szCs w:val="32"/>
        </w:rPr>
      </w:pPr>
      <w:r>
        <w:rPr>
          <w:rFonts w:eastAsia="仿宋_GB2312"/>
          <w:sz w:val="32"/>
          <w:szCs w:val="32"/>
        </w:rPr>
        <w:t>3.2不良事件和召回</w:t>
      </w:r>
    </w:p>
    <w:p w14:paraId="38BB518C">
      <w:pPr>
        <w:overflowPunct w:val="0"/>
        <w:spacing w:line="520" w:lineRule="exact"/>
        <w:ind w:firstLine="640" w:firstLineChars="200"/>
        <w:rPr>
          <w:rFonts w:eastAsia="仿宋_GB2312"/>
          <w:sz w:val="32"/>
          <w:szCs w:val="32"/>
        </w:rPr>
      </w:pPr>
      <w:r>
        <w:rPr>
          <w:rFonts w:hint="eastAsia" w:eastAsia="仿宋_GB2312"/>
          <w:sz w:val="32"/>
          <w:szCs w:val="32"/>
        </w:rPr>
        <w:t>常见不良事件：</w:t>
      </w:r>
    </w:p>
    <w:p w14:paraId="08F300BD">
      <w:pPr>
        <w:overflowPunct w:val="0"/>
        <w:spacing w:line="520" w:lineRule="exact"/>
        <w:ind w:firstLine="640" w:firstLineChars="200"/>
        <w:rPr>
          <w:rFonts w:eastAsia="仿宋_GB2312"/>
          <w:sz w:val="32"/>
          <w:szCs w:val="32"/>
        </w:rPr>
      </w:pPr>
      <w:r>
        <w:rPr>
          <w:rFonts w:hint="eastAsia" w:eastAsia="仿宋_GB2312"/>
          <w:sz w:val="32"/>
          <w:szCs w:val="32"/>
        </w:rPr>
        <w:t>皮肤过敏：红斑、瘙痒、皮肤破溃、红肿。</w:t>
      </w:r>
    </w:p>
    <w:p w14:paraId="0CA94854">
      <w:pPr>
        <w:overflowPunct w:val="0"/>
        <w:spacing w:line="520" w:lineRule="exact"/>
        <w:ind w:firstLine="640" w:firstLineChars="200"/>
        <w:rPr>
          <w:rFonts w:eastAsia="仿宋_GB2312"/>
          <w:sz w:val="32"/>
          <w:szCs w:val="32"/>
        </w:rPr>
      </w:pPr>
      <w:r>
        <w:rPr>
          <w:rFonts w:hint="eastAsia" w:eastAsia="仿宋_GB2312"/>
          <w:sz w:val="32"/>
          <w:szCs w:val="32"/>
        </w:rPr>
        <w:t>磁片脱落：导致儿童误吞。</w:t>
      </w:r>
    </w:p>
    <w:p w14:paraId="2E669A3C">
      <w:pPr>
        <w:overflowPunct w:val="0"/>
        <w:spacing w:line="520" w:lineRule="exact"/>
        <w:ind w:firstLine="640" w:firstLineChars="200"/>
        <w:rPr>
          <w:rFonts w:eastAsia="仿宋_GB2312"/>
          <w:sz w:val="32"/>
          <w:szCs w:val="32"/>
        </w:rPr>
      </w:pPr>
      <w:r>
        <w:rPr>
          <w:rFonts w:hint="eastAsia" w:eastAsia="仿宋_GB2312"/>
          <w:sz w:val="32"/>
          <w:szCs w:val="32"/>
        </w:rPr>
        <w:t>磁场干扰：干扰植入式心脏起搏器、胰岛素泵等电子设备。</w:t>
      </w:r>
    </w:p>
    <w:p w14:paraId="21BF920C">
      <w:pPr>
        <w:overflowPunct w:val="0"/>
        <w:spacing w:line="520" w:lineRule="exact"/>
        <w:ind w:firstLine="640" w:firstLineChars="200"/>
        <w:rPr>
          <w:rFonts w:eastAsia="仿宋_GB2312"/>
          <w:sz w:val="32"/>
          <w:szCs w:val="32"/>
        </w:rPr>
      </w:pPr>
      <w:r>
        <w:rPr>
          <w:rFonts w:hint="eastAsia" w:eastAsia="仿宋_GB2312"/>
          <w:sz w:val="32"/>
          <w:szCs w:val="32"/>
        </w:rPr>
        <w:t>局部不适：磁场过强导致的局部刺痛或灼热感。</w:t>
      </w:r>
    </w:p>
    <w:p w14:paraId="4F573F4F">
      <w:pPr>
        <w:overflowPunct w:val="0"/>
        <w:spacing w:line="520" w:lineRule="exact"/>
        <w:ind w:firstLine="640" w:firstLineChars="200"/>
        <w:rPr>
          <w:rFonts w:eastAsia="仿宋_GB2312"/>
          <w:sz w:val="32"/>
          <w:szCs w:val="32"/>
        </w:rPr>
      </w:pPr>
      <w:r>
        <w:rPr>
          <w:rFonts w:hint="eastAsia" w:eastAsia="仿宋_GB2312"/>
          <w:sz w:val="32"/>
          <w:szCs w:val="32"/>
        </w:rPr>
        <w:t>若上市后发现磁感应强度严重超标或磁体封装易脱落，必须立即启动召回，属于设计缺陷。</w:t>
      </w:r>
    </w:p>
    <w:p w14:paraId="07A21E72">
      <w:pPr>
        <w:overflowPunct w:val="0"/>
        <w:spacing w:line="520" w:lineRule="exact"/>
        <w:ind w:firstLine="640" w:firstLineChars="200"/>
        <w:rPr>
          <w:rFonts w:eastAsia="仿宋_GB2312"/>
          <w:sz w:val="32"/>
          <w:szCs w:val="32"/>
        </w:rPr>
      </w:pPr>
      <w:r>
        <w:rPr>
          <w:rFonts w:hint="eastAsia" w:eastAsia="仿宋_GB2312"/>
          <w:sz w:val="32"/>
          <w:szCs w:val="32"/>
        </w:rPr>
        <w:t>如适用，应当以列表形式统计分别对申报产品上市后发生的不良事件时间、类型（如皮肤过敏、磁场干扰其他设备、机械故障等）及发生率、召回的发生时间以及每一种情况下申请人采取的处理措施和解决方案（如改进设计、用户警示），包括主动控制产品风险的措施，向医疗器械不良事件监测技术机构报告的情况，相关部门的调查处理情况等进行描述。</w:t>
      </w:r>
    </w:p>
    <w:p w14:paraId="5ADB37F6">
      <w:pPr>
        <w:overflowPunct w:val="0"/>
        <w:spacing w:line="520" w:lineRule="exact"/>
        <w:ind w:firstLine="640" w:firstLineChars="200"/>
        <w:rPr>
          <w:rFonts w:eastAsia="仿宋_GB2312"/>
          <w:sz w:val="32"/>
          <w:szCs w:val="32"/>
        </w:rPr>
      </w:pPr>
      <w:r>
        <w:rPr>
          <w:rFonts w:hint="eastAsia" w:eastAsia="仿宋_GB2312"/>
          <w:sz w:val="32"/>
          <w:szCs w:val="32"/>
        </w:rPr>
        <w:t>同时，应当对上述不良事件、召回进行分析评价，阐明不良事件、召回发生的原因并对其安全性、有效性的影响予以说明。若不良事件、召回数量大，应当根据事件类型总结每个类型涉及的数量。</w:t>
      </w:r>
    </w:p>
    <w:p w14:paraId="1581579B">
      <w:pPr>
        <w:spacing w:line="520" w:lineRule="exact"/>
        <w:rPr>
          <w:rFonts w:eastAsia="楷体_GB2312"/>
          <w:sz w:val="32"/>
          <w:szCs w:val="32"/>
        </w:rPr>
      </w:pPr>
      <w:r>
        <w:rPr>
          <w:rFonts w:hint="eastAsia" w:eastAsia="楷体_GB2312"/>
          <w:sz w:val="32"/>
          <w:szCs w:val="32"/>
        </w:rPr>
        <w:t>（三）非临床研究资料</w:t>
      </w:r>
    </w:p>
    <w:p w14:paraId="2E39B1E9">
      <w:pPr>
        <w:spacing w:line="520" w:lineRule="exact"/>
        <w:ind w:firstLine="640" w:firstLineChars="200"/>
        <w:rPr>
          <w:rFonts w:eastAsia="仿宋_GB2312"/>
          <w:sz w:val="32"/>
          <w:szCs w:val="32"/>
        </w:rPr>
      </w:pPr>
      <w:r>
        <w:rPr>
          <w:rFonts w:hint="eastAsia" w:eastAsia="仿宋_GB2312"/>
          <w:sz w:val="32"/>
          <w:szCs w:val="32"/>
        </w:rPr>
        <w:t>1.产品的风险管理资料</w:t>
      </w:r>
    </w:p>
    <w:p w14:paraId="0967B6F7">
      <w:pPr>
        <w:spacing w:line="520" w:lineRule="exact"/>
        <w:ind w:firstLine="640" w:firstLineChars="200"/>
        <w:rPr>
          <w:rFonts w:hint="eastAsia" w:ascii="仿宋_GB2312" w:eastAsia="仿宋_GB2312" w:cs="仿宋_GB2312"/>
          <w:sz w:val="32"/>
          <w:szCs w:val="32"/>
          <w:lang w:eastAsia="zh-CN" w:bidi="ar"/>
        </w:rPr>
      </w:pPr>
      <w:r>
        <w:rPr>
          <w:rFonts w:ascii="仿宋_GB2312" w:eastAsia="仿宋_GB2312" w:cs="仿宋_GB2312"/>
          <w:sz w:val="32"/>
          <w:szCs w:val="32"/>
          <w:lang w:bidi="ar"/>
        </w:rPr>
        <w:t>应依据</w:t>
      </w:r>
      <w:r>
        <w:rPr>
          <w:rFonts w:eastAsia="楷体_GB2312"/>
          <w:sz w:val="32"/>
          <w:szCs w:val="32"/>
        </w:rPr>
        <w:t>GB/T 42062</w:t>
      </w:r>
      <w:r>
        <w:rPr>
          <w:rFonts w:ascii="仿宋_GB2312" w:eastAsia="仿宋_GB2312" w:cs="仿宋_GB2312"/>
          <w:sz w:val="32"/>
          <w:szCs w:val="32"/>
          <w:lang w:bidi="ar"/>
        </w:rPr>
        <w:t>《医疗器械 风险管理对医疗器械的应用》提供产品风险管理报告。</w:t>
      </w:r>
      <w:r>
        <w:rPr>
          <w:rFonts w:hint="eastAsia" w:ascii="仿宋_GB2312" w:eastAsia="仿宋_GB2312" w:cs="仿宋_GB2312"/>
          <w:sz w:val="32"/>
          <w:szCs w:val="32"/>
          <w:lang w:bidi="ar"/>
        </w:rPr>
        <w:t>企业在进行风险分析时应符合</w:t>
      </w:r>
      <w:r>
        <w:rPr>
          <w:rFonts w:hint="eastAsia" w:eastAsia="楷体_GB2312"/>
          <w:sz w:val="32"/>
          <w:szCs w:val="32"/>
        </w:rPr>
        <w:t>YY/T 0316—2008</w:t>
      </w:r>
      <w:r>
        <w:rPr>
          <w:rFonts w:hint="eastAsia" w:ascii="仿宋_GB2312" w:eastAsia="仿宋_GB2312" w:cs="仿宋_GB2312"/>
          <w:sz w:val="32"/>
          <w:szCs w:val="32"/>
          <w:lang w:bidi="ar"/>
        </w:rPr>
        <w:t>《医疗器械风险管理对医疗器械的应用》的要求</w:t>
      </w:r>
      <w:r>
        <w:rPr>
          <w:rFonts w:hint="eastAsia" w:ascii="仿宋_GB2312" w:eastAsia="仿宋_GB2312" w:cs="仿宋_GB2312"/>
          <w:sz w:val="32"/>
          <w:szCs w:val="32"/>
          <w:lang w:eastAsia="zh-CN" w:bidi="ar"/>
        </w:rPr>
        <w:t>。</w:t>
      </w:r>
    </w:p>
    <w:p w14:paraId="60EA513A">
      <w:pPr>
        <w:widowControl/>
        <w:ind w:firstLine="266" w:firstLineChars="95"/>
        <w:jc w:val="center"/>
        <w:rPr>
          <w:rFonts w:eastAsia="仿宋_GB2312"/>
          <w:kern w:val="0"/>
          <w:sz w:val="32"/>
          <w:szCs w:val="32"/>
        </w:rPr>
      </w:pPr>
      <w:r>
        <w:rPr>
          <w:rFonts w:eastAsia="黑体"/>
          <w:bCs/>
          <w:kern w:val="0"/>
          <w:sz w:val="28"/>
          <w:szCs w:val="28"/>
        </w:rPr>
        <w:t>表</w:t>
      </w:r>
      <w:r>
        <w:rPr>
          <w:rFonts w:hint="eastAsia" w:eastAsia="黑体"/>
          <w:bCs/>
          <w:kern w:val="0"/>
          <w:sz w:val="28"/>
          <w:szCs w:val="28"/>
        </w:rPr>
        <w:t>1</w:t>
      </w:r>
      <w:r>
        <w:rPr>
          <w:rFonts w:hint="eastAsia" w:eastAsia="黑体"/>
          <w:bCs/>
          <w:kern w:val="0"/>
          <w:sz w:val="28"/>
          <w:szCs w:val="28"/>
          <w:lang w:eastAsia="zh-CN"/>
        </w:rPr>
        <w:t>穴位磁疗器具</w:t>
      </w:r>
      <w:r>
        <w:rPr>
          <w:rFonts w:eastAsia="黑体"/>
          <w:bCs/>
          <w:kern w:val="0"/>
          <w:sz w:val="28"/>
          <w:szCs w:val="28"/>
        </w:rPr>
        <w:t>的主要危害举例</w:t>
      </w:r>
    </w:p>
    <w:p w14:paraId="65C08A61">
      <w:pPr>
        <w:spacing w:line="520" w:lineRule="exact"/>
        <w:ind w:firstLine="640" w:firstLineChars="200"/>
        <w:rPr>
          <w:rFonts w:hint="eastAsia" w:ascii="仿宋_GB2312" w:eastAsia="仿宋_GB2312" w:cs="仿宋_GB2312"/>
          <w:sz w:val="32"/>
          <w:szCs w:val="32"/>
          <w:lang w:eastAsia="zh-CN" w:bidi="ar"/>
        </w:rPr>
      </w:pPr>
    </w:p>
    <w:tbl>
      <w:tblPr>
        <w:tblStyle w:val="5"/>
        <w:tblW w:w="82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9"/>
        <w:gridCol w:w="1483"/>
        <w:gridCol w:w="2963"/>
        <w:gridCol w:w="2770"/>
      </w:tblGrid>
      <w:tr w14:paraId="451D7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62" w:type="dxa"/>
            <w:gridSpan w:val="2"/>
            <w:vAlign w:val="center"/>
          </w:tcPr>
          <w:p w14:paraId="70BE185D">
            <w:pPr>
              <w:spacing w:line="460" w:lineRule="exact"/>
              <w:ind w:right="-67" w:rightChars="-32"/>
              <w:jc w:val="center"/>
              <w:rPr>
                <w:rFonts w:hint="eastAsia" w:ascii="黑体" w:hAnsi="黑体" w:eastAsia="黑体" w:cs="黑体"/>
                <w:bCs/>
                <w:sz w:val="28"/>
                <w:szCs w:val="28"/>
              </w:rPr>
            </w:pPr>
            <w:r>
              <w:rPr>
                <w:rFonts w:hint="eastAsia" w:ascii="黑体" w:hAnsi="黑体" w:eastAsia="黑体" w:cs="黑体"/>
                <w:bCs/>
                <w:sz w:val="28"/>
                <w:szCs w:val="28"/>
              </w:rPr>
              <w:t>危险（源）</w:t>
            </w:r>
          </w:p>
        </w:tc>
        <w:tc>
          <w:tcPr>
            <w:tcW w:w="2963" w:type="dxa"/>
            <w:vAlign w:val="center"/>
          </w:tcPr>
          <w:p w14:paraId="498949D7">
            <w:pPr>
              <w:spacing w:line="460" w:lineRule="exact"/>
              <w:ind w:right="-67" w:rightChars="-32"/>
              <w:jc w:val="center"/>
              <w:rPr>
                <w:rFonts w:hint="eastAsia" w:ascii="黑体" w:hAnsi="黑体" w:eastAsia="黑体" w:cs="黑体"/>
                <w:bCs/>
                <w:sz w:val="28"/>
                <w:szCs w:val="28"/>
              </w:rPr>
            </w:pPr>
            <w:r>
              <w:rPr>
                <w:rFonts w:hint="eastAsia" w:ascii="黑体" w:hAnsi="黑体" w:eastAsia="黑体" w:cs="黑体"/>
                <w:bCs/>
                <w:sz w:val="28"/>
                <w:szCs w:val="28"/>
              </w:rPr>
              <w:t>可预见的事件序列</w:t>
            </w:r>
          </w:p>
        </w:tc>
        <w:tc>
          <w:tcPr>
            <w:tcW w:w="2770" w:type="dxa"/>
            <w:vAlign w:val="center"/>
          </w:tcPr>
          <w:p w14:paraId="649FDB28">
            <w:pPr>
              <w:spacing w:line="460" w:lineRule="exact"/>
              <w:ind w:right="-67" w:rightChars="-32"/>
              <w:jc w:val="center"/>
              <w:rPr>
                <w:rFonts w:hint="eastAsia" w:ascii="黑体" w:hAnsi="黑体" w:eastAsia="黑体" w:cs="黑体"/>
                <w:bCs/>
                <w:sz w:val="28"/>
                <w:szCs w:val="28"/>
              </w:rPr>
            </w:pPr>
            <w:r>
              <w:rPr>
                <w:rFonts w:hint="eastAsia" w:ascii="黑体" w:hAnsi="黑体" w:eastAsia="黑体" w:cs="黑体"/>
                <w:bCs/>
                <w:sz w:val="28"/>
                <w:szCs w:val="28"/>
              </w:rPr>
              <w:t>危险情况</w:t>
            </w:r>
          </w:p>
        </w:tc>
      </w:tr>
      <w:tr w14:paraId="0C0CD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Merge w:val="restart"/>
            <w:vAlign w:val="center"/>
          </w:tcPr>
          <w:p w14:paraId="21BD5470">
            <w:pPr>
              <w:keepNext w:val="0"/>
              <w:keepLines w:val="0"/>
              <w:pageBreakBefore w:val="0"/>
              <w:widowControl w:val="0"/>
              <w:kinsoku/>
              <w:wordWrap/>
              <w:overflowPunct/>
              <w:topLinePunct w:val="0"/>
              <w:autoSpaceDE/>
              <w:autoSpaceDN/>
              <w:bidi w:val="0"/>
              <w:adjustRightInd/>
              <w:snapToGrid/>
              <w:spacing w:line="460" w:lineRule="exact"/>
              <w:ind w:right="-67" w:rightChars="-32"/>
              <w:jc w:val="center"/>
              <w:textAlignment w:val="auto"/>
              <w:rPr>
                <w:rFonts w:eastAsia="仿宋_GB2312"/>
                <w:bCs/>
                <w:sz w:val="28"/>
                <w:szCs w:val="28"/>
                <w:highlight w:val="yellow"/>
              </w:rPr>
            </w:pPr>
            <w:r>
              <w:rPr>
                <w:rFonts w:eastAsia="仿宋_GB2312"/>
                <w:bCs/>
                <w:sz w:val="28"/>
                <w:szCs w:val="28"/>
                <w:highlight w:val="none"/>
              </w:rPr>
              <w:t>生物学和化学危险（源）</w:t>
            </w:r>
          </w:p>
        </w:tc>
        <w:tc>
          <w:tcPr>
            <w:tcW w:w="1483" w:type="dxa"/>
            <w:vAlign w:val="center"/>
          </w:tcPr>
          <w:p w14:paraId="4B016512">
            <w:pPr>
              <w:keepNext w:val="0"/>
              <w:keepLines w:val="0"/>
              <w:pageBreakBefore w:val="0"/>
              <w:widowControl w:val="0"/>
              <w:kinsoku/>
              <w:wordWrap/>
              <w:overflowPunct/>
              <w:topLinePunct w:val="0"/>
              <w:autoSpaceDE/>
              <w:autoSpaceDN/>
              <w:bidi w:val="0"/>
              <w:adjustRightInd/>
              <w:snapToGrid/>
              <w:spacing w:line="460" w:lineRule="exact"/>
              <w:ind w:right="-67" w:rightChars="-32"/>
              <w:textAlignment w:val="auto"/>
              <w:rPr>
                <w:rFonts w:eastAsia="仿宋_GB2312"/>
                <w:bCs/>
                <w:sz w:val="28"/>
                <w:szCs w:val="28"/>
                <w:highlight w:val="none"/>
              </w:rPr>
            </w:pPr>
            <w:r>
              <w:rPr>
                <w:rFonts w:eastAsia="仿宋_GB2312"/>
                <w:bCs/>
                <w:sz w:val="28"/>
                <w:szCs w:val="28"/>
                <w:highlight w:val="none"/>
              </w:rPr>
              <w:t>环境污染</w:t>
            </w:r>
          </w:p>
        </w:tc>
        <w:tc>
          <w:tcPr>
            <w:tcW w:w="2963" w:type="dxa"/>
            <w:vAlign w:val="center"/>
          </w:tcPr>
          <w:p w14:paraId="4E2D7D7A">
            <w:pPr>
              <w:keepNext w:val="0"/>
              <w:keepLines w:val="0"/>
              <w:pageBreakBefore w:val="0"/>
              <w:widowControl w:val="0"/>
              <w:kinsoku/>
              <w:wordWrap/>
              <w:overflowPunct/>
              <w:topLinePunct w:val="0"/>
              <w:autoSpaceDE/>
              <w:autoSpaceDN/>
              <w:bidi w:val="0"/>
              <w:adjustRightInd/>
              <w:snapToGrid/>
              <w:spacing w:line="460" w:lineRule="exact"/>
              <w:ind w:right="-67" w:rightChars="-32"/>
              <w:textAlignment w:val="auto"/>
              <w:rPr>
                <w:rFonts w:eastAsia="仿宋_GB2312"/>
                <w:bCs/>
                <w:sz w:val="28"/>
                <w:szCs w:val="28"/>
                <w:highlight w:val="none"/>
              </w:rPr>
            </w:pPr>
            <w:r>
              <w:rPr>
                <w:rFonts w:eastAsia="仿宋_GB2312"/>
                <w:bCs/>
                <w:sz w:val="28"/>
                <w:szCs w:val="28"/>
                <w:highlight w:val="none"/>
                <w:lang w:val="en-US" w:eastAsia="zh-CN"/>
              </w:rPr>
              <w:t>生产环境控制不当</w:t>
            </w:r>
            <w:r>
              <w:rPr>
                <w:rFonts w:hint="eastAsia" w:eastAsia="仿宋_GB2312"/>
                <w:bCs/>
                <w:sz w:val="28"/>
                <w:szCs w:val="28"/>
                <w:highlight w:val="none"/>
                <w:lang w:val="en-US" w:eastAsia="zh-CN"/>
              </w:rPr>
              <w:t>：生产车间洁净度不达标，空气中的粉尘、微生物或其他杂质在生产、组装过程中附着于磁疗器具表面或渗入外壳缝隙</w:t>
            </w:r>
          </w:p>
        </w:tc>
        <w:tc>
          <w:tcPr>
            <w:tcW w:w="2770" w:type="dxa"/>
            <w:vAlign w:val="center"/>
          </w:tcPr>
          <w:p w14:paraId="5B8E9258">
            <w:pPr>
              <w:keepNext w:val="0"/>
              <w:keepLines w:val="0"/>
              <w:pageBreakBefore w:val="0"/>
              <w:widowControl w:val="0"/>
              <w:kinsoku/>
              <w:wordWrap/>
              <w:overflowPunct/>
              <w:topLinePunct w:val="0"/>
              <w:autoSpaceDE/>
              <w:autoSpaceDN/>
              <w:bidi w:val="0"/>
              <w:adjustRightInd/>
              <w:snapToGrid/>
              <w:spacing w:line="460" w:lineRule="exact"/>
              <w:ind w:right="-67" w:rightChars="-32"/>
              <w:textAlignment w:val="auto"/>
              <w:rPr>
                <w:rFonts w:eastAsia="仿宋_GB2312"/>
                <w:bCs/>
                <w:sz w:val="28"/>
                <w:szCs w:val="28"/>
                <w:highlight w:val="none"/>
              </w:rPr>
            </w:pPr>
            <w:r>
              <w:rPr>
                <w:rFonts w:eastAsia="仿宋_GB2312"/>
                <w:bCs/>
                <w:sz w:val="28"/>
                <w:szCs w:val="28"/>
                <w:highlight w:val="none"/>
                <w:lang w:val="en-US" w:eastAsia="zh-CN"/>
              </w:rPr>
              <w:t>引起患者皮肤过敏、不适或局部感染</w:t>
            </w:r>
          </w:p>
          <w:p w14:paraId="666A88DF">
            <w:pPr>
              <w:keepNext w:val="0"/>
              <w:keepLines w:val="0"/>
              <w:pageBreakBefore w:val="0"/>
              <w:widowControl w:val="0"/>
              <w:kinsoku/>
              <w:wordWrap/>
              <w:overflowPunct/>
              <w:topLinePunct w:val="0"/>
              <w:autoSpaceDE/>
              <w:autoSpaceDN/>
              <w:bidi w:val="0"/>
              <w:adjustRightInd/>
              <w:snapToGrid/>
              <w:spacing w:line="460" w:lineRule="exact"/>
              <w:ind w:right="-67" w:rightChars="-32"/>
              <w:textAlignment w:val="auto"/>
              <w:rPr>
                <w:rFonts w:eastAsia="仿宋_GB2312"/>
                <w:bCs/>
                <w:sz w:val="28"/>
                <w:szCs w:val="28"/>
                <w:highlight w:val="none"/>
              </w:rPr>
            </w:pPr>
          </w:p>
        </w:tc>
      </w:tr>
      <w:tr w14:paraId="0312C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Merge w:val="continue"/>
            <w:vAlign w:val="center"/>
          </w:tcPr>
          <w:p w14:paraId="25E31809">
            <w:pPr>
              <w:keepNext w:val="0"/>
              <w:keepLines w:val="0"/>
              <w:pageBreakBefore w:val="0"/>
              <w:widowControl w:val="0"/>
              <w:kinsoku/>
              <w:wordWrap/>
              <w:overflowPunct/>
              <w:topLinePunct w:val="0"/>
              <w:autoSpaceDE/>
              <w:autoSpaceDN/>
              <w:bidi w:val="0"/>
              <w:adjustRightInd/>
              <w:snapToGrid/>
              <w:spacing w:line="460" w:lineRule="exact"/>
              <w:ind w:right="-67" w:rightChars="-32"/>
              <w:jc w:val="center"/>
              <w:textAlignment w:val="auto"/>
              <w:rPr>
                <w:rFonts w:eastAsia="仿宋_GB2312"/>
                <w:bCs/>
                <w:sz w:val="28"/>
                <w:szCs w:val="28"/>
                <w:highlight w:val="yellow"/>
              </w:rPr>
            </w:pPr>
          </w:p>
        </w:tc>
        <w:tc>
          <w:tcPr>
            <w:tcW w:w="1483" w:type="dxa"/>
            <w:vAlign w:val="center"/>
          </w:tcPr>
          <w:p w14:paraId="28B133D4">
            <w:pPr>
              <w:keepNext w:val="0"/>
              <w:keepLines w:val="0"/>
              <w:pageBreakBefore w:val="0"/>
              <w:widowControl w:val="0"/>
              <w:kinsoku/>
              <w:wordWrap/>
              <w:overflowPunct/>
              <w:topLinePunct w:val="0"/>
              <w:autoSpaceDE/>
              <w:autoSpaceDN/>
              <w:bidi w:val="0"/>
              <w:adjustRightInd/>
              <w:snapToGrid/>
              <w:spacing w:line="460" w:lineRule="exact"/>
              <w:ind w:right="-67" w:rightChars="-32"/>
              <w:textAlignment w:val="auto"/>
              <w:rPr>
                <w:rFonts w:eastAsia="仿宋_GB2312"/>
                <w:bCs/>
                <w:sz w:val="28"/>
                <w:szCs w:val="28"/>
                <w:highlight w:val="none"/>
              </w:rPr>
            </w:pPr>
            <w:r>
              <w:rPr>
                <w:rFonts w:eastAsia="仿宋_GB2312"/>
                <w:bCs/>
                <w:sz w:val="28"/>
                <w:szCs w:val="28"/>
                <w:highlight w:val="none"/>
              </w:rPr>
              <w:t>生物污染</w:t>
            </w:r>
          </w:p>
        </w:tc>
        <w:tc>
          <w:tcPr>
            <w:tcW w:w="2963" w:type="dxa"/>
            <w:vAlign w:val="center"/>
          </w:tcPr>
          <w:p w14:paraId="0E3BD006">
            <w:pPr>
              <w:keepNext w:val="0"/>
              <w:keepLines w:val="0"/>
              <w:pageBreakBefore w:val="0"/>
              <w:widowControl w:val="0"/>
              <w:kinsoku/>
              <w:wordWrap/>
              <w:overflowPunct/>
              <w:topLinePunct w:val="0"/>
              <w:autoSpaceDE/>
              <w:autoSpaceDN/>
              <w:bidi w:val="0"/>
              <w:adjustRightInd/>
              <w:snapToGrid/>
              <w:spacing w:line="460" w:lineRule="exact"/>
              <w:ind w:right="-67" w:rightChars="-32"/>
              <w:textAlignment w:val="auto"/>
              <w:rPr>
                <w:rFonts w:eastAsia="仿宋_GB2312"/>
                <w:bCs/>
                <w:sz w:val="28"/>
                <w:szCs w:val="28"/>
                <w:highlight w:val="none"/>
              </w:rPr>
            </w:pPr>
            <w:r>
              <w:rPr>
                <w:rFonts w:eastAsia="仿宋_GB2312"/>
                <w:bCs/>
                <w:sz w:val="28"/>
                <w:szCs w:val="28"/>
                <w:highlight w:val="none"/>
              </w:rPr>
              <w:t>包装破损或使用时操作不规范造成生物污染；产品微生物指标过高</w:t>
            </w:r>
          </w:p>
        </w:tc>
        <w:tc>
          <w:tcPr>
            <w:tcW w:w="2770" w:type="dxa"/>
            <w:vAlign w:val="center"/>
          </w:tcPr>
          <w:p w14:paraId="0965E74E">
            <w:pPr>
              <w:keepNext w:val="0"/>
              <w:keepLines w:val="0"/>
              <w:pageBreakBefore w:val="0"/>
              <w:widowControl w:val="0"/>
              <w:kinsoku/>
              <w:wordWrap/>
              <w:overflowPunct/>
              <w:topLinePunct w:val="0"/>
              <w:autoSpaceDE/>
              <w:autoSpaceDN/>
              <w:bidi w:val="0"/>
              <w:adjustRightInd/>
              <w:snapToGrid/>
              <w:spacing w:line="460" w:lineRule="exact"/>
              <w:ind w:right="-67" w:rightChars="-32"/>
              <w:textAlignment w:val="auto"/>
              <w:rPr>
                <w:rFonts w:eastAsia="仿宋_GB2312"/>
                <w:bCs/>
                <w:sz w:val="28"/>
                <w:szCs w:val="28"/>
                <w:highlight w:val="none"/>
              </w:rPr>
            </w:pPr>
            <w:r>
              <w:rPr>
                <w:rFonts w:hint="eastAsia" w:eastAsia="仿宋_GB2312"/>
                <w:bCs/>
                <w:sz w:val="28"/>
                <w:szCs w:val="28"/>
                <w:highlight w:val="none"/>
              </w:rPr>
              <w:t>产品携带致病菌，接触皮肤后引起患者身体不适、皮炎或感染</w:t>
            </w:r>
          </w:p>
        </w:tc>
      </w:tr>
      <w:tr w14:paraId="489A0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079" w:type="dxa"/>
            <w:vMerge w:val="continue"/>
            <w:vAlign w:val="center"/>
          </w:tcPr>
          <w:p w14:paraId="0A5FA432">
            <w:pPr>
              <w:keepNext w:val="0"/>
              <w:keepLines w:val="0"/>
              <w:pageBreakBefore w:val="0"/>
              <w:widowControl w:val="0"/>
              <w:kinsoku/>
              <w:wordWrap/>
              <w:overflowPunct/>
              <w:topLinePunct w:val="0"/>
              <w:autoSpaceDE/>
              <w:autoSpaceDN/>
              <w:bidi w:val="0"/>
              <w:adjustRightInd/>
              <w:snapToGrid/>
              <w:spacing w:line="460" w:lineRule="exact"/>
              <w:ind w:right="-67" w:rightChars="-32"/>
              <w:jc w:val="center"/>
              <w:textAlignment w:val="auto"/>
              <w:rPr>
                <w:rFonts w:eastAsia="仿宋_GB2312"/>
                <w:bCs/>
                <w:sz w:val="28"/>
                <w:szCs w:val="28"/>
                <w:highlight w:val="yellow"/>
              </w:rPr>
            </w:pPr>
          </w:p>
        </w:tc>
        <w:tc>
          <w:tcPr>
            <w:tcW w:w="1483" w:type="dxa"/>
            <w:vAlign w:val="center"/>
          </w:tcPr>
          <w:p w14:paraId="2061ED13">
            <w:pPr>
              <w:keepNext w:val="0"/>
              <w:keepLines w:val="0"/>
              <w:pageBreakBefore w:val="0"/>
              <w:widowControl w:val="0"/>
              <w:kinsoku/>
              <w:wordWrap/>
              <w:overflowPunct/>
              <w:topLinePunct w:val="0"/>
              <w:autoSpaceDE/>
              <w:autoSpaceDN/>
              <w:bidi w:val="0"/>
              <w:adjustRightInd/>
              <w:snapToGrid/>
              <w:spacing w:line="460" w:lineRule="exact"/>
              <w:ind w:right="-67" w:rightChars="-32"/>
              <w:textAlignment w:val="auto"/>
              <w:rPr>
                <w:rFonts w:eastAsia="仿宋_GB2312"/>
                <w:bCs/>
                <w:sz w:val="28"/>
                <w:szCs w:val="28"/>
                <w:highlight w:val="none"/>
              </w:rPr>
            </w:pPr>
            <w:r>
              <w:rPr>
                <w:rFonts w:eastAsia="仿宋_GB2312"/>
                <w:bCs/>
                <w:sz w:val="28"/>
                <w:szCs w:val="28"/>
                <w:highlight w:val="none"/>
              </w:rPr>
              <w:t>生物相容性</w:t>
            </w:r>
          </w:p>
        </w:tc>
        <w:tc>
          <w:tcPr>
            <w:tcW w:w="2963" w:type="dxa"/>
            <w:vAlign w:val="center"/>
          </w:tcPr>
          <w:p w14:paraId="01132985">
            <w:pPr>
              <w:keepNext w:val="0"/>
              <w:keepLines w:val="0"/>
              <w:pageBreakBefore w:val="0"/>
              <w:widowControl w:val="0"/>
              <w:kinsoku/>
              <w:wordWrap/>
              <w:overflowPunct/>
              <w:topLinePunct w:val="0"/>
              <w:autoSpaceDE/>
              <w:autoSpaceDN/>
              <w:bidi w:val="0"/>
              <w:adjustRightInd/>
              <w:snapToGrid/>
              <w:spacing w:line="460" w:lineRule="exact"/>
              <w:ind w:right="-67" w:rightChars="-32"/>
              <w:textAlignment w:val="auto"/>
              <w:rPr>
                <w:rFonts w:hint="eastAsia" w:eastAsia="仿宋_GB2312"/>
                <w:bCs/>
                <w:sz w:val="28"/>
                <w:szCs w:val="28"/>
                <w:highlight w:val="none"/>
                <w:lang w:eastAsia="zh-CN"/>
              </w:rPr>
            </w:pPr>
            <w:r>
              <w:rPr>
                <w:rFonts w:hint="eastAsia" w:eastAsia="仿宋_GB2312"/>
                <w:bCs/>
                <w:sz w:val="28"/>
                <w:szCs w:val="28"/>
                <w:highlight w:val="none"/>
              </w:rPr>
              <w:t>材料选择不当或处理工艺缺陷</w:t>
            </w:r>
            <w:r>
              <w:rPr>
                <w:rFonts w:hint="eastAsia" w:eastAsia="仿宋_GB2312"/>
                <w:bCs/>
                <w:sz w:val="28"/>
                <w:szCs w:val="28"/>
                <w:highlight w:val="none"/>
                <w:lang w:eastAsia="zh-CN"/>
              </w:rPr>
              <w:t>。采用了不合格的原辅材料，或生产过程中引入了外来物质</w:t>
            </w:r>
          </w:p>
        </w:tc>
        <w:tc>
          <w:tcPr>
            <w:tcW w:w="2770" w:type="dxa"/>
            <w:vAlign w:val="center"/>
          </w:tcPr>
          <w:p w14:paraId="14032438">
            <w:pPr>
              <w:keepNext w:val="0"/>
              <w:keepLines w:val="0"/>
              <w:pageBreakBefore w:val="0"/>
              <w:widowControl w:val="0"/>
              <w:kinsoku/>
              <w:wordWrap/>
              <w:overflowPunct/>
              <w:topLinePunct w:val="0"/>
              <w:autoSpaceDE/>
              <w:autoSpaceDN/>
              <w:bidi w:val="0"/>
              <w:adjustRightInd/>
              <w:snapToGrid/>
              <w:spacing w:line="460" w:lineRule="exact"/>
              <w:ind w:right="-67" w:rightChars="-32"/>
              <w:textAlignment w:val="auto"/>
              <w:rPr>
                <w:rFonts w:eastAsia="仿宋_GB2312"/>
                <w:bCs/>
                <w:sz w:val="28"/>
                <w:szCs w:val="28"/>
                <w:highlight w:val="none"/>
              </w:rPr>
            </w:pPr>
            <w:r>
              <w:rPr>
                <w:rFonts w:hint="eastAsia" w:eastAsia="仿宋_GB2312"/>
                <w:bCs/>
                <w:sz w:val="28"/>
                <w:szCs w:val="28"/>
                <w:highlight w:val="none"/>
              </w:rPr>
              <w:t>产生毒性反应、皮肤刺激、接触性皮炎或过敏反应</w:t>
            </w:r>
          </w:p>
        </w:tc>
      </w:tr>
      <w:tr w14:paraId="24227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079" w:type="dxa"/>
            <w:vMerge w:val="continue"/>
            <w:vAlign w:val="center"/>
          </w:tcPr>
          <w:p w14:paraId="01A4E316">
            <w:pPr>
              <w:keepNext w:val="0"/>
              <w:keepLines w:val="0"/>
              <w:pageBreakBefore w:val="0"/>
              <w:widowControl w:val="0"/>
              <w:kinsoku/>
              <w:wordWrap/>
              <w:overflowPunct/>
              <w:topLinePunct w:val="0"/>
              <w:autoSpaceDE/>
              <w:autoSpaceDN/>
              <w:bidi w:val="0"/>
              <w:adjustRightInd/>
              <w:snapToGrid/>
              <w:spacing w:line="460" w:lineRule="exact"/>
              <w:ind w:right="-67" w:rightChars="-32"/>
              <w:jc w:val="center"/>
              <w:textAlignment w:val="auto"/>
              <w:rPr>
                <w:rFonts w:eastAsia="仿宋_GB2312"/>
                <w:bCs/>
                <w:sz w:val="28"/>
                <w:szCs w:val="28"/>
                <w:highlight w:val="yellow"/>
              </w:rPr>
            </w:pPr>
          </w:p>
        </w:tc>
        <w:tc>
          <w:tcPr>
            <w:tcW w:w="1483" w:type="dxa"/>
            <w:vAlign w:val="center"/>
          </w:tcPr>
          <w:p w14:paraId="28A590CB">
            <w:pPr>
              <w:keepNext w:val="0"/>
              <w:keepLines w:val="0"/>
              <w:pageBreakBefore w:val="0"/>
              <w:widowControl w:val="0"/>
              <w:kinsoku/>
              <w:wordWrap/>
              <w:overflowPunct/>
              <w:topLinePunct w:val="0"/>
              <w:autoSpaceDE/>
              <w:autoSpaceDN/>
              <w:bidi w:val="0"/>
              <w:adjustRightInd/>
              <w:snapToGrid/>
              <w:spacing w:line="460" w:lineRule="exact"/>
              <w:ind w:right="-67" w:rightChars="-32"/>
              <w:textAlignment w:val="auto"/>
              <w:rPr>
                <w:rFonts w:hint="eastAsia" w:eastAsia="仿宋_GB2312"/>
                <w:bCs/>
                <w:sz w:val="28"/>
                <w:szCs w:val="28"/>
                <w:highlight w:val="none"/>
                <w:lang w:eastAsia="zh-CN"/>
              </w:rPr>
            </w:pPr>
            <w:r>
              <w:rPr>
                <w:rFonts w:hint="eastAsia" w:eastAsia="仿宋_GB2312"/>
                <w:bCs/>
                <w:sz w:val="28"/>
                <w:szCs w:val="28"/>
                <w:highlight w:val="none"/>
                <w:lang w:eastAsia="zh-CN"/>
              </w:rPr>
              <w:t>设计风险</w:t>
            </w:r>
          </w:p>
        </w:tc>
        <w:tc>
          <w:tcPr>
            <w:tcW w:w="2963" w:type="dxa"/>
            <w:vAlign w:val="center"/>
          </w:tcPr>
          <w:p w14:paraId="7D688D9B">
            <w:pPr>
              <w:keepNext w:val="0"/>
              <w:keepLines w:val="0"/>
              <w:pageBreakBefore w:val="0"/>
              <w:widowControl w:val="0"/>
              <w:kinsoku/>
              <w:wordWrap/>
              <w:overflowPunct/>
              <w:topLinePunct w:val="0"/>
              <w:autoSpaceDE/>
              <w:autoSpaceDN/>
              <w:bidi w:val="0"/>
              <w:adjustRightInd/>
              <w:snapToGrid/>
              <w:spacing w:line="460" w:lineRule="exact"/>
              <w:ind w:right="-67" w:rightChars="-32"/>
              <w:textAlignment w:val="auto"/>
              <w:rPr>
                <w:rFonts w:hint="eastAsia" w:eastAsia="仿宋_GB2312"/>
                <w:bCs/>
                <w:sz w:val="28"/>
                <w:szCs w:val="28"/>
                <w:highlight w:val="none"/>
                <w:lang w:eastAsia="zh-CN"/>
              </w:rPr>
            </w:pPr>
            <w:r>
              <w:rPr>
                <w:rFonts w:hint="eastAsia" w:eastAsia="仿宋_GB2312"/>
                <w:bCs/>
                <w:sz w:val="28"/>
                <w:szCs w:val="28"/>
                <w:highlight w:val="none"/>
                <w:lang w:eastAsia="zh-CN"/>
              </w:rPr>
              <w:t>胶带黏性太大</w:t>
            </w:r>
          </w:p>
        </w:tc>
        <w:tc>
          <w:tcPr>
            <w:tcW w:w="2770" w:type="dxa"/>
            <w:vAlign w:val="center"/>
          </w:tcPr>
          <w:p w14:paraId="2CC79075">
            <w:pPr>
              <w:keepNext w:val="0"/>
              <w:keepLines w:val="0"/>
              <w:pageBreakBefore w:val="0"/>
              <w:widowControl w:val="0"/>
              <w:kinsoku/>
              <w:wordWrap/>
              <w:overflowPunct/>
              <w:topLinePunct w:val="0"/>
              <w:autoSpaceDE/>
              <w:autoSpaceDN/>
              <w:bidi w:val="0"/>
              <w:adjustRightInd/>
              <w:snapToGrid/>
              <w:spacing w:line="460" w:lineRule="exact"/>
              <w:ind w:right="-67" w:rightChars="-32"/>
              <w:textAlignment w:val="auto"/>
              <w:rPr>
                <w:rFonts w:hint="eastAsia" w:eastAsia="仿宋_GB2312"/>
                <w:bCs/>
                <w:sz w:val="28"/>
                <w:szCs w:val="28"/>
                <w:highlight w:val="none"/>
                <w:lang w:eastAsia="zh-CN"/>
              </w:rPr>
            </w:pPr>
            <w:r>
              <w:rPr>
                <w:rFonts w:hint="eastAsia" w:eastAsia="仿宋_GB2312"/>
                <w:bCs/>
                <w:sz w:val="28"/>
                <w:szCs w:val="28"/>
                <w:highlight w:val="none"/>
                <w:lang w:eastAsia="zh-CN"/>
              </w:rPr>
              <w:t>患者不易撕下或撕下时皮肤破损</w:t>
            </w:r>
          </w:p>
        </w:tc>
      </w:tr>
      <w:tr w14:paraId="516A7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6" w:hRule="atLeast"/>
          <w:jc w:val="center"/>
        </w:trPr>
        <w:tc>
          <w:tcPr>
            <w:tcW w:w="1079" w:type="dxa"/>
            <w:vMerge w:val="continue"/>
            <w:vAlign w:val="center"/>
          </w:tcPr>
          <w:p w14:paraId="775E10AC">
            <w:pPr>
              <w:keepNext w:val="0"/>
              <w:keepLines w:val="0"/>
              <w:pageBreakBefore w:val="0"/>
              <w:widowControl w:val="0"/>
              <w:kinsoku/>
              <w:wordWrap/>
              <w:overflowPunct/>
              <w:topLinePunct w:val="0"/>
              <w:autoSpaceDE/>
              <w:autoSpaceDN/>
              <w:bidi w:val="0"/>
              <w:adjustRightInd/>
              <w:snapToGrid/>
              <w:spacing w:line="460" w:lineRule="exact"/>
              <w:ind w:right="-67" w:rightChars="-32"/>
              <w:jc w:val="center"/>
              <w:textAlignment w:val="auto"/>
              <w:rPr>
                <w:rFonts w:eastAsia="仿宋_GB2312"/>
                <w:bCs/>
                <w:sz w:val="28"/>
                <w:szCs w:val="28"/>
                <w:highlight w:val="yellow"/>
              </w:rPr>
            </w:pPr>
          </w:p>
        </w:tc>
        <w:tc>
          <w:tcPr>
            <w:tcW w:w="1483" w:type="dxa"/>
            <w:vAlign w:val="center"/>
          </w:tcPr>
          <w:p w14:paraId="75AB3013">
            <w:pPr>
              <w:keepNext w:val="0"/>
              <w:keepLines w:val="0"/>
              <w:pageBreakBefore w:val="0"/>
              <w:widowControl w:val="0"/>
              <w:kinsoku/>
              <w:wordWrap/>
              <w:overflowPunct/>
              <w:topLinePunct w:val="0"/>
              <w:autoSpaceDE/>
              <w:autoSpaceDN/>
              <w:bidi w:val="0"/>
              <w:adjustRightInd/>
              <w:snapToGrid/>
              <w:spacing w:line="460" w:lineRule="exact"/>
              <w:ind w:right="-67" w:rightChars="-32"/>
              <w:textAlignment w:val="auto"/>
              <w:rPr>
                <w:rFonts w:eastAsia="仿宋_GB2312"/>
                <w:bCs/>
                <w:sz w:val="28"/>
                <w:szCs w:val="28"/>
                <w:highlight w:val="none"/>
              </w:rPr>
            </w:pPr>
            <w:r>
              <w:rPr>
                <w:rFonts w:eastAsia="仿宋_GB2312"/>
                <w:bCs/>
                <w:sz w:val="28"/>
                <w:szCs w:val="28"/>
                <w:highlight w:val="none"/>
              </w:rPr>
              <w:t>化学危害</w:t>
            </w:r>
          </w:p>
        </w:tc>
        <w:tc>
          <w:tcPr>
            <w:tcW w:w="2963" w:type="dxa"/>
            <w:vAlign w:val="center"/>
          </w:tcPr>
          <w:p w14:paraId="30227B6E">
            <w:pPr>
              <w:keepNext w:val="0"/>
              <w:keepLines w:val="0"/>
              <w:pageBreakBefore w:val="0"/>
              <w:widowControl w:val="0"/>
              <w:kinsoku/>
              <w:wordWrap/>
              <w:overflowPunct/>
              <w:topLinePunct w:val="0"/>
              <w:autoSpaceDE/>
              <w:autoSpaceDN/>
              <w:bidi w:val="0"/>
              <w:adjustRightInd/>
              <w:snapToGrid/>
              <w:spacing w:line="460" w:lineRule="exact"/>
              <w:ind w:right="-67" w:rightChars="-32"/>
              <w:textAlignment w:val="auto"/>
              <w:rPr>
                <w:rFonts w:eastAsia="仿宋_GB2312"/>
                <w:bCs/>
                <w:sz w:val="28"/>
                <w:szCs w:val="28"/>
                <w:highlight w:val="none"/>
              </w:rPr>
            </w:pPr>
            <w:r>
              <w:rPr>
                <w:rFonts w:hint="eastAsia" w:eastAsia="仿宋_GB2312"/>
                <w:bCs/>
                <w:sz w:val="28"/>
                <w:szCs w:val="28"/>
                <w:highlight w:val="none"/>
              </w:rPr>
              <w:t>产品材料中含有未聚合完全的单体、增塑剂、重金属（如铅、镉、汞等）或表面涂层化学物质迁移；或清洁消毒残留物未清除干净</w:t>
            </w:r>
          </w:p>
        </w:tc>
        <w:tc>
          <w:tcPr>
            <w:tcW w:w="2770" w:type="dxa"/>
            <w:vAlign w:val="center"/>
          </w:tcPr>
          <w:p w14:paraId="7E8EEFE7">
            <w:pPr>
              <w:keepNext w:val="0"/>
              <w:keepLines w:val="0"/>
              <w:pageBreakBefore w:val="0"/>
              <w:widowControl w:val="0"/>
              <w:kinsoku/>
              <w:wordWrap/>
              <w:overflowPunct/>
              <w:topLinePunct w:val="0"/>
              <w:autoSpaceDE/>
              <w:autoSpaceDN/>
              <w:bidi w:val="0"/>
              <w:adjustRightInd/>
              <w:snapToGrid/>
              <w:spacing w:line="460" w:lineRule="exact"/>
              <w:ind w:right="-67" w:rightChars="-32"/>
              <w:textAlignment w:val="auto"/>
              <w:rPr>
                <w:rFonts w:eastAsia="仿宋_GB2312"/>
                <w:bCs/>
                <w:sz w:val="28"/>
                <w:szCs w:val="28"/>
                <w:highlight w:val="none"/>
              </w:rPr>
            </w:pPr>
            <w:r>
              <w:rPr>
                <w:rFonts w:hint="eastAsia" w:eastAsia="仿宋_GB2312"/>
                <w:bCs/>
                <w:sz w:val="28"/>
                <w:szCs w:val="28"/>
                <w:highlight w:val="none"/>
              </w:rPr>
              <w:t>化学物质经皮肤吸收或接触造成毒性危害、慢性中毒或局部组织损伤</w:t>
            </w:r>
          </w:p>
        </w:tc>
      </w:tr>
      <w:tr w14:paraId="717D3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Merge w:val="restart"/>
            <w:vAlign w:val="center"/>
          </w:tcPr>
          <w:p w14:paraId="37645896">
            <w:pPr>
              <w:keepNext w:val="0"/>
              <w:keepLines w:val="0"/>
              <w:pageBreakBefore w:val="0"/>
              <w:widowControl w:val="0"/>
              <w:kinsoku/>
              <w:wordWrap/>
              <w:overflowPunct/>
              <w:topLinePunct w:val="0"/>
              <w:autoSpaceDE/>
              <w:autoSpaceDN/>
              <w:bidi w:val="0"/>
              <w:adjustRightInd/>
              <w:snapToGrid/>
              <w:spacing w:line="460" w:lineRule="exact"/>
              <w:ind w:right="-67" w:rightChars="-32"/>
              <w:jc w:val="center"/>
              <w:textAlignment w:val="auto"/>
              <w:rPr>
                <w:rFonts w:hint="default" w:eastAsia="仿宋_GB2312"/>
                <w:bCs/>
                <w:sz w:val="28"/>
                <w:szCs w:val="28"/>
                <w:highlight w:val="none"/>
                <w:lang w:val="en-US" w:eastAsia="zh-CN"/>
              </w:rPr>
            </w:pPr>
            <w:r>
              <w:rPr>
                <w:rFonts w:hint="eastAsia" w:eastAsia="仿宋_GB2312"/>
                <w:bCs/>
                <w:sz w:val="28"/>
                <w:szCs w:val="28"/>
                <w:highlight w:val="none"/>
                <w:lang w:eastAsia="zh-CN"/>
              </w:rPr>
              <w:t>家用</w:t>
            </w:r>
            <w:r>
              <w:rPr>
                <w:rFonts w:hint="default" w:eastAsia="仿宋_GB2312"/>
                <w:bCs/>
                <w:sz w:val="28"/>
                <w:szCs w:val="28"/>
                <w:highlight w:val="none"/>
                <w:lang w:val="en-US" w:eastAsia="zh-CN"/>
              </w:rPr>
              <w:t>/</w:t>
            </w:r>
            <w:r>
              <w:rPr>
                <w:rFonts w:hint="eastAsia" w:eastAsia="仿宋_GB2312"/>
                <w:bCs/>
                <w:sz w:val="28"/>
                <w:szCs w:val="28"/>
                <w:highlight w:val="none"/>
                <w:lang w:val="en-US" w:eastAsia="zh-CN"/>
              </w:rPr>
              <w:t>医疗机构</w:t>
            </w:r>
          </w:p>
          <w:p w14:paraId="297003C9">
            <w:pPr>
              <w:keepNext w:val="0"/>
              <w:keepLines w:val="0"/>
              <w:pageBreakBefore w:val="0"/>
              <w:widowControl w:val="0"/>
              <w:kinsoku/>
              <w:wordWrap/>
              <w:overflowPunct/>
              <w:topLinePunct w:val="0"/>
              <w:autoSpaceDE/>
              <w:autoSpaceDN/>
              <w:bidi w:val="0"/>
              <w:adjustRightInd/>
              <w:snapToGrid/>
              <w:spacing w:line="460" w:lineRule="exact"/>
              <w:ind w:right="-67" w:rightChars="-32"/>
              <w:jc w:val="center"/>
              <w:textAlignment w:val="auto"/>
              <w:rPr>
                <w:rFonts w:eastAsia="仿宋_GB2312"/>
                <w:bCs/>
                <w:sz w:val="28"/>
                <w:szCs w:val="28"/>
                <w:highlight w:val="none"/>
              </w:rPr>
            </w:pPr>
            <w:r>
              <w:rPr>
                <w:rFonts w:eastAsia="仿宋_GB2312"/>
                <w:bCs/>
                <w:sz w:val="28"/>
                <w:szCs w:val="28"/>
                <w:highlight w:val="none"/>
              </w:rPr>
              <w:t>操作</w:t>
            </w:r>
          </w:p>
          <w:p w14:paraId="4E34D511">
            <w:pPr>
              <w:keepNext w:val="0"/>
              <w:keepLines w:val="0"/>
              <w:pageBreakBefore w:val="0"/>
              <w:widowControl w:val="0"/>
              <w:kinsoku/>
              <w:wordWrap/>
              <w:overflowPunct/>
              <w:topLinePunct w:val="0"/>
              <w:autoSpaceDE/>
              <w:autoSpaceDN/>
              <w:bidi w:val="0"/>
              <w:adjustRightInd/>
              <w:snapToGrid/>
              <w:spacing w:line="460" w:lineRule="exact"/>
              <w:ind w:right="-67" w:rightChars="-32"/>
              <w:jc w:val="center"/>
              <w:textAlignment w:val="auto"/>
              <w:rPr>
                <w:rFonts w:eastAsia="仿宋_GB2312"/>
                <w:bCs/>
                <w:sz w:val="28"/>
                <w:szCs w:val="28"/>
                <w:highlight w:val="yellow"/>
              </w:rPr>
            </w:pPr>
            <w:r>
              <w:rPr>
                <w:rFonts w:eastAsia="仿宋_GB2312"/>
                <w:bCs/>
                <w:sz w:val="28"/>
                <w:szCs w:val="28"/>
                <w:highlight w:val="none"/>
              </w:rPr>
              <w:t>危险（源）</w:t>
            </w:r>
          </w:p>
        </w:tc>
        <w:tc>
          <w:tcPr>
            <w:tcW w:w="1483" w:type="dxa"/>
            <w:vAlign w:val="center"/>
          </w:tcPr>
          <w:p w14:paraId="30DBF477">
            <w:pPr>
              <w:keepNext w:val="0"/>
              <w:keepLines w:val="0"/>
              <w:pageBreakBefore w:val="0"/>
              <w:widowControl w:val="0"/>
              <w:kinsoku/>
              <w:wordWrap/>
              <w:overflowPunct/>
              <w:topLinePunct w:val="0"/>
              <w:autoSpaceDE/>
              <w:autoSpaceDN/>
              <w:bidi w:val="0"/>
              <w:adjustRightInd/>
              <w:snapToGrid/>
              <w:spacing w:line="460" w:lineRule="exact"/>
              <w:ind w:right="-67" w:rightChars="-32"/>
              <w:textAlignment w:val="auto"/>
              <w:rPr>
                <w:rFonts w:hint="eastAsia" w:eastAsia="仿宋_GB2312"/>
                <w:bCs/>
                <w:sz w:val="28"/>
                <w:szCs w:val="28"/>
                <w:highlight w:val="yellow"/>
                <w:lang w:eastAsia="zh-CN"/>
              </w:rPr>
            </w:pPr>
            <w:r>
              <w:rPr>
                <w:rFonts w:hint="eastAsia" w:eastAsia="仿宋_GB2312"/>
                <w:bCs/>
                <w:sz w:val="28"/>
                <w:szCs w:val="28"/>
                <w:highlight w:val="none"/>
                <w:lang w:val="en-US" w:eastAsia="zh-CN"/>
              </w:rPr>
              <w:t>操作与认知风险</w:t>
            </w:r>
          </w:p>
        </w:tc>
        <w:tc>
          <w:tcPr>
            <w:tcW w:w="2963" w:type="dxa"/>
            <w:vAlign w:val="center"/>
          </w:tcPr>
          <w:p w14:paraId="7FA5C4D5">
            <w:pPr>
              <w:keepNext w:val="0"/>
              <w:keepLines w:val="0"/>
              <w:pageBreakBefore w:val="0"/>
              <w:widowControl w:val="0"/>
              <w:kinsoku/>
              <w:wordWrap/>
              <w:overflowPunct/>
              <w:topLinePunct w:val="0"/>
              <w:autoSpaceDE/>
              <w:autoSpaceDN/>
              <w:bidi w:val="0"/>
              <w:adjustRightInd/>
              <w:snapToGrid/>
              <w:spacing w:line="460" w:lineRule="exact"/>
              <w:ind w:right="-67" w:rightChars="-32"/>
              <w:textAlignment w:val="auto"/>
              <w:rPr>
                <w:rFonts w:hint="eastAsia" w:eastAsia="仿宋_GB2312"/>
                <w:bCs/>
                <w:sz w:val="28"/>
                <w:szCs w:val="28"/>
                <w:highlight w:val="none"/>
                <w:lang w:eastAsia="zh-CN"/>
              </w:rPr>
            </w:pPr>
            <w:r>
              <w:rPr>
                <w:rFonts w:hint="eastAsia" w:eastAsia="仿宋_GB2312"/>
                <w:bCs/>
                <w:sz w:val="28"/>
                <w:szCs w:val="28"/>
                <w:highlight w:val="none"/>
              </w:rPr>
              <w:t>使用产品时未按照说明书中操作方法操作</w:t>
            </w:r>
            <w:r>
              <w:rPr>
                <w:rFonts w:hint="eastAsia" w:eastAsia="仿宋_GB2312"/>
                <w:bCs/>
                <w:sz w:val="28"/>
                <w:szCs w:val="28"/>
                <w:highlight w:val="none"/>
                <w:lang w:eastAsia="zh-CN"/>
              </w:rPr>
              <w:t>：用户未参照穴位图示错误放置；连续使用超过说明书建议时长</w:t>
            </w:r>
            <w:r>
              <w:rPr>
                <w:rFonts w:hint="default" w:eastAsia="仿宋_GB2312"/>
                <w:bCs/>
                <w:sz w:val="28"/>
                <w:szCs w:val="28"/>
                <w:highlight w:val="none"/>
                <w:lang w:val="en-US" w:eastAsia="zh-CN"/>
              </w:rPr>
              <w:t>;</w:t>
            </w:r>
            <w:r>
              <w:rPr>
                <w:rFonts w:hint="eastAsia" w:eastAsia="仿宋_GB2312"/>
                <w:bCs/>
                <w:sz w:val="28"/>
                <w:szCs w:val="28"/>
                <w:highlight w:val="none"/>
                <w:lang w:eastAsia="zh-CN"/>
              </w:rPr>
              <w:t>错误操作</w:t>
            </w:r>
            <w:r>
              <w:rPr>
                <w:rFonts w:hint="default" w:eastAsia="仿宋_GB2312"/>
                <w:bCs/>
                <w:sz w:val="28"/>
                <w:szCs w:val="28"/>
                <w:highlight w:val="none"/>
                <w:lang w:val="en-US" w:eastAsia="zh-CN"/>
              </w:rPr>
              <w:t>,</w:t>
            </w:r>
            <w:r>
              <w:rPr>
                <w:rFonts w:hint="eastAsia" w:eastAsia="仿宋_GB2312"/>
                <w:bCs/>
                <w:sz w:val="28"/>
                <w:szCs w:val="28"/>
                <w:highlight w:val="none"/>
                <w:lang w:eastAsia="zh-CN"/>
              </w:rPr>
              <w:t>未采取相应的保护措施</w:t>
            </w:r>
          </w:p>
        </w:tc>
        <w:tc>
          <w:tcPr>
            <w:tcW w:w="2770" w:type="dxa"/>
          </w:tcPr>
          <w:p w14:paraId="706C2BA5">
            <w:pPr>
              <w:keepNext w:val="0"/>
              <w:keepLines w:val="0"/>
              <w:pageBreakBefore w:val="0"/>
              <w:widowControl w:val="0"/>
              <w:kinsoku/>
              <w:wordWrap/>
              <w:overflowPunct/>
              <w:topLinePunct w:val="0"/>
              <w:autoSpaceDE/>
              <w:autoSpaceDN/>
              <w:bidi w:val="0"/>
              <w:adjustRightInd/>
              <w:snapToGrid/>
              <w:spacing w:line="460" w:lineRule="exact"/>
              <w:textAlignment w:val="auto"/>
              <w:rPr>
                <w:rFonts w:eastAsia="仿宋_GB2312"/>
                <w:bCs/>
                <w:sz w:val="28"/>
                <w:szCs w:val="28"/>
                <w:highlight w:val="none"/>
              </w:rPr>
            </w:pPr>
            <w:r>
              <w:rPr>
                <w:rFonts w:eastAsia="仿宋_GB2312"/>
                <w:bCs/>
                <w:sz w:val="28"/>
                <w:szCs w:val="28"/>
                <w:highlight w:val="none"/>
              </w:rPr>
              <w:t>无法保证使用安全性导致操作失误，</w:t>
            </w:r>
            <w:r>
              <w:rPr>
                <w:rFonts w:hint="eastAsia" w:eastAsia="仿宋_GB2312"/>
                <w:bCs/>
                <w:sz w:val="28"/>
                <w:szCs w:val="28"/>
                <w:highlight w:val="none"/>
                <w:lang w:eastAsia="zh-CN"/>
              </w:rPr>
              <w:t>如连续使用事件过长，可能导致胶带不易撕下从而引起皮肤破损，也可能</w:t>
            </w:r>
            <w:r>
              <w:rPr>
                <w:rFonts w:eastAsia="仿宋"/>
                <w:color w:val="000000"/>
                <w:sz w:val="28"/>
                <w:szCs w:val="28"/>
                <w:highlight w:val="none"/>
              </w:rPr>
              <w:t>导致</w:t>
            </w:r>
            <w:r>
              <w:rPr>
                <w:rFonts w:hint="eastAsia" w:eastAsia="仿宋"/>
                <w:color w:val="000000"/>
                <w:sz w:val="28"/>
                <w:szCs w:val="28"/>
                <w:highlight w:val="none"/>
              </w:rPr>
              <w:t>引发局部麻木或头晕</w:t>
            </w:r>
          </w:p>
        </w:tc>
      </w:tr>
      <w:tr w14:paraId="28130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Merge w:val="continue"/>
            <w:vAlign w:val="center"/>
          </w:tcPr>
          <w:p w14:paraId="1DDA308A">
            <w:pPr>
              <w:keepNext w:val="0"/>
              <w:keepLines w:val="0"/>
              <w:pageBreakBefore w:val="0"/>
              <w:widowControl w:val="0"/>
              <w:kinsoku/>
              <w:wordWrap/>
              <w:overflowPunct/>
              <w:topLinePunct w:val="0"/>
              <w:autoSpaceDE/>
              <w:autoSpaceDN/>
              <w:bidi w:val="0"/>
              <w:adjustRightInd/>
              <w:snapToGrid/>
              <w:spacing w:line="460" w:lineRule="exact"/>
              <w:ind w:right="-67" w:rightChars="-32"/>
              <w:jc w:val="center"/>
              <w:textAlignment w:val="auto"/>
              <w:rPr>
                <w:rFonts w:eastAsia="仿宋_GB2312"/>
                <w:bCs/>
                <w:sz w:val="28"/>
                <w:szCs w:val="28"/>
                <w:highlight w:val="yellow"/>
              </w:rPr>
            </w:pPr>
          </w:p>
        </w:tc>
        <w:tc>
          <w:tcPr>
            <w:tcW w:w="1483" w:type="dxa"/>
            <w:vAlign w:val="center"/>
          </w:tcPr>
          <w:p w14:paraId="65F92454">
            <w:pPr>
              <w:keepNext w:val="0"/>
              <w:keepLines w:val="0"/>
              <w:pageBreakBefore w:val="0"/>
              <w:widowControl w:val="0"/>
              <w:kinsoku/>
              <w:wordWrap/>
              <w:overflowPunct/>
              <w:topLinePunct w:val="0"/>
              <w:autoSpaceDE/>
              <w:autoSpaceDN/>
              <w:bidi w:val="0"/>
              <w:adjustRightInd/>
              <w:snapToGrid/>
              <w:spacing w:line="460" w:lineRule="exact"/>
              <w:ind w:right="-67" w:rightChars="-32"/>
              <w:textAlignment w:val="auto"/>
              <w:rPr>
                <w:rFonts w:eastAsia="仿宋_GB2312"/>
                <w:bCs/>
                <w:sz w:val="28"/>
                <w:szCs w:val="28"/>
                <w:highlight w:val="yellow"/>
              </w:rPr>
            </w:pPr>
            <w:r>
              <w:rPr>
                <w:rFonts w:hint="eastAsia" w:eastAsia="仿宋_GB2312"/>
                <w:bCs/>
                <w:sz w:val="28"/>
                <w:szCs w:val="28"/>
                <w:highlight w:val="none"/>
                <w:lang w:val="en-US" w:eastAsia="zh-CN"/>
              </w:rPr>
              <w:t>磁场交互风险</w:t>
            </w:r>
          </w:p>
        </w:tc>
        <w:tc>
          <w:tcPr>
            <w:tcW w:w="2963" w:type="dxa"/>
            <w:vAlign w:val="center"/>
          </w:tcPr>
          <w:p w14:paraId="4C172C5B">
            <w:pPr>
              <w:keepNext w:val="0"/>
              <w:keepLines w:val="0"/>
              <w:pageBreakBefore w:val="0"/>
              <w:widowControl w:val="0"/>
              <w:kinsoku/>
              <w:wordWrap/>
              <w:overflowPunct/>
              <w:topLinePunct w:val="0"/>
              <w:autoSpaceDE/>
              <w:autoSpaceDN/>
              <w:bidi w:val="0"/>
              <w:adjustRightInd/>
              <w:snapToGrid/>
              <w:spacing w:line="460" w:lineRule="exact"/>
              <w:ind w:right="-67" w:rightChars="-32"/>
              <w:textAlignment w:val="auto"/>
              <w:rPr>
                <w:rFonts w:eastAsia="仿宋_GB2312"/>
                <w:bCs/>
                <w:sz w:val="28"/>
                <w:szCs w:val="28"/>
                <w:highlight w:val="none"/>
              </w:rPr>
            </w:pPr>
            <w:r>
              <w:rPr>
                <w:rFonts w:hint="eastAsia" w:eastAsia="仿宋_GB2312"/>
                <w:bCs/>
                <w:sz w:val="28"/>
                <w:szCs w:val="28"/>
                <w:highlight w:val="none"/>
              </w:rPr>
              <w:t>对植入式医疗器械的电磁干扰</w:t>
            </w:r>
          </w:p>
        </w:tc>
        <w:tc>
          <w:tcPr>
            <w:tcW w:w="2770" w:type="dxa"/>
          </w:tcPr>
          <w:p w14:paraId="53979B78">
            <w:pPr>
              <w:keepNext w:val="0"/>
              <w:keepLines w:val="0"/>
              <w:pageBreakBefore w:val="0"/>
              <w:widowControl w:val="0"/>
              <w:kinsoku/>
              <w:wordWrap/>
              <w:overflowPunct/>
              <w:topLinePunct w:val="0"/>
              <w:autoSpaceDE/>
              <w:autoSpaceDN/>
              <w:bidi w:val="0"/>
              <w:adjustRightInd/>
              <w:snapToGrid/>
              <w:spacing w:line="460" w:lineRule="exact"/>
              <w:textAlignment w:val="auto"/>
              <w:rPr>
                <w:rFonts w:eastAsia="仿宋_GB2312"/>
                <w:bCs/>
                <w:sz w:val="28"/>
                <w:szCs w:val="28"/>
                <w:highlight w:val="none"/>
              </w:rPr>
            </w:pPr>
            <w:r>
              <w:rPr>
                <w:rFonts w:hint="eastAsia" w:eastAsia="仿宋_GB2312"/>
                <w:bCs/>
                <w:sz w:val="28"/>
                <w:szCs w:val="28"/>
                <w:highlight w:val="none"/>
              </w:rPr>
              <w:t>家人佩戴心脏起搏器、胰岛素泵或人工耳蜗时，误将磁疗</w:t>
            </w:r>
            <w:r>
              <w:rPr>
                <w:rFonts w:hint="eastAsia" w:eastAsia="仿宋_GB2312"/>
                <w:bCs/>
                <w:sz w:val="28"/>
                <w:szCs w:val="28"/>
                <w:highlight w:val="none"/>
                <w:lang w:val="en-US" w:eastAsia="zh-CN"/>
              </w:rPr>
              <w:t>器具</w:t>
            </w:r>
            <w:r>
              <w:rPr>
                <w:rFonts w:hint="eastAsia" w:eastAsia="仿宋_GB2312"/>
                <w:bCs/>
                <w:sz w:val="28"/>
                <w:szCs w:val="28"/>
                <w:highlight w:val="none"/>
              </w:rPr>
              <w:t>用于胸背部，导致设备复位、程序重置或功能失效</w:t>
            </w:r>
          </w:p>
        </w:tc>
      </w:tr>
      <w:tr w14:paraId="2EA24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Merge w:val="continue"/>
            <w:vAlign w:val="center"/>
          </w:tcPr>
          <w:p w14:paraId="5C2A127D">
            <w:pPr>
              <w:keepNext w:val="0"/>
              <w:keepLines w:val="0"/>
              <w:pageBreakBefore w:val="0"/>
              <w:widowControl w:val="0"/>
              <w:kinsoku/>
              <w:wordWrap/>
              <w:overflowPunct/>
              <w:topLinePunct w:val="0"/>
              <w:autoSpaceDE/>
              <w:autoSpaceDN/>
              <w:bidi w:val="0"/>
              <w:adjustRightInd/>
              <w:snapToGrid/>
              <w:spacing w:line="460" w:lineRule="exact"/>
              <w:ind w:right="-67" w:rightChars="-32"/>
              <w:jc w:val="center"/>
              <w:textAlignment w:val="auto"/>
              <w:rPr>
                <w:rFonts w:eastAsia="仿宋_GB2312"/>
                <w:bCs/>
                <w:sz w:val="28"/>
                <w:szCs w:val="28"/>
                <w:highlight w:val="yellow"/>
              </w:rPr>
            </w:pPr>
          </w:p>
        </w:tc>
        <w:tc>
          <w:tcPr>
            <w:tcW w:w="1483" w:type="dxa"/>
            <w:vAlign w:val="center"/>
          </w:tcPr>
          <w:p w14:paraId="725140F3">
            <w:pPr>
              <w:keepNext w:val="0"/>
              <w:keepLines w:val="0"/>
              <w:pageBreakBefore w:val="0"/>
              <w:widowControl w:val="0"/>
              <w:kinsoku/>
              <w:wordWrap/>
              <w:overflowPunct/>
              <w:topLinePunct w:val="0"/>
              <w:autoSpaceDE/>
              <w:autoSpaceDN/>
              <w:bidi w:val="0"/>
              <w:adjustRightInd/>
              <w:snapToGrid/>
              <w:spacing w:line="460" w:lineRule="exact"/>
              <w:ind w:right="-67" w:rightChars="-32"/>
              <w:textAlignment w:val="auto"/>
              <w:rPr>
                <w:rFonts w:hint="eastAsia" w:eastAsia="仿宋_GB2312"/>
                <w:bCs/>
                <w:sz w:val="28"/>
                <w:szCs w:val="28"/>
                <w:highlight w:val="none"/>
                <w:lang w:val="en-US" w:eastAsia="zh-CN"/>
              </w:rPr>
            </w:pPr>
            <w:r>
              <w:rPr>
                <w:rFonts w:hint="eastAsia" w:eastAsia="仿宋_GB2312"/>
                <w:bCs/>
                <w:sz w:val="28"/>
                <w:szCs w:val="28"/>
                <w:highlight w:val="none"/>
                <w:lang w:val="en-US" w:eastAsia="zh-CN"/>
              </w:rPr>
              <w:t>特殊人群误用风险</w:t>
            </w:r>
          </w:p>
        </w:tc>
        <w:tc>
          <w:tcPr>
            <w:tcW w:w="2963" w:type="dxa"/>
            <w:vAlign w:val="center"/>
          </w:tcPr>
          <w:p w14:paraId="4186D497">
            <w:pPr>
              <w:keepNext w:val="0"/>
              <w:keepLines w:val="0"/>
              <w:pageBreakBefore w:val="0"/>
              <w:widowControl w:val="0"/>
              <w:kinsoku/>
              <w:wordWrap/>
              <w:overflowPunct/>
              <w:topLinePunct w:val="0"/>
              <w:autoSpaceDE/>
              <w:autoSpaceDN/>
              <w:bidi w:val="0"/>
              <w:adjustRightInd/>
              <w:snapToGrid/>
              <w:spacing w:line="460" w:lineRule="exact"/>
              <w:ind w:right="-67" w:rightChars="-32"/>
              <w:textAlignment w:val="auto"/>
              <w:rPr>
                <w:rFonts w:hint="eastAsia" w:eastAsia="仿宋_GB2312"/>
                <w:bCs/>
                <w:sz w:val="28"/>
                <w:szCs w:val="28"/>
                <w:highlight w:val="none"/>
              </w:rPr>
            </w:pPr>
            <w:r>
              <w:rPr>
                <w:rFonts w:hint="eastAsia" w:eastAsia="仿宋_GB2312"/>
                <w:bCs/>
                <w:sz w:val="28"/>
                <w:szCs w:val="28"/>
                <w:highlight w:val="none"/>
                <w:lang w:val="en-US" w:eastAsia="zh-CN"/>
              </w:rPr>
              <w:t>禁忌症人群非预期暴露</w:t>
            </w:r>
          </w:p>
        </w:tc>
        <w:tc>
          <w:tcPr>
            <w:tcW w:w="2770" w:type="dxa"/>
          </w:tcPr>
          <w:p w14:paraId="3366357E">
            <w:pPr>
              <w:keepNext w:val="0"/>
              <w:keepLines w:val="0"/>
              <w:pageBreakBefore w:val="0"/>
              <w:widowControl w:val="0"/>
              <w:kinsoku/>
              <w:wordWrap/>
              <w:overflowPunct/>
              <w:topLinePunct w:val="0"/>
              <w:autoSpaceDE/>
              <w:autoSpaceDN/>
              <w:bidi w:val="0"/>
              <w:adjustRightInd/>
              <w:snapToGrid/>
              <w:spacing w:line="460" w:lineRule="exact"/>
              <w:ind w:right="-67" w:rightChars="-32"/>
              <w:textAlignment w:val="auto"/>
              <w:rPr>
                <w:rFonts w:hint="eastAsia" w:eastAsia="仿宋_GB2312"/>
                <w:bCs/>
                <w:sz w:val="28"/>
                <w:szCs w:val="28"/>
                <w:highlight w:val="none"/>
              </w:rPr>
            </w:pPr>
            <w:r>
              <w:rPr>
                <w:rFonts w:hint="eastAsia" w:eastAsia="仿宋_GB2312"/>
                <w:bCs/>
                <w:sz w:val="28"/>
                <w:szCs w:val="28"/>
                <w:highlight w:val="none"/>
                <w:lang w:val="en-US" w:eastAsia="zh-CN"/>
              </w:rPr>
              <w:t>孕妇将磁疗腰带/贴用于下腹部或腰部；儿童因好奇将小型磁片放入口鼻；近期有外伤/出血倾向者使用导致局部充血加重</w:t>
            </w:r>
          </w:p>
        </w:tc>
      </w:tr>
      <w:tr w14:paraId="130E8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Merge w:val="continue"/>
            <w:vAlign w:val="center"/>
          </w:tcPr>
          <w:p w14:paraId="467CCAB3">
            <w:pPr>
              <w:keepNext w:val="0"/>
              <w:keepLines w:val="0"/>
              <w:pageBreakBefore w:val="0"/>
              <w:widowControl w:val="0"/>
              <w:kinsoku/>
              <w:wordWrap/>
              <w:overflowPunct/>
              <w:topLinePunct w:val="0"/>
              <w:autoSpaceDE/>
              <w:autoSpaceDN/>
              <w:bidi w:val="0"/>
              <w:adjustRightInd/>
              <w:snapToGrid/>
              <w:spacing w:line="460" w:lineRule="exact"/>
              <w:ind w:right="-67" w:rightChars="-32"/>
              <w:jc w:val="center"/>
              <w:textAlignment w:val="auto"/>
              <w:rPr>
                <w:rFonts w:eastAsia="仿宋_GB2312"/>
                <w:bCs/>
                <w:sz w:val="28"/>
                <w:szCs w:val="28"/>
                <w:highlight w:val="yellow"/>
              </w:rPr>
            </w:pPr>
          </w:p>
        </w:tc>
        <w:tc>
          <w:tcPr>
            <w:tcW w:w="1483" w:type="dxa"/>
            <w:vAlign w:val="center"/>
          </w:tcPr>
          <w:p w14:paraId="49B018E4">
            <w:pPr>
              <w:keepNext w:val="0"/>
              <w:keepLines w:val="0"/>
              <w:pageBreakBefore w:val="0"/>
              <w:widowControl w:val="0"/>
              <w:kinsoku/>
              <w:wordWrap/>
              <w:overflowPunct/>
              <w:topLinePunct w:val="0"/>
              <w:autoSpaceDE/>
              <w:autoSpaceDN/>
              <w:bidi w:val="0"/>
              <w:adjustRightInd/>
              <w:snapToGrid/>
              <w:spacing w:line="460" w:lineRule="exact"/>
              <w:ind w:right="-67" w:rightChars="-32"/>
              <w:textAlignment w:val="auto"/>
              <w:rPr>
                <w:rFonts w:hint="eastAsia" w:eastAsia="仿宋_GB2312"/>
                <w:bCs/>
                <w:sz w:val="28"/>
                <w:szCs w:val="28"/>
                <w:highlight w:val="none"/>
                <w:lang w:val="en-US" w:eastAsia="zh-CN"/>
              </w:rPr>
            </w:pPr>
            <w:r>
              <w:rPr>
                <w:rFonts w:hint="eastAsia" w:eastAsia="仿宋_GB2312"/>
                <w:bCs/>
                <w:sz w:val="28"/>
                <w:szCs w:val="28"/>
                <w:highlight w:val="none"/>
                <w:lang w:val="en-US" w:eastAsia="zh-CN"/>
              </w:rPr>
              <w:t>物理结构与机械风险</w:t>
            </w:r>
          </w:p>
        </w:tc>
        <w:tc>
          <w:tcPr>
            <w:tcW w:w="2963" w:type="dxa"/>
            <w:vAlign w:val="center"/>
          </w:tcPr>
          <w:p w14:paraId="2B0D9EB4">
            <w:pPr>
              <w:keepNext w:val="0"/>
              <w:keepLines w:val="0"/>
              <w:pageBreakBefore w:val="0"/>
              <w:widowControl w:val="0"/>
              <w:kinsoku/>
              <w:wordWrap/>
              <w:overflowPunct/>
              <w:topLinePunct w:val="0"/>
              <w:autoSpaceDE/>
              <w:autoSpaceDN/>
              <w:bidi w:val="0"/>
              <w:adjustRightInd/>
              <w:snapToGrid/>
              <w:spacing w:line="460" w:lineRule="exact"/>
              <w:ind w:right="-67" w:rightChars="-32"/>
              <w:textAlignment w:val="auto"/>
              <w:rPr>
                <w:rFonts w:hint="eastAsia" w:eastAsia="仿宋_GB2312"/>
                <w:bCs/>
                <w:sz w:val="28"/>
                <w:szCs w:val="28"/>
                <w:highlight w:val="none"/>
                <w:lang w:val="en-US" w:eastAsia="zh-CN"/>
              </w:rPr>
            </w:pPr>
            <w:r>
              <w:rPr>
                <w:rFonts w:hint="eastAsia" w:eastAsia="仿宋_GB2312"/>
                <w:bCs/>
                <w:sz w:val="28"/>
                <w:szCs w:val="28"/>
                <w:highlight w:val="none"/>
                <w:lang w:val="en-US" w:eastAsia="zh-CN"/>
              </w:rPr>
              <w:t>磁体脱落与误吞/锐利边缘</w:t>
            </w:r>
          </w:p>
        </w:tc>
        <w:tc>
          <w:tcPr>
            <w:tcW w:w="2770" w:type="dxa"/>
          </w:tcPr>
          <w:p w14:paraId="60F432D5">
            <w:pPr>
              <w:keepNext w:val="0"/>
              <w:keepLines w:val="0"/>
              <w:pageBreakBefore w:val="0"/>
              <w:widowControl w:val="0"/>
              <w:kinsoku/>
              <w:wordWrap/>
              <w:overflowPunct/>
              <w:topLinePunct w:val="0"/>
              <w:autoSpaceDE/>
              <w:autoSpaceDN/>
              <w:bidi w:val="0"/>
              <w:adjustRightInd/>
              <w:snapToGrid/>
              <w:spacing w:line="460" w:lineRule="exact"/>
              <w:ind w:right="-67" w:rightChars="-32"/>
              <w:textAlignment w:val="auto"/>
              <w:rPr>
                <w:rFonts w:hint="eastAsia" w:eastAsia="仿宋_GB2312"/>
                <w:bCs/>
                <w:sz w:val="28"/>
                <w:szCs w:val="28"/>
                <w:highlight w:val="none"/>
                <w:lang w:val="en-US" w:eastAsia="zh-CN"/>
              </w:rPr>
            </w:pPr>
            <w:r>
              <w:rPr>
                <w:rFonts w:hint="eastAsia" w:eastAsia="仿宋_GB2312"/>
                <w:bCs/>
                <w:sz w:val="28"/>
                <w:szCs w:val="28"/>
                <w:highlight w:val="none"/>
                <w:lang w:val="en-US" w:eastAsia="zh-CN"/>
              </w:rPr>
              <w:t>小型磁疗扣或可拆卸磁片在家庭活动中松动脱落，被婴幼儿误吞导致肠穿孔；磁疗器具边缘锐利划伤皮肤</w:t>
            </w:r>
          </w:p>
        </w:tc>
      </w:tr>
      <w:tr w14:paraId="2F806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5" w:hRule="atLeast"/>
          <w:jc w:val="center"/>
        </w:trPr>
        <w:tc>
          <w:tcPr>
            <w:tcW w:w="1079" w:type="dxa"/>
            <w:vMerge w:val="continue"/>
            <w:vAlign w:val="center"/>
          </w:tcPr>
          <w:p w14:paraId="461D3873">
            <w:pPr>
              <w:keepNext w:val="0"/>
              <w:keepLines w:val="0"/>
              <w:pageBreakBefore w:val="0"/>
              <w:widowControl w:val="0"/>
              <w:kinsoku/>
              <w:wordWrap/>
              <w:overflowPunct/>
              <w:topLinePunct w:val="0"/>
              <w:autoSpaceDE/>
              <w:autoSpaceDN/>
              <w:bidi w:val="0"/>
              <w:adjustRightInd/>
              <w:snapToGrid/>
              <w:spacing w:line="460" w:lineRule="exact"/>
              <w:ind w:right="-67" w:rightChars="-32"/>
              <w:textAlignment w:val="auto"/>
              <w:rPr>
                <w:rFonts w:eastAsia="仿宋_GB2312"/>
                <w:bCs/>
                <w:sz w:val="28"/>
                <w:szCs w:val="28"/>
                <w:highlight w:val="yellow"/>
              </w:rPr>
            </w:pPr>
          </w:p>
        </w:tc>
        <w:tc>
          <w:tcPr>
            <w:tcW w:w="1483" w:type="dxa"/>
            <w:vAlign w:val="center"/>
          </w:tcPr>
          <w:p w14:paraId="734124C1">
            <w:pPr>
              <w:keepNext w:val="0"/>
              <w:keepLines w:val="0"/>
              <w:pageBreakBefore w:val="0"/>
              <w:widowControl w:val="0"/>
              <w:kinsoku/>
              <w:wordWrap/>
              <w:overflowPunct/>
              <w:topLinePunct w:val="0"/>
              <w:autoSpaceDE/>
              <w:autoSpaceDN/>
              <w:bidi w:val="0"/>
              <w:adjustRightInd/>
              <w:snapToGrid/>
              <w:spacing w:line="460" w:lineRule="exact"/>
              <w:textAlignment w:val="auto"/>
              <w:rPr>
                <w:rFonts w:eastAsia="仿宋_GB2312"/>
                <w:bCs/>
                <w:sz w:val="28"/>
                <w:szCs w:val="28"/>
                <w:highlight w:val="yellow"/>
              </w:rPr>
            </w:pPr>
            <w:r>
              <w:rPr>
                <w:rFonts w:eastAsia="仿宋_GB2312"/>
                <w:bCs/>
                <w:sz w:val="28"/>
                <w:szCs w:val="28"/>
                <w:highlight w:val="none"/>
              </w:rPr>
              <w:t>忽视说明书中禁忌</w:t>
            </w:r>
            <w:r>
              <w:rPr>
                <w:rFonts w:hint="eastAsia" w:eastAsia="仿宋_GB2312"/>
                <w:bCs/>
                <w:sz w:val="28"/>
                <w:szCs w:val="28"/>
                <w:highlight w:val="none"/>
              </w:rPr>
              <w:t>证</w:t>
            </w:r>
            <w:r>
              <w:rPr>
                <w:rFonts w:eastAsia="仿宋_GB2312"/>
                <w:bCs/>
                <w:sz w:val="28"/>
                <w:szCs w:val="28"/>
                <w:highlight w:val="none"/>
              </w:rPr>
              <w:t>、警示信息等内容</w:t>
            </w:r>
          </w:p>
        </w:tc>
        <w:tc>
          <w:tcPr>
            <w:tcW w:w="2963" w:type="dxa"/>
            <w:vAlign w:val="center"/>
          </w:tcPr>
          <w:p w14:paraId="545321A2">
            <w:pPr>
              <w:keepNext w:val="0"/>
              <w:keepLines w:val="0"/>
              <w:pageBreakBefore w:val="0"/>
              <w:widowControl w:val="0"/>
              <w:kinsoku/>
              <w:wordWrap/>
              <w:overflowPunct/>
              <w:topLinePunct w:val="0"/>
              <w:autoSpaceDE/>
              <w:autoSpaceDN/>
              <w:bidi w:val="0"/>
              <w:adjustRightInd/>
              <w:snapToGrid/>
              <w:spacing w:line="460" w:lineRule="exact"/>
              <w:ind w:right="-67" w:rightChars="-32"/>
              <w:textAlignment w:val="auto"/>
              <w:rPr>
                <w:rFonts w:eastAsia="仿宋_GB2312"/>
                <w:bCs/>
                <w:sz w:val="28"/>
                <w:szCs w:val="28"/>
                <w:highlight w:val="yellow"/>
              </w:rPr>
            </w:pPr>
            <w:r>
              <w:rPr>
                <w:rFonts w:eastAsia="仿宋_GB2312"/>
                <w:bCs/>
                <w:sz w:val="28"/>
                <w:szCs w:val="28"/>
                <w:highlight w:val="none"/>
              </w:rPr>
              <w:t>患者在使用过程中出现过敏；产品接触到</w:t>
            </w:r>
            <w:r>
              <w:rPr>
                <w:rFonts w:hint="eastAsia" w:eastAsia="仿宋_GB2312"/>
                <w:bCs/>
                <w:sz w:val="28"/>
                <w:szCs w:val="28"/>
                <w:highlight w:val="none"/>
                <w:lang w:eastAsia="zh-CN"/>
              </w:rPr>
              <w:t>皮肤破损或有炎症</w:t>
            </w:r>
            <w:r>
              <w:rPr>
                <w:rFonts w:eastAsia="仿宋_GB2312"/>
                <w:bCs/>
                <w:sz w:val="28"/>
                <w:szCs w:val="28"/>
                <w:highlight w:val="none"/>
              </w:rPr>
              <w:t>等其他部位</w:t>
            </w:r>
          </w:p>
        </w:tc>
        <w:tc>
          <w:tcPr>
            <w:tcW w:w="2770" w:type="dxa"/>
            <w:vAlign w:val="center"/>
          </w:tcPr>
          <w:p w14:paraId="1DAB0286">
            <w:pPr>
              <w:keepNext w:val="0"/>
              <w:keepLines w:val="0"/>
              <w:pageBreakBefore w:val="0"/>
              <w:widowControl w:val="0"/>
              <w:kinsoku/>
              <w:wordWrap/>
              <w:overflowPunct/>
              <w:topLinePunct w:val="0"/>
              <w:autoSpaceDE/>
              <w:autoSpaceDN/>
              <w:bidi w:val="0"/>
              <w:adjustRightInd/>
              <w:snapToGrid/>
              <w:spacing w:line="460" w:lineRule="exact"/>
              <w:ind w:right="-67" w:rightChars="-32"/>
              <w:textAlignment w:val="auto"/>
              <w:rPr>
                <w:rFonts w:hint="eastAsia" w:eastAsia="仿宋_GB2312"/>
                <w:bCs/>
                <w:sz w:val="28"/>
                <w:szCs w:val="28"/>
                <w:highlight w:val="yellow"/>
                <w:lang w:eastAsia="zh-CN"/>
              </w:rPr>
            </w:pPr>
            <w:r>
              <w:rPr>
                <w:rFonts w:hint="eastAsia" w:eastAsia="仿宋_GB2312"/>
                <w:bCs/>
                <w:sz w:val="28"/>
                <w:szCs w:val="28"/>
                <w:highlight w:val="none"/>
                <w:lang w:eastAsia="zh-CN"/>
              </w:rPr>
              <w:t>导致引起额外伤害</w:t>
            </w:r>
          </w:p>
        </w:tc>
      </w:tr>
    </w:tbl>
    <w:p w14:paraId="7BE42C42">
      <w:pPr>
        <w:adjustRightInd w:val="0"/>
        <w:snapToGrid w:val="0"/>
        <w:spacing w:line="520" w:lineRule="exact"/>
        <w:ind w:firstLine="636" w:firstLineChars="200"/>
        <w:rPr>
          <w:rFonts w:hint="eastAsia" w:ascii="仿宋_GB2312" w:eastAsia="仿宋_GB2312" w:cs="仿宋_GB2312"/>
          <w:sz w:val="32"/>
          <w:szCs w:val="32"/>
          <w:lang w:eastAsia="zh-CN" w:bidi="ar"/>
        </w:rPr>
      </w:pPr>
      <w:bookmarkStart w:id="0" w:name="_GoBack"/>
      <w:bookmarkEnd w:id="0"/>
      <w:r>
        <w:rPr>
          <w:rFonts w:hint="eastAsia" w:eastAsia="仿宋_GB2312"/>
          <w:color w:val="000000"/>
          <w:spacing w:val="-1"/>
          <w:sz w:val="32"/>
          <w:szCs w:val="32"/>
        </w:rPr>
        <w:t>注册申请人</w:t>
      </w:r>
      <w:r>
        <w:rPr>
          <w:rFonts w:eastAsia="仿宋_GB2312"/>
          <w:color w:val="000000"/>
          <w:spacing w:val="-1"/>
          <w:sz w:val="32"/>
          <w:szCs w:val="32"/>
        </w:rPr>
        <w:t>还应根据自身产品特点确定其他危害，可通过产品设计控制、产品原材料选择、产品技术性能指标的制定、正确的标签标识、生产和检验控制、产品说明书等多项措施以降低风险至可接受水平。</w:t>
      </w:r>
    </w:p>
    <w:p w14:paraId="07B134FF">
      <w:pPr>
        <w:spacing w:line="520" w:lineRule="exact"/>
        <w:ind w:firstLine="640" w:firstLineChars="200"/>
        <w:rPr>
          <w:rFonts w:eastAsia="仿宋_GB2312"/>
          <w:sz w:val="32"/>
          <w:szCs w:val="32"/>
        </w:rPr>
      </w:pPr>
      <w:r>
        <w:rPr>
          <w:rFonts w:eastAsia="仿宋_GB2312"/>
          <w:sz w:val="32"/>
          <w:szCs w:val="32"/>
          <w:lang w:bidi="ar"/>
        </w:rPr>
        <w:t>2.</w:t>
      </w:r>
      <w:r>
        <w:rPr>
          <w:rFonts w:ascii="仿宋_GB2312" w:eastAsia="仿宋_GB2312" w:cs="仿宋_GB2312"/>
          <w:sz w:val="32"/>
          <w:szCs w:val="32"/>
          <w:lang w:bidi="ar"/>
        </w:rPr>
        <w:t>医疗器械安全和性能基本原则清单</w:t>
      </w:r>
    </w:p>
    <w:p w14:paraId="2CC1A5A7">
      <w:pPr>
        <w:spacing w:line="520" w:lineRule="exact"/>
        <w:ind w:firstLine="640" w:firstLineChars="200"/>
        <w:rPr>
          <w:rFonts w:ascii="仿宋_GB2312" w:eastAsia="仿宋_GB2312" w:cs="仿宋_GB2312"/>
          <w:sz w:val="32"/>
          <w:szCs w:val="32"/>
          <w:lang w:bidi="ar"/>
        </w:rPr>
      </w:pPr>
      <w:r>
        <w:rPr>
          <w:rFonts w:ascii="仿宋_GB2312" w:eastAsia="仿宋_GB2312" w:cs="仿宋_GB2312"/>
          <w:sz w:val="32"/>
          <w:szCs w:val="32"/>
          <w:lang w:bidi="ar"/>
        </w:rPr>
        <w:t>应结合申报产品自身特点说明申报产品符合《医疗器械安全和性能基本原则清单》各项适用要求所采用的方法，以及证明其符合性的文件。</w:t>
      </w:r>
    </w:p>
    <w:p w14:paraId="4FFC3B15">
      <w:pPr>
        <w:spacing w:line="520" w:lineRule="exact"/>
        <w:ind w:firstLine="640" w:firstLineChars="200"/>
        <w:rPr>
          <w:rFonts w:eastAsia="仿宋_GB2312"/>
          <w:sz w:val="32"/>
          <w:szCs w:val="32"/>
        </w:rPr>
      </w:pPr>
      <w:r>
        <w:rPr>
          <w:rFonts w:eastAsia="仿宋_GB2312"/>
          <w:sz w:val="32"/>
          <w:szCs w:val="32"/>
          <w:lang w:bidi="ar"/>
        </w:rPr>
        <w:t>3.</w:t>
      </w:r>
      <w:r>
        <w:rPr>
          <w:rFonts w:ascii="仿宋_GB2312" w:eastAsia="仿宋_GB2312" w:cs="仿宋_GB2312"/>
          <w:sz w:val="32"/>
          <w:szCs w:val="32"/>
          <w:lang w:bidi="ar"/>
        </w:rPr>
        <w:t>产品技术要求及检验报告</w:t>
      </w:r>
    </w:p>
    <w:p w14:paraId="1197568D">
      <w:pPr>
        <w:spacing w:line="520" w:lineRule="exact"/>
        <w:ind w:firstLine="640" w:firstLineChars="200"/>
        <w:rPr>
          <w:rFonts w:ascii="仿宋_GB2312" w:eastAsia="仿宋_GB2312" w:cs="仿宋_GB2312"/>
          <w:sz w:val="32"/>
          <w:szCs w:val="32"/>
          <w:lang w:bidi="ar"/>
        </w:rPr>
      </w:pPr>
      <w:r>
        <w:rPr>
          <w:rFonts w:hint="eastAsia" w:ascii="仿宋_GB2312" w:eastAsia="仿宋_GB2312" w:cs="仿宋_GB2312"/>
          <w:sz w:val="32"/>
          <w:szCs w:val="32"/>
          <w:lang w:bidi="ar"/>
        </w:rPr>
        <w:t>产品技术要求中试验方法需依据有关国家标准、行业标准、国际标准制订，或试验方法经过验证。</w:t>
      </w:r>
    </w:p>
    <w:p w14:paraId="5867B602">
      <w:pPr>
        <w:spacing w:line="520" w:lineRule="exact"/>
        <w:ind w:firstLine="640" w:firstLineChars="200"/>
        <w:rPr>
          <w:rFonts w:eastAsia="仿宋_GB2312"/>
          <w:sz w:val="32"/>
          <w:szCs w:val="32"/>
        </w:rPr>
      </w:pPr>
      <w:r>
        <w:rPr>
          <w:rFonts w:hint="eastAsia" w:eastAsia="仿宋_GB2312"/>
          <w:sz w:val="32"/>
          <w:szCs w:val="32"/>
        </w:rPr>
        <w:t>3.1产品型号/规格及其划分的说明</w:t>
      </w:r>
    </w:p>
    <w:p w14:paraId="6E4D3149">
      <w:pPr>
        <w:spacing w:line="520" w:lineRule="exact"/>
        <w:ind w:firstLine="640" w:firstLineChars="200"/>
        <w:rPr>
          <w:rFonts w:eastAsia="仿宋_GB2312"/>
          <w:sz w:val="32"/>
          <w:szCs w:val="32"/>
        </w:rPr>
      </w:pPr>
      <w:r>
        <w:rPr>
          <w:rFonts w:hint="eastAsia" w:eastAsia="仿宋_GB2312"/>
          <w:sz w:val="32"/>
          <w:szCs w:val="32"/>
        </w:rPr>
        <w:t>列表说明产品的型号、规格，明确产品型号、规格的划分说明。需包含以下产品相关信息：</w:t>
      </w:r>
    </w:p>
    <w:p w14:paraId="287BA841">
      <w:pPr>
        <w:spacing w:line="520" w:lineRule="exact"/>
        <w:ind w:firstLine="640" w:firstLineChars="200"/>
        <w:rPr>
          <w:rFonts w:eastAsia="仿宋_GB2312"/>
          <w:sz w:val="32"/>
          <w:szCs w:val="32"/>
        </w:rPr>
      </w:pPr>
      <w:r>
        <w:rPr>
          <w:rFonts w:hint="eastAsia" w:eastAsia="仿宋_GB2312"/>
          <w:sz w:val="32"/>
          <w:szCs w:val="32"/>
        </w:rPr>
        <w:t>3.1.1提供各型号产品的结构图并标识关键尺寸。</w:t>
      </w:r>
    </w:p>
    <w:p w14:paraId="28084129">
      <w:pPr>
        <w:spacing w:line="520" w:lineRule="exact"/>
        <w:ind w:firstLine="640" w:firstLineChars="200"/>
        <w:rPr>
          <w:rFonts w:eastAsia="仿宋_GB2312"/>
          <w:sz w:val="32"/>
          <w:szCs w:val="32"/>
        </w:rPr>
      </w:pPr>
      <w:r>
        <w:rPr>
          <w:rFonts w:hint="eastAsia" w:eastAsia="仿宋_GB2312"/>
          <w:sz w:val="32"/>
          <w:szCs w:val="32"/>
        </w:rPr>
        <w:t xml:space="preserve">3.1.2提供产品关键尺寸信息，如长度、宽度、高度、直径等。         </w:t>
      </w:r>
    </w:p>
    <w:p w14:paraId="117CFB6B">
      <w:pPr>
        <w:spacing w:line="520" w:lineRule="exact"/>
        <w:ind w:firstLine="640" w:firstLineChars="200"/>
        <w:rPr>
          <w:rFonts w:eastAsia="仿宋_GB2312"/>
          <w:sz w:val="32"/>
          <w:szCs w:val="32"/>
        </w:rPr>
      </w:pPr>
      <w:r>
        <w:rPr>
          <w:rFonts w:hint="eastAsia" w:eastAsia="仿宋_GB2312"/>
          <w:sz w:val="32"/>
          <w:szCs w:val="32"/>
        </w:rPr>
        <w:t xml:space="preserve"> 3.2性能指标</w:t>
      </w:r>
    </w:p>
    <w:p w14:paraId="5E2E1487">
      <w:pPr>
        <w:spacing w:line="520" w:lineRule="exact"/>
        <w:ind w:firstLine="640" w:firstLineChars="200"/>
        <w:rPr>
          <w:rFonts w:eastAsia="仿宋_GB2312"/>
          <w:sz w:val="32"/>
          <w:szCs w:val="32"/>
        </w:rPr>
      </w:pPr>
      <w:r>
        <w:rPr>
          <w:rFonts w:hint="eastAsia" w:eastAsia="仿宋_GB2312"/>
          <w:sz w:val="32"/>
          <w:szCs w:val="32"/>
        </w:rPr>
        <w:t>产品技术要求应包括但不局限于以下内容：</w:t>
      </w:r>
    </w:p>
    <w:p w14:paraId="47D6B68E">
      <w:pPr>
        <w:spacing w:line="520" w:lineRule="exact"/>
        <w:ind w:firstLine="640" w:firstLineChars="200"/>
        <w:rPr>
          <w:rFonts w:ascii="仿宋" w:hAnsi="仿宋" w:eastAsia="仿宋" w:cs="仿宋"/>
          <w:sz w:val="32"/>
          <w:szCs w:val="32"/>
          <w:lang w:bidi="ar"/>
        </w:rPr>
      </w:pPr>
      <w:r>
        <w:rPr>
          <w:rFonts w:hint="eastAsia" w:ascii="仿宋" w:hAnsi="仿宋" w:eastAsia="仿宋" w:cs="仿宋"/>
          <w:sz w:val="32"/>
          <w:szCs w:val="32"/>
          <w:lang w:bidi="ar"/>
        </w:rPr>
        <w:t>3.1.1产品外观要求。</w:t>
      </w:r>
    </w:p>
    <w:p w14:paraId="1C5F15D6">
      <w:pPr>
        <w:spacing w:line="520" w:lineRule="exact"/>
        <w:ind w:firstLine="640" w:firstLineChars="200"/>
        <w:rPr>
          <w:rFonts w:ascii="仿宋" w:hAnsi="仿宋" w:eastAsia="仿宋" w:cs="仿宋"/>
          <w:sz w:val="32"/>
          <w:szCs w:val="32"/>
          <w:lang w:bidi="ar"/>
        </w:rPr>
      </w:pPr>
      <w:r>
        <w:rPr>
          <w:rFonts w:hint="eastAsia" w:ascii="仿宋" w:hAnsi="仿宋" w:eastAsia="仿宋" w:cs="仿宋"/>
          <w:sz w:val="32"/>
          <w:szCs w:val="32"/>
          <w:lang w:bidi="ar"/>
        </w:rPr>
        <w:t>3.1.2产品尺寸、永磁体或磁性物质的尺寸及数量、磁体定位。</w:t>
      </w:r>
    </w:p>
    <w:p w14:paraId="106238C6">
      <w:pPr>
        <w:spacing w:line="520" w:lineRule="exact"/>
        <w:ind w:firstLine="640" w:firstLineChars="200"/>
        <w:rPr>
          <w:rFonts w:ascii="仿宋" w:hAnsi="仿宋" w:eastAsia="仿宋" w:cs="仿宋"/>
          <w:sz w:val="32"/>
          <w:szCs w:val="32"/>
          <w:lang w:bidi="ar"/>
        </w:rPr>
      </w:pPr>
      <w:r>
        <w:rPr>
          <w:rFonts w:hint="eastAsia" w:ascii="仿宋" w:hAnsi="仿宋" w:eastAsia="仿宋" w:cs="仿宋"/>
          <w:sz w:val="32"/>
          <w:szCs w:val="32"/>
          <w:lang w:bidi="ar"/>
        </w:rPr>
        <w:t>3.1.3持粘性</w:t>
      </w:r>
    </w:p>
    <w:p w14:paraId="46A3FD4B">
      <w:pPr>
        <w:spacing w:line="520" w:lineRule="exact"/>
        <w:ind w:firstLine="640" w:firstLineChars="200"/>
        <w:rPr>
          <w:rFonts w:hint="eastAsia" w:ascii="仿宋" w:hAnsi="仿宋" w:eastAsia="仿宋" w:cs="仿宋"/>
          <w:sz w:val="32"/>
          <w:szCs w:val="32"/>
          <w:lang w:bidi="ar"/>
        </w:rPr>
      </w:pPr>
      <w:r>
        <w:rPr>
          <w:rFonts w:hint="eastAsia" w:ascii="仿宋" w:hAnsi="仿宋" w:eastAsia="仿宋" w:cs="仿宋"/>
          <w:sz w:val="32"/>
          <w:szCs w:val="32"/>
          <w:lang w:bidi="ar"/>
        </w:rPr>
        <w:t>3.1.4剥离强度</w:t>
      </w:r>
    </w:p>
    <w:p w14:paraId="1F94854C">
      <w:pPr>
        <w:spacing w:line="520" w:lineRule="exact"/>
        <w:ind w:firstLine="640" w:firstLineChars="200"/>
        <w:rPr>
          <w:rFonts w:hint="eastAsia" w:ascii="仿宋" w:hAnsi="仿宋" w:eastAsia="仿宋" w:cs="仿宋"/>
          <w:sz w:val="32"/>
          <w:szCs w:val="32"/>
          <w:lang w:bidi="ar"/>
        </w:rPr>
      </w:pPr>
      <w:r>
        <w:rPr>
          <w:rFonts w:hint="eastAsia" w:ascii="仿宋" w:hAnsi="仿宋" w:eastAsia="仿宋" w:cs="仿宋"/>
          <w:sz w:val="32"/>
          <w:szCs w:val="32"/>
          <w:lang w:val="en-US" w:eastAsia="zh-CN" w:bidi="ar"/>
        </w:rPr>
        <w:t>3.1.5磁性物质的固定</w:t>
      </w:r>
    </w:p>
    <w:p w14:paraId="03F3A5D9">
      <w:pPr>
        <w:spacing w:line="520" w:lineRule="exact"/>
        <w:ind w:firstLine="640" w:firstLineChars="200"/>
        <w:rPr>
          <w:rFonts w:hint="eastAsia" w:ascii="仿宋" w:hAnsi="仿宋" w:eastAsia="仿宋" w:cs="仿宋"/>
          <w:sz w:val="32"/>
          <w:szCs w:val="32"/>
          <w:lang w:val="en-US" w:eastAsia="zh-CN" w:bidi="ar"/>
        </w:rPr>
      </w:pPr>
      <w:r>
        <w:rPr>
          <w:rFonts w:hint="eastAsia" w:ascii="仿宋" w:hAnsi="仿宋" w:eastAsia="仿宋" w:cs="仿宋"/>
          <w:sz w:val="32"/>
          <w:szCs w:val="32"/>
          <w:lang w:val="en-US" w:eastAsia="zh-CN" w:bidi="ar"/>
        </w:rPr>
        <w:t>3.1.6磁感应强度</w:t>
      </w:r>
    </w:p>
    <w:p w14:paraId="0098D933">
      <w:pPr>
        <w:spacing w:line="520" w:lineRule="exact"/>
        <w:ind w:firstLine="640" w:firstLineChars="200"/>
        <w:rPr>
          <w:rFonts w:hint="eastAsia" w:ascii="仿宋" w:hAnsi="仿宋" w:eastAsia="仿宋" w:cs="仿宋"/>
          <w:sz w:val="32"/>
          <w:szCs w:val="32"/>
          <w:lang w:val="en-US" w:eastAsia="zh-CN" w:bidi="ar"/>
        </w:rPr>
      </w:pPr>
      <w:r>
        <w:rPr>
          <w:rFonts w:hint="eastAsia" w:ascii="仿宋" w:hAnsi="仿宋" w:eastAsia="仿宋" w:cs="仿宋"/>
          <w:sz w:val="32"/>
          <w:szCs w:val="32"/>
          <w:lang w:val="en-US" w:eastAsia="zh-CN" w:bidi="ar"/>
        </w:rPr>
        <w:t>3.1.7需规定磁体表面磁感应强度及作用区域的磁场强度分布（需提供场强分布图、标准测试点和试验方法）。若产品明确表示磁场梯度的作用效果，则梯度方向的测试点应适当增加。</w:t>
      </w:r>
    </w:p>
    <w:p w14:paraId="044378F0">
      <w:pPr>
        <w:spacing w:line="520" w:lineRule="exact"/>
        <w:ind w:firstLine="640" w:firstLineChars="200"/>
        <w:rPr>
          <w:rFonts w:hint="eastAsia" w:ascii="仿宋" w:hAnsi="仿宋" w:eastAsia="仿宋" w:cs="仿宋"/>
          <w:sz w:val="32"/>
          <w:szCs w:val="32"/>
          <w:lang w:val="en-US" w:eastAsia="zh-CN" w:bidi="ar"/>
        </w:rPr>
      </w:pPr>
      <w:r>
        <w:rPr>
          <w:rFonts w:hint="eastAsia" w:ascii="仿宋" w:hAnsi="仿宋" w:eastAsia="仿宋" w:cs="仿宋"/>
          <w:sz w:val="32"/>
          <w:szCs w:val="32"/>
          <w:lang w:val="en-US" w:eastAsia="zh-CN" w:bidi="ar"/>
        </w:rPr>
        <w:t>3.1.8重金属（以铅离子计）</w:t>
      </w:r>
    </w:p>
    <w:p w14:paraId="7003287A">
      <w:pPr>
        <w:spacing w:line="520" w:lineRule="exact"/>
        <w:ind w:firstLine="640" w:firstLineChars="200"/>
        <w:rPr>
          <w:rFonts w:hint="default" w:ascii="仿宋" w:hAnsi="仿宋" w:eastAsia="仿宋" w:cs="仿宋"/>
          <w:sz w:val="32"/>
          <w:szCs w:val="32"/>
          <w:lang w:val="en-US" w:eastAsia="zh-CN" w:bidi="ar"/>
        </w:rPr>
      </w:pPr>
      <w:r>
        <w:rPr>
          <w:rFonts w:hint="eastAsia" w:ascii="仿宋" w:hAnsi="仿宋" w:eastAsia="仿宋" w:cs="仿宋"/>
          <w:sz w:val="32"/>
          <w:szCs w:val="32"/>
          <w:lang w:val="en-US" w:eastAsia="zh-CN" w:bidi="ar"/>
        </w:rPr>
        <w:t>3.1.9残留物</w:t>
      </w:r>
    </w:p>
    <w:p w14:paraId="2E5D2E6E">
      <w:pPr>
        <w:spacing w:line="520" w:lineRule="exact"/>
        <w:ind w:firstLine="640" w:firstLineChars="200"/>
        <w:rPr>
          <w:rFonts w:hint="eastAsia" w:ascii="仿宋" w:hAnsi="仿宋" w:eastAsia="仿宋" w:cs="仿宋"/>
          <w:sz w:val="32"/>
          <w:szCs w:val="32"/>
          <w:highlight w:val="none"/>
          <w:lang w:bidi="ar"/>
        </w:rPr>
      </w:pPr>
      <w:r>
        <w:rPr>
          <w:rFonts w:hint="eastAsia" w:ascii="仿宋" w:hAnsi="仿宋" w:eastAsia="仿宋" w:cs="仿宋"/>
          <w:sz w:val="32"/>
          <w:szCs w:val="32"/>
          <w:lang w:val="en-US" w:eastAsia="zh-CN" w:bidi="ar"/>
        </w:rPr>
        <w:t>3.1.</w:t>
      </w:r>
      <w:r>
        <w:rPr>
          <w:rFonts w:hint="default" w:ascii="仿宋" w:hAnsi="仿宋" w:eastAsia="仿宋" w:cs="仿宋"/>
          <w:sz w:val="32"/>
          <w:szCs w:val="32"/>
          <w:highlight w:val="none"/>
          <w:lang w:val="en-US" w:eastAsia="zh-CN" w:bidi="ar"/>
        </w:rPr>
        <w:t>10</w:t>
      </w:r>
      <w:r>
        <w:rPr>
          <w:rFonts w:hint="eastAsia" w:ascii="仿宋" w:hAnsi="仿宋" w:eastAsia="仿宋" w:cs="仿宋"/>
          <w:sz w:val="32"/>
          <w:szCs w:val="32"/>
          <w:highlight w:val="none"/>
          <w:lang w:bidi="ar"/>
        </w:rPr>
        <w:t>阻水性（声称具有阻水性）</w:t>
      </w:r>
    </w:p>
    <w:p w14:paraId="566676E8">
      <w:pPr>
        <w:spacing w:line="520" w:lineRule="exact"/>
        <w:ind w:firstLine="640" w:firstLineChars="200"/>
        <w:rPr>
          <w:rFonts w:hint="eastAsia" w:ascii="仿宋" w:hAnsi="仿宋" w:eastAsia="仿宋" w:cs="仿宋"/>
          <w:sz w:val="32"/>
          <w:szCs w:val="32"/>
          <w:highlight w:val="none"/>
          <w:lang w:bidi="ar"/>
        </w:rPr>
      </w:pPr>
      <w:r>
        <w:rPr>
          <w:rFonts w:hint="eastAsia" w:ascii="仿宋" w:hAnsi="仿宋" w:eastAsia="仿宋" w:cs="仿宋"/>
          <w:sz w:val="32"/>
          <w:szCs w:val="32"/>
          <w:highlight w:val="none"/>
          <w:lang w:val="en-US" w:eastAsia="zh-CN" w:bidi="ar"/>
        </w:rPr>
        <w:t>3.1.</w:t>
      </w:r>
      <w:r>
        <w:rPr>
          <w:rFonts w:hint="default" w:ascii="仿宋" w:hAnsi="仿宋" w:eastAsia="仿宋" w:cs="仿宋"/>
          <w:sz w:val="32"/>
          <w:szCs w:val="32"/>
          <w:highlight w:val="none"/>
          <w:lang w:val="en-US" w:eastAsia="zh-CN" w:bidi="ar"/>
        </w:rPr>
        <w:t>11</w:t>
      </w:r>
      <w:r>
        <w:rPr>
          <w:rFonts w:hint="eastAsia" w:ascii="仿宋" w:hAnsi="仿宋" w:eastAsia="仿宋" w:cs="仿宋"/>
          <w:sz w:val="32"/>
          <w:szCs w:val="32"/>
          <w:highlight w:val="none"/>
          <w:lang w:bidi="ar"/>
        </w:rPr>
        <w:t>水蒸气透过性（声称具有透水蒸气性）</w:t>
      </w:r>
    </w:p>
    <w:p w14:paraId="29069A56">
      <w:pPr>
        <w:spacing w:line="520" w:lineRule="exact"/>
        <w:ind w:firstLine="640" w:firstLineChars="200"/>
        <w:rPr>
          <w:rFonts w:hint="eastAsia" w:ascii="仿宋" w:hAnsi="仿宋" w:eastAsia="仿宋" w:cs="仿宋"/>
          <w:sz w:val="32"/>
          <w:szCs w:val="32"/>
          <w:highlight w:val="none"/>
          <w:lang w:bidi="ar"/>
        </w:rPr>
      </w:pPr>
      <w:r>
        <w:rPr>
          <w:rFonts w:hint="eastAsia" w:ascii="仿宋" w:hAnsi="仿宋" w:eastAsia="仿宋" w:cs="仿宋"/>
          <w:sz w:val="32"/>
          <w:szCs w:val="32"/>
          <w:highlight w:val="none"/>
          <w:lang w:val="en-US" w:eastAsia="zh-CN" w:bidi="ar"/>
        </w:rPr>
        <w:t>3.1.</w:t>
      </w:r>
      <w:r>
        <w:rPr>
          <w:rFonts w:hint="default" w:ascii="仿宋" w:hAnsi="仿宋" w:eastAsia="仿宋" w:cs="仿宋"/>
          <w:sz w:val="32"/>
          <w:szCs w:val="32"/>
          <w:highlight w:val="none"/>
          <w:lang w:val="en-US" w:eastAsia="zh-CN" w:bidi="ar"/>
        </w:rPr>
        <w:t>12</w:t>
      </w:r>
      <w:r>
        <w:rPr>
          <w:rFonts w:hint="eastAsia" w:ascii="仿宋" w:hAnsi="仿宋" w:eastAsia="仿宋" w:cs="仿宋"/>
          <w:sz w:val="32"/>
          <w:szCs w:val="32"/>
          <w:highlight w:val="none"/>
          <w:lang w:bidi="ar"/>
        </w:rPr>
        <w:t>舒适性（声称具有舒适性）</w:t>
      </w:r>
    </w:p>
    <w:p w14:paraId="6C4AB2B5">
      <w:pPr>
        <w:spacing w:line="520" w:lineRule="exact"/>
        <w:ind w:firstLine="640" w:firstLineChars="200"/>
        <w:rPr>
          <w:rFonts w:ascii="仿宋" w:hAnsi="仿宋" w:eastAsia="仿宋" w:cs="仿宋"/>
          <w:sz w:val="32"/>
          <w:szCs w:val="32"/>
          <w:highlight w:val="none"/>
          <w:lang w:bidi="ar"/>
        </w:rPr>
      </w:pPr>
      <w:r>
        <w:rPr>
          <w:rFonts w:hint="eastAsia" w:ascii="仿宋" w:hAnsi="仿宋" w:eastAsia="仿宋" w:cs="仿宋"/>
          <w:sz w:val="32"/>
          <w:szCs w:val="32"/>
          <w:highlight w:val="none"/>
          <w:lang w:val="en-US" w:eastAsia="zh-CN" w:bidi="ar"/>
        </w:rPr>
        <w:t>3.1.</w:t>
      </w:r>
      <w:r>
        <w:rPr>
          <w:rFonts w:hint="default" w:ascii="仿宋" w:hAnsi="仿宋" w:eastAsia="仿宋" w:cs="仿宋"/>
          <w:sz w:val="32"/>
          <w:szCs w:val="32"/>
          <w:highlight w:val="none"/>
          <w:lang w:val="en-US" w:eastAsia="zh-CN" w:bidi="ar"/>
        </w:rPr>
        <w:t>13</w:t>
      </w:r>
      <w:r>
        <w:rPr>
          <w:rFonts w:hint="eastAsia" w:ascii="仿宋" w:hAnsi="仿宋" w:eastAsia="仿宋" w:cs="仿宋"/>
          <w:sz w:val="32"/>
          <w:szCs w:val="32"/>
          <w:highlight w:val="none"/>
          <w:lang w:bidi="ar"/>
        </w:rPr>
        <w:t>弹性（声称具有弹性）</w:t>
      </w:r>
    </w:p>
    <w:p w14:paraId="1F7D6196">
      <w:pPr>
        <w:spacing w:line="520" w:lineRule="exact"/>
        <w:ind w:firstLine="640" w:firstLineChars="200"/>
        <w:rPr>
          <w:rFonts w:ascii="仿宋" w:hAnsi="仿宋" w:eastAsia="仿宋" w:cs="仿宋"/>
          <w:sz w:val="32"/>
          <w:szCs w:val="32"/>
          <w:highlight w:val="none"/>
          <w:lang w:bidi="ar"/>
        </w:rPr>
      </w:pPr>
      <w:r>
        <w:rPr>
          <w:rFonts w:hint="eastAsia" w:ascii="仿宋" w:hAnsi="仿宋" w:eastAsia="仿宋" w:cs="仿宋"/>
          <w:sz w:val="32"/>
          <w:szCs w:val="32"/>
          <w:highlight w:val="none"/>
          <w:lang w:bidi="ar"/>
        </w:rPr>
        <w:t>3.1.</w:t>
      </w:r>
      <w:r>
        <w:rPr>
          <w:rFonts w:hint="default" w:ascii="仿宋" w:hAnsi="仿宋" w:eastAsia="仿宋" w:cs="仿宋"/>
          <w:sz w:val="32"/>
          <w:szCs w:val="32"/>
          <w:highlight w:val="none"/>
          <w:lang w:val="en-US" w:bidi="ar"/>
        </w:rPr>
        <w:t>14</w:t>
      </w:r>
      <w:r>
        <w:rPr>
          <w:rFonts w:hint="eastAsia" w:ascii="仿宋" w:hAnsi="仿宋" w:eastAsia="仿宋" w:cs="仿宋"/>
          <w:sz w:val="32"/>
          <w:szCs w:val="32"/>
          <w:highlight w:val="none"/>
          <w:lang w:bidi="ar"/>
        </w:rPr>
        <w:t>穴位施加装置的尺寸与形状适配性：对于磁疗贴、磁珠等固定于穴位的产品，其尺寸和形状应适配于目标穴位（如足三里、内关等）的解剖区域，不能影响邻近穴位或造成不当压迫。（</w:t>
      </w:r>
      <w:r>
        <w:rPr>
          <w:rFonts w:hint="eastAsia" w:ascii="仿宋" w:hAnsi="仿宋" w:eastAsia="仿宋" w:cs="仿宋"/>
          <w:sz w:val="32"/>
          <w:szCs w:val="32"/>
          <w:highlight w:val="none"/>
          <w:lang w:eastAsia="zh-CN" w:bidi="ar"/>
        </w:rPr>
        <w:t>如适用</w:t>
      </w:r>
      <w:r>
        <w:rPr>
          <w:rFonts w:hint="eastAsia" w:ascii="仿宋" w:hAnsi="仿宋" w:eastAsia="仿宋" w:cs="仿宋"/>
          <w:sz w:val="32"/>
          <w:szCs w:val="32"/>
          <w:highlight w:val="none"/>
          <w:lang w:bidi="ar"/>
        </w:rPr>
        <w:t>）</w:t>
      </w:r>
    </w:p>
    <w:p w14:paraId="7B4996DD">
      <w:pPr>
        <w:tabs>
          <w:tab w:val="left" w:pos="675"/>
        </w:tabs>
        <w:spacing w:line="520" w:lineRule="exact"/>
        <w:ind w:firstLine="640"/>
        <w:rPr>
          <w:rFonts w:eastAsia="Adobe 仿宋 Std R"/>
          <w:iCs/>
          <w:sz w:val="32"/>
        </w:rPr>
      </w:pPr>
      <w:r>
        <w:rPr>
          <w:rFonts w:hint="eastAsia" w:eastAsia="Adobe 仿宋 Std R"/>
          <w:iCs/>
          <w:sz w:val="32"/>
        </w:rPr>
        <w:t>3.3检验方法</w:t>
      </w:r>
    </w:p>
    <w:p w14:paraId="57C2C8E7">
      <w:pPr>
        <w:spacing w:line="520" w:lineRule="exact"/>
        <w:ind w:firstLine="640" w:firstLineChars="200"/>
        <w:rPr>
          <w:rFonts w:eastAsia="仿宋_GB2312"/>
          <w:sz w:val="32"/>
          <w:szCs w:val="32"/>
        </w:rPr>
      </w:pPr>
      <w:r>
        <w:rPr>
          <w:rFonts w:hint="eastAsia" w:eastAsia="仿宋_GB2312"/>
          <w:sz w:val="32"/>
          <w:szCs w:val="32"/>
        </w:rPr>
        <w:t>产品的检验方法需根据技术性能指标设定，检验方法需优先采用公认的或已颁布的标准检验方法；自建检验方法需提供相应的方法学依据及理论基础，同时保证检验方法具有可操作性和可重现性，必要时可附相应图示进行说明，文本较大的可以附录形式提供。</w:t>
      </w:r>
    </w:p>
    <w:p w14:paraId="69DEA628">
      <w:pPr>
        <w:spacing w:line="520" w:lineRule="exact"/>
        <w:ind w:firstLine="636" w:firstLineChars="200"/>
        <w:rPr>
          <w:rFonts w:eastAsia="仿宋_GB2312"/>
          <w:spacing w:val="-1"/>
          <w:sz w:val="32"/>
          <w:szCs w:val="32"/>
        </w:rPr>
      </w:pPr>
      <w:r>
        <w:rPr>
          <w:rFonts w:hint="eastAsia" w:eastAsia="仿宋_GB2312"/>
          <w:spacing w:val="-1"/>
          <w:sz w:val="32"/>
          <w:szCs w:val="32"/>
        </w:rPr>
        <w:t>3.4产品检验报告</w:t>
      </w:r>
    </w:p>
    <w:p w14:paraId="17AED094">
      <w:pPr>
        <w:spacing w:line="520" w:lineRule="exact"/>
        <w:ind w:firstLine="560" w:firstLineChars="200"/>
        <w:rPr>
          <w:rFonts w:eastAsia="仿宋_GB2312"/>
          <w:spacing w:val="-1"/>
          <w:sz w:val="32"/>
          <w:szCs w:val="32"/>
        </w:rPr>
      </w:pPr>
      <w:r>
        <w:rPr>
          <w:rFonts w:hint="eastAsia" w:eastAsia="仿宋_GB2312"/>
          <w:sz w:val="28"/>
          <w:szCs w:val="28"/>
        </w:rPr>
        <w:t xml:space="preserve"> </w:t>
      </w:r>
      <w:r>
        <w:rPr>
          <w:rFonts w:hint="eastAsia" w:eastAsia="仿宋_GB2312"/>
          <w:spacing w:val="-1"/>
          <w:sz w:val="32"/>
          <w:szCs w:val="32"/>
        </w:rPr>
        <w:t>应提供典型性样品声明与分析。同一注册单元中典型产品是指能够代表本注册单元内其他产品安全性和有效性的产品，其功能最齐全，结构最复杂，风险最高。</w:t>
      </w:r>
    </w:p>
    <w:p w14:paraId="6FF858CF">
      <w:pPr>
        <w:spacing w:line="520" w:lineRule="exact"/>
        <w:ind w:firstLine="636" w:firstLineChars="200"/>
        <w:rPr>
          <w:rFonts w:eastAsia="仿宋_GB2312"/>
          <w:spacing w:val="-1"/>
          <w:sz w:val="32"/>
          <w:szCs w:val="32"/>
        </w:rPr>
      </w:pPr>
      <w:r>
        <w:rPr>
          <w:rFonts w:hint="eastAsia" w:eastAsia="仿宋_GB2312"/>
          <w:spacing w:val="-1"/>
          <w:sz w:val="32"/>
          <w:szCs w:val="32"/>
        </w:rPr>
        <w:t>可提交以下任一形式的检验报告：</w:t>
      </w:r>
    </w:p>
    <w:p w14:paraId="3FF7584E">
      <w:pPr>
        <w:spacing w:line="520" w:lineRule="exact"/>
        <w:ind w:firstLine="636" w:firstLineChars="200"/>
        <w:rPr>
          <w:rFonts w:eastAsia="仿宋_GB2312"/>
          <w:spacing w:val="-1"/>
          <w:sz w:val="32"/>
          <w:szCs w:val="32"/>
        </w:rPr>
      </w:pPr>
      <w:r>
        <w:rPr>
          <w:rFonts w:hint="eastAsia" w:eastAsia="仿宋_GB2312"/>
          <w:spacing w:val="-1"/>
          <w:sz w:val="32"/>
          <w:szCs w:val="32"/>
        </w:rPr>
        <w:t>（1）委托有资质的医疗器械检验机构出具的检验报告。</w:t>
      </w:r>
    </w:p>
    <w:p w14:paraId="12281CF0">
      <w:pPr>
        <w:spacing w:line="520" w:lineRule="exact"/>
        <w:ind w:firstLine="636" w:firstLineChars="200"/>
        <w:rPr>
          <w:rFonts w:eastAsia="仿宋_GB2312"/>
          <w:spacing w:val="-1"/>
          <w:sz w:val="32"/>
          <w:szCs w:val="32"/>
        </w:rPr>
      </w:pPr>
      <w:r>
        <w:rPr>
          <w:rFonts w:hint="eastAsia" w:eastAsia="仿宋_GB2312"/>
          <w:spacing w:val="-1"/>
          <w:sz w:val="32"/>
          <w:szCs w:val="32"/>
        </w:rPr>
        <w:t>（2）申请人出具的自检报告。应按照《医疗器械注册自检管理规定》的要求提供相关资料。</w:t>
      </w:r>
    </w:p>
    <w:p w14:paraId="434E97E2">
      <w:pPr>
        <w:spacing w:line="520" w:lineRule="exact"/>
        <w:ind w:firstLine="636" w:firstLineChars="200"/>
        <w:rPr>
          <w:rFonts w:eastAsia="仿宋_GB2312"/>
          <w:spacing w:val="-1"/>
          <w:sz w:val="32"/>
          <w:szCs w:val="32"/>
        </w:rPr>
      </w:pPr>
      <w:r>
        <w:rPr>
          <w:rFonts w:hint="eastAsia" w:eastAsia="仿宋_GB2312"/>
          <w:spacing w:val="-1"/>
          <w:sz w:val="32"/>
          <w:szCs w:val="32"/>
        </w:rPr>
        <w:t>4.研究资料</w:t>
      </w:r>
    </w:p>
    <w:p w14:paraId="4F429942">
      <w:pPr>
        <w:spacing w:line="520" w:lineRule="exact"/>
        <w:ind w:firstLine="640" w:firstLineChars="200"/>
        <w:rPr>
          <w:rFonts w:ascii="仿宋" w:hAnsi="仿宋" w:eastAsia="仿宋" w:cs="仿宋"/>
          <w:sz w:val="32"/>
          <w:szCs w:val="32"/>
        </w:rPr>
      </w:pPr>
      <w:r>
        <w:rPr>
          <w:rFonts w:hint="eastAsia" w:ascii="仿宋" w:hAnsi="仿宋" w:eastAsia="仿宋" w:cs="仿宋"/>
          <w:sz w:val="32"/>
          <w:szCs w:val="32"/>
          <w:lang w:bidi="ar"/>
        </w:rPr>
        <w:t>4.1产品性能研究</w:t>
      </w:r>
    </w:p>
    <w:p w14:paraId="18EE0AD5">
      <w:pPr>
        <w:numPr>
          <w:ilvl w:val="0"/>
          <w:numId w:val="2"/>
        </w:numPr>
        <w:spacing w:line="520" w:lineRule="exact"/>
        <w:ind w:firstLine="640" w:firstLineChars="200"/>
        <w:rPr>
          <w:rFonts w:ascii="仿宋" w:hAnsi="仿宋" w:eastAsia="仿宋" w:cs="仿宋"/>
          <w:sz w:val="32"/>
          <w:szCs w:val="32"/>
          <w:lang w:bidi="ar"/>
        </w:rPr>
      </w:pPr>
      <w:r>
        <w:rPr>
          <w:rFonts w:hint="eastAsia" w:ascii="仿宋" w:hAnsi="仿宋" w:eastAsia="仿宋" w:cs="仿宋"/>
          <w:sz w:val="32"/>
          <w:szCs w:val="32"/>
          <w:lang w:bidi="ar"/>
        </w:rPr>
        <w:t>化学和物理性能研究应当提供产品性能指标的确定依据、设计输入来源以及临床意义，所采用的标准或方法、采用的原因及理论基础。应补充不同证型对应不同穴位组的刺激参数、不同磁疗参数与“证型”的匹配性相关研究资料。</w:t>
      </w:r>
    </w:p>
    <w:p w14:paraId="5C83ABCE">
      <w:pPr>
        <w:numPr>
          <w:ilvl w:val="0"/>
          <w:numId w:val="2"/>
        </w:numPr>
        <w:spacing w:line="520" w:lineRule="exact"/>
        <w:ind w:firstLine="640" w:firstLineChars="200"/>
        <w:rPr>
          <w:rFonts w:ascii="仿宋" w:hAnsi="仿宋" w:eastAsia="仿宋" w:cs="仿宋"/>
          <w:sz w:val="32"/>
          <w:szCs w:val="32"/>
          <w:lang w:bidi="ar"/>
        </w:rPr>
      </w:pPr>
      <w:r>
        <w:rPr>
          <w:rFonts w:hint="eastAsia" w:ascii="仿宋" w:hAnsi="仿宋" w:eastAsia="仿宋" w:cs="仿宋"/>
          <w:sz w:val="32"/>
          <w:szCs w:val="32"/>
          <w:lang w:bidi="ar"/>
        </w:rPr>
        <w:t>要对磁疗效果进行验证，例如表面磁感应强度、磁场分布的梯度，根据实际的研究资料画出磁场分布图。</w:t>
      </w:r>
    </w:p>
    <w:p w14:paraId="72355801">
      <w:pPr>
        <w:numPr>
          <w:ilvl w:val="0"/>
          <w:numId w:val="2"/>
        </w:numPr>
        <w:spacing w:line="520" w:lineRule="exact"/>
        <w:ind w:firstLine="640" w:firstLineChars="200"/>
        <w:rPr>
          <w:rFonts w:ascii="仿宋" w:hAnsi="仿宋" w:eastAsia="仿宋" w:cs="仿宋"/>
          <w:sz w:val="32"/>
          <w:szCs w:val="32"/>
          <w:lang w:bidi="ar"/>
        </w:rPr>
      </w:pPr>
      <w:r>
        <w:rPr>
          <w:rFonts w:hint="eastAsia" w:ascii="仿宋" w:hAnsi="仿宋" w:eastAsia="仿宋" w:cs="仿宋"/>
          <w:sz w:val="32"/>
          <w:szCs w:val="32"/>
          <w:lang w:bidi="ar"/>
        </w:rPr>
        <w:t>应提供申请人所宣称的磁场强度的深度能够到达病灶部位或者能够对该穴位有磁疗效果的研究资料。</w:t>
      </w:r>
    </w:p>
    <w:p w14:paraId="2878ED68">
      <w:pPr>
        <w:spacing w:line="520" w:lineRule="exact"/>
        <w:ind w:firstLine="640" w:firstLineChars="200"/>
        <w:rPr>
          <w:rFonts w:ascii="仿宋" w:hAnsi="仿宋" w:eastAsia="仿宋" w:cs="仿宋"/>
          <w:sz w:val="32"/>
          <w:szCs w:val="32"/>
          <w:lang w:bidi="ar"/>
        </w:rPr>
      </w:pPr>
      <w:r>
        <w:rPr>
          <w:rFonts w:hint="eastAsia" w:ascii="仿宋" w:hAnsi="仿宋" w:eastAsia="仿宋" w:cs="仿宋"/>
          <w:sz w:val="32"/>
          <w:szCs w:val="32"/>
          <w:lang w:bidi="ar"/>
        </w:rPr>
        <w:t>4.2生物学特性研究</w:t>
      </w:r>
    </w:p>
    <w:p w14:paraId="530939E0">
      <w:pPr>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穴位磁疗器具与人体完好皮肤接触，应按照标准GB/T 16886对产品进行生物学评价，并提交生物学评价报告。生物学评价过程中，应明确穴位磁疗器具产品与人体接触组件的材料性质，应明确与人体接触的性质和时间。生物学评价终点的选择通常包括细胞毒性试验、皮肤致敏试验及皮肤刺激反应试验。</w:t>
      </w:r>
    </w:p>
    <w:p w14:paraId="19E77944">
      <w:pPr>
        <w:spacing w:line="520" w:lineRule="exact"/>
        <w:ind w:firstLine="640" w:firstLineChars="200"/>
        <w:rPr>
          <w:rFonts w:ascii="仿宋" w:hAnsi="仿宋" w:eastAsia="仿宋" w:cs="仿宋"/>
          <w:sz w:val="32"/>
          <w:szCs w:val="32"/>
          <w:lang w:bidi="ar"/>
        </w:rPr>
      </w:pPr>
      <w:r>
        <w:rPr>
          <w:rFonts w:hint="eastAsia" w:ascii="仿宋" w:hAnsi="仿宋" w:eastAsia="仿宋" w:cs="仿宋"/>
          <w:sz w:val="32"/>
          <w:szCs w:val="32"/>
          <w:lang w:bidi="ar"/>
        </w:rPr>
        <w:t>4.3产品稳定性研究</w:t>
      </w:r>
    </w:p>
    <w:p w14:paraId="7E68DC29">
      <w:pPr>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4.3.1货</w:t>
      </w:r>
      <w:r>
        <w:rPr>
          <w:rFonts w:hint="eastAsia" w:ascii="仿宋" w:hAnsi="仿宋" w:eastAsia="仿宋" w:cs="仿宋"/>
          <w:sz w:val="32"/>
          <w:szCs w:val="32"/>
          <w:lang w:bidi="ar"/>
        </w:rPr>
        <w:t>架有效期</w:t>
      </w:r>
    </w:p>
    <w:p w14:paraId="55AA88C9">
      <w:pPr>
        <w:spacing w:line="520" w:lineRule="exact"/>
        <w:ind w:firstLine="640" w:firstLineChars="200"/>
        <w:rPr>
          <w:rFonts w:ascii="仿宋" w:hAnsi="仿宋" w:eastAsia="仿宋" w:cs="仿宋"/>
          <w:kern w:val="0"/>
          <w:sz w:val="32"/>
          <w:szCs w:val="32"/>
        </w:rPr>
      </w:pPr>
      <w:r>
        <w:rPr>
          <w:rFonts w:hint="eastAsia" w:ascii="仿宋" w:hAnsi="仿宋" w:eastAsia="仿宋" w:cs="仿宋"/>
          <w:kern w:val="0"/>
          <w:sz w:val="32"/>
          <w:szCs w:val="32"/>
        </w:rPr>
        <w:t>产品货架有效期验证可采用实时稳定性试验或加速稳定性试验。</w:t>
      </w:r>
    </w:p>
    <w:p w14:paraId="1F6F3BFB">
      <w:pPr>
        <w:spacing w:line="520" w:lineRule="exact"/>
        <w:ind w:firstLine="640" w:firstLineChars="200"/>
        <w:rPr>
          <w:rFonts w:ascii="仿宋" w:hAnsi="仿宋" w:eastAsia="仿宋" w:cs="仿宋"/>
          <w:kern w:val="0"/>
          <w:sz w:val="32"/>
          <w:szCs w:val="32"/>
        </w:rPr>
      </w:pPr>
      <w:r>
        <w:rPr>
          <w:rFonts w:hint="eastAsia" w:ascii="仿宋" w:hAnsi="仿宋" w:eastAsia="仿宋" w:cs="仿宋"/>
          <w:kern w:val="0"/>
          <w:sz w:val="32"/>
          <w:szCs w:val="32"/>
        </w:rPr>
        <w:t>加速稳定性试验的具体要求可参考YY/T 0681系列标准、YY/T 0698系列标准、GB/T 19633系列标准。无论加速稳定性试验还是实时稳定性试验，注册申请人均需在试验方案中设定检测项目、检测方法及判定标准。检测项目包括产品自身性能检测和包装系统性能检测两方面。前者需选择与医疗器械货架有效期密切相关的物理、化学检测项目。应关注核心磁学性能：磁体表面磁感应强度及其衰减率，这是衡量产品是否持续有效的核心指标。对于贴敷类产品，粘胶剂的持粘性、剥离强度是重要指标，直接影响使用效果和安全性。还应关注外观与结构：磁体是否氧化、锈蚀、涂层脱落。</w:t>
      </w:r>
    </w:p>
    <w:p w14:paraId="5900E8B1">
      <w:pPr>
        <w:spacing w:line="520" w:lineRule="exact"/>
        <w:ind w:firstLine="640" w:firstLineChars="200"/>
        <w:rPr>
          <w:rFonts w:ascii="仿宋" w:hAnsi="仿宋" w:eastAsia="仿宋" w:cs="仿宋"/>
          <w:kern w:val="0"/>
          <w:sz w:val="32"/>
          <w:szCs w:val="32"/>
        </w:rPr>
      </w:pPr>
      <w:r>
        <w:rPr>
          <w:rFonts w:hint="eastAsia" w:ascii="仿宋" w:hAnsi="仿宋" w:eastAsia="仿宋" w:cs="仿宋"/>
          <w:kern w:val="0"/>
          <w:sz w:val="32"/>
          <w:szCs w:val="32"/>
        </w:rPr>
        <w:t>建议注册申请人在试验过程中设立多个检测时间点（一般不少于3个）对申报产品进行检测。可采用零点时间性能数据作为检测项目的参照指标。建议以加速稳定性试验来对产品货架效期进行先期研究和预测，并适时启动实时稳定性试验对产品货架效期做进一步的后续研究和确认，当加速稳定性试验与实时稳定性试验结果不一致时，应以实时稳定性试验结果为准。</w:t>
      </w:r>
    </w:p>
    <w:p w14:paraId="0C8651A1">
      <w:pPr>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4.3.2</w:t>
      </w:r>
      <w:r>
        <w:rPr>
          <w:rFonts w:hint="eastAsia" w:ascii="仿宋" w:hAnsi="仿宋" w:eastAsia="仿宋" w:cs="仿宋"/>
          <w:sz w:val="32"/>
          <w:szCs w:val="32"/>
          <w:lang w:bidi="ar"/>
        </w:rPr>
        <w:t>运输稳定性</w:t>
      </w:r>
    </w:p>
    <w:p w14:paraId="16C67546">
      <w:pPr>
        <w:spacing w:line="520" w:lineRule="exact"/>
        <w:ind w:firstLine="640" w:firstLineChars="200"/>
        <w:rPr>
          <w:rFonts w:hint="eastAsia" w:ascii="仿宋" w:hAnsi="仿宋" w:eastAsia="仿宋" w:cs="仿宋"/>
          <w:sz w:val="32"/>
          <w:szCs w:val="32"/>
          <w:lang w:bidi="ar"/>
        </w:rPr>
      </w:pPr>
      <w:r>
        <w:rPr>
          <w:rFonts w:hint="eastAsia" w:ascii="仿宋" w:hAnsi="仿宋" w:eastAsia="仿宋" w:cs="仿宋"/>
          <w:sz w:val="32"/>
          <w:szCs w:val="32"/>
          <w:lang w:bidi="ar"/>
        </w:rPr>
        <w:t>在宣称的有效期内以及运输（例如：震动、振动、温度和湿度的波动）储存条件下，提供保持包装完整性的依据。可依据YY/T 0681.15、ASTM D4169-22、GB/T 4857试验中：执行完整的模拟运输测试（通常包括温湿度预处理、跌落、振动、堆码压力、冲击等环节）。 试验后：建议对经受试验后的产品进行关键性能的再次测试（特别是核心磁学性能和物理完整性），并与试验前数据进行对比，证明无不利影响。</w:t>
      </w:r>
    </w:p>
    <w:p w14:paraId="12C680EE">
      <w:pPr>
        <w:spacing w:line="520" w:lineRule="exact"/>
        <w:ind w:firstLine="640" w:firstLineChars="200"/>
        <w:rPr>
          <w:rFonts w:hint="eastAsia" w:ascii="仿宋" w:hAnsi="仿宋" w:eastAsia="仿宋" w:cs="仿宋"/>
          <w:sz w:val="32"/>
          <w:szCs w:val="32"/>
          <w:lang w:val="en-US" w:eastAsia="zh-CN" w:bidi="ar"/>
        </w:rPr>
      </w:pPr>
      <w:r>
        <w:rPr>
          <w:rFonts w:hint="eastAsia" w:ascii="仿宋" w:hAnsi="仿宋" w:eastAsia="仿宋" w:cs="仿宋"/>
          <w:sz w:val="32"/>
          <w:szCs w:val="32"/>
          <w:lang w:val="en-US" w:eastAsia="zh-CN" w:bidi="ar"/>
        </w:rPr>
        <w:t>4.3.3包装及包装完整性</w:t>
      </w:r>
    </w:p>
    <w:p w14:paraId="4DE8CD26">
      <w:pPr>
        <w:spacing w:line="520" w:lineRule="exact"/>
        <w:ind w:firstLine="640" w:firstLineChars="200"/>
        <w:rPr>
          <w:rFonts w:hint="default" w:ascii="仿宋" w:hAnsi="仿宋" w:eastAsia="仿宋" w:cs="仿宋"/>
          <w:sz w:val="32"/>
          <w:szCs w:val="32"/>
          <w:lang w:val="en-US" w:eastAsia="zh-CN" w:bidi="ar"/>
        </w:rPr>
      </w:pPr>
      <w:r>
        <w:rPr>
          <w:rFonts w:eastAsia="仿宋_GB2312"/>
          <w:sz w:val="32"/>
          <w:szCs w:val="32"/>
        </w:rPr>
        <w:t>产品包装验证可参考有关国内、国际标准进行（如GB/T 19633.1、YY/T 0681.15等），提交产品的包装验证报告。</w:t>
      </w:r>
    </w:p>
    <w:p w14:paraId="59ADF108">
      <w:pPr>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4.4可用性研究</w:t>
      </w:r>
    </w:p>
    <w:p w14:paraId="0FB9DF16">
      <w:pPr>
        <w:spacing w:line="520" w:lineRule="exact"/>
        <w:ind w:firstLine="640" w:firstLineChars="200"/>
        <w:rPr>
          <w:rFonts w:ascii="仿宋" w:hAnsi="仿宋" w:eastAsia="仿宋" w:cs="仿宋"/>
          <w:sz w:val="32"/>
          <w:szCs w:val="32"/>
        </w:rPr>
      </w:pPr>
      <w:r>
        <w:rPr>
          <w:rFonts w:hint="eastAsia" w:ascii="仿宋" w:hAnsi="仿宋" w:eastAsia="仿宋" w:cs="仿宋"/>
          <w:sz w:val="32"/>
          <w:szCs w:val="32"/>
        </w:rPr>
        <w:t>按照《医疗器械可用性工程注册审查指导原则》要求，中、低使用风险医疗器械可基于风险管理过程开展可用性工程生命周期质控工作，提交使用错误评估报告。关注穴位定位的可用性。</w:t>
      </w:r>
    </w:p>
    <w:p w14:paraId="0EBB8348">
      <w:pPr>
        <w:spacing w:line="520" w:lineRule="exact"/>
        <w:ind w:firstLine="636" w:firstLineChars="200"/>
      </w:pPr>
      <w:r>
        <w:rPr>
          <w:rFonts w:hint="eastAsia" w:eastAsia="仿宋_GB2312"/>
          <w:spacing w:val="-1"/>
          <w:sz w:val="32"/>
          <w:szCs w:val="32"/>
        </w:rPr>
        <w:t>4.5证明产品安全性、有效性的其他研究资料。</w:t>
      </w:r>
    </w:p>
    <w:p w14:paraId="16E93C07">
      <w:pPr>
        <w:spacing w:line="520" w:lineRule="exact"/>
        <w:ind w:firstLine="640" w:firstLineChars="200"/>
        <w:rPr>
          <w:rFonts w:eastAsia="楷体_GB2312"/>
          <w:sz w:val="32"/>
          <w:szCs w:val="32"/>
        </w:rPr>
      </w:pPr>
      <w:r>
        <w:rPr>
          <w:rFonts w:hint="eastAsia" w:eastAsia="楷体_GB2312"/>
          <w:sz w:val="32"/>
          <w:szCs w:val="32"/>
        </w:rPr>
        <w:t>(四）临床评价资料</w:t>
      </w:r>
    </w:p>
    <w:p w14:paraId="2F2E08C6">
      <w:pPr>
        <w:spacing w:line="520" w:lineRule="exact"/>
        <w:ind w:firstLine="640" w:firstLineChars="200"/>
        <w:jc w:val="left"/>
        <w:rPr>
          <w:rFonts w:ascii="仿宋" w:hAnsi="仿宋" w:eastAsia="仿宋" w:cs="仿宋"/>
          <w:sz w:val="32"/>
          <w:szCs w:val="32"/>
        </w:rPr>
      </w:pPr>
      <w:r>
        <w:rPr>
          <w:rFonts w:hint="eastAsia" w:eastAsia="仿宋_GB2312"/>
          <w:sz w:val="32"/>
          <w:szCs w:val="32"/>
        </w:rPr>
        <w:t xml:space="preserve">  </w:t>
      </w:r>
      <w:r>
        <w:rPr>
          <w:rFonts w:hint="eastAsia" w:ascii="仿宋" w:hAnsi="仿宋" w:eastAsia="仿宋" w:cs="仿宋"/>
          <w:sz w:val="32"/>
          <w:szCs w:val="32"/>
        </w:rPr>
        <w:t>穴位磁疗器具不属于《免于临床评价医疗器械目录》（2025年）中的产品，应按照《医疗器械注册与备案管理办法》《医疗器械临床评价技术指导原则》《医疗器械临床试验质量管理规范》等要求提交临床评价资料。按《决策是否开展医疗器械临床试验技术指导原则》选择临床评价路径。</w:t>
      </w:r>
    </w:p>
    <w:p w14:paraId="2FC58D70">
      <w:pPr>
        <w:spacing w:line="52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1.同品种临床评价路径</w:t>
      </w:r>
    </w:p>
    <w:p w14:paraId="0EF79DFC">
      <w:pPr>
        <w:spacing w:line="52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在满足注册法规要求的前提下，可按照《医疗器械临床评价等同性论证技术指导原则》进行境内已上市同品种产品的对比、分析、评价，并按照《医疗器械注册申报临床评价报告技术指导原则》要求的项目和格式出具评价报告。产品与已上市同类产品在作用机理、穴位方案、关键性能参数（磁场强度、时间） 等方面应实质性等同。对比产品必须是已获准上市的穴位磁疗器具，而非普通部位磁疗器具。需详细对比两者在结构与组成、适用范围、工作原理、性能指标以及中医理论依据、适用证型、推荐穴位、磁场参数上的异同。</w:t>
      </w:r>
    </w:p>
    <w:p w14:paraId="2CBD302F">
      <w:pPr>
        <w:spacing w:line="52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2.临床试验路径</w:t>
      </w:r>
    </w:p>
    <w:p w14:paraId="0CB692E8">
      <w:pPr>
        <w:spacing w:line="52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临床试验需按照《医疗器械临床试验质量管理规范》开展，提交完整的临床试验资料。临床试验的设计可参考《医疗器械临床试验设计指导原则》，根据注册申请人宣称的申报产品适用范围开展。</w:t>
      </w:r>
    </w:p>
    <w:p w14:paraId="0E6DAA0F">
      <w:pPr>
        <w:spacing w:line="520" w:lineRule="exact"/>
        <w:ind w:firstLine="640" w:firstLineChars="200"/>
        <w:rPr>
          <w:rFonts w:eastAsia="楷体_GB2312"/>
          <w:sz w:val="32"/>
          <w:szCs w:val="32"/>
        </w:rPr>
      </w:pPr>
      <w:r>
        <w:rPr>
          <w:rFonts w:hint="eastAsia" w:eastAsia="仿宋_GB2312"/>
          <w:sz w:val="32"/>
          <w:szCs w:val="32"/>
        </w:rPr>
        <w:t>（</w:t>
      </w:r>
      <w:r>
        <w:rPr>
          <w:rFonts w:hint="eastAsia" w:eastAsia="楷体_GB2312"/>
          <w:sz w:val="32"/>
          <w:szCs w:val="32"/>
        </w:rPr>
        <w:t>五）产品说明书和标签样稿</w:t>
      </w:r>
    </w:p>
    <w:p w14:paraId="3B181862">
      <w:pPr>
        <w:spacing w:line="52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产品说明书与标签应符合《医疗器械说明书和标签管理规定》（国家食品药品监督管理总局令第6号）的相关要求，同时还应注意以下几点（不限于此）：</w:t>
      </w:r>
    </w:p>
    <w:p w14:paraId="5F6B4B36">
      <w:pPr>
        <w:spacing w:line="52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1.说明书中应该包含磁场强度的范围。</w:t>
      </w:r>
    </w:p>
    <w:p w14:paraId="42682FF7">
      <w:pPr>
        <w:spacing w:line="52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2.使用方法：</w:t>
      </w:r>
    </w:p>
    <w:p w14:paraId="0BFADA5A">
      <w:pPr>
        <w:spacing w:line="52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2.1应明确单次使用时长。</w:t>
      </w:r>
    </w:p>
    <w:p w14:paraId="7E68EB62">
      <w:pPr>
        <w:spacing w:line="52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2.2建议使用部位。</w:t>
      </w:r>
    </w:p>
    <w:p w14:paraId="3662AB0B">
      <w:pPr>
        <w:spacing w:line="52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2.3若有针对特定穴位，需根据研究资料的结论明确适用的穴位名称及定位方法，可引用中医标准穴位图谱或提供明确的穴位定位操作指南（图文并茂）。</w:t>
      </w:r>
    </w:p>
    <w:p w14:paraId="6BE1D4F1">
      <w:pPr>
        <w:numPr>
          <w:ilvl w:val="0"/>
          <w:numId w:val="1"/>
        </w:numPr>
        <w:spacing w:line="520" w:lineRule="exact"/>
        <w:ind w:left="567" w:leftChars="0" w:firstLine="0" w:firstLineChars="0"/>
        <w:jc w:val="left"/>
        <w:rPr>
          <w:rFonts w:hint="eastAsia" w:ascii="仿宋" w:hAnsi="仿宋" w:eastAsia="仿宋" w:cs="仿宋"/>
          <w:sz w:val="32"/>
          <w:szCs w:val="32"/>
        </w:rPr>
      </w:pPr>
      <w:r>
        <w:rPr>
          <w:rFonts w:hint="eastAsia" w:ascii="仿宋" w:hAnsi="仿宋" w:eastAsia="仿宋" w:cs="仿宋"/>
          <w:sz w:val="32"/>
          <w:szCs w:val="32"/>
        </w:rPr>
        <w:t>注意事项一般包括：</w:t>
      </w:r>
    </w:p>
    <w:p w14:paraId="29A81D88">
      <w:pPr>
        <w:numPr>
          <w:ilvl w:val="0"/>
          <w:numId w:val="0"/>
        </w:numPr>
        <w:spacing w:line="520" w:lineRule="exact"/>
        <w:ind w:left="567" w:leftChars="0"/>
        <w:jc w:val="left"/>
        <w:rPr>
          <w:rFonts w:ascii="仿宋" w:hAnsi="仿宋" w:eastAsia="仿宋" w:cs="仿宋"/>
          <w:sz w:val="32"/>
          <w:szCs w:val="32"/>
        </w:rPr>
      </w:pPr>
      <w:r>
        <w:rPr>
          <w:rFonts w:hint="eastAsia" w:ascii="仿宋" w:hAnsi="仿宋" w:eastAsia="仿宋" w:cs="仿宋"/>
          <w:sz w:val="32"/>
          <w:szCs w:val="32"/>
        </w:rPr>
        <w:t>3.1提醒使用者 “在中医师或专业人员指导下，根据自身体质或证型选择穴位和疗程 ，避免滥用”。</w:t>
      </w:r>
    </w:p>
    <w:p w14:paraId="2550360E">
      <w:pPr>
        <w:spacing w:line="52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3.2建议在专业人员指导下操作，若无法准确定位穴位，应避免自行使用，以防误贴非目标区域。</w:t>
      </w:r>
    </w:p>
    <w:p w14:paraId="3849AEC9">
      <w:pPr>
        <w:spacing w:line="52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3.3远离强磁场环境：贮存/运输时需防震、防高温、防高压电场，避免磁体退磁失效。</w:t>
      </w:r>
    </w:p>
    <w:p w14:paraId="5997C711">
      <w:pPr>
        <w:spacing w:line="52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3.4避免干扰电子设备：使用时远离磁卡、手机、电脑等磁性载体，防止数据丢失或设备损坏。</w:t>
      </w:r>
    </w:p>
    <w:p w14:paraId="4D0DC6AB">
      <w:pPr>
        <w:spacing w:line="52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3.5避免与高温理疗设备联用：避免叠加刺激导致皮肤灼伤。</w:t>
      </w:r>
    </w:p>
    <w:p w14:paraId="1BB3DB89">
      <w:pPr>
        <w:spacing w:line="52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4.说明书中明确禁忌证一般包括：“孕妇禁用或慎用相关穴位”、“局部皮肤有破损、炎症的穴位禁用”</w:t>
      </w:r>
      <w:r>
        <w:rPr>
          <w:rFonts w:hint="eastAsia" w:ascii="仿宋" w:hAnsi="仿宋" w:eastAsia="仿宋" w:cs="仿宋"/>
          <w:sz w:val="32"/>
          <w:szCs w:val="32"/>
          <w:lang w:eastAsia="zh-CN"/>
        </w:rPr>
        <w:t>、</w:t>
      </w:r>
      <w:r>
        <w:rPr>
          <w:rFonts w:hint="eastAsia" w:ascii="仿宋" w:hAnsi="仿宋" w:eastAsia="仿宋" w:cs="仿宋"/>
          <w:sz w:val="32"/>
          <w:szCs w:val="32"/>
        </w:rPr>
        <w:t xml:space="preserve"> “体内有金属植入物的患者、恶性肿瘤患者、有开放性伤口的患者、血管性栓塞者，以及白细胞低下者慎用。”等特定警示。严格规范禁忌症描述（如佩戴心脏起搏器者、孕妇腹部、出血倾向患者等），确保临床使用安全。</w:t>
      </w:r>
    </w:p>
    <w:p w14:paraId="7B1BB904">
      <w:pPr>
        <w:spacing w:line="52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5.不得宣称治愈疾病或替代药物，仅描述“缓解”“辅助”作用。</w:t>
      </w:r>
    </w:p>
    <w:p w14:paraId="02BC855F">
      <w:pPr>
        <w:spacing w:line="520" w:lineRule="exact"/>
        <w:ind w:firstLine="640" w:firstLineChars="200"/>
        <w:rPr>
          <w:rFonts w:eastAsia="楷体_GB2312"/>
          <w:sz w:val="32"/>
          <w:szCs w:val="32"/>
        </w:rPr>
      </w:pPr>
      <w:r>
        <w:rPr>
          <w:rFonts w:hint="eastAsia" w:eastAsia="楷体_GB2312"/>
          <w:sz w:val="32"/>
          <w:szCs w:val="32"/>
        </w:rPr>
        <w:t>（六）质量管理体系文件</w:t>
      </w:r>
    </w:p>
    <w:p w14:paraId="6630BCB1">
      <w:pPr>
        <w:spacing w:line="520" w:lineRule="exact"/>
        <w:ind w:firstLine="640" w:firstLineChars="200"/>
        <w:rPr>
          <w:rFonts w:eastAsia="仿宋_GB2312"/>
          <w:sz w:val="32"/>
          <w:szCs w:val="32"/>
        </w:rPr>
      </w:pPr>
      <w:r>
        <w:rPr>
          <w:rFonts w:hint="eastAsia" w:eastAsia="仿宋_GB2312"/>
          <w:sz w:val="32"/>
          <w:szCs w:val="32"/>
        </w:rPr>
        <w:t>注册申请人应当形成相关质量管理体系文件和记录。应当提交下列资料，在质量管理体系核查时进行检查。</w:t>
      </w:r>
    </w:p>
    <w:p w14:paraId="3764A9CE">
      <w:pPr>
        <w:numPr>
          <w:ilvl w:val="0"/>
          <w:numId w:val="3"/>
        </w:numPr>
        <w:spacing w:line="520" w:lineRule="exact"/>
        <w:rPr>
          <w:rFonts w:eastAsia="仿宋_GB2312"/>
          <w:sz w:val="32"/>
          <w:szCs w:val="32"/>
        </w:rPr>
      </w:pPr>
      <w:r>
        <w:rPr>
          <w:rFonts w:hint="eastAsia" w:eastAsia="仿宋_GB2312"/>
          <w:sz w:val="32"/>
          <w:szCs w:val="32"/>
        </w:rPr>
        <w:t>注册申请人基本情况表。</w:t>
      </w:r>
    </w:p>
    <w:p w14:paraId="4A090920">
      <w:pPr>
        <w:numPr>
          <w:ilvl w:val="0"/>
          <w:numId w:val="3"/>
        </w:numPr>
        <w:spacing w:line="520" w:lineRule="exact"/>
        <w:rPr>
          <w:rFonts w:eastAsia="仿宋_GB2312"/>
          <w:sz w:val="32"/>
          <w:szCs w:val="32"/>
        </w:rPr>
      </w:pPr>
      <w:r>
        <w:rPr>
          <w:rFonts w:hint="eastAsia" w:eastAsia="仿宋_GB2312"/>
          <w:sz w:val="32"/>
          <w:szCs w:val="32"/>
        </w:rPr>
        <w:t>注册申请人组织机构图。</w:t>
      </w:r>
    </w:p>
    <w:p w14:paraId="17AE9848">
      <w:pPr>
        <w:spacing w:line="520" w:lineRule="exact"/>
        <w:ind w:firstLine="640" w:firstLineChars="200"/>
        <w:rPr>
          <w:sz w:val="32"/>
          <w:szCs w:val="32"/>
        </w:rPr>
      </w:pPr>
      <w:r>
        <w:rPr>
          <w:rFonts w:hint="eastAsia" w:eastAsia="仿宋_GB2312"/>
          <w:sz w:val="32"/>
          <w:szCs w:val="32"/>
        </w:rPr>
        <w:t>3.生产企业总平面布置图、生产区域分布图。</w:t>
      </w:r>
    </w:p>
    <w:p w14:paraId="4A8F09FE">
      <w:pPr>
        <w:spacing w:line="520" w:lineRule="exact"/>
        <w:ind w:firstLine="640" w:firstLineChars="200"/>
        <w:rPr>
          <w:rFonts w:eastAsia="仿宋_GB2312"/>
          <w:sz w:val="32"/>
          <w:szCs w:val="32"/>
        </w:rPr>
      </w:pPr>
      <w:r>
        <w:rPr>
          <w:rFonts w:hint="eastAsia" w:eastAsia="仿宋_GB2312"/>
          <w:sz w:val="32"/>
          <w:szCs w:val="32"/>
        </w:rPr>
        <w:t>4.应当提供有资质的检测机构出具的环境检测报告（附平面布局图）复印件。</w:t>
      </w:r>
    </w:p>
    <w:p w14:paraId="483B7726">
      <w:pPr>
        <w:spacing w:line="520" w:lineRule="exact"/>
        <w:ind w:firstLine="640" w:firstLineChars="200"/>
        <w:rPr>
          <w:rFonts w:eastAsia="仿宋_GB2312"/>
          <w:sz w:val="32"/>
          <w:szCs w:val="32"/>
        </w:rPr>
      </w:pPr>
      <w:r>
        <w:rPr>
          <w:rFonts w:hint="eastAsia" w:eastAsia="仿宋_GB2312"/>
          <w:sz w:val="32"/>
          <w:szCs w:val="32"/>
        </w:rPr>
        <w:t>5.产品生产工艺流程图，应当标明主要控制点与项目及主要原材料、采购件的来源及质量控制方法。</w:t>
      </w:r>
    </w:p>
    <w:p w14:paraId="5E329482">
      <w:pPr>
        <w:spacing w:line="520" w:lineRule="exact"/>
        <w:ind w:firstLine="640" w:firstLineChars="200"/>
        <w:rPr>
          <w:rFonts w:eastAsia="仿宋_GB2312"/>
          <w:sz w:val="32"/>
          <w:szCs w:val="32"/>
        </w:rPr>
      </w:pPr>
      <w:r>
        <w:rPr>
          <w:rFonts w:hint="eastAsia" w:eastAsia="仿宋_GB2312"/>
          <w:sz w:val="32"/>
          <w:szCs w:val="32"/>
        </w:rPr>
        <w:t>6.主要生产设备和检验设备（包括进货检验、过程检验、出厂最终检验所需的相关设备；在净化条件下生产的，还应当提供环境监测设备）目录。</w:t>
      </w:r>
    </w:p>
    <w:p w14:paraId="2274FE14">
      <w:pPr>
        <w:spacing w:line="520" w:lineRule="exact"/>
        <w:ind w:firstLine="640" w:firstLineChars="200"/>
        <w:rPr>
          <w:rFonts w:eastAsia="仿宋_GB2312"/>
          <w:sz w:val="32"/>
          <w:szCs w:val="32"/>
        </w:rPr>
      </w:pPr>
      <w:r>
        <w:rPr>
          <w:rFonts w:hint="eastAsia" w:eastAsia="仿宋_GB2312"/>
          <w:sz w:val="32"/>
          <w:szCs w:val="32"/>
        </w:rPr>
        <w:t>7.质量管理体系自查报告。</w:t>
      </w:r>
    </w:p>
    <w:p w14:paraId="20BD493D">
      <w:pPr>
        <w:spacing w:line="520" w:lineRule="exact"/>
        <w:ind w:firstLine="640" w:firstLineChars="200"/>
        <w:rPr>
          <w:rFonts w:eastAsia="仿宋_GB2312"/>
          <w:sz w:val="32"/>
          <w:szCs w:val="32"/>
        </w:rPr>
      </w:pPr>
      <w:r>
        <w:rPr>
          <w:rFonts w:hint="eastAsia" w:eastAsia="仿宋_GB2312"/>
          <w:sz w:val="32"/>
          <w:szCs w:val="32"/>
        </w:rPr>
        <w:t>8.如适用，应当提供拟核查产品与既往已通过核查产品在生产条件、生产工艺等方面的对比说明。</w:t>
      </w:r>
    </w:p>
    <w:p w14:paraId="58B1DA09">
      <w:pPr>
        <w:spacing w:line="520" w:lineRule="exact"/>
        <w:ind w:firstLine="640" w:firstLineChars="200"/>
        <w:rPr>
          <w:rFonts w:eastAsia="仿宋_GB2312"/>
          <w:sz w:val="28"/>
          <w:szCs w:val="28"/>
        </w:rPr>
      </w:pPr>
      <w:r>
        <w:rPr>
          <w:rFonts w:hint="eastAsia" w:eastAsia="黑体"/>
          <w:sz w:val="32"/>
          <w:szCs w:val="32"/>
        </w:rPr>
        <w:t>三、参考文献</w:t>
      </w:r>
    </w:p>
    <w:p w14:paraId="27091A83">
      <w:pPr>
        <w:tabs>
          <w:tab w:val="left" w:pos="540"/>
        </w:tabs>
        <w:spacing w:line="520" w:lineRule="exact"/>
        <w:ind w:firstLine="640" w:firstLineChars="200"/>
        <w:rPr>
          <w:rFonts w:eastAsia="仿宋_GB2312" w:cs="仿宋_GB2312"/>
          <w:sz w:val="32"/>
          <w:szCs w:val="32"/>
        </w:rPr>
      </w:pPr>
      <w:r>
        <w:rPr>
          <w:rFonts w:hint="eastAsia" w:eastAsia="仿宋_GB2312" w:cs="仿宋_GB2312"/>
          <w:sz w:val="32"/>
          <w:szCs w:val="32"/>
        </w:rPr>
        <w:t>[1]中华人民共和国国务院.医疗器械监督管理条例:中华人民共和国国务院令第739号[Z].</w:t>
      </w:r>
    </w:p>
    <w:p w14:paraId="35E15E56">
      <w:pPr>
        <w:tabs>
          <w:tab w:val="left" w:pos="540"/>
        </w:tabs>
        <w:spacing w:line="520" w:lineRule="exact"/>
        <w:ind w:firstLine="640" w:firstLineChars="200"/>
        <w:rPr>
          <w:rFonts w:eastAsia="仿宋_GB2312" w:cs="仿宋_GB2312"/>
          <w:sz w:val="32"/>
          <w:szCs w:val="32"/>
        </w:rPr>
      </w:pPr>
      <w:r>
        <w:rPr>
          <w:rFonts w:hint="eastAsia" w:eastAsia="仿宋_GB2312" w:cs="仿宋_GB2312"/>
          <w:sz w:val="32"/>
          <w:szCs w:val="32"/>
        </w:rPr>
        <w:t>[2]国家市场监督管理总局.医疗器械注册与备案管理办法:国家市场监督管理总局令第47号[Z].</w:t>
      </w:r>
    </w:p>
    <w:p w14:paraId="765EF337">
      <w:pPr>
        <w:tabs>
          <w:tab w:val="left" w:pos="540"/>
        </w:tabs>
        <w:spacing w:line="520" w:lineRule="exact"/>
        <w:ind w:firstLine="640" w:firstLineChars="200"/>
        <w:rPr>
          <w:rFonts w:eastAsia="仿宋_GB2312" w:cs="仿宋_GB2312"/>
          <w:sz w:val="32"/>
          <w:szCs w:val="32"/>
        </w:rPr>
      </w:pPr>
      <w:r>
        <w:rPr>
          <w:rFonts w:hint="eastAsia" w:eastAsia="仿宋_GB2312" w:cs="仿宋_GB2312"/>
          <w:sz w:val="32"/>
          <w:szCs w:val="32"/>
        </w:rPr>
        <w:t>[3]国家药品监督管理局.医疗器械注册申报资料要求和批准证明文件格式:国家药监局公告2021年第121号[Z].</w:t>
      </w:r>
    </w:p>
    <w:p w14:paraId="250F0D2E">
      <w:pPr>
        <w:tabs>
          <w:tab w:val="left" w:pos="540"/>
        </w:tabs>
        <w:spacing w:line="520" w:lineRule="exact"/>
        <w:ind w:firstLine="640" w:firstLineChars="200"/>
        <w:rPr>
          <w:rFonts w:eastAsia="仿宋_GB2312" w:cs="仿宋_GB2312"/>
          <w:sz w:val="32"/>
          <w:szCs w:val="32"/>
        </w:rPr>
      </w:pPr>
      <w:r>
        <w:rPr>
          <w:rFonts w:hint="eastAsia" w:eastAsia="仿宋_GB2312" w:cs="仿宋_GB2312"/>
          <w:sz w:val="32"/>
          <w:szCs w:val="32"/>
        </w:rPr>
        <w:t>[4]国家食品药品监督管理局.医疗器械注册单元划分指导原则:总局通告2017年第187号[Z].</w:t>
      </w:r>
    </w:p>
    <w:p w14:paraId="5BFD83A8">
      <w:pPr>
        <w:tabs>
          <w:tab w:val="left" w:pos="540"/>
        </w:tabs>
        <w:spacing w:line="520" w:lineRule="exact"/>
        <w:ind w:firstLine="640" w:firstLineChars="200"/>
        <w:rPr>
          <w:rFonts w:eastAsia="仿宋_GB2312" w:cs="仿宋_GB2312"/>
          <w:sz w:val="32"/>
          <w:szCs w:val="32"/>
        </w:rPr>
      </w:pPr>
      <w:r>
        <w:rPr>
          <w:rFonts w:hint="eastAsia" w:eastAsia="仿宋_GB2312" w:cs="仿宋_GB2312"/>
          <w:sz w:val="32"/>
          <w:szCs w:val="32"/>
        </w:rPr>
        <w:t>[5]国家食品药品监督管理局.医疗器械分类目录:国家食品药品监督管理总局公告2017年第104号[Z].</w:t>
      </w:r>
    </w:p>
    <w:p w14:paraId="08F5C214">
      <w:pPr>
        <w:tabs>
          <w:tab w:val="left" w:pos="540"/>
        </w:tabs>
        <w:spacing w:line="520" w:lineRule="exact"/>
        <w:ind w:firstLine="640" w:firstLineChars="200"/>
        <w:rPr>
          <w:rFonts w:eastAsia="仿宋_GB2312" w:cs="仿宋_GB2312"/>
          <w:sz w:val="32"/>
          <w:szCs w:val="32"/>
        </w:rPr>
      </w:pPr>
      <w:r>
        <w:rPr>
          <w:rFonts w:hint="eastAsia" w:eastAsia="仿宋_GB2312" w:cs="仿宋_GB2312"/>
          <w:sz w:val="32"/>
          <w:szCs w:val="32"/>
        </w:rPr>
        <w:t>[6]国家药品监督管理局.医疗器械安全和性能基本原则清单:国家药监局公告2021年第121号[Z].</w:t>
      </w:r>
    </w:p>
    <w:p w14:paraId="360A6F82">
      <w:pPr>
        <w:tabs>
          <w:tab w:val="left" w:pos="540"/>
        </w:tabs>
        <w:spacing w:line="520" w:lineRule="exact"/>
        <w:ind w:firstLine="640" w:firstLineChars="200"/>
        <w:rPr>
          <w:rFonts w:eastAsia="仿宋_GB2312" w:cs="仿宋_GB2312"/>
          <w:sz w:val="32"/>
          <w:szCs w:val="32"/>
        </w:rPr>
      </w:pPr>
      <w:r>
        <w:rPr>
          <w:rFonts w:hint="eastAsia" w:eastAsia="仿宋_GB2312" w:cs="仿宋_GB2312"/>
          <w:sz w:val="32"/>
          <w:szCs w:val="32"/>
        </w:rPr>
        <w:t>[7]国家药品监督管理局.医疗器械产品技术要求编写指导原则:国家药监局公告2022年第8号[Z].</w:t>
      </w:r>
    </w:p>
    <w:p w14:paraId="050EDCE0">
      <w:pPr>
        <w:tabs>
          <w:tab w:val="left" w:pos="540"/>
        </w:tabs>
        <w:spacing w:line="520" w:lineRule="exact"/>
        <w:ind w:firstLine="640" w:firstLineChars="200"/>
        <w:rPr>
          <w:rFonts w:eastAsia="仿宋_GB2312" w:cs="仿宋_GB2312"/>
          <w:sz w:val="32"/>
          <w:szCs w:val="32"/>
        </w:rPr>
      </w:pPr>
      <w:r>
        <w:rPr>
          <w:rFonts w:hint="eastAsia" w:eastAsia="仿宋_GB2312" w:cs="仿宋_GB2312"/>
          <w:sz w:val="32"/>
          <w:szCs w:val="32"/>
        </w:rPr>
        <w:t>[8]国家药品监督管理局.医疗器械注册自检管理规定:国家药监局公告2021年第126号[Z].</w:t>
      </w:r>
    </w:p>
    <w:p w14:paraId="0CA73D07">
      <w:pPr>
        <w:tabs>
          <w:tab w:val="left" w:pos="540"/>
        </w:tabs>
        <w:spacing w:line="520" w:lineRule="exact"/>
        <w:ind w:firstLine="640" w:firstLineChars="200"/>
        <w:rPr>
          <w:rFonts w:eastAsia="仿宋_GB2312" w:cs="仿宋_GB2312"/>
          <w:sz w:val="32"/>
          <w:szCs w:val="32"/>
        </w:rPr>
      </w:pPr>
      <w:r>
        <w:rPr>
          <w:rFonts w:hint="eastAsia" w:eastAsia="仿宋_GB2312" w:cs="仿宋_GB2312"/>
          <w:sz w:val="32"/>
          <w:szCs w:val="32"/>
        </w:rPr>
        <w:t>[9]国家食品药品监督管理局.医疗器械生物学评价和审查指南:国家食品药品监督管理局通知2007年345号[Z].</w:t>
      </w:r>
    </w:p>
    <w:p w14:paraId="05FB05E9">
      <w:pPr>
        <w:tabs>
          <w:tab w:val="left" w:pos="540"/>
        </w:tabs>
        <w:spacing w:line="520" w:lineRule="exact"/>
        <w:ind w:firstLine="640" w:firstLineChars="200"/>
        <w:rPr>
          <w:rFonts w:eastAsia="仿宋_GB2312" w:cs="仿宋_GB2312"/>
          <w:sz w:val="32"/>
          <w:szCs w:val="32"/>
        </w:rPr>
      </w:pPr>
      <w:r>
        <w:rPr>
          <w:rFonts w:hint="eastAsia" w:eastAsia="仿宋_GB2312" w:cs="仿宋_GB2312"/>
          <w:sz w:val="32"/>
          <w:szCs w:val="32"/>
        </w:rPr>
        <w:t>[10]国家药品监督管理局.列入免于临床评价医疗器械目录产品对比说明技术指导原则:国家药监局通告2021年第73号[Z].</w:t>
      </w:r>
    </w:p>
    <w:p w14:paraId="0D87E33A">
      <w:pPr>
        <w:tabs>
          <w:tab w:val="left" w:pos="540"/>
        </w:tabs>
        <w:spacing w:line="520" w:lineRule="exact"/>
        <w:ind w:firstLine="640" w:firstLineChars="200"/>
        <w:rPr>
          <w:rFonts w:eastAsia="仿宋_GB2312" w:cs="仿宋_GB2312"/>
          <w:sz w:val="32"/>
          <w:szCs w:val="32"/>
        </w:rPr>
      </w:pPr>
      <w:r>
        <w:rPr>
          <w:rFonts w:hint="eastAsia" w:eastAsia="仿宋_GB2312" w:cs="仿宋_GB2312"/>
          <w:sz w:val="32"/>
          <w:szCs w:val="32"/>
        </w:rPr>
        <w:t>[11]国家药品监督管理局.关于发布免于进行临床评价医疗器械目录的通告2025年第19号[Z].</w:t>
      </w:r>
    </w:p>
    <w:p w14:paraId="028F91E8">
      <w:pPr>
        <w:tabs>
          <w:tab w:val="left" w:pos="540"/>
        </w:tabs>
        <w:spacing w:line="520" w:lineRule="exact"/>
        <w:ind w:firstLine="640" w:firstLineChars="200"/>
        <w:rPr>
          <w:rFonts w:eastAsia="仿宋_GB2312" w:cs="仿宋_GB2312"/>
          <w:sz w:val="32"/>
          <w:szCs w:val="32"/>
        </w:rPr>
      </w:pPr>
      <w:r>
        <w:rPr>
          <w:rFonts w:hint="eastAsia" w:eastAsia="仿宋_GB2312" w:cs="仿宋_GB2312"/>
          <w:sz w:val="32"/>
          <w:szCs w:val="32"/>
        </w:rPr>
        <w:t>[12]国家药品监督管理局.医疗器械临床评价技术指导原则:国家药监局通告2021年第73号[Z].</w:t>
      </w:r>
    </w:p>
    <w:p w14:paraId="276C8847">
      <w:pPr>
        <w:tabs>
          <w:tab w:val="left" w:pos="540"/>
        </w:tabs>
        <w:spacing w:line="520" w:lineRule="exact"/>
        <w:ind w:firstLine="640" w:firstLineChars="200"/>
        <w:rPr>
          <w:rFonts w:eastAsia="仿宋_GB2312" w:cs="仿宋_GB2312"/>
          <w:sz w:val="32"/>
          <w:szCs w:val="32"/>
        </w:rPr>
      </w:pPr>
      <w:r>
        <w:rPr>
          <w:rFonts w:hint="eastAsia" w:eastAsia="仿宋_GB2312" w:cs="仿宋_GB2312"/>
          <w:sz w:val="32"/>
          <w:szCs w:val="32"/>
        </w:rPr>
        <w:t>[13]国家食品药品监督管理局.医疗器械说明书和标签管理规定:国家食品药品监督管理总局令第6号[Z].</w:t>
      </w:r>
    </w:p>
    <w:p w14:paraId="61239F45">
      <w:pPr>
        <w:tabs>
          <w:tab w:val="left" w:pos="540"/>
        </w:tabs>
        <w:spacing w:line="520" w:lineRule="exact"/>
        <w:ind w:firstLine="640" w:firstLineChars="200"/>
        <w:rPr>
          <w:rFonts w:eastAsia="仿宋_GB2312" w:cs="仿宋_GB2312"/>
          <w:sz w:val="32"/>
          <w:szCs w:val="32"/>
        </w:rPr>
      </w:pPr>
      <w:r>
        <w:rPr>
          <w:rFonts w:hint="eastAsia" w:eastAsia="仿宋_GB2312" w:cs="仿宋_GB2312"/>
          <w:sz w:val="32"/>
          <w:szCs w:val="32"/>
        </w:rPr>
        <w:t>[14]GB/T 16886.1 医疗器械生物学评价 第 1 部分：风险管理过程中的评价与试验[S].</w:t>
      </w:r>
    </w:p>
    <w:p w14:paraId="146EF83A">
      <w:pPr>
        <w:tabs>
          <w:tab w:val="left" w:pos="540"/>
        </w:tabs>
        <w:spacing w:line="520" w:lineRule="exact"/>
        <w:ind w:firstLine="640" w:firstLineChars="200"/>
        <w:rPr>
          <w:rFonts w:eastAsia="仿宋_GB2312" w:cs="仿宋_GB2312"/>
          <w:sz w:val="32"/>
          <w:szCs w:val="32"/>
        </w:rPr>
      </w:pPr>
      <w:r>
        <w:rPr>
          <w:rFonts w:hint="eastAsia" w:eastAsia="仿宋_GB2312" w:cs="仿宋_GB2312"/>
          <w:sz w:val="32"/>
          <w:szCs w:val="32"/>
        </w:rPr>
        <w:t>[15]GB/T 16886.5 医疗器械生物学评价 第 5 部分：体外细胞毒性试验》[S].</w:t>
      </w:r>
    </w:p>
    <w:p w14:paraId="4045ECDB">
      <w:pPr>
        <w:tabs>
          <w:tab w:val="left" w:pos="540"/>
        </w:tabs>
        <w:spacing w:line="520" w:lineRule="exact"/>
        <w:ind w:firstLine="640" w:firstLineChars="200"/>
        <w:rPr>
          <w:rFonts w:eastAsia="仿宋_GB2312" w:cs="仿宋_GB2312"/>
          <w:sz w:val="32"/>
          <w:szCs w:val="32"/>
        </w:rPr>
      </w:pPr>
      <w:r>
        <w:rPr>
          <w:rFonts w:hint="eastAsia" w:eastAsia="仿宋_GB2312" w:cs="仿宋_GB2312"/>
          <w:sz w:val="32"/>
          <w:szCs w:val="32"/>
        </w:rPr>
        <w:t>[16]GB/T 16886.10 医疗器械生物学评价 第 10 部分：刺激与皮肤致敏试验[S].</w:t>
      </w:r>
    </w:p>
    <w:p w14:paraId="460EA11E">
      <w:pPr>
        <w:tabs>
          <w:tab w:val="left" w:pos="540"/>
        </w:tabs>
        <w:spacing w:line="520" w:lineRule="exact"/>
        <w:ind w:firstLine="640" w:firstLineChars="200"/>
        <w:rPr>
          <w:rFonts w:eastAsia="仿宋_GB2312" w:cs="仿宋_GB2312"/>
          <w:sz w:val="32"/>
          <w:szCs w:val="32"/>
        </w:rPr>
      </w:pPr>
      <w:r>
        <w:rPr>
          <w:rFonts w:hint="eastAsia" w:eastAsia="仿宋_GB2312" w:cs="仿宋_GB2312"/>
          <w:sz w:val="32"/>
          <w:szCs w:val="32"/>
        </w:rPr>
        <w:t>[17]GB/T 16886,医疗器械生物学评价系列标准[S].</w:t>
      </w:r>
    </w:p>
    <w:p w14:paraId="3618F8AA">
      <w:pPr>
        <w:tabs>
          <w:tab w:val="left" w:pos="540"/>
        </w:tabs>
        <w:spacing w:line="520" w:lineRule="exact"/>
        <w:ind w:firstLine="640" w:firstLineChars="200"/>
        <w:rPr>
          <w:rFonts w:eastAsia="仿宋_GB2312" w:cs="仿宋_GB2312"/>
          <w:sz w:val="32"/>
          <w:szCs w:val="32"/>
        </w:rPr>
      </w:pPr>
      <w:r>
        <w:rPr>
          <w:rFonts w:hint="eastAsia" w:eastAsia="仿宋_GB2312" w:cs="仿宋_GB2312"/>
          <w:sz w:val="32"/>
          <w:szCs w:val="32"/>
        </w:rPr>
        <w:t>[18]GB/T 18880-2012 粘结钕铁硼永磁材料[S].</w:t>
      </w:r>
    </w:p>
    <w:p w14:paraId="3020A24A">
      <w:pPr>
        <w:tabs>
          <w:tab w:val="left" w:pos="540"/>
        </w:tabs>
        <w:spacing w:line="520" w:lineRule="exact"/>
        <w:ind w:firstLine="640" w:firstLineChars="200"/>
        <w:rPr>
          <w:rFonts w:eastAsia="仿宋_GB2312" w:cs="仿宋_GB2312"/>
          <w:sz w:val="32"/>
          <w:szCs w:val="32"/>
        </w:rPr>
      </w:pPr>
      <w:r>
        <w:rPr>
          <w:rFonts w:hint="eastAsia" w:eastAsia="仿宋_GB2312" w:cs="仿宋_GB2312"/>
          <w:sz w:val="32"/>
          <w:szCs w:val="32"/>
        </w:rPr>
        <w:t>[19]YY/T 0148-2006 医用胶带 通用要求[S].</w:t>
      </w:r>
    </w:p>
    <w:p w14:paraId="224F82EF">
      <w:pPr>
        <w:tabs>
          <w:tab w:val="left" w:pos="540"/>
        </w:tabs>
        <w:spacing w:line="520" w:lineRule="exact"/>
        <w:ind w:firstLine="640" w:firstLineChars="200"/>
        <w:rPr>
          <w:rFonts w:eastAsia="仿宋_GB2312" w:cs="仿宋_GB2312"/>
          <w:sz w:val="32"/>
          <w:szCs w:val="32"/>
        </w:rPr>
      </w:pPr>
      <w:r>
        <w:rPr>
          <w:rFonts w:hint="eastAsia" w:eastAsia="仿宋_GB2312" w:cs="仿宋_GB2312"/>
          <w:sz w:val="32"/>
          <w:szCs w:val="32"/>
        </w:rPr>
        <w:t>[20]T/ZZB 1832-2020 粘结永磁锶铁氧体料粉[S].</w:t>
      </w:r>
    </w:p>
    <w:p w14:paraId="770B7E5D">
      <w:pPr>
        <w:tabs>
          <w:tab w:val="left" w:pos="540"/>
        </w:tabs>
        <w:spacing w:line="520" w:lineRule="exact"/>
        <w:ind w:firstLine="640" w:firstLineChars="200"/>
        <w:rPr>
          <w:rFonts w:eastAsia="仿宋_GB2312" w:cs="仿宋_GB2312"/>
          <w:sz w:val="32"/>
          <w:szCs w:val="32"/>
        </w:rPr>
      </w:pPr>
      <w:r>
        <w:rPr>
          <w:rFonts w:hint="eastAsia" w:eastAsia="仿宋_GB2312" w:cs="仿宋_GB2312"/>
          <w:sz w:val="32"/>
          <w:szCs w:val="32"/>
        </w:rPr>
        <w:t>[21]YY/T 1975-2025 远红外磁疗贴（袋）[S].</w:t>
      </w:r>
    </w:p>
    <w:p w14:paraId="60E67EB4">
      <w:pPr>
        <w:tabs>
          <w:tab w:val="left" w:pos="540"/>
        </w:tabs>
        <w:spacing w:line="520" w:lineRule="exact"/>
        <w:ind w:firstLine="640" w:firstLineChars="200"/>
        <w:rPr>
          <w:rFonts w:hint="eastAsia" w:eastAsia="仿宋_GB2312" w:cs="仿宋_GB2312"/>
          <w:sz w:val="32"/>
          <w:szCs w:val="32"/>
        </w:rPr>
      </w:pPr>
      <w:r>
        <w:rPr>
          <w:rFonts w:hint="eastAsia" w:eastAsia="仿宋_GB2312" w:cs="仿宋_GB2312"/>
          <w:sz w:val="32"/>
          <w:szCs w:val="32"/>
        </w:rPr>
        <w:t>[22]ISO 22587:2023《Traditional Chinese medicine — Acupoint magnetotherapy plasters for single use》（中药 一次性穴位磁疗贴）</w:t>
      </w:r>
    </w:p>
    <w:p w14:paraId="1B56906E">
      <w:pPr>
        <w:tabs>
          <w:tab w:val="left" w:pos="540"/>
        </w:tabs>
        <w:spacing w:line="520" w:lineRule="exact"/>
        <w:ind w:firstLine="640" w:firstLineChars="200"/>
        <w:rPr>
          <w:rFonts w:hint="default" w:eastAsia="仿宋_GB2312" w:cs="仿宋_GB2312"/>
          <w:sz w:val="32"/>
          <w:szCs w:val="32"/>
          <w:lang w:val="en-US" w:eastAsia="zh-CN"/>
        </w:rPr>
      </w:pPr>
      <w:r>
        <w:rPr>
          <w:rFonts w:hint="eastAsia" w:eastAsia="仿宋_GB2312" w:cs="仿宋_GB2312"/>
          <w:sz w:val="32"/>
          <w:szCs w:val="32"/>
        </w:rPr>
        <w:t>[2</w:t>
      </w:r>
      <w:r>
        <w:rPr>
          <w:rFonts w:hint="eastAsia" w:eastAsia="仿宋_GB2312" w:cs="仿宋_GB2312"/>
          <w:sz w:val="32"/>
          <w:szCs w:val="32"/>
          <w:lang w:val="en-US" w:eastAsia="zh-CN"/>
        </w:rPr>
        <w:t>3</w:t>
      </w:r>
      <w:r>
        <w:rPr>
          <w:rFonts w:hint="eastAsia" w:eastAsia="仿宋_GB2312" w:cs="仿宋_GB2312"/>
          <w:sz w:val="32"/>
          <w:szCs w:val="32"/>
        </w:rPr>
        <w:t>]</w:t>
      </w:r>
      <w:r>
        <w:rPr>
          <w:rFonts w:hint="eastAsia" w:eastAsia="仿宋_GB2312" w:cs="仿宋_GB2312"/>
          <w:sz w:val="32"/>
          <w:szCs w:val="32"/>
          <w:lang w:eastAsia="zh-CN"/>
        </w:rPr>
        <w:t>王富春，岳增辉</w:t>
      </w:r>
      <w:r>
        <w:rPr>
          <w:rFonts w:eastAsia="仿宋_GB2312"/>
          <w:kern w:val="0"/>
          <w:sz w:val="32"/>
          <w:szCs w:val="32"/>
        </w:rPr>
        <w:t>.</w:t>
      </w:r>
      <w:r>
        <w:rPr>
          <w:rFonts w:hint="eastAsia" w:eastAsia="仿宋_GB2312" w:cs="仿宋_GB2312"/>
          <w:sz w:val="32"/>
          <w:szCs w:val="32"/>
          <w:lang w:eastAsia="zh-CN"/>
        </w:rPr>
        <w:t>刺法灸法学</w:t>
      </w:r>
      <w:r>
        <w:rPr>
          <w:rFonts w:eastAsia="仿宋_GB2312"/>
          <w:kern w:val="0"/>
          <w:sz w:val="32"/>
          <w:szCs w:val="32"/>
        </w:rPr>
        <w:t>:第5版</w:t>
      </w:r>
      <w:r>
        <w:rPr>
          <w:rFonts w:hint="eastAsia" w:eastAsia="仿宋_GB2312" w:cs="仿宋_GB2312"/>
          <w:sz w:val="32"/>
          <w:szCs w:val="32"/>
          <w:lang w:eastAsia="zh-CN"/>
        </w:rPr>
        <w:t xml:space="preserve">[M]‌ </w:t>
      </w:r>
      <w:r>
        <w:rPr>
          <w:rFonts w:hint="eastAsia" w:eastAsia="仿宋_GB2312"/>
          <w:kern w:val="0"/>
          <w:sz w:val="32"/>
          <w:szCs w:val="32"/>
          <w:lang w:val="en-US" w:eastAsia="zh-CN"/>
        </w:rPr>
        <w:t>.</w:t>
      </w:r>
      <w:r>
        <w:rPr>
          <w:rFonts w:hint="eastAsia" w:eastAsia="仿宋_GB2312"/>
          <w:kern w:val="0"/>
          <w:sz w:val="32"/>
          <w:szCs w:val="32"/>
          <w:lang w:eastAsia="zh-CN"/>
        </w:rPr>
        <w:t>中国中医药出版社</w:t>
      </w:r>
      <w:r>
        <w:rPr>
          <w:rFonts w:hint="default" w:eastAsia="仿宋_GB2312"/>
          <w:kern w:val="0"/>
          <w:sz w:val="32"/>
          <w:szCs w:val="32"/>
          <w:lang w:val="en-US" w:eastAsia="zh-CN"/>
        </w:rPr>
        <w:t>,</w:t>
      </w:r>
      <w:r>
        <w:rPr>
          <w:rFonts w:hint="eastAsia" w:eastAsia="仿宋_GB2312"/>
          <w:kern w:val="0"/>
          <w:sz w:val="32"/>
          <w:szCs w:val="32"/>
          <w:lang w:val="en-US" w:eastAsia="zh-CN"/>
        </w:rPr>
        <w:t>2021-07</w:t>
      </w:r>
      <w:r>
        <w:rPr>
          <w:rFonts w:eastAsia="仿宋_GB2312"/>
          <w:kern w:val="0"/>
          <w:sz w:val="32"/>
          <w:szCs w:val="32"/>
        </w:rPr>
        <w:t>.</w:t>
      </w:r>
    </w:p>
    <w:p w14:paraId="020B24F6">
      <w:pPr>
        <w:tabs>
          <w:tab w:val="left" w:pos="540"/>
        </w:tabs>
        <w:spacing w:line="520" w:lineRule="exact"/>
        <w:ind w:firstLine="640" w:firstLineChars="200"/>
        <w:rPr>
          <w:rFonts w:eastAsia="仿宋_GB2312"/>
          <w:kern w:val="0"/>
          <w:sz w:val="32"/>
          <w:szCs w:val="32"/>
        </w:rPr>
      </w:pPr>
      <w:r>
        <w:rPr>
          <w:rFonts w:hint="eastAsia" w:eastAsia="仿宋_GB2312" w:cs="仿宋_GB2312"/>
          <w:sz w:val="32"/>
          <w:szCs w:val="32"/>
        </w:rPr>
        <w:t>[2</w:t>
      </w:r>
      <w:r>
        <w:rPr>
          <w:rFonts w:hint="eastAsia" w:eastAsia="仿宋_GB2312" w:cs="仿宋_GB2312"/>
          <w:sz w:val="32"/>
          <w:szCs w:val="32"/>
          <w:lang w:val="en-US" w:eastAsia="zh-CN"/>
        </w:rPr>
        <w:t>4</w:t>
      </w:r>
      <w:r>
        <w:rPr>
          <w:rFonts w:hint="eastAsia" w:eastAsia="仿宋_GB2312" w:cs="仿宋_GB2312"/>
          <w:sz w:val="32"/>
          <w:szCs w:val="32"/>
        </w:rPr>
        <w:t>]艾成松</w:t>
      </w:r>
      <w:r>
        <w:rPr>
          <w:rFonts w:hint="eastAsia" w:eastAsia="仿宋_GB2312" w:cs="仿宋_GB2312"/>
          <w:sz w:val="32"/>
          <w:szCs w:val="32"/>
          <w:lang w:eastAsia="zh-CN"/>
        </w:rPr>
        <w:t>，</w:t>
      </w:r>
      <w:r>
        <w:rPr>
          <w:rFonts w:hint="eastAsia" w:eastAsia="仿宋_GB2312" w:cs="仿宋_GB2312"/>
          <w:sz w:val="32"/>
          <w:szCs w:val="32"/>
        </w:rPr>
        <w:t>何经恕</w:t>
      </w:r>
      <w:r>
        <w:rPr>
          <w:rFonts w:hint="eastAsia" w:eastAsia="仿宋_GB2312" w:cs="仿宋_GB2312"/>
          <w:sz w:val="32"/>
          <w:szCs w:val="32"/>
          <w:lang w:eastAsia="zh-CN"/>
        </w:rPr>
        <w:t>，</w:t>
      </w:r>
      <w:r>
        <w:rPr>
          <w:rFonts w:hint="eastAsia" w:eastAsia="仿宋_GB2312" w:cs="仿宋_GB2312"/>
          <w:sz w:val="32"/>
          <w:szCs w:val="32"/>
        </w:rPr>
        <w:t>唐娟辉</w:t>
      </w:r>
      <w:r>
        <w:rPr>
          <w:rFonts w:hint="default" w:eastAsia="仿宋_GB2312" w:cs="仿宋_GB2312"/>
          <w:sz w:val="32"/>
          <w:szCs w:val="32"/>
          <w:lang w:val="en-US"/>
        </w:rPr>
        <w:t>.</w:t>
      </w:r>
      <w:r>
        <w:rPr>
          <w:rFonts w:hint="eastAsia" w:eastAsia="仿宋_GB2312" w:cs="仿宋_GB2312"/>
          <w:sz w:val="32"/>
          <w:szCs w:val="32"/>
        </w:rPr>
        <w:t xml:space="preserve">穴位磁疗[M]‌ </w:t>
      </w:r>
      <w:r>
        <w:rPr>
          <w:rFonts w:hint="eastAsia" w:eastAsia="仿宋_GB2312" w:cs="仿宋_GB2312"/>
          <w:sz w:val="32"/>
          <w:szCs w:val="32"/>
          <w:lang w:val="en-US" w:eastAsia="zh-CN"/>
        </w:rPr>
        <w:t>.</w:t>
      </w:r>
      <w:r>
        <w:rPr>
          <w:rFonts w:hint="default" w:eastAsia="仿宋_GB2312" w:cs="仿宋_GB2312"/>
          <w:sz w:val="32"/>
          <w:szCs w:val="32"/>
          <w:lang w:val="en-US"/>
        </w:rPr>
        <w:t>中医古籍出版社,2021</w:t>
      </w:r>
      <w:r>
        <w:rPr>
          <w:rFonts w:eastAsia="仿宋_GB2312"/>
          <w:kern w:val="0"/>
          <w:sz w:val="32"/>
          <w:szCs w:val="32"/>
        </w:rPr>
        <w:t>.</w:t>
      </w:r>
    </w:p>
    <w:p w14:paraId="5A6DECF4">
      <w:pPr>
        <w:tabs>
          <w:tab w:val="left" w:pos="540"/>
        </w:tabs>
        <w:spacing w:line="520" w:lineRule="exact"/>
        <w:ind w:firstLine="640" w:firstLineChars="200"/>
        <w:rPr>
          <w:rFonts w:hint="eastAsia" w:eastAsia="仿宋_GB2312" w:cs="仿宋_GB2312"/>
          <w:sz w:val="32"/>
          <w:szCs w:val="32"/>
          <w:lang w:val="en-US" w:eastAsia="zh-CN"/>
        </w:rPr>
      </w:pPr>
      <w:r>
        <w:rPr>
          <w:rFonts w:hint="eastAsia" w:eastAsia="仿宋_GB2312" w:cs="仿宋_GB2312"/>
          <w:sz w:val="32"/>
          <w:szCs w:val="32"/>
        </w:rPr>
        <w:t>[2</w:t>
      </w:r>
      <w:r>
        <w:rPr>
          <w:rFonts w:hint="eastAsia" w:eastAsia="仿宋_GB2312" w:cs="仿宋_GB2312"/>
          <w:sz w:val="32"/>
          <w:szCs w:val="32"/>
          <w:lang w:val="en-US" w:eastAsia="zh-CN"/>
        </w:rPr>
        <w:t>5</w:t>
      </w:r>
      <w:r>
        <w:rPr>
          <w:rFonts w:hint="eastAsia" w:eastAsia="仿宋_GB2312" w:cs="仿宋_GB2312"/>
          <w:sz w:val="32"/>
          <w:szCs w:val="32"/>
        </w:rPr>
        <w:t>]朱平</w:t>
      </w:r>
      <w:r>
        <w:rPr>
          <w:rFonts w:hint="eastAsia" w:eastAsia="仿宋_GB2312" w:cs="仿宋_GB2312"/>
          <w:sz w:val="32"/>
          <w:szCs w:val="32"/>
          <w:lang w:val="en-US" w:eastAsia="zh-CN"/>
        </w:rPr>
        <w:t>.</w:t>
      </w:r>
      <w:r>
        <w:rPr>
          <w:rFonts w:hint="eastAsia" w:eastAsia="仿宋_GB2312" w:cs="仿宋_GB2312"/>
          <w:sz w:val="32"/>
          <w:szCs w:val="32"/>
        </w:rPr>
        <w:t xml:space="preserve">磁场治疗手册[M]‌ </w:t>
      </w:r>
      <w:r>
        <w:rPr>
          <w:rFonts w:hint="eastAsia" w:eastAsia="仿宋_GB2312" w:cs="仿宋_GB2312"/>
          <w:sz w:val="32"/>
          <w:szCs w:val="32"/>
          <w:lang w:val="en-US" w:eastAsia="zh-CN"/>
        </w:rPr>
        <w:t>.北</w:t>
      </w:r>
      <w:r>
        <w:rPr>
          <w:rFonts w:hint="eastAsia" w:eastAsia="仿宋_GB2312" w:cs="仿宋_GB2312"/>
          <w:sz w:val="32"/>
          <w:szCs w:val="32"/>
        </w:rPr>
        <w:t>京人民军医出版社</w:t>
      </w:r>
      <w:r>
        <w:rPr>
          <w:rFonts w:hint="eastAsia" w:eastAsia="仿宋_GB2312" w:cs="仿宋_GB2312"/>
          <w:sz w:val="32"/>
          <w:szCs w:val="32"/>
          <w:lang w:val="en-US" w:eastAsia="zh-CN"/>
        </w:rPr>
        <w:t>,</w:t>
      </w:r>
      <w:r>
        <w:rPr>
          <w:rFonts w:hint="eastAsia" w:eastAsia="仿宋_GB2312" w:cs="仿宋_GB2312"/>
          <w:sz w:val="32"/>
          <w:szCs w:val="32"/>
        </w:rPr>
        <w:t>2013</w:t>
      </w:r>
      <w:r>
        <w:rPr>
          <w:rFonts w:hint="eastAsia" w:eastAsia="仿宋_GB2312" w:cs="仿宋_GB2312"/>
          <w:sz w:val="32"/>
          <w:szCs w:val="32"/>
          <w:lang w:val="en-US" w:eastAsia="zh-CN"/>
        </w:rPr>
        <w:t>.</w:t>
      </w:r>
    </w:p>
    <w:p w14:paraId="5D2CD338">
      <w:pPr>
        <w:tabs>
          <w:tab w:val="left" w:pos="540"/>
        </w:tabs>
        <w:spacing w:line="520" w:lineRule="exact"/>
        <w:ind w:firstLine="640" w:firstLineChars="200"/>
        <w:rPr>
          <w:rFonts w:hint="default" w:eastAsia="仿宋_GB2312" w:cs="仿宋_GB2312"/>
          <w:sz w:val="32"/>
          <w:szCs w:val="32"/>
          <w:highlight w:val="none"/>
          <w:lang w:val="en-US" w:eastAsia="zh-CN"/>
        </w:rPr>
      </w:pPr>
      <w:r>
        <w:rPr>
          <w:rFonts w:hint="eastAsia" w:eastAsia="仿宋_GB2312" w:cs="仿宋_GB2312"/>
          <w:sz w:val="32"/>
          <w:szCs w:val="32"/>
        </w:rPr>
        <w:t>[2</w:t>
      </w:r>
      <w:r>
        <w:rPr>
          <w:rFonts w:hint="eastAsia" w:eastAsia="仿宋_GB2312" w:cs="仿宋_GB2312"/>
          <w:sz w:val="32"/>
          <w:szCs w:val="32"/>
          <w:lang w:val="en-US" w:eastAsia="zh-CN"/>
        </w:rPr>
        <w:t>6</w:t>
      </w:r>
      <w:r>
        <w:rPr>
          <w:rFonts w:hint="eastAsia" w:eastAsia="仿宋_GB2312" w:cs="仿宋_GB2312"/>
          <w:sz w:val="32"/>
          <w:szCs w:val="32"/>
          <w:highlight w:val="none"/>
        </w:rPr>
        <w:t>]</w:t>
      </w:r>
      <w:r>
        <w:rPr>
          <w:rFonts w:hint="eastAsia" w:eastAsia="仿宋_GB2312" w:cs="仿宋_GB2312"/>
          <w:sz w:val="32"/>
          <w:szCs w:val="32"/>
          <w:highlight w:val="none"/>
          <w:lang w:eastAsia="zh-CN"/>
        </w:rPr>
        <w:t>张红</w:t>
      </w:r>
      <w:r>
        <w:rPr>
          <w:rFonts w:hint="eastAsia" w:eastAsia="仿宋_GB2312" w:cs="仿宋_GB2312"/>
          <w:sz w:val="32"/>
          <w:szCs w:val="32"/>
          <w:highlight w:val="none"/>
          <w:lang w:val="en-US" w:eastAsia="zh-CN"/>
        </w:rPr>
        <w:t>.穴位磁疗的作用机制及临床应用[J]‌ .山东中医杂志, 2009 ,28 (06) : 438-439.</w:t>
      </w:r>
    </w:p>
    <w:p w14:paraId="72075F4F">
      <w:pPr>
        <w:tabs>
          <w:tab w:val="left" w:pos="540"/>
        </w:tabs>
        <w:spacing w:line="520" w:lineRule="exact"/>
        <w:ind w:firstLine="640" w:firstLineChars="200"/>
        <w:rPr>
          <w:rFonts w:hint="default" w:eastAsia="仿宋_GB2312" w:cs="仿宋_GB2312"/>
          <w:sz w:val="32"/>
          <w:szCs w:val="32"/>
          <w:highlight w:val="none"/>
          <w:lang w:val="en-US" w:eastAsia="zh-CN"/>
        </w:rPr>
      </w:pPr>
      <w:r>
        <w:rPr>
          <w:rFonts w:hint="eastAsia" w:eastAsia="仿宋_GB2312" w:cs="仿宋_GB2312"/>
          <w:sz w:val="32"/>
          <w:szCs w:val="32"/>
        </w:rPr>
        <w:t>[2</w:t>
      </w:r>
      <w:r>
        <w:rPr>
          <w:rFonts w:hint="eastAsia" w:eastAsia="仿宋_GB2312" w:cs="仿宋_GB2312"/>
          <w:sz w:val="32"/>
          <w:szCs w:val="32"/>
          <w:lang w:val="en-US" w:eastAsia="zh-CN"/>
        </w:rPr>
        <w:t>7</w:t>
      </w:r>
      <w:r>
        <w:rPr>
          <w:rFonts w:hint="eastAsia" w:eastAsia="仿宋_GB2312" w:cs="仿宋_GB2312"/>
          <w:sz w:val="32"/>
          <w:szCs w:val="32"/>
          <w:highlight w:val="none"/>
        </w:rPr>
        <w:t>]孙廷列</w:t>
      </w:r>
      <w:r>
        <w:rPr>
          <w:rFonts w:hint="eastAsia" w:eastAsia="仿宋_GB2312" w:cs="仿宋_GB2312"/>
          <w:sz w:val="32"/>
          <w:szCs w:val="32"/>
          <w:highlight w:val="none"/>
          <w:lang w:val="en-US" w:eastAsia="zh-CN"/>
        </w:rPr>
        <w:t>.</w:t>
      </w:r>
      <w:r>
        <w:rPr>
          <w:rFonts w:hint="default" w:eastAsia="仿宋_GB2312" w:cs="仿宋_GB2312"/>
          <w:sz w:val="32"/>
          <w:szCs w:val="32"/>
          <w:highlight w:val="none"/>
          <w:lang w:val="en-US" w:eastAsia="zh-CN"/>
        </w:rPr>
        <w:t>磁疗的经穴作用及对机体的生物效应</w:t>
      </w:r>
      <w:r>
        <w:rPr>
          <w:rFonts w:hint="eastAsia" w:eastAsia="仿宋_GB2312" w:cs="仿宋_GB2312"/>
          <w:sz w:val="32"/>
          <w:szCs w:val="32"/>
          <w:highlight w:val="none"/>
          <w:lang w:val="en-US" w:eastAsia="zh-CN"/>
        </w:rPr>
        <w:t>[J]‌ .生物磁学，2001 (02) : 42-43.</w:t>
      </w:r>
    </w:p>
    <w:p w14:paraId="1BB3BD6B">
      <w:pPr>
        <w:tabs>
          <w:tab w:val="left" w:pos="540"/>
        </w:tabs>
        <w:spacing w:line="520" w:lineRule="exact"/>
        <w:ind w:firstLine="640" w:firstLineChars="200"/>
        <w:rPr>
          <w:rFonts w:hint="default" w:eastAsia="仿宋_GB2312" w:cs="仿宋_GB2312"/>
          <w:sz w:val="32"/>
          <w:szCs w:val="32"/>
          <w:highlight w:val="none"/>
          <w:lang w:val="en-US" w:eastAsia="zh-CN"/>
        </w:rPr>
      </w:pPr>
      <w:r>
        <w:rPr>
          <w:rFonts w:hint="eastAsia" w:eastAsia="仿宋_GB2312" w:cs="仿宋_GB2312"/>
          <w:sz w:val="32"/>
          <w:szCs w:val="32"/>
        </w:rPr>
        <w:t>[2</w:t>
      </w:r>
      <w:r>
        <w:rPr>
          <w:rFonts w:hint="eastAsia" w:eastAsia="仿宋_GB2312" w:cs="仿宋_GB2312"/>
          <w:sz w:val="32"/>
          <w:szCs w:val="32"/>
          <w:lang w:val="en-US" w:eastAsia="zh-CN"/>
        </w:rPr>
        <w:t>8</w:t>
      </w:r>
      <w:r>
        <w:rPr>
          <w:rFonts w:hint="eastAsia" w:eastAsia="仿宋_GB2312" w:cs="仿宋_GB2312"/>
          <w:sz w:val="32"/>
          <w:szCs w:val="32"/>
          <w:highlight w:val="none"/>
        </w:rPr>
        <w:t>]张肇庆</w:t>
      </w:r>
      <w:r>
        <w:rPr>
          <w:rFonts w:hint="eastAsia" w:eastAsia="仿宋_GB2312" w:cs="仿宋_GB2312"/>
          <w:sz w:val="32"/>
          <w:szCs w:val="32"/>
          <w:highlight w:val="none"/>
          <w:lang w:val="en-US" w:eastAsia="zh-CN"/>
        </w:rPr>
        <w:t>.从电磁角度思考经络.磁性材料及器件[J]‌ , 2010 ,41 (03) : 75-77.</w:t>
      </w:r>
    </w:p>
    <w:sectPr>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dobe 仿宋 Std R">
    <w:altName w:val="仿宋"/>
    <w:panose1 w:val="00000000000000000000"/>
    <w:charset w:val="86"/>
    <w:family w:val="roman"/>
    <w:pitch w:val="default"/>
    <w:sig w:usb0="00000000" w:usb1="00000000" w:usb2="00000016" w:usb3="00000000" w:csb0="00060007"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FED5B0"/>
    <w:multiLevelType w:val="singleLevel"/>
    <w:tmpl w:val="BAFED5B0"/>
    <w:lvl w:ilvl="0" w:tentative="0">
      <w:start w:val="1"/>
      <w:numFmt w:val="decimal"/>
      <w:suff w:val="nothing"/>
      <w:lvlText w:val="（%1）"/>
      <w:lvlJc w:val="left"/>
    </w:lvl>
  </w:abstractNum>
  <w:abstractNum w:abstractNumId="1">
    <w:nsid w:val="0F746CCE"/>
    <w:multiLevelType w:val="singleLevel"/>
    <w:tmpl w:val="0F746CCE"/>
    <w:lvl w:ilvl="0" w:tentative="0">
      <w:start w:val="1"/>
      <w:numFmt w:val="decimal"/>
      <w:suff w:val="space"/>
      <w:lvlText w:val="%1."/>
      <w:lvlJc w:val="left"/>
      <w:pPr>
        <w:ind w:left="567" w:firstLine="0"/>
      </w:pPr>
      <w:rPr>
        <w:rFonts w:hint="default"/>
      </w:rPr>
    </w:lvl>
  </w:abstractNum>
  <w:abstractNum w:abstractNumId="2">
    <w:nsid w:val="7FDBB9F5"/>
    <w:multiLevelType w:val="singleLevel"/>
    <w:tmpl w:val="7FDBB9F5"/>
    <w:lvl w:ilvl="0" w:tentative="0">
      <w:start w:val="1"/>
      <w:numFmt w:val="decimal"/>
      <w:lvlText w:val="%1."/>
      <w:lvlJc w:val="left"/>
      <w:pPr>
        <w:tabs>
          <w:tab w:val="left" w:pos="312"/>
        </w:tabs>
        <w:ind w:left="63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dmYjU3N2RlOTJhOTE4NzJiM2I0MmE4NmYxNWYzYTUifQ=="/>
  </w:docVars>
  <w:rsids>
    <w:rsidRoot w:val="65602744"/>
    <w:rsid w:val="006D0CEF"/>
    <w:rsid w:val="00E334F5"/>
    <w:rsid w:val="02AD32D0"/>
    <w:rsid w:val="0EDC6A00"/>
    <w:rsid w:val="121A3CD7"/>
    <w:rsid w:val="15AB6653"/>
    <w:rsid w:val="167F38A0"/>
    <w:rsid w:val="193556E1"/>
    <w:rsid w:val="1B270A45"/>
    <w:rsid w:val="1B7C5447"/>
    <w:rsid w:val="1BDF8B5E"/>
    <w:rsid w:val="1BE6ADAB"/>
    <w:rsid w:val="1DD819F0"/>
    <w:rsid w:val="1EF7119F"/>
    <w:rsid w:val="1FF8A1C4"/>
    <w:rsid w:val="21C6437E"/>
    <w:rsid w:val="240D2A53"/>
    <w:rsid w:val="267FF98A"/>
    <w:rsid w:val="29FF0CEA"/>
    <w:rsid w:val="2BBDFFB6"/>
    <w:rsid w:val="2BF71D56"/>
    <w:rsid w:val="2E5D7534"/>
    <w:rsid w:val="2F49244E"/>
    <w:rsid w:val="2F9FE478"/>
    <w:rsid w:val="2FF63FA8"/>
    <w:rsid w:val="2FFFEEB8"/>
    <w:rsid w:val="3072362E"/>
    <w:rsid w:val="35FD68F4"/>
    <w:rsid w:val="39FFD913"/>
    <w:rsid w:val="3B365CF9"/>
    <w:rsid w:val="3BFB69C8"/>
    <w:rsid w:val="3C653A18"/>
    <w:rsid w:val="3D6E3801"/>
    <w:rsid w:val="3DF0DD86"/>
    <w:rsid w:val="3DFD83BE"/>
    <w:rsid w:val="3F1C7168"/>
    <w:rsid w:val="40337813"/>
    <w:rsid w:val="4BBF8EC2"/>
    <w:rsid w:val="4DF74213"/>
    <w:rsid w:val="4EA74C80"/>
    <w:rsid w:val="4EFFA459"/>
    <w:rsid w:val="4F3FF496"/>
    <w:rsid w:val="4FDD4C65"/>
    <w:rsid w:val="4FF7C638"/>
    <w:rsid w:val="4FFEC063"/>
    <w:rsid w:val="4FFF52A4"/>
    <w:rsid w:val="502A5BB3"/>
    <w:rsid w:val="52734439"/>
    <w:rsid w:val="53BF4773"/>
    <w:rsid w:val="54EFAD6E"/>
    <w:rsid w:val="55759F76"/>
    <w:rsid w:val="565813C2"/>
    <w:rsid w:val="575DB17F"/>
    <w:rsid w:val="57BA8AC1"/>
    <w:rsid w:val="57F5F9B7"/>
    <w:rsid w:val="59782DAF"/>
    <w:rsid w:val="59ED09B0"/>
    <w:rsid w:val="5BF7FA34"/>
    <w:rsid w:val="5CB78E0E"/>
    <w:rsid w:val="5EEBEF34"/>
    <w:rsid w:val="5F7F619D"/>
    <w:rsid w:val="5FFA9771"/>
    <w:rsid w:val="5FFE30F5"/>
    <w:rsid w:val="5FFF1301"/>
    <w:rsid w:val="61737672"/>
    <w:rsid w:val="62FF5391"/>
    <w:rsid w:val="637D52D1"/>
    <w:rsid w:val="65602744"/>
    <w:rsid w:val="659D998C"/>
    <w:rsid w:val="65DF717C"/>
    <w:rsid w:val="66F99204"/>
    <w:rsid w:val="68FC52B4"/>
    <w:rsid w:val="6D5D8005"/>
    <w:rsid w:val="6DFBD3B9"/>
    <w:rsid w:val="6EABA89A"/>
    <w:rsid w:val="6F4F7015"/>
    <w:rsid w:val="6FEE0FE7"/>
    <w:rsid w:val="71EC68AF"/>
    <w:rsid w:val="72DF21D3"/>
    <w:rsid w:val="75CFEFF3"/>
    <w:rsid w:val="75EF3F1D"/>
    <w:rsid w:val="76B87ED7"/>
    <w:rsid w:val="76CF4CEF"/>
    <w:rsid w:val="76D2410C"/>
    <w:rsid w:val="76EFBBB9"/>
    <w:rsid w:val="76FDF589"/>
    <w:rsid w:val="76FE3115"/>
    <w:rsid w:val="7787FE8A"/>
    <w:rsid w:val="779FCBC6"/>
    <w:rsid w:val="77EF847B"/>
    <w:rsid w:val="77EF93D9"/>
    <w:rsid w:val="77F42A8C"/>
    <w:rsid w:val="77F7DFC0"/>
    <w:rsid w:val="79EF3095"/>
    <w:rsid w:val="79FB3DE1"/>
    <w:rsid w:val="7BA42C2C"/>
    <w:rsid w:val="7BDF26D3"/>
    <w:rsid w:val="7BF69F86"/>
    <w:rsid w:val="7BF9E0AC"/>
    <w:rsid w:val="7BFC8BC0"/>
    <w:rsid w:val="7C044B16"/>
    <w:rsid w:val="7CF97ED6"/>
    <w:rsid w:val="7D095BC1"/>
    <w:rsid w:val="7D3D0F81"/>
    <w:rsid w:val="7D7A4A5E"/>
    <w:rsid w:val="7D7BF40D"/>
    <w:rsid w:val="7DBFDB54"/>
    <w:rsid w:val="7DDB874F"/>
    <w:rsid w:val="7ECF8179"/>
    <w:rsid w:val="7EDFBADC"/>
    <w:rsid w:val="7EF7C5A2"/>
    <w:rsid w:val="7EFE2396"/>
    <w:rsid w:val="7F332D91"/>
    <w:rsid w:val="7F5FD440"/>
    <w:rsid w:val="7F75A604"/>
    <w:rsid w:val="7F7F6366"/>
    <w:rsid w:val="7FA72C72"/>
    <w:rsid w:val="7FD58EB9"/>
    <w:rsid w:val="7FDBC385"/>
    <w:rsid w:val="7FDBCC26"/>
    <w:rsid w:val="7FDD167B"/>
    <w:rsid w:val="7FEF5FEF"/>
    <w:rsid w:val="7FF672EC"/>
    <w:rsid w:val="7FF7E465"/>
    <w:rsid w:val="7FFBEE7C"/>
    <w:rsid w:val="7FFEC3FB"/>
    <w:rsid w:val="8FBFF8FE"/>
    <w:rsid w:val="92E8B18D"/>
    <w:rsid w:val="99F7A48E"/>
    <w:rsid w:val="9F9F638C"/>
    <w:rsid w:val="AEEFEC67"/>
    <w:rsid w:val="AFD9160A"/>
    <w:rsid w:val="AFFA41C6"/>
    <w:rsid w:val="B23F5319"/>
    <w:rsid w:val="B36F02F6"/>
    <w:rsid w:val="B6F7FAF4"/>
    <w:rsid w:val="B9B95F05"/>
    <w:rsid w:val="B9E78F67"/>
    <w:rsid w:val="B9FF08C6"/>
    <w:rsid w:val="BA674194"/>
    <w:rsid w:val="BB9EF3E9"/>
    <w:rsid w:val="BBCF75A7"/>
    <w:rsid w:val="BBDB6547"/>
    <w:rsid w:val="BBEEF1B0"/>
    <w:rsid w:val="BBFFFC0C"/>
    <w:rsid w:val="BD1F27EC"/>
    <w:rsid w:val="BDF77D13"/>
    <w:rsid w:val="BE7E3FE6"/>
    <w:rsid w:val="BEDE8044"/>
    <w:rsid w:val="BF47C3C2"/>
    <w:rsid w:val="BFB369C0"/>
    <w:rsid w:val="BFBF613B"/>
    <w:rsid w:val="BFE67130"/>
    <w:rsid w:val="BFF7F7E2"/>
    <w:rsid w:val="BFFE1256"/>
    <w:rsid w:val="C37DD925"/>
    <w:rsid w:val="C5FE8C56"/>
    <w:rsid w:val="C6574D49"/>
    <w:rsid w:val="CFFB33D3"/>
    <w:rsid w:val="D3EB4BEB"/>
    <w:rsid w:val="D7BFA796"/>
    <w:rsid w:val="D8BFC9D3"/>
    <w:rsid w:val="DBEB0580"/>
    <w:rsid w:val="DBEE9FA7"/>
    <w:rsid w:val="DBFF1BEC"/>
    <w:rsid w:val="DC5FBAC9"/>
    <w:rsid w:val="DDF7DB0A"/>
    <w:rsid w:val="DDFF36D1"/>
    <w:rsid w:val="DEFF074E"/>
    <w:rsid w:val="DF545B95"/>
    <w:rsid w:val="DF5D3A54"/>
    <w:rsid w:val="DF7FAE5A"/>
    <w:rsid w:val="DFEF2B51"/>
    <w:rsid w:val="DFF1035B"/>
    <w:rsid w:val="DFF6B625"/>
    <w:rsid w:val="DFFE2436"/>
    <w:rsid w:val="DFFF88F8"/>
    <w:rsid w:val="E1EF43D0"/>
    <w:rsid w:val="EBBFFC9B"/>
    <w:rsid w:val="EBDB7E70"/>
    <w:rsid w:val="EBDF0624"/>
    <w:rsid w:val="EBFE1FAF"/>
    <w:rsid w:val="EBFF9A7D"/>
    <w:rsid w:val="EC4B0CF7"/>
    <w:rsid w:val="ECAB3F90"/>
    <w:rsid w:val="ED7E5CF4"/>
    <w:rsid w:val="EDCF9B05"/>
    <w:rsid w:val="EDF38DE8"/>
    <w:rsid w:val="EDFF1B5F"/>
    <w:rsid w:val="EE4AFC35"/>
    <w:rsid w:val="EEA78DE3"/>
    <w:rsid w:val="EEFF7FC7"/>
    <w:rsid w:val="EEFF9085"/>
    <w:rsid w:val="EF3F7CC7"/>
    <w:rsid w:val="EFB7A2A5"/>
    <w:rsid w:val="EFC6F440"/>
    <w:rsid w:val="EFDD20E4"/>
    <w:rsid w:val="EFE61BCE"/>
    <w:rsid w:val="EFFE1E3E"/>
    <w:rsid w:val="F3CFACF8"/>
    <w:rsid w:val="F43F69B9"/>
    <w:rsid w:val="F77FB632"/>
    <w:rsid w:val="F7CFD873"/>
    <w:rsid w:val="F7DF849A"/>
    <w:rsid w:val="F7EF6118"/>
    <w:rsid w:val="F91FC625"/>
    <w:rsid w:val="F9F63820"/>
    <w:rsid w:val="FAEFA57F"/>
    <w:rsid w:val="FAFC7488"/>
    <w:rsid w:val="FB3CF8C9"/>
    <w:rsid w:val="FB3D0EE0"/>
    <w:rsid w:val="FB7B2946"/>
    <w:rsid w:val="FBD5151D"/>
    <w:rsid w:val="FBE707AC"/>
    <w:rsid w:val="FBFE3340"/>
    <w:rsid w:val="FC3F1498"/>
    <w:rsid w:val="FCFF6628"/>
    <w:rsid w:val="FDEED22B"/>
    <w:rsid w:val="FDF37AB8"/>
    <w:rsid w:val="FDFCA38E"/>
    <w:rsid w:val="FE35F421"/>
    <w:rsid w:val="FE4F7E54"/>
    <w:rsid w:val="FE6F920F"/>
    <w:rsid w:val="FE6FD4F3"/>
    <w:rsid w:val="FE7FDAA3"/>
    <w:rsid w:val="FEB7AE5E"/>
    <w:rsid w:val="FEB91AA4"/>
    <w:rsid w:val="FF0FAE83"/>
    <w:rsid w:val="FF2FE119"/>
    <w:rsid w:val="FF59137D"/>
    <w:rsid w:val="FF5B8CF9"/>
    <w:rsid w:val="FF7670DB"/>
    <w:rsid w:val="FF7F1CD9"/>
    <w:rsid w:val="FF7F6E55"/>
    <w:rsid w:val="FF970E12"/>
    <w:rsid w:val="FF9B47B1"/>
    <w:rsid w:val="FFA4C070"/>
    <w:rsid w:val="FFB6AD08"/>
    <w:rsid w:val="FFBDECCB"/>
    <w:rsid w:val="FFBE568C"/>
    <w:rsid w:val="FFDF905E"/>
    <w:rsid w:val="FFE3A20F"/>
    <w:rsid w:val="FFED0507"/>
    <w:rsid w:val="FFEF04A0"/>
    <w:rsid w:val="FFEFFA8B"/>
    <w:rsid w:val="FFF517D7"/>
    <w:rsid w:val="FFF9DE48"/>
    <w:rsid w:val="FFFBDB81"/>
    <w:rsid w:val="FFFBE47C"/>
    <w:rsid w:val="FFFD7977"/>
    <w:rsid w:val="FFFFC6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character" w:styleId="7">
    <w:name w:val="Strong"/>
    <w:basedOn w:val="6"/>
    <w:qFormat/>
    <w:uiPriority w:val="0"/>
    <w:rPr>
      <w:b/>
    </w:rPr>
  </w:style>
  <w:style w:type="character" w:styleId="8">
    <w:name w:val="line number"/>
    <w:basedOn w:val="6"/>
    <w:qFormat/>
    <w:uiPriority w:val="0"/>
  </w:style>
  <w:style w:type="paragraph" w:styleId="9">
    <w:name w:val="No Spacing"/>
    <w:qFormat/>
    <w:uiPriority w:val="0"/>
    <w:pPr>
      <w:adjustRightInd w:val="0"/>
      <w:snapToGrid w:val="0"/>
    </w:pPr>
    <w:rPr>
      <w:rFonts w:ascii="Tahoma" w:hAnsi="Tahoma" w:eastAsia="微软雅黑" w:cs="Times New Roman"/>
      <w:sz w:val="22"/>
      <w:szCs w:val="22"/>
      <w:lang w:val="en-US" w:eastAsia="zh-CN" w:bidi="ar-SA"/>
    </w:rPr>
  </w:style>
  <w:style w:type="paragraph" w:styleId="10">
    <w:name w:val="List Paragraph"/>
    <w:basedOn w:val="1"/>
    <w:qFormat/>
    <w:uiPriority w:val="0"/>
    <w:pPr>
      <w:ind w:firstLine="420" w:firstLineChars="200"/>
    </w:pPr>
    <w:rPr>
      <w:rFonts w:ascii="Calibri" w:hAnsi="Calibri"/>
      <w:szCs w:val="22"/>
    </w:rPr>
  </w:style>
  <w:style w:type="paragraph" w:customStyle="1" w:styleId="11">
    <w:name w:val="纯文本1"/>
    <w:basedOn w:val="1"/>
    <w:qFormat/>
    <w:uiPriority w:val="0"/>
    <w:rPr>
      <w:rFonts w:ascii="宋体" w:hAnsi="宋体" w:eastAsia="仿宋_GB2312"/>
      <w:kern w:val="0"/>
      <w:sz w:val="28"/>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19</Pages>
  <Words>1230</Words>
  <Characters>7014</Characters>
  <Lines>58</Lines>
  <Paragraphs>16</Paragraphs>
  <TotalTime>1</TotalTime>
  <ScaleCrop>false</ScaleCrop>
  <LinksUpToDate>false</LinksUpToDate>
  <CharactersWithSpaces>8228</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2025-06-17T10:00:00Z</dcterms:created>
  <dc:creator>@wsl</dc:creator>
  <cp:lastModifiedBy>langchao</cp:lastModifiedBy>
  <cp:lastPrinted>2025-06-25T13:15:00Z</cp:lastPrinted>
  <dcterms:modified xsi:type="dcterms:W3CDTF">2026-07-30T09:41:43Z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907A0F2A54654FA98231CFF964D496C9_13</vt:lpwstr>
  </property>
  <property fmtid="{D5CDD505-2E9C-101B-9397-08002B2CF9AE}" pid="4" name="KSOTemplateDocerSaveRecord">
    <vt:lpwstr>eyJoZGlkIjoiNGMxMGY2NjViMTQ2MThhNWZhODczMGExZThlYjlhOGYiLCJ1c2VySWQiOiI2NTcwNDE5NDUifQ==</vt:lpwstr>
  </property>
</Properties>
</file>