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4DDFA">
      <w:pPr>
        <w:spacing w:line="600" w:lineRule="exact"/>
        <w:ind w:right="-67" w:rightChars="-32"/>
        <w:rPr>
          <w:rFonts w:eastAsia="黑体"/>
          <w:color w:val="000000"/>
          <w:sz w:val="28"/>
          <w:szCs w:val="28"/>
        </w:rPr>
      </w:pPr>
    </w:p>
    <w:p w14:paraId="00BCD8FF">
      <w:pPr>
        <w:adjustRightInd w:val="0"/>
        <w:snapToGrid w:val="0"/>
        <w:spacing w:line="600" w:lineRule="exact"/>
        <w:jc w:val="center"/>
        <w:rPr>
          <w:rFonts w:eastAsia="方正小标宋简体"/>
          <w:sz w:val="44"/>
          <w:szCs w:val="44"/>
        </w:rPr>
      </w:pPr>
      <w:r>
        <w:rPr>
          <w:rFonts w:hint="eastAsia" w:eastAsia="方正小标宋简体"/>
          <w:sz w:val="44"/>
          <w:szCs w:val="44"/>
          <w:lang w:val="en-US" w:eastAsia="zh-CN"/>
        </w:rPr>
        <w:t>硅胶环扎带</w:t>
      </w:r>
      <w:r>
        <w:rPr>
          <w:rFonts w:eastAsia="方正小标宋简体"/>
          <w:sz w:val="44"/>
          <w:szCs w:val="44"/>
        </w:rPr>
        <w:t>注册审查指导原则</w:t>
      </w:r>
    </w:p>
    <w:p w14:paraId="472B8AA0">
      <w:pPr>
        <w:adjustRightInd w:val="0"/>
        <w:snapToGrid w:val="0"/>
        <w:spacing w:line="600" w:lineRule="exact"/>
        <w:jc w:val="center"/>
        <w:rPr>
          <w:rFonts w:hint="default" w:eastAsia="方正小标宋简体"/>
          <w:sz w:val="44"/>
          <w:szCs w:val="44"/>
          <w:lang w:val="en-US" w:eastAsia="zh-CN"/>
        </w:rPr>
      </w:pPr>
      <w:r>
        <w:rPr>
          <w:rFonts w:hint="eastAsia" w:eastAsia="方正小标宋简体"/>
          <w:sz w:val="44"/>
          <w:szCs w:val="44"/>
          <w:lang w:eastAsia="zh-CN"/>
        </w:rPr>
        <w:t>（</w:t>
      </w:r>
      <w:r>
        <w:rPr>
          <w:rFonts w:hint="eastAsia" w:eastAsia="方正小标宋简体"/>
          <w:sz w:val="44"/>
          <w:szCs w:val="44"/>
          <w:lang w:val="en-US" w:eastAsia="zh-CN"/>
        </w:rPr>
        <w:t>征求意见稿）</w:t>
      </w:r>
    </w:p>
    <w:p w14:paraId="6C91BBC6">
      <w:pPr>
        <w:spacing w:line="600" w:lineRule="exact"/>
        <w:rPr>
          <w:rFonts w:eastAsia="仿宋_GB2312"/>
          <w:color w:val="000000"/>
          <w:sz w:val="32"/>
          <w:szCs w:val="32"/>
        </w:rPr>
      </w:pPr>
    </w:p>
    <w:p w14:paraId="622E6124">
      <w:pPr>
        <w:spacing w:line="520" w:lineRule="exact"/>
        <w:ind w:firstLine="640" w:firstLineChars="200"/>
        <w:rPr>
          <w:rFonts w:eastAsia="仿宋_GB2312"/>
          <w:color w:val="000000"/>
          <w:sz w:val="32"/>
          <w:szCs w:val="32"/>
        </w:rPr>
      </w:pPr>
      <w:r>
        <w:rPr>
          <w:rFonts w:eastAsia="仿宋_GB2312"/>
          <w:color w:val="000000"/>
          <w:sz w:val="32"/>
          <w:szCs w:val="32"/>
        </w:rPr>
        <w:t>本指导原则旨在指导注册申请人（以下简称申请人）对</w:t>
      </w:r>
      <w:r>
        <w:rPr>
          <w:rFonts w:hint="eastAsia" w:eastAsia="仿宋_GB2312"/>
          <w:color w:val="000000"/>
          <w:sz w:val="32"/>
          <w:szCs w:val="32"/>
          <w:lang w:val="en-US" w:eastAsia="zh-CN"/>
        </w:rPr>
        <w:t>硅胶环扎带</w:t>
      </w:r>
      <w:r>
        <w:rPr>
          <w:rFonts w:eastAsia="仿宋_GB2312"/>
          <w:color w:val="000000"/>
          <w:sz w:val="32"/>
          <w:szCs w:val="32"/>
        </w:rPr>
        <w:t>注册申报资料的准备及撰写，同时也为技术审评部门提供参考。</w:t>
      </w:r>
    </w:p>
    <w:p w14:paraId="144B5171">
      <w:pPr>
        <w:spacing w:line="520" w:lineRule="exact"/>
        <w:ind w:firstLine="640" w:firstLineChars="200"/>
        <w:rPr>
          <w:rFonts w:eastAsia="仿宋_GB2312"/>
          <w:color w:val="000000"/>
          <w:sz w:val="32"/>
          <w:szCs w:val="32"/>
        </w:rPr>
      </w:pPr>
      <w:r>
        <w:rPr>
          <w:rFonts w:eastAsia="仿宋_GB2312"/>
          <w:color w:val="000000"/>
          <w:sz w:val="32"/>
          <w:szCs w:val="32"/>
        </w:rPr>
        <w:t>本指导原则系对</w:t>
      </w:r>
      <w:r>
        <w:rPr>
          <w:rFonts w:hint="eastAsia" w:eastAsia="仿宋_GB2312"/>
          <w:color w:val="000000"/>
          <w:sz w:val="32"/>
          <w:szCs w:val="32"/>
          <w:lang w:val="en-US" w:eastAsia="zh-CN"/>
        </w:rPr>
        <w:t>硅胶环扎带</w:t>
      </w:r>
      <w:r>
        <w:rPr>
          <w:rFonts w:eastAsia="仿宋_GB2312"/>
          <w:color w:val="000000"/>
          <w:sz w:val="32"/>
          <w:szCs w:val="32"/>
        </w:rPr>
        <w:t>注册申报资料的一般要求。申请人应依据产品的具体特性确定其中内容是否适用，若不适用，需具体阐述理由及相应的科学依据，并依据产品的具体特性对注册申报资料的内容进行充实和细化。</w:t>
      </w:r>
    </w:p>
    <w:p w14:paraId="41886809">
      <w:pPr>
        <w:spacing w:line="520" w:lineRule="exact"/>
        <w:ind w:firstLine="640" w:firstLineChars="200"/>
        <w:rPr>
          <w:rFonts w:eastAsia="仿宋_GB2312"/>
          <w:color w:val="000000"/>
          <w:sz w:val="32"/>
          <w:szCs w:val="32"/>
        </w:rPr>
      </w:pPr>
      <w:r>
        <w:rPr>
          <w:rFonts w:eastAsia="仿宋_GB2312"/>
          <w:color w:val="000000"/>
          <w:sz w:val="32"/>
          <w:szCs w:val="32"/>
        </w:rPr>
        <w:t>本指导原则是供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14:paraId="5BC9873F">
      <w:pPr>
        <w:spacing w:line="520" w:lineRule="exact"/>
        <w:ind w:firstLine="640" w:firstLineChars="200"/>
        <w:rPr>
          <w:rFonts w:eastAsia="仿宋_GB2312"/>
          <w:color w:val="000000"/>
          <w:sz w:val="32"/>
          <w:szCs w:val="32"/>
        </w:rPr>
      </w:pPr>
      <w:r>
        <w:rPr>
          <w:rFonts w:eastAsia="仿宋_GB2312"/>
          <w:color w:val="000000"/>
          <w:sz w:val="32"/>
          <w:szCs w:val="32"/>
        </w:rPr>
        <w:t>本指导原则是在现行法规和标准体系以及当前认知水平下制订，随着法规和标准的不断完善，科学技术的不断发展，本指导原则相关内容也将适时进行调整。</w:t>
      </w:r>
    </w:p>
    <w:p w14:paraId="08A6711F">
      <w:pPr>
        <w:spacing w:line="520" w:lineRule="exact"/>
        <w:ind w:firstLine="640" w:firstLineChars="200"/>
        <w:rPr>
          <w:rFonts w:eastAsia="仿宋_GB2312"/>
          <w:color w:val="000000"/>
          <w:sz w:val="32"/>
          <w:szCs w:val="32"/>
        </w:rPr>
      </w:pPr>
      <w:r>
        <w:rPr>
          <w:rFonts w:eastAsia="黑体"/>
          <w:bCs/>
          <w:kern w:val="44"/>
          <w:sz w:val="32"/>
          <w:szCs w:val="44"/>
        </w:rPr>
        <w:t>一、适用范围</w:t>
      </w:r>
    </w:p>
    <w:p w14:paraId="586B9EED">
      <w:pPr>
        <w:pStyle w:val="20"/>
        <w:shd w:val="clear" w:color="auto" w:fill="FFFFFF"/>
        <w:spacing w:before="0" w:beforeAutospacing="0" w:after="0" w:afterAutospacing="0" w:line="520" w:lineRule="exact"/>
        <w:ind w:firstLine="640" w:firstLineChars="200"/>
        <w:jc w:val="both"/>
        <w:rPr>
          <w:rFonts w:hint="default" w:ascii="Times New Roman" w:hAnsi="Times New Roman" w:eastAsia="仿宋_GB2312" w:cs="Times New Roman"/>
          <w:color w:val="000000"/>
          <w:sz w:val="32"/>
          <w:szCs w:val="32"/>
          <w:lang w:val="en-US" w:eastAsia="zh-CN"/>
        </w:rPr>
      </w:pPr>
      <w:r>
        <w:rPr>
          <w:rFonts w:ascii="Times New Roman" w:hAnsi="Times New Roman" w:eastAsia="仿宋_GB2312" w:cs="Times New Roman"/>
          <w:color w:val="000000"/>
          <w:sz w:val="32"/>
          <w:szCs w:val="32"/>
        </w:rPr>
        <w:t>本指导原则适用于</w:t>
      </w:r>
      <w:r>
        <w:rPr>
          <w:rFonts w:hint="eastAsia" w:ascii="Times New Roman" w:hAnsi="Times New Roman" w:eastAsia="仿宋_GB2312" w:cs="Times New Roman"/>
          <w:color w:val="000000"/>
          <w:sz w:val="32"/>
          <w:szCs w:val="32"/>
        </w:rPr>
        <w:t>《医疗器械分类目录》中第Ⅱ类</w:t>
      </w:r>
      <w:r>
        <w:rPr>
          <w:rFonts w:hint="eastAsia" w:ascii="Times New Roman" w:hAnsi="Times New Roman" w:eastAsia="仿宋_GB2312" w:cs="Times New Roman"/>
          <w:color w:val="000000"/>
          <w:sz w:val="32"/>
          <w:szCs w:val="32"/>
          <w:lang w:val="en-US" w:eastAsia="zh-CN"/>
        </w:rPr>
        <w:t>硅胶环扎带</w:t>
      </w:r>
      <w:r>
        <w:rPr>
          <w:rFonts w:hint="eastAsia" w:ascii="Times New Roman" w:hAnsi="Times New Roman" w:eastAsia="仿宋_GB2312" w:cs="Times New Roman"/>
          <w:color w:val="000000"/>
          <w:sz w:val="32"/>
          <w:szCs w:val="32"/>
        </w:rPr>
        <w:t>产品，分类</w:t>
      </w:r>
      <w:r>
        <w:rPr>
          <w:rFonts w:hint="eastAsia" w:ascii="Times New Roman" w:hAnsi="Times New Roman" w:eastAsia="仿宋_GB2312" w:cs="Times New Roman"/>
          <w:color w:val="000000"/>
          <w:sz w:val="32"/>
          <w:szCs w:val="32"/>
          <w:lang w:val="en-US" w:eastAsia="zh-CN"/>
        </w:rPr>
        <w:t>编码</w:t>
      </w:r>
      <w:r>
        <w:rPr>
          <w:rFonts w:hint="eastAsia" w:ascii="Times New Roman" w:hAnsi="Times New Roman" w:eastAsia="仿宋_GB2312" w:cs="Times New Roman"/>
          <w:color w:val="000000"/>
          <w:sz w:val="32"/>
          <w:szCs w:val="32"/>
        </w:rPr>
        <w:t>为1</w:t>
      </w:r>
      <w:r>
        <w:rPr>
          <w:rFonts w:hint="eastAsia" w:ascii="Times New Roman" w:hAnsi="Times New Roman" w:eastAsia="仿宋_GB2312" w:cs="Times New Roman"/>
          <w:color w:val="000000"/>
          <w:sz w:val="32"/>
          <w:szCs w:val="32"/>
          <w:lang w:val="en-US" w:eastAsia="zh-CN"/>
        </w:rPr>
        <w:t>6眼科</w:t>
      </w:r>
      <w:r>
        <w:rPr>
          <w:rFonts w:hint="eastAsia" w:ascii="Times New Roman" w:hAnsi="Times New Roman" w:eastAsia="仿宋_GB2312" w:cs="Times New Roman"/>
          <w:color w:val="000000"/>
          <w:sz w:val="32"/>
          <w:szCs w:val="32"/>
        </w:rPr>
        <w:t>器械-0</w:t>
      </w:r>
      <w:r>
        <w:rPr>
          <w:rFonts w:hint="eastAsia" w:ascii="Times New Roman" w:hAnsi="Times New Roman" w:eastAsia="仿宋_GB2312" w:cs="Times New Roman"/>
          <w:color w:val="000000"/>
          <w:sz w:val="32"/>
          <w:szCs w:val="32"/>
          <w:lang w:val="en-US" w:eastAsia="zh-CN"/>
        </w:rPr>
        <w:t>7</w:t>
      </w:r>
      <w:r>
        <w:rPr>
          <w:rFonts w:hint="eastAsia" w:ascii="Times New Roman" w:hAnsi="Times New Roman" w:eastAsia="仿宋_GB2312" w:cs="Times New Roman"/>
          <w:color w:val="000000"/>
          <w:sz w:val="32"/>
          <w:szCs w:val="32"/>
        </w:rPr>
        <w:t>眼科植入物及辅助器械-13硅胶环扎带</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预期用途为</w:t>
      </w:r>
      <w:r>
        <w:rPr>
          <w:rFonts w:hint="eastAsia" w:ascii="Times New Roman" w:hAnsi="Times New Roman" w:eastAsia="仿宋_GB2312" w:cs="Times New Roman"/>
          <w:color w:val="000000"/>
          <w:sz w:val="32"/>
          <w:szCs w:val="32"/>
        </w:rPr>
        <w:t>用于视网膜脱离巩膜环扎术使用。</w:t>
      </w:r>
    </w:p>
    <w:p w14:paraId="08043A90">
      <w:pPr>
        <w:spacing w:line="520" w:lineRule="exact"/>
        <w:ind w:firstLine="640" w:firstLineChars="200"/>
        <w:rPr>
          <w:rFonts w:eastAsia="黑体"/>
          <w:bCs/>
          <w:kern w:val="44"/>
          <w:sz w:val="32"/>
          <w:szCs w:val="44"/>
        </w:rPr>
      </w:pPr>
      <w:r>
        <w:rPr>
          <w:rFonts w:eastAsia="黑体"/>
          <w:bCs/>
          <w:kern w:val="44"/>
          <w:sz w:val="32"/>
          <w:szCs w:val="44"/>
        </w:rPr>
        <w:t>二、注册审查要点</w:t>
      </w:r>
    </w:p>
    <w:p w14:paraId="1A2251CA">
      <w:pPr>
        <w:spacing w:line="520" w:lineRule="exact"/>
        <w:ind w:firstLine="640" w:firstLineChars="200"/>
        <w:rPr>
          <w:rFonts w:eastAsia="仿宋_GB2312"/>
          <w:color w:val="000000"/>
          <w:sz w:val="32"/>
          <w:szCs w:val="32"/>
        </w:rPr>
      </w:pPr>
      <w:r>
        <w:rPr>
          <w:rFonts w:eastAsia="仿宋_GB2312"/>
          <w:color w:val="000000"/>
          <w:sz w:val="32"/>
          <w:szCs w:val="32"/>
        </w:rPr>
        <w:t>注册申报资料应满足现行医疗器械注册申报资料通用要求，并在其基础上重点考虑以下内容：</w:t>
      </w:r>
    </w:p>
    <w:p w14:paraId="0B78FE62">
      <w:pPr>
        <w:spacing w:line="520" w:lineRule="exact"/>
        <w:ind w:firstLine="640" w:firstLineChars="200"/>
        <w:rPr>
          <w:rFonts w:eastAsia="楷体_GB2312"/>
          <w:color w:val="000000"/>
          <w:kern w:val="44"/>
          <w:sz w:val="32"/>
          <w:szCs w:val="44"/>
        </w:rPr>
      </w:pPr>
      <w:r>
        <w:rPr>
          <w:rFonts w:eastAsia="楷体_GB2312"/>
          <w:color w:val="000000"/>
          <w:kern w:val="44"/>
          <w:sz w:val="32"/>
          <w:szCs w:val="44"/>
        </w:rPr>
        <w:t>（一）监管信息</w:t>
      </w:r>
    </w:p>
    <w:p w14:paraId="459A6A90">
      <w:pPr>
        <w:spacing w:line="520" w:lineRule="exact"/>
        <w:ind w:firstLine="640" w:firstLineChars="200"/>
        <w:rPr>
          <w:rFonts w:eastAsia="楷体_GB2312"/>
          <w:color w:val="000000"/>
          <w:kern w:val="44"/>
          <w:sz w:val="32"/>
          <w:szCs w:val="44"/>
        </w:rPr>
      </w:pPr>
      <w:r>
        <w:rPr>
          <w:rFonts w:eastAsia="仿宋_GB2312"/>
          <w:color w:val="000000"/>
          <w:sz w:val="32"/>
          <w:szCs w:val="32"/>
        </w:rPr>
        <w:t>1.产品名称</w:t>
      </w:r>
    </w:p>
    <w:p w14:paraId="34FB490C">
      <w:pPr>
        <w:spacing w:line="520" w:lineRule="exact"/>
        <w:ind w:firstLine="640" w:firstLineChars="200"/>
        <w:rPr>
          <w:rFonts w:hint="eastAsia" w:eastAsia="仿宋_GB2312"/>
          <w:color w:val="000000"/>
          <w:sz w:val="32"/>
          <w:szCs w:val="32"/>
          <w:highlight w:val="yellow"/>
          <w:lang w:val="en-US" w:eastAsia="zh-CN"/>
        </w:rPr>
      </w:pPr>
      <w:r>
        <w:rPr>
          <w:rFonts w:eastAsia="仿宋_GB2312"/>
          <w:bCs/>
          <w:sz w:val="32"/>
          <w:szCs w:val="32"/>
        </w:rPr>
        <w:t>产品名称应符合《医疗器械通用名称命名规则》等相关法规、规范性文件的要求。产品命名时可体现特征性</w:t>
      </w:r>
      <w:r>
        <w:rPr>
          <w:rFonts w:hint="eastAsia" w:eastAsia="仿宋_GB2312"/>
          <w:bCs/>
          <w:sz w:val="32"/>
          <w:szCs w:val="32"/>
          <w:lang w:val="en-US" w:eastAsia="zh-CN"/>
        </w:rPr>
        <w:t>原材料</w:t>
      </w:r>
      <w:r>
        <w:rPr>
          <w:rFonts w:eastAsia="仿宋_GB2312"/>
          <w:bCs/>
          <w:sz w:val="32"/>
          <w:szCs w:val="32"/>
        </w:rPr>
        <w:t>“</w:t>
      </w:r>
      <w:r>
        <w:rPr>
          <w:rFonts w:hint="eastAsia" w:eastAsia="仿宋_GB2312"/>
          <w:bCs/>
          <w:sz w:val="32"/>
          <w:szCs w:val="32"/>
          <w:lang w:val="en-US" w:eastAsia="zh-CN"/>
        </w:rPr>
        <w:t>硅胶</w:t>
      </w:r>
      <w:r>
        <w:rPr>
          <w:rFonts w:eastAsia="仿宋_GB2312"/>
          <w:bCs/>
          <w:sz w:val="32"/>
          <w:szCs w:val="32"/>
        </w:rPr>
        <w:t>”</w:t>
      </w:r>
      <w:r>
        <w:rPr>
          <w:rFonts w:hint="eastAsia" w:eastAsia="仿宋_GB2312"/>
          <w:bCs/>
          <w:sz w:val="32"/>
          <w:szCs w:val="32"/>
          <w:lang w:eastAsia="zh-CN"/>
        </w:rPr>
        <w:t>“</w:t>
      </w:r>
      <w:r>
        <w:rPr>
          <w:rFonts w:hint="eastAsia" w:eastAsia="仿宋_GB2312"/>
          <w:bCs/>
          <w:sz w:val="32"/>
          <w:szCs w:val="32"/>
          <w:lang w:val="en-US" w:eastAsia="zh-CN"/>
        </w:rPr>
        <w:t>硅橡胶”</w:t>
      </w:r>
      <w:r>
        <w:rPr>
          <w:rFonts w:eastAsia="仿宋_GB2312"/>
          <w:bCs/>
          <w:sz w:val="32"/>
          <w:szCs w:val="32"/>
        </w:rPr>
        <w:t>，如</w:t>
      </w:r>
      <w:r>
        <w:rPr>
          <w:rFonts w:hint="eastAsia" w:eastAsia="仿宋_GB2312"/>
          <w:bCs/>
          <w:sz w:val="32"/>
          <w:szCs w:val="32"/>
        </w:rPr>
        <w:t>硅橡胶环扎带、硅胶环扎带</w:t>
      </w:r>
      <w:r>
        <w:rPr>
          <w:rFonts w:hint="eastAsia" w:eastAsia="仿宋_GB2312"/>
          <w:bCs/>
          <w:sz w:val="32"/>
          <w:szCs w:val="32"/>
          <w:lang w:val="en-US" w:eastAsia="zh-CN"/>
        </w:rPr>
        <w:t>等。</w:t>
      </w:r>
    </w:p>
    <w:p w14:paraId="619C38CA">
      <w:pPr>
        <w:spacing w:line="520" w:lineRule="exact"/>
        <w:ind w:firstLine="640" w:firstLineChars="200"/>
        <w:rPr>
          <w:rFonts w:eastAsia="仿宋_GB2312"/>
          <w:color w:val="000000"/>
          <w:sz w:val="32"/>
          <w:szCs w:val="32"/>
        </w:rPr>
      </w:pPr>
      <w:r>
        <w:rPr>
          <w:rFonts w:eastAsia="仿宋_GB2312"/>
          <w:color w:val="000000"/>
          <w:sz w:val="32"/>
          <w:szCs w:val="32"/>
        </w:rPr>
        <w:t>2.分类编码</w:t>
      </w:r>
    </w:p>
    <w:p w14:paraId="624B581C">
      <w:pPr>
        <w:spacing w:line="520" w:lineRule="exact"/>
        <w:ind w:firstLine="640" w:firstLineChars="200"/>
        <w:rPr>
          <w:rFonts w:eastAsia="仿宋_GB2312"/>
          <w:sz w:val="32"/>
          <w:szCs w:val="32"/>
        </w:rPr>
      </w:pPr>
      <w:r>
        <w:rPr>
          <w:rFonts w:eastAsia="仿宋_GB2312"/>
          <w:sz w:val="32"/>
          <w:szCs w:val="32"/>
        </w:rPr>
        <w:t>根据《医疗器械分类目录》，产品的分类编码为1</w:t>
      </w:r>
      <w:r>
        <w:rPr>
          <w:rFonts w:hint="eastAsia" w:eastAsia="仿宋_GB2312"/>
          <w:sz w:val="32"/>
          <w:szCs w:val="32"/>
          <w:lang w:val="en-US" w:eastAsia="zh-CN"/>
        </w:rPr>
        <w:t>6</w:t>
      </w:r>
      <w:r>
        <w:rPr>
          <w:rFonts w:eastAsia="仿宋_GB2312"/>
          <w:sz w:val="32"/>
          <w:szCs w:val="32"/>
        </w:rPr>
        <w:t>-0</w:t>
      </w:r>
      <w:r>
        <w:rPr>
          <w:rFonts w:hint="eastAsia" w:eastAsia="仿宋_GB2312"/>
          <w:sz w:val="32"/>
          <w:szCs w:val="32"/>
          <w:lang w:val="en-US" w:eastAsia="zh-CN"/>
        </w:rPr>
        <w:t>7</w:t>
      </w:r>
      <w:r>
        <w:rPr>
          <w:rFonts w:eastAsia="仿宋_GB2312"/>
          <w:sz w:val="32"/>
          <w:szCs w:val="32"/>
        </w:rPr>
        <w:t>-</w:t>
      </w:r>
      <w:r>
        <w:rPr>
          <w:rFonts w:hint="eastAsia" w:eastAsia="仿宋_GB2312"/>
          <w:sz w:val="32"/>
          <w:szCs w:val="32"/>
          <w:lang w:val="en-US" w:eastAsia="zh-CN"/>
        </w:rPr>
        <w:t>13</w:t>
      </w:r>
      <w:r>
        <w:rPr>
          <w:rFonts w:eastAsia="仿宋_GB2312"/>
          <w:sz w:val="32"/>
          <w:szCs w:val="32"/>
        </w:rPr>
        <w:t>，管理类别为II类。</w:t>
      </w:r>
    </w:p>
    <w:p w14:paraId="5788F422">
      <w:pPr>
        <w:spacing w:line="520" w:lineRule="exact"/>
        <w:ind w:firstLine="640" w:firstLineChars="200"/>
        <w:rPr>
          <w:rFonts w:eastAsia="仿宋_GB2312"/>
          <w:color w:val="000000"/>
          <w:sz w:val="32"/>
          <w:szCs w:val="32"/>
        </w:rPr>
      </w:pPr>
      <w:r>
        <w:rPr>
          <w:rFonts w:eastAsia="仿宋_GB2312"/>
          <w:color w:val="000000"/>
          <w:sz w:val="32"/>
          <w:szCs w:val="32"/>
        </w:rPr>
        <w:t>3.注册单元划分</w:t>
      </w:r>
    </w:p>
    <w:p w14:paraId="3BA5EF0D">
      <w:pPr>
        <w:spacing w:line="52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申报产品注册单元的划分应按照《医疗器械注册与备案管理办法》《医疗器械注册单元划分指导原则》要求，着重考虑产品的技术结构、性能指标和预期用途等因素进行综合判定</w:t>
      </w:r>
      <w:r>
        <w:rPr>
          <w:rFonts w:hint="eastAsia" w:eastAsia="仿宋_GB2312"/>
          <w:sz w:val="32"/>
          <w:szCs w:val="28"/>
          <w:lang w:eastAsia="zh-CN"/>
        </w:rPr>
        <w:t>。</w:t>
      </w:r>
      <w:r>
        <w:rPr>
          <w:rFonts w:hint="eastAsia" w:eastAsia="仿宋_GB2312"/>
          <w:sz w:val="32"/>
          <w:szCs w:val="28"/>
          <w:lang w:val="en-US" w:eastAsia="zh-CN"/>
        </w:rPr>
        <w:t>例如：</w:t>
      </w:r>
      <w:r>
        <w:rPr>
          <w:rFonts w:hint="eastAsia" w:eastAsia="仿宋_GB2312"/>
          <w:sz w:val="32"/>
          <w:szCs w:val="28"/>
          <w:highlight w:val="none"/>
          <w:lang w:val="en-US" w:eastAsia="zh-CN"/>
        </w:rPr>
        <w:t>不同</w:t>
      </w:r>
      <w:r>
        <w:rPr>
          <w:rFonts w:ascii="Times New Roman" w:hAnsi="Times New Roman" w:eastAsia="仿宋_GB2312"/>
          <w:sz w:val="32"/>
          <w:szCs w:val="28"/>
          <w:highlight w:val="none"/>
        </w:rPr>
        <w:t>硫化</w:t>
      </w:r>
      <w:r>
        <w:rPr>
          <w:rFonts w:hint="eastAsia" w:eastAsia="仿宋_GB2312"/>
          <w:sz w:val="32"/>
          <w:szCs w:val="28"/>
          <w:highlight w:val="none"/>
          <w:lang w:val="en-US" w:eastAsia="zh-CN"/>
        </w:rPr>
        <w:t>形式</w:t>
      </w:r>
      <w:r>
        <w:rPr>
          <w:rFonts w:ascii="Times New Roman" w:hAnsi="Times New Roman" w:eastAsia="仿宋_GB2312"/>
          <w:sz w:val="32"/>
          <w:szCs w:val="28"/>
          <w:highlight w:val="none"/>
        </w:rPr>
        <w:t>的硅橡胶制备的</w:t>
      </w:r>
      <w:r>
        <w:rPr>
          <w:rFonts w:hint="eastAsia" w:eastAsia="仿宋_GB2312"/>
          <w:sz w:val="32"/>
          <w:szCs w:val="28"/>
          <w:highlight w:val="none"/>
          <w:lang w:val="en-US" w:eastAsia="zh-CN"/>
        </w:rPr>
        <w:t>产品</w:t>
      </w:r>
      <w:r>
        <w:rPr>
          <w:rFonts w:ascii="Times New Roman" w:hAnsi="Times New Roman" w:eastAsia="仿宋_GB2312"/>
          <w:sz w:val="32"/>
          <w:szCs w:val="28"/>
          <w:highlight w:val="none"/>
        </w:rPr>
        <w:t>，应划分为不同注册单元。</w:t>
      </w:r>
    </w:p>
    <w:p w14:paraId="3E1C46DF">
      <w:pPr>
        <w:spacing w:line="520" w:lineRule="exact"/>
        <w:ind w:firstLine="640" w:firstLineChars="200"/>
        <w:rPr>
          <w:rFonts w:eastAsia="楷体_GB2312"/>
          <w:color w:val="000000"/>
          <w:sz w:val="32"/>
        </w:rPr>
      </w:pPr>
      <w:r>
        <w:rPr>
          <w:rFonts w:eastAsia="楷体_GB2312"/>
          <w:color w:val="000000"/>
          <w:sz w:val="32"/>
        </w:rPr>
        <w:t>（二）综述资料</w:t>
      </w:r>
    </w:p>
    <w:p w14:paraId="61311D70">
      <w:pPr>
        <w:spacing w:line="520" w:lineRule="exact"/>
        <w:ind w:firstLine="640" w:firstLineChars="200"/>
        <w:rPr>
          <w:rFonts w:eastAsia="仿宋_GB2312"/>
          <w:color w:val="000000"/>
          <w:sz w:val="32"/>
          <w:szCs w:val="32"/>
        </w:rPr>
      </w:pPr>
      <w:r>
        <w:rPr>
          <w:rFonts w:eastAsia="仿宋_GB2312"/>
          <w:color w:val="000000"/>
          <w:sz w:val="32"/>
          <w:szCs w:val="32"/>
        </w:rPr>
        <w:t>1.产品描述</w:t>
      </w:r>
    </w:p>
    <w:p w14:paraId="5378E65C">
      <w:pPr>
        <w:spacing w:line="520" w:lineRule="exact"/>
        <w:ind w:firstLine="640" w:firstLineChars="200"/>
        <w:rPr>
          <w:rFonts w:eastAsia="仿宋_GB2312"/>
          <w:bCs/>
          <w:color w:val="000000"/>
          <w:sz w:val="32"/>
          <w:szCs w:val="32"/>
        </w:rPr>
      </w:pPr>
      <w:r>
        <w:rPr>
          <w:rFonts w:eastAsia="仿宋_GB2312"/>
          <w:color w:val="000000"/>
          <w:kern w:val="0"/>
          <w:sz w:val="32"/>
          <w:szCs w:val="32"/>
        </w:rPr>
        <w:t>1.1</w:t>
      </w:r>
      <w:r>
        <w:rPr>
          <w:rFonts w:eastAsia="仿宋_GB2312"/>
          <w:bCs/>
          <w:color w:val="000000"/>
          <w:sz w:val="32"/>
          <w:szCs w:val="32"/>
        </w:rPr>
        <w:t>器械及</w:t>
      </w:r>
      <w:r>
        <w:rPr>
          <w:rFonts w:eastAsia="仿宋_GB2312"/>
          <w:color w:val="000000"/>
          <w:sz w:val="32"/>
          <w:szCs w:val="32"/>
        </w:rPr>
        <w:t>操作</w:t>
      </w:r>
      <w:r>
        <w:rPr>
          <w:rFonts w:eastAsia="仿宋_GB2312"/>
          <w:bCs/>
          <w:color w:val="000000"/>
          <w:sz w:val="32"/>
          <w:szCs w:val="32"/>
        </w:rPr>
        <w:t>原理描述</w:t>
      </w:r>
    </w:p>
    <w:p w14:paraId="166FD160">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本产品</w:t>
      </w:r>
      <w:r>
        <w:rPr>
          <w:rFonts w:hint="eastAsia" w:eastAsia="仿宋_GB2312"/>
          <w:color w:val="000000"/>
          <w:sz w:val="32"/>
          <w:szCs w:val="32"/>
        </w:rPr>
        <w:t>用于视网膜脱离巩膜环扎术使用。通过压迫巩膜，使眼球壁内陷，在眼内形成隆起</w:t>
      </w:r>
      <w:r>
        <w:rPr>
          <w:rFonts w:hint="eastAsia" w:eastAsia="仿宋_GB2312"/>
          <w:color w:val="000000"/>
          <w:sz w:val="32"/>
          <w:szCs w:val="32"/>
          <w:lang w:eastAsia="zh-CN"/>
        </w:rPr>
        <w:t>（</w:t>
      </w:r>
      <w:r>
        <w:rPr>
          <w:rFonts w:hint="eastAsia" w:eastAsia="仿宋_GB2312"/>
          <w:color w:val="000000"/>
          <w:sz w:val="32"/>
          <w:szCs w:val="32"/>
        </w:rPr>
        <w:t>称手术嵴或巩膜嵴</w:t>
      </w:r>
      <w:r>
        <w:rPr>
          <w:rFonts w:hint="eastAsia" w:eastAsia="仿宋_GB2312"/>
          <w:color w:val="000000"/>
          <w:sz w:val="32"/>
          <w:szCs w:val="32"/>
          <w:lang w:eastAsia="zh-CN"/>
        </w:rPr>
        <w:t>），</w:t>
      </w:r>
      <w:r>
        <w:rPr>
          <w:rFonts w:hint="eastAsia" w:eastAsia="仿宋_GB2312"/>
          <w:color w:val="000000"/>
          <w:sz w:val="32"/>
          <w:szCs w:val="32"/>
        </w:rPr>
        <w:t>使脱离的视网膜与色素上皮</w:t>
      </w:r>
      <w:r>
        <w:rPr>
          <w:rFonts w:hint="eastAsia" w:eastAsia="仿宋_GB2312"/>
          <w:color w:val="000000"/>
          <w:sz w:val="32"/>
          <w:szCs w:val="32"/>
          <w:lang w:val="en-US" w:eastAsia="zh-CN"/>
        </w:rPr>
        <w:t>层</w:t>
      </w:r>
      <w:r>
        <w:rPr>
          <w:rFonts w:hint="eastAsia" w:eastAsia="仿宋_GB2312"/>
          <w:color w:val="000000"/>
          <w:sz w:val="32"/>
          <w:szCs w:val="32"/>
        </w:rPr>
        <w:t>相贴，缓解病变的玻璃体对视网膜的牵拉。</w:t>
      </w:r>
    </w:p>
    <w:p w14:paraId="59CDD443">
      <w:pPr>
        <w:spacing w:line="520" w:lineRule="exact"/>
        <w:ind w:firstLine="640" w:firstLineChars="200"/>
        <w:rPr>
          <w:rFonts w:eastAsia="仿宋_GB2312"/>
          <w:color w:val="000000"/>
          <w:sz w:val="32"/>
          <w:szCs w:val="32"/>
        </w:rPr>
      </w:pPr>
      <w:r>
        <w:rPr>
          <w:rFonts w:eastAsia="仿宋_GB2312"/>
          <w:color w:val="000000"/>
          <w:sz w:val="32"/>
          <w:szCs w:val="32"/>
        </w:rPr>
        <w:t>1.2型号规格</w:t>
      </w:r>
    </w:p>
    <w:p w14:paraId="4C17A40E">
      <w:pPr>
        <w:spacing w:line="520" w:lineRule="exact"/>
        <w:ind w:firstLine="640" w:firstLineChars="200"/>
        <w:rPr>
          <w:rFonts w:eastAsia="仿宋_GB2312"/>
          <w:color w:val="000000"/>
          <w:sz w:val="32"/>
          <w:szCs w:val="32"/>
        </w:rPr>
      </w:pPr>
      <w:r>
        <w:rPr>
          <w:rFonts w:eastAsia="仿宋_GB2312"/>
          <w:color w:val="000000"/>
          <w:sz w:val="32"/>
          <w:szCs w:val="32"/>
        </w:rPr>
        <w:t>提供产品各型号规格的划分说明。</w:t>
      </w:r>
    </w:p>
    <w:p w14:paraId="19D46A9C">
      <w:pPr>
        <w:spacing w:line="520" w:lineRule="exact"/>
        <w:ind w:firstLine="640" w:firstLineChars="200"/>
        <w:rPr>
          <w:rFonts w:eastAsia="仿宋_GB2312"/>
          <w:color w:val="000000"/>
          <w:sz w:val="32"/>
          <w:szCs w:val="32"/>
        </w:rPr>
      </w:pPr>
      <w:r>
        <w:rPr>
          <w:rFonts w:eastAsia="仿宋_GB2312"/>
          <w:color w:val="000000"/>
          <w:sz w:val="32"/>
          <w:szCs w:val="32"/>
        </w:rPr>
        <w:t>对于存在多种型号、规格的产品，</w:t>
      </w:r>
      <w:r>
        <w:rPr>
          <w:rFonts w:hint="eastAsia" w:eastAsia="仿宋_GB2312"/>
          <w:color w:val="000000"/>
          <w:sz w:val="32"/>
          <w:szCs w:val="32"/>
          <w:lang w:val="en-US" w:eastAsia="zh-CN"/>
        </w:rPr>
        <w:t>应</w:t>
      </w:r>
      <w:r>
        <w:rPr>
          <w:rFonts w:eastAsia="仿宋_GB2312"/>
          <w:color w:val="000000"/>
          <w:sz w:val="32"/>
          <w:szCs w:val="32"/>
        </w:rPr>
        <w:t>有明确的区分，如尺寸等，不应有“定制特殊尺寸”</w:t>
      </w:r>
      <w:r>
        <w:rPr>
          <w:rFonts w:hint="eastAsia" w:eastAsia="仿宋_GB2312"/>
          <w:color w:val="000000"/>
          <w:sz w:val="32"/>
          <w:szCs w:val="32"/>
          <w:lang w:val="en-US" w:eastAsia="zh-CN"/>
        </w:rPr>
        <w:t>等类似</w:t>
      </w:r>
      <w:r>
        <w:rPr>
          <w:rFonts w:eastAsia="仿宋_GB2312"/>
          <w:color w:val="000000"/>
          <w:sz w:val="32"/>
          <w:szCs w:val="32"/>
        </w:rPr>
        <w:t>描述。</w:t>
      </w:r>
    </w:p>
    <w:p w14:paraId="523DD091">
      <w:pPr>
        <w:spacing w:line="520" w:lineRule="exact"/>
        <w:ind w:firstLine="640" w:firstLineChars="200"/>
        <w:rPr>
          <w:rFonts w:hint="eastAsia" w:eastAsia="仿宋_GB2312"/>
          <w:color w:val="000000"/>
          <w:sz w:val="32"/>
          <w:szCs w:val="32"/>
          <w:highlight w:val="none"/>
          <w:lang w:val="en-US" w:eastAsia="zh-CN"/>
        </w:rPr>
      </w:pPr>
      <w:r>
        <w:rPr>
          <w:rFonts w:hint="eastAsia" w:eastAsia="仿宋_GB2312"/>
          <w:sz w:val="32"/>
          <w:szCs w:val="28"/>
          <w:lang w:val="en-US" w:eastAsia="zh-CN"/>
        </w:rPr>
        <w:drawing>
          <wp:anchor distT="0" distB="0" distL="114300" distR="114300" simplePos="0" relativeHeight="251659264" behindDoc="0" locked="0" layoutInCell="1" allowOverlap="1">
            <wp:simplePos x="0" y="0"/>
            <wp:positionH relativeFrom="column">
              <wp:posOffset>255905</wp:posOffset>
            </wp:positionH>
            <wp:positionV relativeFrom="paragraph">
              <wp:posOffset>841375</wp:posOffset>
            </wp:positionV>
            <wp:extent cx="2595880" cy="1724025"/>
            <wp:effectExtent l="0" t="0" r="20320" b="3175"/>
            <wp:wrapTopAndBottom/>
            <wp:docPr id="1" name="图片 1" descr="19a58b5474ac2cf8e927e284e1f4b4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9a58b5474ac2cf8e927e284e1f4b42c"/>
                    <pic:cNvPicPr>
                      <a:picLocks noChangeAspect="1"/>
                    </pic:cNvPicPr>
                  </pic:nvPicPr>
                  <pic:blipFill>
                    <a:blip r:embed="rId8"/>
                    <a:stretch>
                      <a:fillRect/>
                    </a:stretch>
                  </pic:blipFill>
                  <pic:spPr>
                    <a:xfrm>
                      <a:off x="0" y="0"/>
                      <a:ext cx="2595880" cy="1724025"/>
                    </a:xfrm>
                    <a:prstGeom prst="rect">
                      <a:avLst/>
                    </a:prstGeom>
                  </pic:spPr>
                </pic:pic>
              </a:graphicData>
            </a:graphic>
          </wp:anchor>
        </w:drawing>
      </w:r>
      <w:r>
        <w:rPr>
          <w:rFonts w:hint="eastAsia" w:eastAsia="仿宋_GB2312"/>
          <w:color w:val="000000"/>
          <w:sz w:val="32"/>
          <w:szCs w:val="32"/>
          <w:highlight w:val="none"/>
          <w:lang w:val="en-US" w:eastAsia="zh-CN"/>
        </w:rPr>
        <w:t>1.3结构及组成</w:t>
      </w:r>
    </w:p>
    <w:p w14:paraId="32FA509D">
      <w:pPr>
        <w:spacing w:line="520" w:lineRule="exact"/>
        <w:ind w:firstLine="640" w:firstLineChars="200"/>
        <w:rPr>
          <w:rFonts w:hint="default" w:eastAsia="仿宋_GB2312"/>
          <w:color w:val="000000"/>
          <w:sz w:val="32"/>
          <w:szCs w:val="32"/>
          <w:highlight w:val="none"/>
          <w:lang w:val="en-US" w:eastAsia="zh-CN"/>
        </w:rPr>
      </w:pPr>
      <w:r>
        <w:rPr>
          <w:rFonts w:hint="default" w:eastAsia="仿宋_GB2312"/>
          <w:color w:val="000000"/>
          <w:sz w:val="32"/>
          <w:szCs w:val="32"/>
          <w:highlight w:val="none"/>
          <w:lang w:val="en-US" w:eastAsia="zh-CN"/>
        </w:rPr>
        <w:t>通常由环扎带和硅橡胶管组成。</w:t>
      </w:r>
    </w:p>
    <w:p w14:paraId="2E850305">
      <w:pPr>
        <w:numPr>
          <w:ilvl w:val="0"/>
          <w:numId w:val="3"/>
        </w:numPr>
        <w:spacing w:line="520" w:lineRule="exact"/>
        <w:ind w:firstLine="640" w:firstLineChars="200"/>
        <w:jc w:val="center"/>
        <w:rPr>
          <w:rFonts w:hint="default" w:eastAsia="仿宋_GB2312"/>
          <w:color w:val="000000"/>
          <w:sz w:val="32"/>
          <w:szCs w:val="32"/>
          <w:highlight w:val="none"/>
          <w:lang w:val="en-US" w:eastAsia="zh-CN"/>
        </w:rPr>
      </w:pPr>
      <w:r>
        <w:rPr>
          <w:rFonts w:hint="eastAsia" w:eastAsia="仿宋_GB2312"/>
          <w:color w:val="000000"/>
          <w:sz w:val="32"/>
          <w:szCs w:val="32"/>
          <w:highlight w:val="none"/>
          <w:lang w:val="en-US" w:eastAsia="zh-CN"/>
        </w:rPr>
        <w:drawing>
          <wp:anchor distT="0" distB="0" distL="114300" distR="114300" simplePos="0" relativeHeight="251660288" behindDoc="0" locked="0" layoutInCell="1" allowOverlap="1">
            <wp:simplePos x="0" y="0"/>
            <wp:positionH relativeFrom="column">
              <wp:posOffset>3056255</wp:posOffset>
            </wp:positionH>
            <wp:positionV relativeFrom="paragraph">
              <wp:posOffset>278130</wp:posOffset>
            </wp:positionV>
            <wp:extent cx="2392045" cy="1561465"/>
            <wp:effectExtent l="0" t="0" r="20955" b="13335"/>
            <wp:wrapTopAndBottom/>
            <wp:docPr id="2" name="图片 2" descr="e6db28cbf9292ab0400eafc5a53fe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6db28cbf9292ab0400eafc5a53fe206"/>
                    <pic:cNvPicPr>
                      <a:picLocks noChangeAspect="1"/>
                    </pic:cNvPicPr>
                  </pic:nvPicPr>
                  <pic:blipFill>
                    <a:blip r:embed="rId9"/>
                    <a:stretch>
                      <a:fillRect/>
                    </a:stretch>
                  </pic:blipFill>
                  <pic:spPr>
                    <a:xfrm>
                      <a:off x="0" y="0"/>
                      <a:ext cx="2392045" cy="1561465"/>
                    </a:xfrm>
                    <a:prstGeom prst="rect">
                      <a:avLst/>
                    </a:prstGeom>
                  </pic:spPr>
                </pic:pic>
              </a:graphicData>
            </a:graphic>
          </wp:anchor>
        </w:drawing>
      </w:r>
      <w:r>
        <w:rPr>
          <w:rFonts w:hint="eastAsia" w:eastAsia="仿宋_GB2312"/>
          <w:color w:val="000000"/>
          <w:sz w:val="32"/>
          <w:szCs w:val="32"/>
          <w:highlight w:val="none"/>
          <w:lang w:val="en-US" w:eastAsia="zh-CN"/>
        </w:rPr>
        <w:t xml:space="preserve">                     （b）</w:t>
      </w:r>
    </w:p>
    <w:p w14:paraId="30BC2A84">
      <w:pPr>
        <w:spacing w:line="520" w:lineRule="exact"/>
        <w:ind w:firstLine="640" w:firstLineChars="200"/>
        <w:jc w:val="center"/>
        <w:rPr>
          <w:rFonts w:hint="default" w:eastAsia="仿宋_GB2312"/>
          <w:color w:val="000000"/>
          <w:sz w:val="32"/>
          <w:szCs w:val="32"/>
          <w:highlight w:val="none"/>
          <w:lang w:val="en-US" w:eastAsia="zh-CN"/>
        </w:rPr>
      </w:pPr>
      <w:r>
        <w:rPr>
          <w:rFonts w:hint="eastAsia" w:eastAsia="仿宋_GB2312"/>
          <w:color w:val="000000"/>
          <w:sz w:val="32"/>
          <w:szCs w:val="32"/>
          <w:highlight w:val="none"/>
          <w:lang w:val="en-US" w:eastAsia="zh-CN"/>
        </w:rPr>
        <w:t>产品图示：（a）环扎带（b）橡胶套管</w:t>
      </w:r>
    </w:p>
    <w:p w14:paraId="544A4E97">
      <w:pPr>
        <w:spacing w:line="520" w:lineRule="exact"/>
        <w:ind w:firstLine="640" w:firstLineChars="200"/>
        <w:rPr>
          <w:rFonts w:hint="eastAsia" w:eastAsia="仿宋_GB2312"/>
          <w:sz w:val="32"/>
          <w:szCs w:val="28"/>
          <w:lang w:val="en-US" w:eastAsia="zh-CN"/>
        </w:rPr>
      </w:pPr>
      <w:r>
        <w:rPr>
          <w:rFonts w:hint="eastAsia" w:eastAsia="仿宋_GB2312"/>
          <w:sz w:val="32"/>
          <w:szCs w:val="28"/>
          <w:lang w:val="en-US" w:eastAsia="zh-CN"/>
        </w:rPr>
        <w:t>应提供产品</w:t>
      </w:r>
      <w:r>
        <w:rPr>
          <w:rFonts w:ascii="Times New Roman" w:hAnsi="Times New Roman" w:eastAsia="仿宋_GB2312"/>
          <w:sz w:val="32"/>
          <w:szCs w:val="28"/>
        </w:rPr>
        <w:t>尺寸描述及相应图示</w:t>
      </w:r>
      <w:r>
        <w:rPr>
          <w:rFonts w:hint="eastAsia" w:eastAsia="仿宋_GB2312"/>
          <w:sz w:val="32"/>
          <w:szCs w:val="28"/>
          <w:lang w:eastAsia="zh-CN"/>
        </w:rPr>
        <w:t>，</w:t>
      </w:r>
      <w:r>
        <w:rPr>
          <w:rFonts w:hint="eastAsia" w:eastAsia="仿宋_GB2312"/>
          <w:sz w:val="32"/>
          <w:szCs w:val="28"/>
          <w:lang w:val="en-US" w:eastAsia="zh-CN"/>
        </w:rPr>
        <w:t>尺寸信息至少包括长度、宽度、厚度等。</w:t>
      </w:r>
    </w:p>
    <w:p w14:paraId="5B095BC4">
      <w:pPr>
        <w:spacing w:line="520" w:lineRule="exact"/>
        <w:ind w:firstLine="640" w:firstLineChars="200"/>
        <w:rPr>
          <w:rFonts w:eastAsia="仿宋_GB2312"/>
          <w:bCs/>
          <w:sz w:val="32"/>
          <w:szCs w:val="32"/>
        </w:rPr>
      </w:pPr>
      <w:r>
        <w:rPr>
          <w:rFonts w:eastAsia="仿宋_GB2312"/>
          <w:bCs/>
          <w:sz w:val="32"/>
          <w:szCs w:val="32"/>
        </w:rPr>
        <w:t>1.</w:t>
      </w:r>
      <w:r>
        <w:rPr>
          <w:rFonts w:hint="eastAsia" w:eastAsia="仿宋_GB2312"/>
          <w:bCs/>
          <w:sz w:val="32"/>
          <w:szCs w:val="32"/>
          <w:lang w:val="en-US" w:eastAsia="zh-CN"/>
        </w:rPr>
        <w:t>4</w:t>
      </w:r>
      <w:r>
        <w:rPr>
          <w:rFonts w:eastAsia="仿宋_GB2312"/>
          <w:bCs/>
          <w:sz w:val="32"/>
          <w:szCs w:val="32"/>
        </w:rPr>
        <w:t>器械</w:t>
      </w:r>
      <w:r>
        <w:rPr>
          <w:rFonts w:eastAsia="仿宋_GB2312"/>
          <w:color w:val="000000"/>
          <w:sz w:val="32"/>
          <w:szCs w:val="32"/>
        </w:rPr>
        <w:t>包装</w:t>
      </w:r>
      <w:r>
        <w:rPr>
          <w:rFonts w:eastAsia="仿宋_GB2312"/>
          <w:bCs/>
          <w:sz w:val="32"/>
          <w:szCs w:val="32"/>
        </w:rPr>
        <w:t>描述</w:t>
      </w:r>
    </w:p>
    <w:p w14:paraId="404A9E3A">
      <w:pPr>
        <w:spacing w:line="520" w:lineRule="exact"/>
        <w:ind w:firstLine="640" w:firstLineChars="200"/>
        <w:rPr>
          <w:rFonts w:eastAsia="仿宋_GB2312"/>
          <w:color w:val="000000"/>
          <w:sz w:val="32"/>
          <w:szCs w:val="32"/>
        </w:rPr>
      </w:pPr>
      <w:r>
        <w:rPr>
          <w:rFonts w:eastAsia="仿宋_GB2312"/>
          <w:color w:val="000000"/>
          <w:sz w:val="32"/>
          <w:szCs w:val="32"/>
        </w:rPr>
        <w:t>提供包装形式描述及照片。提供初包装材料列表，包含材料化学名称、尺寸信息。说明产品的包装方式及材料与灭菌方式的兼容性。</w:t>
      </w:r>
    </w:p>
    <w:p w14:paraId="78D55CC7">
      <w:pPr>
        <w:spacing w:line="520" w:lineRule="exact"/>
        <w:ind w:firstLine="640" w:firstLineChars="200"/>
        <w:rPr>
          <w:rFonts w:eastAsia="仿宋_GB2312"/>
          <w:color w:val="000000"/>
          <w:sz w:val="32"/>
          <w:szCs w:val="32"/>
        </w:rPr>
      </w:pPr>
      <w:r>
        <w:rPr>
          <w:rFonts w:eastAsia="仿宋_GB2312"/>
          <w:color w:val="000000"/>
          <w:sz w:val="32"/>
          <w:szCs w:val="32"/>
        </w:rPr>
        <w:t>1.</w:t>
      </w:r>
      <w:r>
        <w:rPr>
          <w:rFonts w:hint="eastAsia" w:eastAsia="仿宋_GB2312"/>
          <w:color w:val="000000"/>
          <w:sz w:val="32"/>
          <w:szCs w:val="32"/>
          <w:lang w:val="en-US" w:eastAsia="zh-CN"/>
        </w:rPr>
        <w:t>5</w:t>
      </w:r>
      <w:r>
        <w:rPr>
          <w:rFonts w:eastAsia="仿宋_GB2312"/>
          <w:color w:val="000000"/>
          <w:sz w:val="32"/>
          <w:szCs w:val="32"/>
        </w:rPr>
        <w:t>研发历程</w:t>
      </w:r>
    </w:p>
    <w:p w14:paraId="528E4204">
      <w:pPr>
        <w:spacing w:line="520" w:lineRule="exact"/>
        <w:ind w:firstLine="640" w:firstLineChars="200"/>
        <w:rPr>
          <w:rFonts w:eastAsia="仿宋_GB2312"/>
          <w:color w:val="000000"/>
          <w:sz w:val="32"/>
          <w:szCs w:val="32"/>
        </w:rPr>
      </w:pPr>
      <w:r>
        <w:rPr>
          <w:rFonts w:eastAsia="仿宋_GB2312"/>
          <w:color w:val="000000"/>
          <w:sz w:val="32"/>
          <w:szCs w:val="32"/>
        </w:rPr>
        <w:t>阐述产品的研发背景和目的，包含并不限于目前临床上未被满足的需求、现有的医疗器械或其他诊疗手段的分析等，申报产品相对于现有产品或诊疗手段的风险及受益。</w:t>
      </w:r>
    </w:p>
    <w:p w14:paraId="450BE559">
      <w:pPr>
        <w:spacing w:line="520" w:lineRule="exact"/>
        <w:ind w:firstLine="640" w:firstLineChars="200"/>
        <w:rPr>
          <w:rFonts w:eastAsia="仿宋_GB2312"/>
          <w:color w:val="000000"/>
          <w:sz w:val="32"/>
          <w:szCs w:val="32"/>
        </w:rPr>
      </w:pPr>
      <w:r>
        <w:rPr>
          <w:rFonts w:eastAsia="仿宋_GB2312"/>
          <w:color w:val="000000"/>
          <w:sz w:val="32"/>
          <w:szCs w:val="32"/>
        </w:rPr>
        <w:t>提供申报产品的研发历程。如有参考的同类产品或前代产品，提供具体信息以及选择其作为研发参考的原因。</w:t>
      </w:r>
    </w:p>
    <w:p w14:paraId="165E9650">
      <w:pPr>
        <w:spacing w:line="520" w:lineRule="exact"/>
        <w:ind w:firstLine="640" w:firstLineChars="200"/>
        <w:rPr>
          <w:rFonts w:eastAsia="仿宋_GB2312"/>
          <w:bCs/>
          <w:color w:val="000000"/>
          <w:sz w:val="32"/>
          <w:szCs w:val="32"/>
        </w:rPr>
      </w:pPr>
      <w:r>
        <w:rPr>
          <w:rFonts w:eastAsia="仿宋_GB2312"/>
          <w:color w:val="000000"/>
          <w:sz w:val="32"/>
          <w:szCs w:val="32"/>
        </w:rPr>
        <w:t>1.</w:t>
      </w:r>
      <w:r>
        <w:rPr>
          <w:rFonts w:hint="eastAsia" w:eastAsia="仿宋_GB2312"/>
          <w:color w:val="000000"/>
          <w:sz w:val="32"/>
          <w:szCs w:val="32"/>
          <w:lang w:val="en-US" w:eastAsia="zh-CN"/>
        </w:rPr>
        <w:t>6</w:t>
      </w:r>
      <w:r>
        <w:rPr>
          <w:rFonts w:eastAsia="仿宋_GB2312"/>
          <w:bCs/>
          <w:color w:val="000000"/>
          <w:sz w:val="32"/>
          <w:szCs w:val="32"/>
        </w:rPr>
        <w:t>与同类和/或前代产品的参考和比较</w:t>
      </w:r>
    </w:p>
    <w:p w14:paraId="000E975D">
      <w:pPr>
        <w:spacing w:line="520" w:lineRule="exact"/>
        <w:ind w:firstLine="640" w:firstLineChars="200"/>
        <w:rPr>
          <w:rFonts w:eastAsia="仿宋_GB2312"/>
          <w:bCs/>
          <w:color w:val="000000"/>
          <w:sz w:val="32"/>
          <w:szCs w:val="32"/>
        </w:rPr>
      </w:pPr>
      <w:r>
        <w:rPr>
          <w:rFonts w:eastAsia="仿宋_GB2312"/>
          <w:bCs/>
          <w:color w:val="000000"/>
          <w:sz w:val="32"/>
          <w:szCs w:val="32"/>
        </w:rPr>
        <w:t>列表对比说明申报产品与同类产品和/或前代产品在工作原理、结构组成、</w:t>
      </w:r>
      <w:r>
        <w:rPr>
          <w:rFonts w:hint="eastAsia" w:eastAsia="仿宋_GB2312"/>
          <w:bCs/>
          <w:color w:val="000000"/>
          <w:sz w:val="32"/>
          <w:szCs w:val="32"/>
          <w:lang w:val="en-US" w:eastAsia="zh-CN"/>
        </w:rPr>
        <w:t>原</w:t>
      </w:r>
      <w:r>
        <w:rPr>
          <w:rFonts w:eastAsia="仿宋_GB2312"/>
          <w:bCs/>
          <w:color w:val="000000"/>
          <w:sz w:val="32"/>
          <w:szCs w:val="32"/>
        </w:rPr>
        <w:t>材料、性能指标、作用方式，以及适用范围等方面的异同，有差异的项目进一步说明针对差异引入的风险而开展的研究。</w:t>
      </w:r>
    </w:p>
    <w:p w14:paraId="5CB09EE6">
      <w:pPr>
        <w:spacing w:line="520" w:lineRule="exact"/>
        <w:ind w:firstLine="640" w:firstLineChars="200"/>
        <w:rPr>
          <w:rFonts w:eastAsia="仿宋_GB2312"/>
          <w:color w:val="000000"/>
          <w:sz w:val="32"/>
          <w:szCs w:val="32"/>
        </w:rPr>
      </w:pPr>
      <w:r>
        <w:rPr>
          <w:rFonts w:eastAsia="仿宋_GB2312"/>
          <w:color w:val="000000"/>
          <w:sz w:val="32"/>
          <w:szCs w:val="32"/>
        </w:rPr>
        <w:t>2.适用范围和禁忌证</w:t>
      </w:r>
    </w:p>
    <w:p w14:paraId="2DF69C6E">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本产品</w:t>
      </w:r>
      <w:r>
        <w:rPr>
          <w:rFonts w:hint="eastAsia" w:eastAsia="仿宋_GB2312"/>
          <w:color w:val="000000"/>
          <w:sz w:val="32"/>
          <w:szCs w:val="32"/>
        </w:rPr>
        <w:t>用于视网膜脱离巩膜环扎术使用</w:t>
      </w:r>
      <w:r>
        <w:rPr>
          <w:rFonts w:eastAsia="仿宋_GB2312"/>
          <w:color w:val="000000"/>
          <w:sz w:val="32"/>
          <w:szCs w:val="32"/>
        </w:rPr>
        <w:t>。</w:t>
      </w:r>
    </w:p>
    <w:p w14:paraId="749A2211">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本产品仅在医疗机构由具有专业资质的医生使用</w:t>
      </w:r>
      <w:r>
        <w:rPr>
          <w:rFonts w:eastAsia="仿宋_GB2312"/>
          <w:color w:val="000000"/>
          <w:sz w:val="32"/>
          <w:szCs w:val="32"/>
        </w:rPr>
        <w:t>。</w:t>
      </w:r>
    </w:p>
    <w:p w14:paraId="58E26F24">
      <w:pPr>
        <w:spacing w:line="520" w:lineRule="exact"/>
        <w:ind w:firstLine="640" w:firstLineChars="200"/>
        <w:rPr>
          <w:rFonts w:eastAsia="仿宋_GB2312"/>
          <w:color w:val="000000"/>
          <w:sz w:val="32"/>
          <w:szCs w:val="32"/>
        </w:rPr>
      </w:pPr>
      <w:r>
        <w:rPr>
          <w:rFonts w:hint="eastAsia" w:eastAsia="仿宋_GB2312"/>
          <w:color w:val="000000"/>
          <w:sz w:val="32"/>
          <w:szCs w:val="32"/>
        </w:rPr>
        <w:t>申请人需要明确</w:t>
      </w:r>
      <w:r>
        <w:rPr>
          <w:rFonts w:eastAsia="仿宋_GB2312"/>
          <w:color w:val="000000"/>
          <w:sz w:val="32"/>
          <w:szCs w:val="32"/>
        </w:rPr>
        <w:t>产品的禁忌证，如不适宜使用的人群、疾病、</w:t>
      </w:r>
      <w:r>
        <w:rPr>
          <w:rFonts w:hint="eastAsia" w:eastAsia="仿宋_GB2312"/>
          <w:color w:val="000000"/>
          <w:sz w:val="32"/>
          <w:szCs w:val="32"/>
          <w:lang w:val="en-US" w:eastAsia="zh-CN"/>
        </w:rPr>
        <w:t>材质过敏情况</w:t>
      </w:r>
      <w:r>
        <w:rPr>
          <w:rFonts w:eastAsia="仿宋_GB2312"/>
          <w:color w:val="000000"/>
          <w:sz w:val="32"/>
          <w:szCs w:val="32"/>
        </w:rPr>
        <w:t>等</w:t>
      </w:r>
      <w:r>
        <w:rPr>
          <w:rFonts w:hint="eastAsia" w:eastAsia="仿宋_GB2312"/>
          <w:color w:val="000000"/>
          <w:sz w:val="32"/>
          <w:szCs w:val="32"/>
        </w:rPr>
        <w:t>。</w:t>
      </w:r>
    </w:p>
    <w:p w14:paraId="61A1A4ED">
      <w:pPr>
        <w:spacing w:line="520" w:lineRule="exact"/>
        <w:ind w:firstLine="640" w:firstLineChars="200"/>
        <w:rPr>
          <w:rFonts w:eastAsia="楷体_GB2312"/>
          <w:bCs/>
          <w:sz w:val="32"/>
          <w:szCs w:val="32"/>
        </w:rPr>
      </w:pPr>
      <w:r>
        <w:rPr>
          <w:rFonts w:eastAsia="仿宋_GB2312"/>
          <w:sz w:val="32"/>
          <w:szCs w:val="32"/>
        </w:rPr>
        <w:t>3.</w:t>
      </w:r>
      <w:r>
        <w:rPr>
          <w:rFonts w:eastAsia="仿宋_GB2312"/>
          <w:bCs/>
          <w:sz w:val="32"/>
          <w:szCs w:val="32"/>
        </w:rPr>
        <w:t>申报产品上市历史</w:t>
      </w:r>
    </w:p>
    <w:p w14:paraId="3DAA9DAC">
      <w:pPr>
        <w:spacing w:line="520" w:lineRule="exact"/>
        <w:ind w:firstLine="640" w:firstLineChars="200"/>
        <w:rPr>
          <w:rFonts w:eastAsia="仿宋_GB2312"/>
          <w:bCs/>
          <w:sz w:val="32"/>
          <w:szCs w:val="32"/>
        </w:rPr>
      </w:pPr>
      <w:r>
        <w:rPr>
          <w:rFonts w:eastAsia="仿宋_GB2312"/>
          <w:bCs/>
          <w:sz w:val="32"/>
          <w:szCs w:val="32"/>
          <w:lang w:val="en-CA"/>
        </w:rPr>
        <w:t>如适用，应当提交申报产品的上市情况、不良事件和召回、销售不良事件及召回率等资料</w:t>
      </w:r>
      <w:r>
        <w:rPr>
          <w:rFonts w:eastAsia="仿宋_GB2312"/>
          <w:bCs/>
          <w:sz w:val="32"/>
          <w:szCs w:val="32"/>
        </w:rPr>
        <w:t>。</w:t>
      </w:r>
    </w:p>
    <w:p w14:paraId="67B341F7">
      <w:pPr>
        <w:spacing w:line="520" w:lineRule="exact"/>
        <w:ind w:firstLine="640" w:firstLineChars="200"/>
        <w:rPr>
          <w:rFonts w:eastAsia="楷体_GB2312"/>
          <w:color w:val="000000"/>
          <w:kern w:val="44"/>
          <w:sz w:val="32"/>
          <w:szCs w:val="44"/>
        </w:rPr>
      </w:pPr>
      <w:r>
        <w:rPr>
          <w:rFonts w:eastAsia="楷体_GB2312"/>
          <w:color w:val="000000"/>
          <w:kern w:val="44"/>
          <w:sz w:val="32"/>
          <w:szCs w:val="44"/>
        </w:rPr>
        <w:t>（三）非临床资料</w:t>
      </w:r>
    </w:p>
    <w:p w14:paraId="0388CEE4">
      <w:pPr>
        <w:spacing w:line="520" w:lineRule="exact"/>
        <w:ind w:firstLine="640" w:firstLineChars="200"/>
        <w:rPr>
          <w:rFonts w:eastAsia="仿宋_GB2312"/>
          <w:bCs/>
          <w:sz w:val="32"/>
          <w:szCs w:val="32"/>
        </w:rPr>
      </w:pPr>
      <w:r>
        <w:rPr>
          <w:rFonts w:eastAsia="仿宋_GB2312"/>
          <w:bCs/>
          <w:sz w:val="32"/>
          <w:szCs w:val="32"/>
        </w:rPr>
        <w:t>1.风险</w:t>
      </w:r>
      <w:r>
        <w:rPr>
          <w:rFonts w:eastAsia="仿宋_GB2312"/>
          <w:color w:val="000000"/>
          <w:sz w:val="32"/>
          <w:szCs w:val="32"/>
        </w:rPr>
        <w:t>管理</w:t>
      </w:r>
      <w:r>
        <w:rPr>
          <w:rFonts w:eastAsia="仿宋_GB2312"/>
          <w:bCs/>
          <w:sz w:val="32"/>
          <w:szCs w:val="32"/>
        </w:rPr>
        <w:t>资料</w:t>
      </w:r>
    </w:p>
    <w:p w14:paraId="0F159C4B">
      <w:pPr>
        <w:spacing w:line="520" w:lineRule="exact"/>
        <w:ind w:firstLine="640" w:firstLineChars="200"/>
        <w:rPr>
          <w:rFonts w:eastAsia="仿宋_GB2312"/>
          <w:color w:val="000000"/>
          <w:sz w:val="32"/>
          <w:szCs w:val="32"/>
        </w:rPr>
      </w:pPr>
      <w:r>
        <w:rPr>
          <w:rFonts w:eastAsia="仿宋_GB2312"/>
          <w:color w:val="000000"/>
          <w:sz w:val="32"/>
          <w:szCs w:val="32"/>
        </w:rPr>
        <w:t>申请人</w:t>
      </w:r>
      <w:r>
        <w:rPr>
          <w:rFonts w:hint="eastAsia" w:eastAsia="仿宋_GB2312"/>
          <w:color w:val="000000"/>
          <w:sz w:val="32"/>
          <w:szCs w:val="32"/>
          <w:lang w:val="en-US" w:eastAsia="zh-CN"/>
        </w:rPr>
        <w:t>应</w:t>
      </w:r>
      <w:r>
        <w:rPr>
          <w:rFonts w:eastAsia="仿宋_GB2312"/>
          <w:color w:val="000000"/>
          <w:sz w:val="32"/>
          <w:szCs w:val="32"/>
        </w:rPr>
        <w:t>根据</w:t>
      </w:r>
      <w:r>
        <w:rPr>
          <w:rFonts w:eastAsia="仿宋_GB2312"/>
          <w:color w:val="000000"/>
          <w:kern w:val="0"/>
          <w:sz w:val="32"/>
          <w:szCs w:val="32"/>
        </w:rPr>
        <w:t>GB/T 42062</w:t>
      </w:r>
      <w:r>
        <w:rPr>
          <w:rFonts w:eastAsia="仿宋_GB2312"/>
          <w:color w:val="000000"/>
          <w:sz w:val="32"/>
          <w:szCs w:val="32"/>
        </w:rPr>
        <w:t>《医疗器械 风险管理对医疗器械应用》等，对产品全生命周期进行风险管理，包括原材料</w:t>
      </w:r>
      <w:r>
        <w:rPr>
          <w:rFonts w:hint="eastAsia" w:eastAsia="仿宋_GB2312"/>
          <w:color w:val="000000"/>
          <w:sz w:val="32"/>
          <w:szCs w:val="32"/>
          <w:lang w:val="en-US" w:eastAsia="zh-CN"/>
        </w:rPr>
        <w:t>选择</w:t>
      </w:r>
      <w:r>
        <w:rPr>
          <w:rFonts w:eastAsia="仿宋_GB2312"/>
          <w:color w:val="000000"/>
          <w:sz w:val="32"/>
          <w:szCs w:val="32"/>
        </w:rPr>
        <w:t>、加工制造、包装和灭菌、终产品储运、使用等各个环节，提供包括风险分析、风险评价、风险控制、剩余风险判定、综合风险判定的风险管理报告。</w:t>
      </w:r>
    </w:p>
    <w:p w14:paraId="6AE9C3A5">
      <w:pPr>
        <w:spacing w:line="520" w:lineRule="exact"/>
        <w:ind w:firstLine="640" w:firstLineChars="200"/>
        <w:rPr>
          <w:rFonts w:eastAsia="仿宋_GB2312"/>
          <w:bCs/>
          <w:sz w:val="32"/>
          <w:szCs w:val="32"/>
        </w:rPr>
      </w:pPr>
      <w:r>
        <w:rPr>
          <w:rFonts w:eastAsia="仿宋_GB2312"/>
          <w:bCs/>
          <w:sz w:val="32"/>
          <w:szCs w:val="32"/>
        </w:rPr>
        <w:t>2.医疗器械安全和性能基本原则清单</w:t>
      </w:r>
    </w:p>
    <w:p w14:paraId="44571E03">
      <w:pPr>
        <w:spacing w:line="520" w:lineRule="exact"/>
        <w:ind w:firstLine="640" w:firstLineChars="200"/>
        <w:rPr>
          <w:rFonts w:eastAsia="仿宋_GB2312"/>
          <w:color w:val="000000"/>
          <w:sz w:val="32"/>
          <w:szCs w:val="32"/>
        </w:rPr>
      </w:pPr>
      <w:r>
        <w:rPr>
          <w:rFonts w:eastAsia="仿宋_GB2312"/>
          <w:color w:val="000000"/>
          <w:sz w:val="32"/>
          <w:szCs w:val="32"/>
        </w:rPr>
        <w:t>针对所有医疗器械及适用于此类产品的条款和要求，参照《医疗器械安全和性能基本原则符合性技术指南》判定适用性和提供资料，如有其他证明符合性的方法及客观证据也可提供。</w:t>
      </w:r>
    </w:p>
    <w:p w14:paraId="7B9897DC">
      <w:pPr>
        <w:spacing w:line="520" w:lineRule="exact"/>
        <w:ind w:firstLine="640" w:firstLineChars="200"/>
        <w:rPr>
          <w:rFonts w:eastAsia="仿宋_GB2312"/>
          <w:bCs/>
          <w:sz w:val="32"/>
          <w:szCs w:val="32"/>
        </w:rPr>
      </w:pPr>
      <w:r>
        <w:rPr>
          <w:rFonts w:eastAsia="仿宋_GB2312"/>
          <w:bCs/>
          <w:sz w:val="32"/>
          <w:szCs w:val="32"/>
        </w:rPr>
        <w:t>3.产品技术要求及检验报告</w:t>
      </w:r>
    </w:p>
    <w:p w14:paraId="4840F932">
      <w:pPr>
        <w:spacing w:line="520" w:lineRule="exact"/>
        <w:ind w:firstLine="640" w:firstLineChars="200"/>
        <w:rPr>
          <w:rFonts w:eastAsia="仿宋_GB2312"/>
          <w:color w:val="000000"/>
          <w:sz w:val="32"/>
          <w:szCs w:val="32"/>
        </w:rPr>
      </w:pPr>
      <w:r>
        <w:rPr>
          <w:rFonts w:eastAsia="仿宋_GB2312"/>
          <w:color w:val="000000"/>
          <w:sz w:val="32"/>
          <w:szCs w:val="32"/>
        </w:rPr>
        <w:t>产品技术要求需按照《医疗器械产品技术要求编写指导原则》要求进行编制。</w:t>
      </w:r>
    </w:p>
    <w:p w14:paraId="3B0EA4AE">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产品</w:t>
      </w:r>
      <w:r>
        <w:rPr>
          <w:rFonts w:hint="eastAsia" w:eastAsia="仿宋_GB2312"/>
          <w:color w:val="000000"/>
          <w:sz w:val="32"/>
          <w:szCs w:val="32"/>
        </w:rPr>
        <w:t>基本技术性能指标包括但不限于以下内容，申请人可根据产品自身特点，参考相应的国家、行业标准制定产品技术要求。</w:t>
      </w:r>
    </w:p>
    <w:p w14:paraId="1A67B763">
      <w:pPr>
        <w:spacing w:line="520" w:lineRule="exact"/>
        <w:ind w:firstLine="640" w:firstLineChars="200"/>
        <w:rPr>
          <w:rFonts w:eastAsia="仿宋_GB2312"/>
          <w:color w:val="000000"/>
          <w:sz w:val="32"/>
          <w:szCs w:val="32"/>
        </w:rPr>
      </w:pPr>
      <w:r>
        <w:rPr>
          <w:rFonts w:eastAsia="仿宋_GB2312"/>
          <w:color w:val="000000"/>
          <w:kern w:val="0"/>
          <w:sz w:val="32"/>
          <w:szCs w:val="32"/>
        </w:rPr>
        <w:t>3.</w:t>
      </w:r>
      <w:r>
        <w:rPr>
          <w:rFonts w:hint="eastAsia" w:eastAsia="仿宋_GB2312"/>
          <w:color w:val="000000"/>
          <w:kern w:val="0"/>
          <w:sz w:val="32"/>
          <w:szCs w:val="32"/>
          <w:lang w:val="en-US" w:eastAsia="zh-CN"/>
        </w:rPr>
        <w:t>1应</w:t>
      </w:r>
      <w:r>
        <w:rPr>
          <w:rFonts w:eastAsia="仿宋_GB2312"/>
          <w:color w:val="000000"/>
          <w:sz w:val="32"/>
          <w:szCs w:val="32"/>
        </w:rPr>
        <w:t>根据临床应用及需求制定终产品的性能指标，参考适用的标准、指导原则，制定可进行客观判定的成品的功能性、安全性指标；以下指标中如不适用于申报产品的，需提供充分说明；如不能反映申报产品特性的，需增加适宜的指标。</w:t>
      </w:r>
    </w:p>
    <w:p w14:paraId="22B5333E">
      <w:pPr>
        <w:spacing w:line="52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lang w:val="en-US" w:eastAsia="zh-CN"/>
        </w:rPr>
        <w:t>1</w:t>
      </w:r>
      <w:r>
        <w:rPr>
          <w:rFonts w:eastAsia="仿宋_GB2312"/>
          <w:color w:val="000000"/>
          <w:sz w:val="32"/>
          <w:szCs w:val="32"/>
        </w:rPr>
        <w:t>.1产品外观；尺寸（长度、宽度、厚度）及允差（或范围）、其他关键尺寸</w:t>
      </w:r>
      <w:r>
        <w:rPr>
          <w:rFonts w:hint="eastAsia" w:eastAsia="仿宋_GB2312"/>
          <w:color w:val="000000"/>
          <w:sz w:val="32"/>
          <w:szCs w:val="32"/>
          <w:lang w:val="en-US" w:eastAsia="zh-CN"/>
        </w:rPr>
        <w:t>等</w:t>
      </w:r>
      <w:r>
        <w:rPr>
          <w:rFonts w:eastAsia="仿宋_GB2312"/>
          <w:color w:val="000000"/>
          <w:sz w:val="32"/>
          <w:szCs w:val="32"/>
        </w:rPr>
        <w:t>。</w:t>
      </w:r>
    </w:p>
    <w:p w14:paraId="142352AC">
      <w:pPr>
        <w:spacing w:line="520" w:lineRule="exact"/>
        <w:ind w:firstLine="640" w:firstLineChars="200"/>
        <w:rPr>
          <w:rFonts w:hint="default" w:eastAsia="仿宋_GB2312"/>
          <w:color w:val="000000"/>
          <w:sz w:val="32"/>
          <w:szCs w:val="32"/>
          <w:highlight w:val="none"/>
          <w:lang w:val="en-US" w:eastAsia="zh-CN"/>
        </w:rPr>
      </w:pPr>
      <w:r>
        <w:rPr>
          <w:rFonts w:hint="eastAsia" w:eastAsia="仿宋_GB2312"/>
          <w:color w:val="000000"/>
          <w:sz w:val="32"/>
          <w:szCs w:val="32"/>
          <w:highlight w:val="none"/>
          <w:lang w:val="en-US" w:eastAsia="zh-CN"/>
        </w:rPr>
        <w:t>3.1.2材料要求：干燥失重、微量元素</w:t>
      </w:r>
      <w:r>
        <w:rPr>
          <w:rFonts w:eastAsia="仿宋_GB2312"/>
          <w:color w:val="000000"/>
          <w:kern w:val="0"/>
          <w:sz w:val="32"/>
          <w:szCs w:val="32"/>
          <w:highlight w:val="none"/>
        </w:rPr>
        <w:t>（铅Pb、镉Cd、砷As、铬Cr、铁Fe）</w:t>
      </w:r>
      <w:r>
        <w:rPr>
          <w:rFonts w:hint="eastAsia" w:eastAsia="仿宋_GB2312"/>
          <w:color w:val="000000"/>
          <w:kern w:val="0"/>
          <w:sz w:val="32"/>
          <w:szCs w:val="32"/>
          <w:highlight w:val="none"/>
          <w:lang w:eastAsia="zh-CN"/>
        </w:rPr>
        <w:t>、</w:t>
      </w:r>
      <w:r>
        <w:rPr>
          <w:rFonts w:hint="eastAsia" w:eastAsia="仿宋_GB2312"/>
          <w:color w:val="000000"/>
          <w:kern w:val="0"/>
          <w:sz w:val="32"/>
          <w:szCs w:val="32"/>
          <w:highlight w:val="none"/>
          <w:lang w:val="en-US" w:eastAsia="zh-CN"/>
        </w:rPr>
        <w:t>鉴别</w:t>
      </w:r>
      <w:r>
        <w:rPr>
          <w:rFonts w:hint="eastAsia" w:eastAsia="仿宋_GB2312"/>
          <w:color w:val="000000"/>
          <w:sz w:val="32"/>
          <w:szCs w:val="32"/>
          <w:highlight w:val="none"/>
          <w:lang w:val="en-US" w:eastAsia="zh-CN"/>
        </w:rPr>
        <w:t>等。</w:t>
      </w:r>
    </w:p>
    <w:p w14:paraId="44D3F035">
      <w:pPr>
        <w:spacing w:line="520" w:lineRule="exact"/>
        <w:ind w:firstLine="640" w:firstLineChars="200"/>
        <w:rPr>
          <w:rFonts w:hint="eastAsia" w:eastAsia="仿宋_GB2312"/>
          <w:color w:val="000000"/>
          <w:sz w:val="32"/>
          <w:szCs w:val="32"/>
          <w:highlight w:val="none"/>
          <w:lang w:val="en-US" w:eastAsia="zh-CN"/>
        </w:rPr>
      </w:pPr>
      <w:r>
        <w:rPr>
          <w:rFonts w:hint="eastAsia" w:eastAsia="仿宋_GB2312"/>
          <w:color w:val="000000"/>
          <w:sz w:val="32"/>
          <w:szCs w:val="32"/>
          <w:highlight w:val="none"/>
          <w:lang w:val="en-US" w:eastAsia="zh-CN"/>
        </w:rPr>
        <w:t>3.1.3溶出物要求：溶液外观、</w:t>
      </w:r>
      <w:r>
        <w:rPr>
          <w:rFonts w:hint="eastAsia" w:eastAsia="仿宋_GB2312"/>
          <w:color w:val="000000"/>
          <w:sz w:val="32"/>
          <w:szCs w:val="32"/>
          <w:lang w:val="en-US" w:eastAsia="zh-CN"/>
        </w:rPr>
        <w:t>蒸发残渣</w:t>
      </w:r>
      <w:r>
        <w:rPr>
          <w:rFonts w:eastAsia="仿宋_GB2312"/>
          <w:color w:val="000000"/>
          <w:sz w:val="32"/>
          <w:szCs w:val="32"/>
        </w:rPr>
        <w:t>、</w:t>
      </w:r>
      <w:r>
        <w:rPr>
          <w:rFonts w:hint="eastAsia" w:eastAsia="仿宋_GB2312"/>
          <w:color w:val="000000"/>
          <w:sz w:val="32"/>
          <w:szCs w:val="32"/>
          <w:lang w:val="en-US" w:eastAsia="zh-CN"/>
        </w:rPr>
        <w:t>酸碱度、</w:t>
      </w:r>
      <w:r>
        <w:rPr>
          <w:rFonts w:hint="eastAsia" w:eastAsia="仿宋_GB2312"/>
          <w:color w:val="000000"/>
          <w:sz w:val="32"/>
          <w:szCs w:val="32"/>
          <w:highlight w:val="none"/>
          <w:lang w:val="en-US" w:eastAsia="zh-CN"/>
        </w:rPr>
        <w:t>催化剂残留、还原物质（易氧化物）、紫外吸收、</w:t>
      </w:r>
      <w:r>
        <w:rPr>
          <w:rFonts w:eastAsia="仿宋_GB2312"/>
          <w:color w:val="000000"/>
          <w:sz w:val="32"/>
          <w:szCs w:val="32"/>
          <w:highlight w:val="none"/>
        </w:rPr>
        <w:t>重金属</w:t>
      </w:r>
      <w:r>
        <w:rPr>
          <w:rFonts w:hint="eastAsia" w:eastAsia="仿宋_GB2312"/>
          <w:color w:val="000000"/>
          <w:sz w:val="32"/>
          <w:szCs w:val="32"/>
          <w:highlight w:val="none"/>
          <w:lang w:val="en-US" w:eastAsia="zh-CN"/>
        </w:rPr>
        <w:t>等</w:t>
      </w:r>
      <w:r>
        <w:rPr>
          <w:rFonts w:hint="eastAsia" w:eastAsia="仿宋_GB2312"/>
          <w:color w:val="000000"/>
          <w:sz w:val="32"/>
          <w:szCs w:val="32"/>
          <w:highlight w:val="none"/>
          <w:lang w:eastAsia="zh-CN"/>
        </w:rPr>
        <w:t>。</w:t>
      </w:r>
    </w:p>
    <w:p w14:paraId="2F03D731">
      <w:pPr>
        <w:spacing w:line="520" w:lineRule="exact"/>
        <w:ind w:firstLine="640" w:firstLineChars="200"/>
        <w:rPr>
          <w:rFonts w:hint="default" w:eastAsia="仿宋_GB2312"/>
          <w:color w:val="000000"/>
          <w:sz w:val="32"/>
          <w:szCs w:val="32"/>
          <w:highlight w:val="yellow"/>
          <w:lang w:val="en-US" w:eastAsia="zh-CN"/>
        </w:rPr>
      </w:pPr>
      <w:r>
        <w:rPr>
          <w:rFonts w:eastAsia="仿宋_GB2312"/>
          <w:color w:val="000000"/>
          <w:sz w:val="32"/>
          <w:szCs w:val="32"/>
          <w:highlight w:val="none"/>
        </w:rPr>
        <w:t>3.</w:t>
      </w:r>
      <w:r>
        <w:rPr>
          <w:rFonts w:hint="eastAsia" w:eastAsia="仿宋_GB2312"/>
          <w:color w:val="000000"/>
          <w:sz w:val="32"/>
          <w:szCs w:val="32"/>
          <w:highlight w:val="none"/>
          <w:lang w:val="en-US" w:eastAsia="zh-CN"/>
        </w:rPr>
        <w:t>1</w:t>
      </w:r>
      <w:r>
        <w:rPr>
          <w:rFonts w:eastAsia="仿宋_GB2312"/>
          <w:color w:val="000000"/>
          <w:sz w:val="32"/>
          <w:szCs w:val="32"/>
          <w:highlight w:val="none"/>
        </w:rPr>
        <w:t>.</w:t>
      </w:r>
      <w:r>
        <w:rPr>
          <w:rFonts w:hint="eastAsia" w:eastAsia="仿宋_GB2312"/>
          <w:color w:val="000000"/>
          <w:sz w:val="32"/>
          <w:szCs w:val="32"/>
          <w:highlight w:val="none"/>
          <w:lang w:val="en-US" w:eastAsia="zh-CN"/>
        </w:rPr>
        <w:t>4</w:t>
      </w:r>
      <w:r>
        <w:rPr>
          <w:rFonts w:eastAsia="仿宋_GB2312"/>
          <w:color w:val="000000"/>
          <w:sz w:val="32"/>
          <w:szCs w:val="32"/>
          <w:highlight w:val="none"/>
        </w:rPr>
        <w:t>根据临床需求制定适用的力学性能，如拉伸强度</w:t>
      </w:r>
      <w:r>
        <w:rPr>
          <w:rFonts w:hint="eastAsia" w:eastAsia="仿宋_GB2312"/>
          <w:color w:val="000000"/>
          <w:sz w:val="32"/>
          <w:szCs w:val="32"/>
          <w:lang w:eastAsia="zh-CN"/>
        </w:rPr>
        <w:t>、</w:t>
      </w:r>
      <w:r>
        <w:rPr>
          <w:rFonts w:hint="eastAsia" w:eastAsia="仿宋_GB2312"/>
          <w:color w:val="000000"/>
          <w:sz w:val="32"/>
          <w:szCs w:val="32"/>
          <w:lang w:val="en-US" w:eastAsia="zh-CN"/>
        </w:rPr>
        <w:t>断裂伸长率</w:t>
      </w:r>
      <w:r>
        <w:rPr>
          <w:rFonts w:eastAsia="仿宋_GB2312"/>
          <w:color w:val="000000"/>
          <w:sz w:val="32"/>
          <w:szCs w:val="32"/>
        </w:rPr>
        <w:t>、</w:t>
      </w:r>
      <w:r>
        <w:rPr>
          <w:rFonts w:hint="eastAsia" w:eastAsia="仿宋_GB2312"/>
          <w:color w:val="000000"/>
          <w:sz w:val="32"/>
          <w:szCs w:val="32"/>
          <w:lang w:val="en-US" w:eastAsia="zh-CN"/>
        </w:rPr>
        <w:t>扯断永久变形、硬度</w:t>
      </w:r>
      <w:r>
        <w:rPr>
          <w:rFonts w:eastAsia="仿宋_GB2312"/>
          <w:color w:val="000000"/>
          <w:sz w:val="32"/>
          <w:szCs w:val="32"/>
        </w:rPr>
        <w:t>等。</w:t>
      </w:r>
    </w:p>
    <w:p w14:paraId="19C6FB89">
      <w:pPr>
        <w:spacing w:line="52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lang w:val="en-US" w:eastAsia="zh-CN"/>
        </w:rPr>
        <w:t>1</w:t>
      </w:r>
      <w:r>
        <w:rPr>
          <w:rFonts w:eastAsia="仿宋_GB2312"/>
          <w:color w:val="000000"/>
          <w:sz w:val="32"/>
          <w:szCs w:val="32"/>
        </w:rPr>
        <w:t>.</w:t>
      </w:r>
      <w:r>
        <w:rPr>
          <w:rFonts w:hint="eastAsia" w:eastAsia="仿宋_GB2312"/>
          <w:color w:val="000000"/>
          <w:sz w:val="32"/>
          <w:szCs w:val="32"/>
          <w:lang w:val="en-US" w:eastAsia="zh-CN"/>
        </w:rPr>
        <w:t>5</w:t>
      </w:r>
      <w:r>
        <w:rPr>
          <w:rFonts w:eastAsia="仿宋_GB2312"/>
          <w:color w:val="000000"/>
          <w:sz w:val="32"/>
          <w:szCs w:val="32"/>
        </w:rPr>
        <w:t>无菌指标。</w:t>
      </w:r>
    </w:p>
    <w:p w14:paraId="6BB2A210">
      <w:pPr>
        <w:spacing w:line="520" w:lineRule="exact"/>
        <w:ind w:firstLine="640" w:firstLineChars="200"/>
        <w:rPr>
          <w:rFonts w:eastAsia="仿宋_GB2312"/>
          <w:color w:val="000000"/>
          <w:sz w:val="32"/>
          <w:szCs w:val="32"/>
        </w:rPr>
      </w:pPr>
      <w:r>
        <w:rPr>
          <w:rFonts w:hint="eastAsia" w:eastAsia="仿宋_GB2312"/>
          <w:color w:val="000000"/>
          <w:kern w:val="0"/>
          <w:sz w:val="32"/>
          <w:szCs w:val="32"/>
          <w:lang w:val="en-US" w:eastAsia="zh-CN"/>
        </w:rPr>
        <w:t>3.1.6</w:t>
      </w:r>
      <w:r>
        <w:rPr>
          <w:rFonts w:eastAsia="仿宋_GB2312"/>
          <w:color w:val="000000"/>
          <w:kern w:val="0"/>
          <w:sz w:val="32"/>
          <w:szCs w:val="32"/>
        </w:rPr>
        <w:t>环氧乙烷</w:t>
      </w:r>
      <w:r>
        <w:rPr>
          <w:rFonts w:eastAsia="仿宋_GB2312"/>
          <w:color w:val="000000"/>
          <w:sz w:val="32"/>
          <w:szCs w:val="32"/>
        </w:rPr>
        <w:t>残留（</w:t>
      </w:r>
      <w:r>
        <w:rPr>
          <w:rFonts w:eastAsia="仿宋_GB2312"/>
          <w:color w:val="000000"/>
          <w:kern w:val="0"/>
          <w:sz w:val="32"/>
          <w:szCs w:val="32"/>
        </w:rPr>
        <w:t>适用于环氧乙烷</w:t>
      </w:r>
      <w:r>
        <w:rPr>
          <w:rFonts w:eastAsia="仿宋_GB2312"/>
          <w:color w:val="000000"/>
          <w:sz w:val="32"/>
          <w:szCs w:val="32"/>
        </w:rPr>
        <w:t>灭菌的产品）</w:t>
      </w:r>
    </w:p>
    <w:p w14:paraId="60DBC6E5">
      <w:pPr>
        <w:spacing w:line="520" w:lineRule="exact"/>
        <w:ind w:firstLine="640" w:firstLineChars="200"/>
        <w:rPr>
          <w:rFonts w:hint="default" w:eastAsia="仿宋_GB2312"/>
          <w:color w:val="000000"/>
          <w:sz w:val="32"/>
          <w:szCs w:val="32"/>
          <w:lang w:val="en-US" w:eastAsia="zh-CN"/>
        </w:rPr>
      </w:pPr>
      <w:r>
        <w:rPr>
          <w:rFonts w:hint="eastAsia" w:eastAsia="仿宋_GB2312"/>
          <w:color w:val="000000"/>
          <w:sz w:val="32"/>
          <w:szCs w:val="32"/>
          <w:lang w:val="en-US" w:eastAsia="zh-CN"/>
        </w:rPr>
        <w:t>3.1.7细菌内毒素指标。</w:t>
      </w:r>
    </w:p>
    <w:p w14:paraId="62F019FD">
      <w:pPr>
        <w:spacing w:line="520" w:lineRule="exact"/>
        <w:ind w:firstLine="640" w:firstLineChars="200"/>
        <w:rPr>
          <w:rFonts w:hint="default" w:eastAsia="仿宋_GB2312"/>
          <w:color w:val="000000"/>
          <w:sz w:val="32"/>
          <w:szCs w:val="32"/>
          <w:lang w:val="en-US" w:eastAsia="zh-CN"/>
        </w:rPr>
      </w:pPr>
      <w:r>
        <w:rPr>
          <w:rFonts w:hint="eastAsia" w:eastAsia="仿宋_GB2312"/>
          <w:color w:val="000000"/>
          <w:sz w:val="32"/>
          <w:szCs w:val="32"/>
          <w:lang w:val="en-US" w:eastAsia="zh-CN"/>
        </w:rPr>
        <w:t>3.1.8如果带有附件，应对附件的性能提出要求。</w:t>
      </w:r>
    </w:p>
    <w:p w14:paraId="06030BA5">
      <w:pPr>
        <w:spacing w:line="520" w:lineRule="exact"/>
        <w:ind w:firstLine="640" w:firstLineChars="200"/>
        <w:rPr>
          <w:rFonts w:eastAsia="仿宋_GB2312"/>
          <w:color w:val="000000"/>
          <w:sz w:val="32"/>
          <w:szCs w:val="32"/>
          <w:highlight w:val="yellow"/>
        </w:rPr>
      </w:pPr>
      <w:r>
        <w:rPr>
          <w:rFonts w:eastAsia="仿宋_GB2312"/>
          <w:color w:val="000000"/>
          <w:sz w:val="32"/>
          <w:szCs w:val="32"/>
        </w:rPr>
        <w:t>3.</w:t>
      </w:r>
      <w:r>
        <w:rPr>
          <w:rFonts w:hint="eastAsia" w:eastAsia="仿宋_GB2312"/>
          <w:color w:val="000000"/>
          <w:sz w:val="32"/>
          <w:szCs w:val="32"/>
          <w:lang w:val="en-US" w:eastAsia="zh-CN"/>
        </w:rPr>
        <w:t>2</w:t>
      </w:r>
      <w:r>
        <w:rPr>
          <w:rFonts w:eastAsia="仿宋_GB2312"/>
          <w:color w:val="000000"/>
          <w:sz w:val="32"/>
          <w:szCs w:val="32"/>
        </w:rPr>
        <w:t>检验方法应采用标准的试验方法，或经验证的方法。</w:t>
      </w:r>
    </w:p>
    <w:p w14:paraId="627AA701">
      <w:pPr>
        <w:spacing w:line="520" w:lineRule="exact"/>
        <w:ind w:firstLine="640" w:firstLineChars="200"/>
        <w:rPr>
          <w:rFonts w:hint="eastAsia" w:eastAsia="仿宋_GB2312"/>
          <w:color w:val="000000"/>
          <w:sz w:val="32"/>
          <w:szCs w:val="32"/>
        </w:rPr>
      </w:pPr>
      <w:r>
        <w:rPr>
          <w:rFonts w:eastAsia="仿宋_GB2312"/>
          <w:color w:val="000000"/>
          <w:sz w:val="32"/>
          <w:szCs w:val="32"/>
          <w:highlight w:val="none"/>
        </w:rPr>
        <w:t>3.</w:t>
      </w:r>
      <w:r>
        <w:rPr>
          <w:rFonts w:hint="eastAsia" w:eastAsia="仿宋_GB2312"/>
          <w:color w:val="000000"/>
          <w:sz w:val="32"/>
          <w:szCs w:val="32"/>
          <w:highlight w:val="none"/>
          <w:lang w:val="en-US" w:eastAsia="zh-CN"/>
        </w:rPr>
        <w:t>3</w:t>
      </w:r>
      <w:r>
        <w:rPr>
          <w:rFonts w:eastAsia="仿宋_GB2312"/>
          <w:color w:val="000000"/>
          <w:sz w:val="32"/>
          <w:szCs w:val="32"/>
        </w:rPr>
        <w:t>在产品技术要求附录中明确</w:t>
      </w:r>
      <w:r>
        <w:rPr>
          <w:rFonts w:hint="eastAsia" w:eastAsia="仿宋_GB2312"/>
          <w:color w:val="000000"/>
          <w:sz w:val="32"/>
          <w:szCs w:val="32"/>
          <w:lang w:val="en-US" w:eastAsia="zh-CN"/>
        </w:rPr>
        <w:t>原材料信息及其符合的标准要求</w:t>
      </w:r>
      <w:r>
        <w:rPr>
          <w:rFonts w:eastAsia="仿宋_GB2312"/>
          <w:color w:val="000000"/>
          <w:sz w:val="32"/>
          <w:szCs w:val="32"/>
        </w:rPr>
        <w:t>。</w:t>
      </w:r>
      <w:r>
        <w:rPr>
          <w:rFonts w:hint="eastAsia" w:eastAsia="仿宋_GB2312"/>
          <w:color w:val="000000"/>
          <w:sz w:val="32"/>
          <w:szCs w:val="32"/>
          <w:highlight w:val="none"/>
          <w:lang w:val="en-US" w:eastAsia="zh-CN"/>
        </w:rPr>
        <w:t>建议</w:t>
      </w:r>
      <w:r>
        <w:rPr>
          <w:rFonts w:hint="eastAsia" w:eastAsia="仿宋_GB2312"/>
          <w:color w:val="000000"/>
          <w:sz w:val="32"/>
          <w:szCs w:val="32"/>
          <w:highlight w:val="none"/>
        </w:rPr>
        <w:t>明确原材料、添加助剂及终产品材质的相关信息，明确所采用的硫化形式（如双组分加成硫化、热硫化等）</w:t>
      </w:r>
      <w:r>
        <w:rPr>
          <w:rFonts w:hint="eastAsia" w:eastAsia="仿宋_GB2312"/>
          <w:strike w:val="0"/>
          <w:dstrike w:val="0"/>
          <w:color w:val="000000"/>
          <w:sz w:val="32"/>
          <w:szCs w:val="32"/>
          <w:highlight w:val="none"/>
          <w:lang w:eastAsia="zh-CN"/>
        </w:rPr>
        <w:t>、</w:t>
      </w:r>
      <w:r>
        <w:rPr>
          <w:rFonts w:hint="eastAsia" w:eastAsia="仿宋_GB2312"/>
          <w:strike w:val="0"/>
          <w:dstrike w:val="0"/>
          <w:color w:val="000000"/>
          <w:sz w:val="32"/>
          <w:szCs w:val="32"/>
          <w:highlight w:val="none"/>
          <w:lang w:val="en-US" w:eastAsia="zh-CN"/>
        </w:rPr>
        <w:t>硫化程度（如适用）</w:t>
      </w:r>
      <w:r>
        <w:rPr>
          <w:rFonts w:hint="eastAsia" w:eastAsia="仿宋_GB2312"/>
          <w:color w:val="000000"/>
          <w:sz w:val="32"/>
          <w:szCs w:val="32"/>
          <w:highlight w:val="none"/>
          <w:lang w:val="en-US" w:eastAsia="zh-CN"/>
        </w:rPr>
        <w:t>等</w:t>
      </w:r>
      <w:r>
        <w:rPr>
          <w:rFonts w:hint="eastAsia" w:eastAsia="仿宋_GB2312"/>
          <w:color w:val="000000"/>
          <w:sz w:val="32"/>
          <w:szCs w:val="32"/>
          <w:highlight w:val="none"/>
        </w:rPr>
        <w:t>。</w:t>
      </w:r>
    </w:p>
    <w:p w14:paraId="3442CED1">
      <w:pPr>
        <w:spacing w:line="52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lang w:val="en-US" w:eastAsia="zh-CN"/>
        </w:rPr>
        <w:t>4</w:t>
      </w:r>
      <w:r>
        <w:rPr>
          <w:rFonts w:eastAsia="仿宋_GB2312"/>
          <w:color w:val="000000"/>
          <w:sz w:val="32"/>
          <w:szCs w:val="32"/>
        </w:rPr>
        <w:t>提供检验报告中检验型号的典型性声明，需结合性能指标及检验方法分析对典型性型号的要求，如</w:t>
      </w:r>
      <w:r>
        <w:rPr>
          <w:rFonts w:hint="eastAsia" w:eastAsia="仿宋_GB2312"/>
          <w:color w:val="000000"/>
          <w:sz w:val="32"/>
          <w:szCs w:val="32"/>
          <w:lang w:val="en-US" w:eastAsia="zh-CN"/>
        </w:rPr>
        <w:t>考虑</w:t>
      </w:r>
      <w:r>
        <w:rPr>
          <w:rFonts w:eastAsia="仿宋_GB2312"/>
          <w:color w:val="000000"/>
          <w:sz w:val="32"/>
          <w:szCs w:val="32"/>
        </w:rPr>
        <w:t>不同厚度对性能的影响。</w:t>
      </w:r>
    </w:p>
    <w:p w14:paraId="429B697B">
      <w:pPr>
        <w:spacing w:line="520" w:lineRule="exact"/>
        <w:ind w:firstLine="640" w:firstLineChars="200"/>
        <w:rPr>
          <w:rFonts w:eastAsia="仿宋_GB2312"/>
          <w:bCs/>
          <w:sz w:val="32"/>
          <w:szCs w:val="32"/>
        </w:rPr>
      </w:pPr>
      <w:r>
        <w:rPr>
          <w:rFonts w:eastAsia="仿宋_GB2312"/>
          <w:bCs/>
          <w:sz w:val="32"/>
          <w:szCs w:val="32"/>
        </w:rPr>
        <w:t>4.研究</w:t>
      </w:r>
      <w:r>
        <w:rPr>
          <w:rFonts w:eastAsia="仿宋_GB2312"/>
          <w:color w:val="000000"/>
          <w:sz w:val="32"/>
          <w:szCs w:val="32"/>
        </w:rPr>
        <w:t>资料</w:t>
      </w:r>
    </w:p>
    <w:p w14:paraId="1623B523">
      <w:pPr>
        <w:autoSpaceDE w:val="0"/>
        <w:autoSpaceDN w:val="0"/>
        <w:adjustRightInd w:val="0"/>
        <w:spacing w:line="520" w:lineRule="exact"/>
        <w:ind w:firstLine="640" w:firstLineChars="200"/>
        <w:rPr>
          <w:rFonts w:eastAsia="仿宋_GB2312"/>
          <w:bCs/>
          <w:sz w:val="32"/>
          <w:szCs w:val="32"/>
        </w:rPr>
      </w:pPr>
      <w:r>
        <w:rPr>
          <w:rFonts w:eastAsia="仿宋_GB2312"/>
          <w:color w:val="000000"/>
          <w:sz w:val="32"/>
          <w:szCs w:val="32"/>
        </w:rPr>
        <w:t>应当从技术层面论述申报产品的</w:t>
      </w:r>
      <w:r>
        <w:rPr>
          <w:rFonts w:eastAsia="仿宋_GB2312"/>
          <w:sz w:val="32"/>
          <w:szCs w:val="32"/>
        </w:rPr>
        <w:t>产品性能研究</w:t>
      </w:r>
      <w:r>
        <w:rPr>
          <w:rFonts w:eastAsia="仿宋_GB2312"/>
          <w:color w:val="000000"/>
          <w:sz w:val="32"/>
          <w:szCs w:val="32"/>
        </w:rPr>
        <w:t>、生物相容性评价研究、灭菌工艺研究和产品稳定性研究等内容。至少应包含但不限于以下内容：</w:t>
      </w:r>
    </w:p>
    <w:p w14:paraId="21F7109D">
      <w:pPr>
        <w:autoSpaceDE w:val="0"/>
        <w:autoSpaceDN w:val="0"/>
        <w:adjustRightInd w:val="0"/>
        <w:spacing w:line="520" w:lineRule="exact"/>
        <w:ind w:firstLine="640" w:firstLineChars="200"/>
        <w:rPr>
          <w:rFonts w:eastAsia="仿宋_GB2312"/>
          <w:kern w:val="0"/>
          <w:sz w:val="32"/>
          <w:szCs w:val="32"/>
        </w:rPr>
      </w:pPr>
      <w:r>
        <w:rPr>
          <w:rFonts w:eastAsia="仿宋_GB2312"/>
          <w:bCs/>
          <w:sz w:val="32"/>
          <w:szCs w:val="32"/>
        </w:rPr>
        <w:t>结合临床应用及需求描述申报产品研究项目及其充分性。各项</w:t>
      </w:r>
      <w:r>
        <w:rPr>
          <w:rFonts w:eastAsia="仿宋_GB2312"/>
          <w:kern w:val="0"/>
          <w:sz w:val="32"/>
          <w:szCs w:val="32"/>
        </w:rPr>
        <w:t>研究报告</w:t>
      </w:r>
      <w:r>
        <w:rPr>
          <w:rFonts w:hint="eastAsia" w:eastAsia="仿宋_GB2312"/>
          <w:kern w:val="0"/>
          <w:sz w:val="32"/>
          <w:szCs w:val="32"/>
          <w:lang w:val="en-US" w:eastAsia="zh-CN"/>
        </w:rPr>
        <w:t>应</w:t>
      </w:r>
      <w:r>
        <w:rPr>
          <w:rFonts w:eastAsia="仿宋_GB2312"/>
          <w:kern w:val="0"/>
          <w:sz w:val="32"/>
          <w:szCs w:val="32"/>
        </w:rPr>
        <w:t>包含明确的研究目的、研究方法、具体的研究项目列表。</w:t>
      </w:r>
      <w:r>
        <w:rPr>
          <w:rFonts w:eastAsia="仿宋_GB2312"/>
          <w:color w:val="000000"/>
          <w:kern w:val="0"/>
          <w:sz w:val="32"/>
          <w:szCs w:val="32"/>
        </w:rPr>
        <w:t>各项研究选择的产品型号规格</w:t>
      </w:r>
      <w:r>
        <w:rPr>
          <w:rFonts w:hint="eastAsia" w:eastAsia="仿宋_GB2312"/>
          <w:color w:val="000000"/>
          <w:kern w:val="0"/>
          <w:sz w:val="32"/>
          <w:szCs w:val="32"/>
          <w:lang w:val="en-US" w:eastAsia="zh-CN"/>
        </w:rPr>
        <w:t>应</w:t>
      </w:r>
      <w:r>
        <w:rPr>
          <w:rFonts w:eastAsia="仿宋_GB2312"/>
          <w:color w:val="000000"/>
          <w:kern w:val="0"/>
          <w:sz w:val="32"/>
          <w:szCs w:val="32"/>
        </w:rPr>
        <w:t>具有典型性。</w:t>
      </w:r>
      <w:r>
        <w:rPr>
          <w:rFonts w:eastAsia="仿宋_GB2312"/>
          <w:kern w:val="0"/>
          <w:sz w:val="32"/>
          <w:szCs w:val="32"/>
        </w:rPr>
        <w:t>未采用申报产品终产品进行研究验证的，应提供原因及验证样品可代表性分析。</w:t>
      </w:r>
    </w:p>
    <w:p w14:paraId="18E15ECA">
      <w:pPr>
        <w:spacing w:line="520" w:lineRule="exact"/>
        <w:ind w:firstLine="640" w:firstLineChars="200"/>
        <w:rPr>
          <w:rFonts w:hint="eastAsia" w:eastAsia="仿宋_GB2312"/>
          <w:bCs/>
          <w:sz w:val="32"/>
          <w:szCs w:val="32"/>
          <w:lang w:val="en-US" w:eastAsia="zh-CN"/>
        </w:rPr>
      </w:pPr>
      <w:r>
        <w:rPr>
          <w:rFonts w:hint="eastAsia" w:eastAsia="仿宋_GB2312"/>
          <w:bCs/>
          <w:sz w:val="32"/>
          <w:szCs w:val="32"/>
          <w:lang w:val="en-US" w:eastAsia="zh-CN"/>
        </w:rPr>
        <w:t>4.1原材料</w:t>
      </w:r>
    </w:p>
    <w:p w14:paraId="047CE03B">
      <w:pPr>
        <w:kinsoku w:val="0"/>
        <w:wordWrap w:val="0"/>
        <w:overflowPunct w:val="0"/>
        <w:topLinePunct/>
        <w:autoSpaceDE w:val="0"/>
        <w:autoSpaceDN w:val="0"/>
        <w:spacing w:line="520" w:lineRule="exact"/>
        <w:ind w:firstLine="640" w:firstLineChars="200"/>
        <w:rPr>
          <w:rFonts w:ascii="Times New Roman" w:hAnsi="Times New Roman" w:eastAsia="仿宋_GB2312"/>
          <w:sz w:val="32"/>
          <w:szCs w:val="28"/>
        </w:rPr>
      </w:pPr>
      <w:r>
        <w:rPr>
          <w:rFonts w:ascii="Times New Roman" w:hAnsi="Times New Roman" w:eastAsia="仿宋_GB2312"/>
          <w:sz w:val="32"/>
          <w:szCs w:val="28"/>
        </w:rPr>
        <w:t>4.</w:t>
      </w:r>
      <w:r>
        <w:rPr>
          <w:rFonts w:hint="eastAsia" w:eastAsia="仿宋_GB2312"/>
          <w:sz w:val="32"/>
          <w:szCs w:val="28"/>
          <w:lang w:val="en-US" w:eastAsia="zh-CN"/>
        </w:rPr>
        <w:t>1.1</w:t>
      </w:r>
      <w:r>
        <w:rPr>
          <w:rFonts w:ascii="Times New Roman" w:hAnsi="Times New Roman" w:eastAsia="仿宋_GB2312"/>
          <w:sz w:val="32"/>
          <w:szCs w:val="28"/>
          <w:highlight w:val="none"/>
        </w:rPr>
        <w:t>明确</w:t>
      </w:r>
      <w:r>
        <w:rPr>
          <w:rFonts w:hint="eastAsia" w:eastAsia="仿宋_GB2312"/>
          <w:sz w:val="32"/>
          <w:szCs w:val="28"/>
          <w:highlight w:val="none"/>
          <w:lang w:val="en-US" w:eastAsia="zh-CN"/>
        </w:rPr>
        <w:t>产品</w:t>
      </w:r>
      <w:r>
        <w:rPr>
          <w:rFonts w:ascii="Times New Roman" w:hAnsi="Times New Roman" w:eastAsia="仿宋_GB2312"/>
          <w:sz w:val="32"/>
          <w:szCs w:val="28"/>
          <w:highlight w:val="none"/>
        </w:rPr>
        <w:t>组成材料的基本信息</w:t>
      </w:r>
      <w:r>
        <w:rPr>
          <w:rFonts w:hint="eastAsia" w:eastAsia="仿宋_GB2312"/>
          <w:sz w:val="32"/>
          <w:szCs w:val="28"/>
          <w:highlight w:val="none"/>
          <w:lang w:eastAsia="zh-CN"/>
        </w:rPr>
        <w:t>。</w:t>
      </w:r>
      <w:r>
        <w:rPr>
          <w:rFonts w:ascii="Times New Roman" w:hAnsi="Times New Roman" w:eastAsia="仿宋_GB2312"/>
          <w:sz w:val="32"/>
          <w:szCs w:val="28"/>
          <w:highlight w:val="none"/>
        </w:rPr>
        <w:t>明确原材料、添加助剂及终产品材质的相关信息，明确所采用的硫化形式（如双组分加成硫化、热硫化等）</w:t>
      </w:r>
      <w:r>
        <w:rPr>
          <w:rFonts w:hint="eastAsia" w:eastAsia="仿宋_GB2312"/>
          <w:sz w:val="32"/>
          <w:szCs w:val="28"/>
          <w:highlight w:val="none"/>
          <w:lang w:eastAsia="zh-CN"/>
        </w:rPr>
        <w:t>、</w:t>
      </w:r>
      <w:r>
        <w:rPr>
          <w:rFonts w:hint="eastAsia" w:eastAsia="仿宋_GB2312"/>
          <w:sz w:val="32"/>
          <w:szCs w:val="28"/>
          <w:highlight w:val="none"/>
          <w:lang w:val="en-US" w:eastAsia="zh-CN"/>
        </w:rPr>
        <w:t>硫化程度（如适用）</w:t>
      </w:r>
      <w:r>
        <w:rPr>
          <w:rFonts w:ascii="Times New Roman" w:hAnsi="Times New Roman" w:eastAsia="仿宋_GB2312"/>
          <w:sz w:val="32"/>
          <w:szCs w:val="28"/>
          <w:highlight w:val="none"/>
        </w:rPr>
        <w:t>。应提交硅橡胶符合长期植入要求的支持性资料。</w:t>
      </w:r>
    </w:p>
    <w:p w14:paraId="060E086E">
      <w:pPr>
        <w:kinsoku w:val="0"/>
        <w:wordWrap w:val="0"/>
        <w:overflowPunct w:val="0"/>
        <w:topLinePunct/>
        <w:autoSpaceDE w:val="0"/>
        <w:autoSpaceDN w:val="0"/>
        <w:spacing w:line="520" w:lineRule="exact"/>
        <w:ind w:firstLine="640" w:firstLineChars="200"/>
        <w:rPr>
          <w:rFonts w:ascii="Times New Roman" w:hAnsi="Times New Roman" w:eastAsia="仿宋_GB2312"/>
          <w:sz w:val="32"/>
          <w:szCs w:val="28"/>
        </w:rPr>
      </w:pPr>
      <w:r>
        <w:rPr>
          <w:rFonts w:ascii="Times New Roman" w:hAnsi="Times New Roman" w:eastAsia="仿宋_GB2312"/>
          <w:sz w:val="32"/>
          <w:szCs w:val="28"/>
        </w:rPr>
        <w:t>4.</w:t>
      </w:r>
      <w:r>
        <w:rPr>
          <w:rFonts w:hint="eastAsia" w:eastAsia="仿宋_GB2312"/>
          <w:sz w:val="32"/>
          <w:szCs w:val="28"/>
          <w:lang w:val="en-US" w:eastAsia="zh-CN"/>
        </w:rPr>
        <w:t>1.</w:t>
      </w:r>
      <w:r>
        <w:rPr>
          <w:rFonts w:ascii="Times New Roman" w:hAnsi="Times New Roman" w:eastAsia="仿宋_GB2312"/>
          <w:sz w:val="32"/>
          <w:szCs w:val="28"/>
        </w:rPr>
        <w:t>2若原材料外购，需明确原材料供应商，提交原材料的质控标准及检测报告。若原材料为自行合成，需阐述原材料的质量控制标准并提交相关的检测报告。用于制备产品的硅橡胶材料应符合YY/T 0334《硅橡胶外科植入物通用要求》的规定。</w:t>
      </w:r>
    </w:p>
    <w:p w14:paraId="4842D384">
      <w:pPr>
        <w:kinsoku w:val="0"/>
        <w:wordWrap w:val="0"/>
        <w:overflowPunct w:val="0"/>
        <w:topLinePunct/>
        <w:autoSpaceDE w:val="0"/>
        <w:autoSpaceDN w:val="0"/>
        <w:spacing w:line="520" w:lineRule="exact"/>
        <w:ind w:firstLine="640" w:firstLineChars="200"/>
        <w:rPr>
          <w:rFonts w:hint="default" w:eastAsia="仿宋_GB2312"/>
          <w:bCs/>
          <w:sz w:val="32"/>
          <w:szCs w:val="32"/>
          <w:lang w:val="en-US" w:eastAsia="zh-CN"/>
        </w:rPr>
      </w:pPr>
      <w:r>
        <w:rPr>
          <w:rFonts w:ascii="Times New Roman" w:hAnsi="Times New Roman" w:eastAsia="仿宋_GB2312"/>
          <w:sz w:val="32"/>
          <w:szCs w:val="28"/>
        </w:rPr>
        <w:t>明确原材料所采用的硫化形式（如双组分加成硫化、热硫化等）</w:t>
      </w:r>
      <w:r>
        <w:rPr>
          <w:rFonts w:hint="eastAsia" w:eastAsia="仿宋_GB2312"/>
          <w:sz w:val="32"/>
          <w:szCs w:val="28"/>
          <w:highlight w:val="none"/>
          <w:lang w:eastAsia="zh-CN"/>
        </w:rPr>
        <w:t>、</w:t>
      </w:r>
      <w:r>
        <w:rPr>
          <w:rFonts w:hint="eastAsia" w:eastAsia="仿宋_GB2312"/>
          <w:sz w:val="32"/>
          <w:szCs w:val="28"/>
          <w:highlight w:val="none"/>
          <w:lang w:val="en-US" w:eastAsia="zh-CN"/>
        </w:rPr>
        <w:t>硫化程度（如适用）</w:t>
      </w:r>
      <w:r>
        <w:rPr>
          <w:rFonts w:ascii="Times New Roman" w:hAnsi="Times New Roman" w:eastAsia="仿宋_GB2312"/>
          <w:sz w:val="32"/>
          <w:szCs w:val="28"/>
        </w:rPr>
        <w:t>。对于采用双组分加成硫化的产品，应提供原材料符合YY/T 0484《外科植入物双组分加成型硫化硅橡胶》的验证资料。</w:t>
      </w:r>
    </w:p>
    <w:p w14:paraId="1F773752">
      <w:pPr>
        <w:spacing w:line="520" w:lineRule="exact"/>
        <w:ind w:firstLine="640" w:firstLineChars="200"/>
        <w:rPr>
          <w:rFonts w:eastAsia="仿宋_GB2312"/>
          <w:bCs/>
          <w:sz w:val="32"/>
          <w:szCs w:val="32"/>
        </w:rPr>
      </w:pPr>
      <w:r>
        <w:rPr>
          <w:rFonts w:eastAsia="仿宋_GB2312"/>
          <w:bCs/>
          <w:sz w:val="32"/>
          <w:szCs w:val="32"/>
        </w:rPr>
        <w:t>4.</w:t>
      </w:r>
      <w:r>
        <w:rPr>
          <w:rFonts w:hint="eastAsia" w:eastAsia="仿宋_GB2312"/>
          <w:bCs/>
          <w:sz w:val="32"/>
          <w:szCs w:val="32"/>
          <w:lang w:val="en-US" w:eastAsia="zh-CN"/>
        </w:rPr>
        <w:t>2</w:t>
      </w:r>
      <w:r>
        <w:rPr>
          <w:rFonts w:eastAsia="仿宋_GB2312"/>
          <w:bCs/>
          <w:sz w:val="32"/>
          <w:szCs w:val="32"/>
        </w:rPr>
        <w:t>性能研究</w:t>
      </w:r>
    </w:p>
    <w:p w14:paraId="7263DF04">
      <w:pPr>
        <w:autoSpaceDE w:val="0"/>
        <w:autoSpaceDN w:val="0"/>
        <w:adjustRightInd w:val="0"/>
        <w:spacing w:line="520" w:lineRule="exact"/>
        <w:ind w:firstLine="640" w:firstLineChars="200"/>
        <w:rPr>
          <w:rFonts w:eastAsia="仿宋_GB2312"/>
          <w:color w:val="000000"/>
          <w:kern w:val="0"/>
          <w:sz w:val="32"/>
          <w:szCs w:val="32"/>
        </w:rPr>
      </w:pPr>
      <w:r>
        <w:rPr>
          <w:rFonts w:eastAsia="仿宋_GB2312"/>
          <w:color w:val="000000"/>
          <w:kern w:val="0"/>
          <w:sz w:val="32"/>
          <w:szCs w:val="32"/>
        </w:rPr>
        <w:t>列表提供包含产品技术要求指标在内的物理、化学性能研究项目的选择依据，性能指标及检验方法的确定依据，研究项目的设计输入来源及临床意义。</w:t>
      </w:r>
    </w:p>
    <w:p w14:paraId="72D7383F">
      <w:pPr>
        <w:autoSpaceDE w:val="0"/>
        <w:autoSpaceDN w:val="0"/>
        <w:adjustRightInd w:val="0"/>
        <w:spacing w:line="520" w:lineRule="exact"/>
        <w:ind w:firstLine="640" w:firstLineChars="200"/>
        <w:rPr>
          <w:rFonts w:eastAsia="仿宋_GB2312"/>
          <w:color w:val="000000"/>
          <w:kern w:val="0"/>
          <w:sz w:val="32"/>
          <w:szCs w:val="32"/>
        </w:rPr>
      </w:pPr>
      <w:r>
        <w:rPr>
          <w:rFonts w:eastAsia="仿宋_GB2312"/>
          <w:color w:val="000000"/>
          <w:kern w:val="0"/>
          <w:sz w:val="32"/>
          <w:szCs w:val="32"/>
        </w:rPr>
        <w:t>物理、化学性能指标的确定依据可以是相关标准、指导原则、同类产品公开信息</w:t>
      </w:r>
      <w:r>
        <w:rPr>
          <w:rFonts w:hint="eastAsia" w:eastAsia="仿宋_GB2312"/>
          <w:color w:val="000000"/>
          <w:kern w:val="0"/>
          <w:sz w:val="32"/>
          <w:szCs w:val="32"/>
          <w:lang w:eastAsia="zh-CN"/>
        </w:rPr>
        <w:t>，</w:t>
      </w:r>
      <w:r>
        <w:rPr>
          <w:rFonts w:hint="eastAsia" w:eastAsia="仿宋_GB2312"/>
          <w:color w:val="000000"/>
          <w:kern w:val="0"/>
          <w:sz w:val="32"/>
          <w:szCs w:val="32"/>
          <w:lang w:val="en-US" w:eastAsia="zh-CN"/>
        </w:rPr>
        <w:t>如YY/T0334</w:t>
      </w:r>
      <w:r>
        <w:rPr>
          <w:rFonts w:hint="eastAsia" w:eastAsia="仿宋_GB2312"/>
          <w:sz w:val="32"/>
          <w:szCs w:val="32"/>
        </w:rPr>
        <w:t>《</w:t>
      </w:r>
      <w:r>
        <w:rPr>
          <w:rFonts w:hint="eastAsia" w:eastAsia="仿宋_GB2312"/>
          <w:color w:val="000000"/>
          <w:sz w:val="32"/>
          <w:szCs w:val="32"/>
          <w:lang w:val="en-US" w:eastAsia="zh-CN"/>
        </w:rPr>
        <w:t>硅橡胶外科植入物通用要求</w:t>
      </w:r>
      <w:r>
        <w:rPr>
          <w:rFonts w:hint="eastAsia" w:eastAsia="仿宋_GB2312"/>
          <w:sz w:val="32"/>
          <w:szCs w:val="32"/>
        </w:rPr>
        <w:t>》</w:t>
      </w:r>
      <w:r>
        <w:rPr>
          <w:rFonts w:hint="eastAsia" w:eastAsia="仿宋_GB2312"/>
          <w:color w:val="000000"/>
          <w:kern w:val="0"/>
          <w:sz w:val="32"/>
          <w:szCs w:val="32"/>
          <w:lang w:val="en-US" w:eastAsia="zh-CN"/>
        </w:rPr>
        <w:t>等</w:t>
      </w:r>
      <w:r>
        <w:rPr>
          <w:rFonts w:eastAsia="仿宋_GB2312"/>
          <w:color w:val="000000"/>
          <w:kern w:val="0"/>
          <w:sz w:val="32"/>
          <w:szCs w:val="32"/>
        </w:rPr>
        <w:t>；采用对比已上市同类产品验证数据的方式，</w:t>
      </w:r>
      <w:r>
        <w:rPr>
          <w:rFonts w:hint="eastAsia" w:eastAsia="仿宋_GB2312"/>
          <w:color w:val="000000"/>
          <w:kern w:val="0"/>
          <w:sz w:val="32"/>
          <w:szCs w:val="32"/>
          <w:lang w:val="en-US" w:eastAsia="zh-CN"/>
        </w:rPr>
        <w:t>应</w:t>
      </w:r>
      <w:r>
        <w:rPr>
          <w:rFonts w:eastAsia="仿宋_GB2312"/>
          <w:color w:val="000000"/>
          <w:kern w:val="0"/>
          <w:sz w:val="32"/>
          <w:szCs w:val="32"/>
        </w:rPr>
        <w:t>关注验证方法对同类产品的适宜性，同类产品验证样品数量的充分性。</w:t>
      </w:r>
      <w:r>
        <w:rPr>
          <w:rFonts w:eastAsia="仿宋_GB2312"/>
          <w:kern w:val="0"/>
          <w:sz w:val="32"/>
          <w:szCs w:val="32"/>
        </w:rPr>
        <w:t>定量的物理、化学指标</w:t>
      </w:r>
      <w:r>
        <w:rPr>
          <w:rFonts w:hint="eastAsia" w:eastAsia="仿宋_GB2312"/>
          <w:kern w:val="0"/>
          <w:sz w:val="32"/>
          <w:szCs w:val="32"/>
          <w:lang w:val="en-US" w:eastAsia="zh-CN"/>
        </w:rPr>
        <w:t>应</w:t>
      </w:r>
      <w:r>
        <w:rPr>
          <w:rFonts w:eastAsia="仿宋_GB2312"/>
          <w:kern w:val="0"/>
          <w:sz w:val="32"/>
          <w:szCs w:val="32"/>
        </w:rPr>
        <w:t>与申报产品的验证数据具有一致性。</w:t>
      </w:r>
      <w:r>
        <w:rPr>
          <w:rFonts w:eastAsia="仿宋_GB2312"/>
          <w:color w:val="000000"/>
          <w:kern w:val="0"/>
          <w:sz w:val="32"/>
          <w:szCs w:val="32"/>
        </w:rPr>
        <w:t>产品的检验方法</w:t>
      </w:r>
      <w:r>
        <w:rPr>
          <w:rFonts w:hint="eastAsia" w:eastAsia="仿宋_GB2312"/>
          <w:color w:val="000000"/>
          <w:kern w:val="0"/>
          <w:sz w:val="32"/>
          <w:szCs w:val="32"/>
          <w:lang w:val="en-US" w:eastAsia="zh-CN"/>
        </w:rPr>
        <w:t>应</w:t>
      </w:r>
      <w:r>
        <w:rPr>
          <w:rFonts w:eastAsia="仿宋_GB2312"/>
          <w:color w:val="000000"/>
          <w:kern w:val="0"/>
          <w:sz w:val="32"/>
          <w:szCs w:val="32"/>
        </w:rPr>
        <w:t>使用标准方法，尚无标准方法的，</w:t>
      </w:r>
      <w:r>
        <w:rPr>
          <w:rFonts w:hint="eastAsia" w:eastAsia="仿宋_GB2312"/>
          <w:color w:val="000000"/>
          <w:kern w:val="0"/>
          <w:sz w:val="32"/>
          <w:szCs w:val="32"/>
          <w:lang w:val="en-US" w:eastAsia="zh-CN"/>
        </w:rPr>
        <w:t>应</w:t>
      </w:r>
      <w:r>
        <w:rPr>
          <w:rFonts w:eastAsia="仿宋_GB2312"/>
          <w:color w:val="000000"/>
          <w:kern w:val="0"/>
          <w:sz w:val="32"/>
          <w:szCs w:val="32"/>
        </w:rPr>
        <w:t>提供自定方法的验证过程和研究报告。</w:t>
      </w:r>
    </w:p>
    <w:p w14:paraId="470AA00F">
      <w:pPr>
        <w:spacing w:line="520" w:lineRule="exact"/>
        <w:ind w:firstLine="640" w:firstLineChars="200"/>
        <w:rPr>
          <w:rFonts w:eastAsia="仿宋_GB2312"/>
          <w:bCs/>
          <w:sz w:val="32"/>
          <w:szCs w:val="32"/>
        </w:rPr>
      </w:pPr>
      <w:r>
        <w:rPr>
          <w:rFonts w:eastAsia="仿宋_GB2312"/>
          <w:bCs/>
          <w:sz w:val="32"/>
          <w:szCs w:val="32"/>
        </w:rPr>
        <w:t>4.</w:t>
      </w:r>
      <w:r>
        <w:rPr>
          <w:rFonts w:hint="eastAsia" w:eastAsia="仿宋_GB2312"/>
          <w:bCs/>
          <w:sz w:val="32"/>
          <w:szCs w:val="32"/>
          <w:lang w:val="en-US" w:eastAsia="zh-CN"/>
        </w:rPr>
        <w:t>3</w:t>
      </w:r>
      <w:r>
        <w:rPr>
          <w:rFonts w:eastAsia="仿宋_GB2312"/>
          <w:bCs/>
          <w:sz w:val="32"/>
          <w:szCs w:val="32"/>
        </w:rPr>
        <w:t>生物学评价</w:t>
      </w:r>
    </w:p>
    <w:p w14:paraId="517D66E3">
      <w:pPr>
        <w:spacing w:line="520" w:lineRule="exact"/>
        <w:ind w:firstLine="640" w:firstLineChars="200"/>
        <w:rPr>
          <w:rFonts w:eastAsia="仿宋_GB2312"/>
          <w:sz w:val="32"/>
          <w:szCs w:val="32"/>
        </w:rPr>
      </w:pPr>
      <w:r>
        <w:rPr>
          <w:rFonts w:eastAsia="仿宋_GB2312"/>
          <w:sz w:val="32"/>
          <w:szCs w:val="32"/>
        </w:rPr>
        <w:t>此类产品属于与</w:t>
      </w:r>
      <w:r>
        <w:rPr>
          <w:rFonts w:hint="eastAsia" w:eastAsia="仿宋_GB2312"/>
          <w:sz w:val="32"/>
          <w:szCs w:val="32"/>
          <w:lang w:val="en-US" w:eastAsia="zh-CN"/>
        </w:rPr>
        <w:t>组织（眼睛-巩膜）</w:t>
      </w:r>
      <w:r>
        <w:rPr>
          <w:rFonts w:eastAsia="仿宋_GB2312"/>
          <w:sz w:val="32"/>
          <w:szCs w:val="32"/>
        </w:rPr>
        <w:t>持久接触的医疗器械，申请人</w:t>
      </w:r>
      <w:r>
        <w:rPr>
          <w:rFonts w:hint="eastAsia" w:eastAsia="仿宋_GB2312"/>
          <w:sz w:val="32"/>
          <w:szCs w:val="32"/>
          <w:lang w:val="en-US" w:eastAsia="zh-CN"/>
        </w:rPr>
        <w:t>应</w:t>
      </w:r>
      <w:r>
        <w:rPr>
          <w:rFonts w:eastAsia="仿宋_GB2312"/>
          <w:sz w:val="32"/>
          <w:szCs w:val="32"/>
        </w:rPr>
        <w:t>按照</w:t>
      </w:r>
      <w:r>
        <w:rPr>
          <w:rFonts w:eastAsia="仿宋_GB2312"/>
          <w:color w:val="000000"/>
          <w:sz w:val="32"/>
          <w:szCs w:val="32"/>
        </w:rPr>
        <w:t>GB/T 16886.1</w:t>
      </w:r>
      <w:r>
        <w:rPr>
          <w:rFonts w:hint="eastAsia" w:eastAsia="仿宋_GB2312"/>
          <w:color w:val="000000"/>
          <w:sz w:val="32"/>
          <w:szCs w:val="32"/>
          <w:lang w:eastAsia="zh-CN"/>
        </w:rPr>
        <w:t>《医疗器械生物学评价 第1部分：风险管理过程中的评价与试验》</w:t>
      </w:r>
      <w:r>
        <w:rPr>
          <w:rFonts w:eastAsia="仿宋_GB2312"/>
          <w:sz w:val="32"/>
          <w:szCs w:val="32"/>
        </w:rPr>
        <w:t>给出的评价流程图进行评价，标示采用的路径，描述产品所用原材料及所有添加剂、加工助剂的成分信息。</w:t>
      </w:r>
    </w:p>
    <w:p w14:paraId="7CE2FB7F">
      <w:pPr>
        <w:spacing w:line="520" w:lineRule="exact"/>
        <w:ind w:firstLine="640" w:firstLineChars="200"/>
        <w:rPr>
          <w:rFonts w:hint="eastAsia" w:ascii="Times New Roman" w:hAnsi="Times New Roman" w:eastAsia="仿宋_GB2312"/>
          <w:sz w:val="32"/>
          <w:szCs w:val="32"/>
          <w:lang w:val="en-US" w:eastAsia="zh-CN"/>
        </w:rPr>
      </w:pPr>
      <w:r>
        <w:rPr>
          <w:rFonts w:hint="eastAsia" w:eastAsia="仿宋_GB2312"/>
          <w:sz w:val="32"/>
          <w:szCs w:val="32"/>
          <w:lang w:val="en-US" w:eastAsia="zh-CN"/>
        </w:rPr>
        <w:t>可参考</w:t>
      </w:r>
      <w:r>
        <w:rPr>
          <w:rFonts w:ascii="Times New Roman" w:hAnsi="Times New Roman" w:eastAsia="仿宋_GB2312"/>
          <w:sz w:val="32"/>
          <w:szCs w:val="32"/>
        </w:rPr>
        <w:t>GB/T 16886《医疗器械生物学评价》、GB/T 16175《医用有机硅材料生物学评价试验方法》进行生物学评价或试验，需考虑的生物相容性风险包括但不限于：</w:t>
      </w:r>
      <w:r>
        <w:rPr>
          <w:rFonts w:eastAsia="仿宋_GB2312"/>
          <w:sz w:val="32"/>
          <w:szCs w:val="32"/>
          <w:highlight w:val="none"/>
        </w:rPr>
        <w:t>细胞毒性、致敏反应、刺激或皮内反应、材料介导的致热性、急性全身毒性、亚急性全身毒性、亚慢性全身毒性、慢性全身毒性、植入反应、遗传毒性试验、致癌性。</w:t>
      </w:r>
    </w:p>
    <w:p w14:paraId="3496967B">
      <w:pPr>
        <w:spacing w:line="520" w:lineRule="exact"/>
        <w:ind w:firstLine="640" w:firstLineChars="200"/>
        <w:rPr>
          <w:rFonts w:eastAsia="仿宋_GB2312"/>
          <w:bCs/>
          <w:sz w:val="32"/>
          <w:szCs w:val="32"/>
        </w:rPr>
      </w:pPr>
      <w:r>
        <w:rPr>
          <w:rFonts w:eastAsia="仿宋_GB2312"/>
          <w:bCs/>
          <w:sz w:val="32"/>
          <w:szCs w:val="32"/>
        </w:rPr>
        <w:t>4.</w:t>
      </w:r>
      <w:r>
        <w:rPr>
          <w:rFonts w:hint="eastAsia" w:eastAsia="仿宋_GB2312"/>
          <w:bCs/>
          <w:sz w:val="32"/>
          <w:szCs w:val="32"/>
          <w:lang w:val="en-US" w:eastAsia="zh-CN"/>
        </w:rPr>
        <w:t>4</w:t>
      </w:r>
      <w:r>
        <w:rPr>
          <w:rFonts w:eastAsia="仿宋_GB2312"/>
          <w:color w:val="000000"/>
          <w:sz w:val="32"/>
          <w:szCs w:val="32"/>
        </w:rPr>
        <w:t>细菌内毒素</w:t>
      </w:r>
      <w:r>
        <w:rPr>
          <w:rFonts w:eastAsia="仿宋_GB2312"/>
          <w:bCs/>
          <w:sz w:val="32"/>
          <w:szCs w:val="32"/>
        </w:rPr>
        <w:t>残留</w:t>
      </w:r>
    </w:p>
    <w:p w14:paraId="1B5C9EC7">
      <w:pPr>
        <w:spacing w:line="520" w:lineRule="exact"/>
        <w:ind w:firstLine="640" w:firstLineChars="200"/>
        <w:rPr>
          <w:rFonts w:eastAsia="仿宋_GB2312"/>
          <w:sz w:val="32"/>
          <w:szCs w:val="32"/>
        </w:rPr>
      </w:pPr>
      <w:r>
        <w:rPr>
          <w:rFonts w:eastAsia="仿宋_GB2312"/>
          <w:sz w:val="32"/>
          <w:szCs w:val="32"/>
        </w:rPr>
        <w:t>阐述申请人控制产品细菌内毒素残留的措施，制定细菌内毒素残留限量指标，提供限量指标的制定依据和验证报告。</w:t>
      </w:r>
    </w:p>
    <w:p w14:paraId="28B5AD69">
      <w:pPr>
        <w:spacing w:line="520" w:lineRule="exact"/>
        <w:ind w:firstLine="640" w:firstLineChars="200"/>
        <w:rPr>
          <w:rFonts w:hint="eastAsia" w:eastAsia="仿宋_GB2312"/>
          <w:bCs/>
          <w:sz w:val="32"/>
          <w:szCs w:val="32"/>
          <w:lang w:val="en-US" w:eastAsia="zh-CN"/>
        </w:rPr>
      </w:pPr>
      <w:r>
        <w:rPr>
          <w:rFonts w:eastAsia="仿宋_GB2312"/>
          <w:bCs/>
          <w:sz w:val="32"/>
          <w:szCs w:val="32"/>
        </w:rPr>
        <w:t>4.</w:t>
      </w:r>
      <w:r>
        <w:rPr>
          <w:rFonts w:hint="eastAsia" w:eastAsia="仿宋_GB2312"/>
          <w:bCs/>
          <w:sz w:val="32"/>
          <w:szCs w:val="32"/>
          <w:lang w:val="en-US" w:eastAsia="zh-CN"/>
        </w:rPr>
        <w:t>5</w:t>
      </w:r>
      <w:r>
        <w:rPr>
          <w:rFonts w:eastAsia="仿宋_GB2312"/>
          <w:bCs/>
          <w:sz w:val="32"/>
          <w:szCs w:val="32"/>
        </w:rPr>
        <w:t>灭菌</w:t>
      </w:r>
      <w:r>
        <w:rPr>
          <w:rFonts w:hint="eastAsia" w:eastAsia="仿宋_GB2312"/>
          <w:bCs/>
          <w:sz w:val="32"/>
          <w:szCs w:val="32"/>
          <w:lang w:val="en-US" w:eastAsia="zh-CN"/>
        </w:rPr>
        <w:t>研究</w:t>
      </w:r>
    </w:p>
    <w:p w14:paraId="60C786AB">
      <w:pPr>
        <w:overflowPunct w:val="0"/>
        <w:spacing w:line="520" w:lineRule="exact"/>
        <w:ind w:firstLine="640" w:firstLineChars="200"/>
        <w:rPr>
          <w:rFonts w:eastAsia="仿宋_GB2312"/>
          <w:sz w:val="32"/>
          <w:szCs w:val="32"/>
        </w:rPr>
      </w:pPr>
      <w:r>
        <w:rPr>
          <w:rFonts w:hint="eastAsia" w:eastAsia="仿宋_GB2312"/>
          <w:sz w:val="32"/>
          <w:szCs w:val="32"/>
        </w:rPr>
        <w:t>明确灭菌工艺和无菌保证水平（SAL）。参考灭菌相关标准等提供灭菌确认报告。</w:t>
      </w:r>
      <w:r>
        <w:rPr>
          <w:rFonts w:eastAsia="仿宋_GB2312"/>
          <w:sz w:val="32"/>
          <w:szCs w:val="32"/>
          <w:highlight w:val="none"/>
        </w:rPr>
        <w:t>报告内容应符合GB 18279</w:t>
      </w:r>
      <w:r>
        <w:rPr>
          <w:rFonts w:hint="eastAsia" w:eastAsia="仿宋_GB2312"/>
          <w:sz w:val="32"/>
          <w:szCs w:val="32"/>
          <w:highlight w:val="none"/>
          <w:lang w:val="en-US" w:eastAsia="zh-CN"/>
        </w:rPr>
        <w:t>等</w:t>
      </w:r>
      <w:r>
        <w:rPr>
          <w:rFonts w:eastAsia="仿宋_GB2312"/>
          <w:sz w:val="32"/>
          <w:szCs w:val="32"/>
          <w:highlight w:val="none"/>
        </w:rPr>
        <w:t>标准</w:t>
      </w:r>
      <w:r>
        <w:rPr>
          <w:rFonts w:hint="eastAsia" w:eastAsia="仿宋_GB2312"/>
          <w:sz w:val="32"/>
          <w:szCs w:val="32"/>
          <w:highlight w:val="none"/>
          <w:lang w:eastAsia="zh-CN"/>
        </w:rPr>
        <w:t>。</w:t>
      </w:r>
      <w:r>
        <w:rPr>
          <w:rFonts w:hint="eastAsia" w:eastAsia="仿宋_GB2312"/>
          <w:sz w:val="32"/>
          <w:szCs w:val="32"/>
        </w:rPr>
        <w:t>若产品经灭菌后可能产生残留物质，应当对灭菌后的产品进行残留物毒性的研究并提供相关研究资料，包括残留物信息、采取的处理方法、最高残留上限及其依据。对于经辐照灭菌的产品，明确辐照剂量并提供其确定依据。提供对灭菌工艺耐受性的支持性资料。</w:t>
      </w:r>
    </w:p>
    <w:p w14:paraId="67A5EBC1">
      <w:pPr>
        <w:spacing w:line="52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4.6</w:t>
      </w:r>
      <w:r>
        <w:rPr>
          <w:rFonts w:hint="eastAsia" w:eastAsia="仿宋_GB2312"/>
          <w:color w:val="000000"/>
          <w:sz w:val="32"/>
          <w:szCs w:val="32"/>
        </w:rPr>
        <w:t>可用性研究按照《医疗器械可用性工程注册审查指导原则》要求，中、低使用风险医疗器械可基于风险管理过程开展可用性工程生命周期质控工作，提交使用错误评估报告。若前期已开展可用性工程工作，亦可提交可用性工程研究报告，用于替代使用错误评估报告。</w:t>
      </w:r>
    </w:p>
    <w:p w14:paraId="2F7266E1">
      <w:pPr>
        <w:spacing w:line="520" w:lineRule="exact"/>
        <w:ind w:firstLine="640" w:firstLineChars="200"/>
        <w:rPr>
          <w:rFonts w:eastAsia="仿宋_GB2312"/>
          <w:spacing w:val="2"/>
          <w:sz w:val="32"/>
          <w:szCs w:val="32"/>
        </w:rPr>
      </w:pPr>
      <w:r>
        <w:rPr>
          <w:rFonts w:hint="eastAsia" w:eastAsia="仿宋_GB2312"/>
          <w:color w:val="000000"/>
          <w:sz w:val="32"/>
          <w:szCs w:val="32"/>
        </w:rPr>
        <w:t>使用错误评估报告用于细化风险管理报告关于可用性的内容，包括基本信息、使用风险级别、核心要素、同类医疗器械上市后使用问题分析、使用风险管理、结论等内容。</w:t>
      </w:r>
    </w:p>
    <w:p w14:paraId="5A649FBF">
      <w:pPr>
        <w:spacing w:line="520" w:lineRule="exact"/>
        <w:ind w:firstLine="640" w:firstLineChars="200"/>
        <w:rPr>
          <w:rFonts w:eastAsia="仿宋_GB2312"/>
          <w:bCs/>
          <w:sz w:val="32"/>
          <w:szCs w:val="32"/>
        </w:rPr>
      </w:pPr>
      <w:r>
        <w:rPr>
          <w:rFonts w:eastAsia="仿宋_GB2312"/>
          <w:bCs/>
          <w:sz w:val="32"/>
          <w:szCs w:val="32"/>
        </w:rPr>
        <w:t>5.稳定性研究</w:t>
      </w:r>
    </w:p>
    <w:p w14:paraId="723F812A">
      <w:pPr>
        <w:adjustRightInd w:val="0"/>
        <w:snapToGrid w:val="0"/>
        <w:spacing w:line="520" w:lineRule="exact"/>
        <w:ind w:firstLine="640" w:firstLineChars="200"/>
        <w:rPr>
          <w:rFonts w:eastAsia="仿宋_GB2312"/>
          <w:color w:val="000000"/>
          <w:sz w:val="32"/>
          <w:szCs w:val="32"/>
        </w:rPr>
      </w:pPr>
      <w:r>
        <w:rPr>
          <w:rFonts w:eastAsia="仿宋_GB2312"/>
          <w:color w:val="000000"/>
          <w:sz w:val="32"/>
          <w:szCs w:val="32"/>
        </w:rPr>
        <w:t>5.1货架有效期</w:t>
      </w:r>
    </w:p>
    <w:p w14:paraId="1928C628">
      <w:pPr>
        <w:spacing w:line="52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lang w:eastAsia="zh-CN"/>
        </w:rPr>
        <w:t>可参考《无源植入性医疗器械稳定性研究指导原则》提供</w:t>
      </w:r>
      <w:r>
        <w:rPr>
          <w:rFonts w:hint="eastAsia" w:eastAsia="仿宋_GB2312"/>
          <w:color w:val="auto"/>
          <w:sz w:val="32"/>
          <w:szCs w:val="32"/>
          <w:highlight w:val="none"/>
          <w:lang w:val="en-US" w:eastAsia="zh-CN"/>
        </w:rPr>
        <w:t>产品</w:t>
      </w:r>
      <w:r>
        <w:rPr>
          <w:rFonts w:hint="eastAsia" w:eastAsia="仿宋_GB2312"/>
          <w:color w:val="auto"/>
          <w:sz w:val="32"/>
          <w:szCs w:val="32"/>
          <w:highlight w:val="none"/>
          <w:lang w:eastAsia="zh-CN"/>
        </w:rPr>
        <w:t>货架有效期和包装研究资料报告。如选择加速老化试验，应论证温度、湿度参数取值的合理性，必要时提供温度记录。产品性能稳定性验证需选择与</w:t>
      </w:r>
      <w:r>
        <w:rPr>
          <w:rFonts w:hint="eastAsia" w:eastAsia="仿宋_GB2312"/>
          <w:color w:val="auto"/>
          <w:sz w:val="32"/>
          <w:szCs w:val="32"/>
          <w:highlight w:val="none"/>
          <w:lang w:val="en-US" w:eastAsia="zh-CN"/>
        </w:rPr>
        <w:t>产品</w:t>
      </w:r>
      <w:r>
        <w:rPr>
          <w:rFonts w:hint="eastAsia" w:eastAsia="仿宋_GB2312"/>
          <w:color w:val="auto"/>
          <w:sz w:val="32"/>
          <w:szCs w:val="32"/>
          <w:highlight w:val="none"/>
          <w:lang w:eastAsia="zh-CN"/>
        </w:rPr>
        <w:t>货架有效期密切相关的物理化学性能项目、无菌项目。</w:t>
      </w:r>
    </w:p>
    <w:p w14:paraId="52A3B6D0">
      <w:pPr>
        <w:spacing w:line="520" w:lineRule="exact"/>
        <w:ind w:firstLine="640" w:firstLineChars="200"/>
        <w:rPr>
          <w:rFonts w:eastAsia="仿宋_GB2312"/>
          <w:color w:val="auto"/>
          <w:sz w:val="32"/>
          <w:szCs w:val="32"/>
        </w:rPr>
      </w:pPr>
      <w:r>
        <w:rPr>
          <w:rFonts w:eastAsia="仿宋_GB2312"/>
          <w:color w:val="auto"/>
          <w:sz w:val="32"/>
          <w:szCs w:val="32"/>
        </w:rPr>
        <w:t>5.2运输稳定性</w:t>
      </w:r>
    </w:p>
    <w:p w14:paraId="75205C6E">
      <w:pPr>
        <w:spacing w:line="520" w:lineRule="exact"/>
        <w:ind w:firstLine="640" w:firstLineChars="200"/>
        <w:rPr>
          <w:rFonts w:eastAsia="仿宋_GB2312"/>
          <w:color w:val="auto"/>
          <w:sz w:val="32"/>
          <w:szCs w:val="32"/>
          <w:highlight w:val="yellow"/>
        </w:rPr>
      </w:pPr>
      <w:r>
        <w:rPr>
          <w:rFonts w:ascii="Times New Roman" w:hAnsi="Times New Roman" w:eastAsia="仿宋_GB2312"/>
          <w:bCs/>
          <w:color w:val="auto"/>
          <w:sz w:val="32"/>
          <w:szCs w:val="32"/>
        </w:rPr>
        <w:t>提供运输稳定性</w:t>
      </w:r>
      <w:r>
        <w:rPr>
          <w:rFonts w:hint="eastAsia" w:eastAsia="仿宋_GB2312"/>
          <w:bCs/>
          <w:color w:val="auto"/>
          <w:sz w:val="32"/>
          <w:szCs w:val="32"/>
          <w:lang w:val="en-US" w:eastAsia="zh-CN"/>
        </w:rPr>
        <w:t>研究资料</w:t>
      </w:r>
      <w:r>
        <w:rPr>
          <w:rFonts w:ascii="Times New Roman" w:hAnsi="Times New Roman" w:eastAsia="仿宋_GB2312"/>
          <w:bCs/>
          <w:color w:val="auto"/>
          <w:sz w:val="32"/>
          <w:szCs w:val="32"/>
        </w:rPr>
        <w:t>证明在申请人规定的运输条件下，运输过程中的环境条件不会对医疗器械的特性和性能、包装系统性能造成不利影响。根据适用情况可选择人工搬运、堆码、振动等模拟运输试验。</w:t>
      </w:r>
    </w:p>
    <w:p w14:paraId="0066E856">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6</w:t>
      </w:r>
      <w:r>
        <w:rPr>
          <w:rFonts w:eastAsia="仿宋_GB2312"/>
          <w:color w:val="000000"/>
          <w:sz w:val="32"/>
          <w:szCs w:val="32"/>
        </w:rPr>
        <w:t>.</w:t>
      </w:r>
      <w:r>
        <w:rPr>
          <w:rFonts w:eastAsia="仿宋_GB2312"/>
          <w:bCs/>
          <w:sz w:val="32"/>
          <w:szCs w:val="32"/>
        </w:rPr>
        <w:t>其他</w:t>
      </w:r>
      <w:r>
        <w:rPr>
          <w:rFonts w:eastAsia="仿宋_GB2312"/>
          <w:color w:val="000000"/>
          <w:sz w:val="32"/>
          <w:szCs w:val="32"/>
        </w:rPr>
        <w:t>研究资料</w:t>
      </w:r>
    </w:p>
    <w:p w14:paraId="4A02347B">
      <w:pPr>
        <w:spacing w:line="520" w:lineRule="exact"/>
        <w:ind w:firstLine="640" w:firstLineChars="200"/>
        <w:rPr>
          <w:rFonts w:eastAsia="仿宋_GB2312"/>
          <w:color w:val="000000"/>
          <w:sz w:val="32"/>
          <w:szCs w:val="32"/>
        </w:rPr>
      </w:pPr>
      <w:r>
        <w:rPr>
          <w:rFonts w:eastAsia="仿宋_GB2312"/>
          <w:color w:val="000000"/>
          <w:sz w:val="32"/>
          <w:szCs w:val="32"/>
        </w:rPr>
        <w:t>根据原材料来源、加工工艺、临床需求的不同，如适用，提交其他与产品安全性、有效性相关的研究资料。</w:t>
      </w:r>
    </w:p>
    <w:p w14:paraId="2C8B6BB7">
      <w:pPr>
        <w:overflowPunct w:val="0"/>
        <w:spacing w:line="520" w:lineRule="exact"/>
        <w:ind w:firstLine="640" w:firstLineChars="200"/>
        <w:rPr>
          <w:rFonts w:eastAsia="仿宋_GB2312"/>
          <w:bCs/>
          <w:sz w:val="32"/>
          <w:szCs w:val="32"/>
        </w:rPr>
      </w:pPr>
      <w:r>
        <w:rPr>
          <w:rFonts w:hint="eastAsia" w:eastAsia="仿宋_GB2312"/>
          <w:bCs/>
          <w:sz w:val="32"/>
          <w:szCs w:val="32"/>
          <w:lang w:val="en-US" w:eastAsia="zh-CN"/>
        </w:rPr>
        <w:t>7</w:t>
      </w:r>
      <w:r>
        <w:rPr>
          <w:rFonts w:eastAsia="仿宋_GB2312"/>
          <w:bCs/>
          <w:sz w:val="32"/>
          <w:szCs w:val="32"/>
        </w:rPr>
        <w:t>.其他</w:t>
      </w:r>
      <w:bookmarkStart w:id="0" w:name="_Hlk85054125"/>
      <w:r>
        <w:rPr>
          <w:rFonts w:eastAsia="仿宋_GB2312"/>
          <w:bCs/>
          <w:sz w:val="32"/>
          <w:szCs w:val="32"/>
        </w:rPr>
        <w:t>资料</w:t>
      </w:r>
    </w:p>
    <w:p w14:paraId="0F2365A2">
      <w:pPr>
        <w:spacing w:line="520" w:lineRule="exact"/>
        <w:ind w:firstLine="640" w:firstLineChars="200"/>
        <w:rPr>
          <w:rFonts w:hint="eastAsia" w:eastAsia="仿宋_GB2312"/>
          <w:kern w:val="0"/>
          <w:sz w:val="32"/>
          <w:szCs w:val="32"/>
          <w:lang w:val="en-US" w:eastAsia="zh-CN"/>
        </w:rPr>
      </w:pPr>
      <w:r>
        <w:rPr>
          <w:rFonts w:hint="eastAsia" w:eastAsia="仿宋_GB2312"/>
          <w:kern w:val="0"/>
          <w:sz w:val="32"/>
          <w:szCs w:val="32"/>
          <w:lang w:val="en-US" w:eastAsia="zh-CN"/>
        </w:rPr>
        <w:t>本产品属于16子目录下Ⅱ类无源产品。若产品与已获准境内注册产品具有等同性，产品组成材料成熟，或虽存在新型结构设计，但不产生新风险或风险程度降低的，可按照</w:t>
      </w:r>
      <w:r>
        <w:rPr>
          <w:rFonts w:eastAsia="仿宋_GB2312"/>
          <w:kern w:val="0"/>
          <w:sz w:val="32"/>
          <w:szCs w:val="32"/>
        </w:rPr>
        <w:t>《免于</w:t>
      </w:r>
      <w:r>
        <w:rPr>
          <w:rFonts w:hint="eastAsia" w:eastAsia="仿宋_GB2312"/>
          <w:kern w:val="0"/>
          <w:sz w:val="32"/>
          <w:szCs w:val="32"/>
          <w:lang w:val="en-US" w:eastAsia="zh-CN"/>
        </w:rPr>
        <w:t>进行</w:t>
      </w:r>
      <w:r>
        <w:rPr>
          <w:rFonts w:eastAsia="仿宋_GB2312"/>
          <w:kern w:val="0"/>
          <w:sz w:val="32"/>
          <w:szCs w:val="32"/>
        </w:rPr>
        <w:t>临床评价医疗器械目录》</w:t>
      </w:r>
      <w:r>
        <w:rPr>
          <w:rFonts w:hint="eastAsia" w:eastAsia="仿宋_GB2312"/>
          <w:kern w:val="0"/>
          <w:sz w:val="32"/>
          <w:szCs w:val="32"/>
          <w:lang w:val="en-US" w:eastAsia="zh-CN"/>
        </w:rPr>
        <w:t>要求免于进行临床评价。</w:t>
      </w:r>
    </w:p>
    <w:p w14:paraId="5C00A76D">
      <w:pPr>
        <w:spacing w:line="520" w:lineRule="exact"/>
        <w:ind w:firstLine="640" w:firstLineChars="200"/>
        <w:rPr>
          <w:rFonts w:eastAsia="仿宋_GB2312"/>
          <w:bCs/>
          <w:sz w:val="32"/>
          <w:szCs w:val="32"/>
        </w:rPr>
      </w:pPr>
      <w:r>
        <w:rPr>
          <w:rFonts w:eastAsia="仿宋_GB2312"/>
          <w:color w:val="000000"/>
          <w:kern w:val="0"/>
          <w:sz w:val="32"/>
          <w:szCs w:val="32"/>
        </w:rPr>
        <w:t>注册申请人应当按照《列入免于临床评价医疗器械目录产品对比说明技术指导原则》的要求，从基本原理、结构组成、性能要求、适用范围等方面，证明产品的安全有效性。</w:t>
      </w:r>
      <w:bookmarkEnd w:id="0"/>
    </w:p>
    <w:p w14:paraId="32DBAF4F">
      <w:pPr>
        <w:spacing w:line="520" w:lineRule="exact"/>
        <w:ind w:right="-67" w:rightChars="-32" w:firstLine="640" w:firstLineChars="200"/>
        <w:rPr>
          <w:rFonts w:eastAsia="楷体_GB2312"/>
          <w:color w:val="000000"/>
          <w:sz w:val="32"/>
          <w:szCs w:val="32"/>
        </w:rPr>
      </w:pPr>
      <w:r>
        <w:rPr>
          <w:rFonts w:eastAsia="楷体_GB2312"/>
          <w:color w:val="000000"/>
          <w:sz w:val="32"/>
          <w:szCs w:val="32"/>
        </w:rPr>
        <w:t>（四）临床评价资料</w:t>
      </w:r>
    </w:p>
    <w:p w14:paraId="46488E5E">
      <w:pPr>
        <w:spacing w:line="520" w:lineRule="exact"/>
        <w:ind w:firstLine="640" w:firstLineChars="200"/>
        <w:rPr>
          <w:rFonts w:eastAsia="仿宋_GB2312"/>
          <w:color w:val="000000"/>
          <w:sz w:val="32"/>
          <w:szCs w:val="32"/>
        </w:rPr>
      </w:pPr>
      <w:r>
        <w:rPr>
          <w:rFonts w:eastAsia="仿宋_GB2312"/>
          <w:sz w:val="32"/>
          <w:szCs w:val="32"/>
        </w:rPr>
        <w:t>若无法证明申报产品与《目录》产品具有等同性，</w:t>
      </w:r>
      <w:r>
        <w:rPr>
          <w:rFonts w:hint="eastAsia" w:eastAsia="仿宋_GB2312"/>
          <w:sz w:val="32"/>
          <w:szCs w:val="32"/>
          <w:lang w:val="en-US" w:eastAsia="zh-CN"/>
        </w:rPr>
        <w:t>或为</w:t>
      </w:r>
      <w:r>
        <w:rPr>
          <w:rFonts w:hint="eastAsia" w:eastAsia="仿宋_GB2312"/>
          <w:kern w:val="0"/>
          <w:sz w:val="32"/>
          <w:szCs w:val="32"/>
          <w:lang w:val="en-US" w:eastAsia="zh-CN"/>
        </w:rPr>
        <w:t>新型作用机理、药械组合产品，</w:t>
      </w:r>
      <w:r>
        <w:rPr>
          <w:rFonts w:eastAsia="仿宋_GB2312"/>
          <w:sz w:val="32"/>
          <w:szCs w:val="32"/>
        </w:rPr>
        <w:t>则应按照《医疗器械临床评价技术指导原则》其他路径开展相应工作，提供符合要求的临床评价资料。</w:t>
      </w:r>
    </w:p>
    <w:p w14:paraId="6C4FD5C6">
      <w:pPr>
        <w:spacing w:line="520" w:lineRule="exact"/>
        <w:ind w:firstLine="640" w:firstLineChars="200"/>
        <w:rPr>
          <w:rFonts w:eastAsia="楷体_GB2312"/>
          <w:color w:val="000000"/>
          <w:kern w:val="44"/>
          <w:sz w:val="32"/>
          <w:szCs w:val="44"/>
        </w:rPr>
      </w:pPr>
      <w:r>
        <w:rPr>
          <w:rFonts w:eastAsia="楷体_GB2312"/>
          <w:color w:val="000000"/>
          <w:kern w:val="44"/>
          <w:sz w:val="32"/>
          <w:szCs w:val="44"/>
        </w:rPr>
        <w:t>（五）产品说明书和标签样稿</w:t>
      </w:r>
    </w:p>
    <w:p w14:paraId="7110AC03">
      <w:pPr>
        <w:snapToGrid w:val="0"/>
        <w:spacing w:line="520" w:lineRule="exact"/>
        <w:ind w:firstLine="640" w:firstLineChars="200"/>
        <w:rPr>
          <w:rFonts w:eastAsia="仿宋_GB2312"/>
          <w:color w:val="000000"/>
          <w:sz w:val="32"/>
          <w:szCs w:val="32"/>
        </w:rPr>
      </w:pPr>
      <w:r>
        <w:rPr>
          <w:rFonts w:eastAsia="仿宋_GB2312"/>
          <w:sz w:val="32"/>
          <w:szCs w:val="32"/>
        </w:rPr>
        <w:t>产品说明书和标签的编写应符合《医疗器械说明书和标签管理规定》及</w:t>
      </w:r>
      <w:r>
        <w:rPr>
          <w:rFonts w:eastAsia="仿宋_GB2312"/>
          <w:color w:val="000000"/>
          <w:sz w:val="32"/>
          <w:szCs w:val="32"/>
        </w:rPr>
        <w:t>YY/T 0466.1《医疗器械用于医疗器械标签、标记和提供信息的符号 第1部分：通用要求》等</w:t>
      </w:r>
      <w:r>
        <w:rPr>
          <w:rFonts w:eastAsia="仿宋_GB2312"/>
          <w:sz w:val="32"/>
          <w:szCs w:val="32"/>
        </w:rPr>
        <w:t>相关标准的要求。同时应满足以下要求：</w:t>
      </w:r>
    </w:p>
    <w:p w14:paraId="387000AB">
      <w:pPr>
        <w:spacing w:line="520" w:lineRule="exact"/>
        <w:ind w:firstLine="640" w:firstLineChars="200"/>
        <w:rPr>
          <w:rFonts w:eastAsia="仿宋_GB2312"/>
          <w:color w:val="000000"/>
          <w:sz w:val="32"/>
          <w:szCs w:val="32"/>
        </w:rPr>
      </w:pPr>
      <w:r>
        <w:rPr>
          <w:rFonts w:eastAsia="仿宋_GB2312"/>
          <w:color w:val="000000"/>
          <w:sz w:val="32"/>
          <w:szCs w:val="32"/>
        </w:rPr>
        <w:t>结合产品的风险管理报告、研究资料、临床评价资料，明确产品的禁忌证，并细化注意事项、警示以及提示的内容。</w:t>
      </w:r>
    </w:p>
    <w:p w14:paraId="5108C3D8">
      <w:pPr>
        <w:tabs>
          <w:tab w:val="left" w:pos="7140"/>
        </w:tabs>
        <w:autoSpaceDE w:val="0"/>
        <w:autoSpaceDN w:val="0"/>
        <w:spacing w:line="520" w:lineRule="exact"/>
        <w:ind w:firstLine="640" w:firstLineChars="200"/>
        <w:rPr>
          <w:rFonts w:eastAsia="仿宋_GB2312"/>
          <w:sz w:val="32"/>
          <w:szCs w:val="32"/>
        </w:rPr>
      </w:pPr>
      <w:r>
        <w:rPr>
          <w:rFonts w:eastAsia="仿宋_GB2312"/>
          <w:sz w:val="32"/>
          <w:szCs w:val="32"/>
        </w:rPr>
        <w:t>1.根据临床评价资料等有关技术文件，明确产品的适用范围、适用人群；</w:t>
      </w:r>
    </w:p>
    <w:p w14:paraId="086874AB">
      <w:pPr>
        <w:tabs>
          <w:tab w:val="left" w:pos="7140"/>
        </w:tabs>
        <w:autoSpaceDE w:val="0"/>
        <w:autoSpaceDN w:val="0"/>
        <w:spacing w:line="520" w:lineRule="exact"/>
        <w:ind w:firstLine="640" w:firstLineChars="200"/>
        <w:rPr>
          <w:rFonts w:eastAsia="仿宋_GB2312"/>
          <w:sz w:val="32"/>
          <w:szCs w:val="32"/>
        </w:rPr>
      </w:pPr>
      <w:r>
        <w:rPr>
          <w:rFonts w:eastAsia="仿宋_GB2312"/>
          <w:sz w:val="32"/>
          <w:szCs w:val="32"/>
        </w:rPr>
        <w:t>2.</w:t>
      </w:r>
      <w:r>
        <w:rPr>
          <w:rFonts w:hint="eastAsia" w:eastAsia="仿宋_GB2312"/>
          <w:sz w:val="32"/>
          <w:szCs w:val="32"/>
          <w:lang w:val="en-US" w:eastAsia="zh-CN"/>
        </w:rPr>
        <w:t>明确产品使用限制：本产品仅可在医疗机构眼科专业由具有专业资格的医生使用</w:t>
      </w:r>
      <w:r>
        <w:rPr>
          <w:rFonts w:eastAsia="仿宋_GB2312"/>
          <w:sz w:val="32"/>
          <w:szCs w:val="32"/>
        </w:rPr>
        <w:t>；</w:t>
      </w:r>
    </w:p>
    <w:p w14:paraId="506838F1">
      <w:pPr>
        <w:tabs>
          <w:tab w:val="left" w:pos="7140"/>
        </w:tabs>
        <w:autoSpaceDE w:val="0"/>
        <w:autoSpaceDN w:val="0"/>
        <w:spacing w:line="520" w:lineRule="exact"/>
        <w:ind w:firstLine="640" w:firstLineChars="200"/>
        <w:rPr>
          <w:rFonts w:eastAsia="仿宋_GB2312"/>
          <w:sz w:val="32"/>
          <w:szCs w:val="32"/>
        </w:rPr>
      </w:pPr>
      <w:r>
        <w:rPr>
          <w:rFonts w:hint="eastAsia" w:eastAsia="仿宋_GB2312"/>
          <w:sz w:val="32"/>
          <w:szCs w:val="32"/>
          <w:lang w:val="en-US" w:eastAsia="zh-CN"/>
        </w:rPr>
        <w:t>3</w:t>
      </w:r>
      <w:r>
        <w:rPr>
          <w:rFonts w:eastAsia="仿宋_GB2312"/>
          <w:sz w:val="32"/>
          <w:szCs w:val="32"/>
        </w:rPr>
        <w:t>.应提示一次性使用，</w:t>
      </w:r>
      <w:r>
        <w:rPr>
          <w:rFonts w:hint="eastAsia" w:eastAsia="仿宋_GB2312"/>
          <w:sz w:val="32"/>
          <w:szCs w:val="32"/>
          <w:lang w:val="en-US" w:eastAsia="zh-CN"/>
        </w:rPr>
        <w:t>取出</w:t>
      </w:r>
      <w:r>
        <w:rPr>
          <w:rFonts w:eastAsia="仿宋_GB2312"/>
          <w:sz w:val="32"/>
          <w:szCs w:val="32"/>
        </w:rPr>
        <w:t>后销毁</w:t>
      </w:r>
      <w:r>
        <w:rPr>
          <w:rFonts w:hint="eastAsia" w:eastAsia="仿宋_GB2312"/>
          <w:sz w:val="32"/>
          <w:szCs w:val="32"/>
          <w:lang w:eastAsia="zh-CN"/>
        </w:rPr>
        <w:t>；</w:t>
      </w:r>
      <w:r>
        <w:rPr>
          <w:rFonts w:eastAsia="仿宋_GB2312"/>
          <w:sz w:val="32"/>
          <w:szCs w:val="32"/>
        </w:rPr>
        <w:t>包装如有破损，严禁使用；</w:t>
      </w:r>
    </w:p>
    <w:p w14:paraId="03122D4B">
      <w:pPr>
        <w:tabs>
          <w:tab w:val="left" w:pos="7140"/>
        </w:tabs>
        <w:autoSpaceDE w:val="0"/>
        <w:autoSpaceDN w:val="0"/>
        <w:spacing w:line="52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4.明确发生感染或产品滑脱时，应由具有专业资格的医生进行处理；</w:t>
      </w:r>
    </w:p>
    <w:p w14:paraId="00E3E07C">
      <w:pPr>
        <w:tabs>
          <w:tab w:val="left" w:pos="7140"/>
        </w:tabs>
        <w:autoSpaceDE w:val="0"/>
        <w:autoSpaceDN w:val="0"/>
        <w:spacing w:line="520" w:lineRule="exact"/>
        <w:ind w:firstLine="640" w:firstLineChars="200"/>
        <w:rPr>
          <w:rFonts w:eastAsia="仿宋_GB2312"/>
          <w:sz w:val="32"/>
          <w:szCs w:val="32"/>
        </w:rPr>
      </w:pPr>
      <w:r>
        <w:rPr>
          <w:rFonts w:hint="eastAsia" w:eastAsia="仿宋_GB2312"/>
          <w:sz w:val="32"/>
          <w:szCs w:val="32"/>
          <w:lang w:val="en-US" w:eastAsia="zh-CN"/>
        </w:rPr>
        <w:t>5</w:t>
      </w:r>
      <w:r>
        <w:rPr>
          <w:rFonts w:eastAsia="仿宋_GB2312"/>
          <w:sz w:val="32"/>
          <w:szCs w:val="32"/>
        </w:rPr>
        <w:t>.应提示灭菌方式；</w:t>
      </w:r>
    </w:p>
    <w:p w14:paraId="34F76877">
      <w:pPr>
        <w:tabs>
          <w:tab w:val="left" w:pos="7140"/>
        </w:tabs>
        <w:autoSpaceDE w:val="0"/>
        <w:autoSpaceDN w:val="0"/>
        <w:spacing w:line="520" w:lineRule="exact"/>
        <w:ind w:firstLine="640" w:firstLineChars="200"/>
        <w:rPr>
          <w:rFonts w:eastAsia="仿宋_GB2312"/>
          <w:sz w:val="32"/>
          <w:szCs w:val="32"/>
          <w:highlight w:val="none"/>
        </w:rPr>
      </w:pPr>
      <w:r>
        <w:rPr>
          <w:rFonts w:hint="eastAsia" w:eastAsia="仿宋_GB2312"/>
          <w:sz w:val="32"/>
          <w:szCs w:val="32"/>
          <w:lang w:val="en-US" w:eastAsia="zh-CN"/>
        </w:rPr>
        <w:t>6</w:t>
      </w:r>
      <w:r>
        <w:rPr>
          <w:rFonts w:eastAsia="仿宋_GB2312"/>
          <w:sz w:val="32"/>
          <w:szCs w:val="32"/>
        </w:rPr>
        <w:t>.</w:t>
      </w:r>
      <w:r>
        <w:rPr>
          <w:rFonts w:eastAsia="仿宋_GB2312"/>
          <w:sz w:val="32"/>
          <w:szCs w:val="32"/>
          <w:highlight w:val="none"/>
        </w:rPr>
        <w:t>应列出相应禁忌证</w:t>
      </w:r>
      <w:r>
        <w:rPr>
          <w:rFonts w:hint="eastAsia" w:eastAsia="仿宋_GB2312"/>
          <w:sz w:val="32"/>
          <w:szCs w:val="32"/>
          <w:highlight w:val="none"/>
          <w:lang w:eastAsia="zh-CN"/>
        </w:rPr>
        <w:t>，</w:t>
      </w:r>
      <w:r>
        <w:rPr>
          <w:rFonts w:hint="eastAsia" w:eastAsia="仿宋_GB2312"/>
          <w:sz w:val="32"/>
          <w:szCs w:val="32"/>
          <w:highlight w:val="none"/>
          <w:lang w:val="en-US" w:eastAsia="zh-CN"/>
        </w:rPr>
        <w:t>如</w:t>
      </w:r>
      <w:r>
        <w:rPr>
          <w:rFonts w:ascii="Times New Roman" w:hAnsi="Times New Roman" w:eastAsia="仿宋_GB2312"/>
          <w:sz w:val="32"/>
          <w:szCs w:val="32"/>
          <w:highlight w:val="none"/>
        </w:rPr>
        <w:t>对产品材料过敏者禁用</w:t>
      </w:r>
      <w:r>
        <w:rPr>
          <w:rFonts w:hint="eastAsia" w:eastAsia="仿宋_GB2312"/>
          <w:sz w:val="32"/>
          <w:szCs w:val="32"/>
          <w:highlight w:val="none"/>
          <w:lang w:val="en-US" w:eastAsia="zh-CN"/>
        </w:rPr>
        <w:t>等</w:t>
      </w:r>
      <w:r>
        <w:rPr>
          <w:rFonts w:eastAsia="仿宋_GB2312"/>
          <w:sz w:val="32"/>
          <w:szCs w:val="32"/>
          <w:highlight w:val="none"/>
        </w:rPr>
        <w:t>；</w:t>
      </w:r>
    </w:p>
    <w:p w14:paraId="2E45D907">
      <w:pPr>
        <w:tabs>
          <w:tab w:val="left" w:pos="7140"/>
        </w:tabs>
        <w:autoSpaceDE w:val="0"/>
        <w:autoSpaceDN w:val="0"/>
        <w:spacing w:line="520" w:lineRule="exact"/>
        <w:ind w:firstLine="640" w:firstLineChars="200"/>
        <w:rPr>
          <w:rFonts w:eastAsia="仿宋_GB2312"/>
          <w:color w:val="000000"/>
          <w:sz w:val="32"/>
          <w:szCs w:val="32"/>
        </w:rPr>
      </w:pPr>
      <w:r>
        <w:rPr>
          <w:rFonts w:hint="eastAsia" w:eastAsia="仿宋_GB2312"/>
          <w:sz w:val="32"/>
          <w:szCs w:val="32"/>
          <w:lang w:val="en-US" w:eastAsia="zh-CN"/>
        </w:rPr>
        <w:t>7</w:t>
      </w:r>
      <w:r>
        <w:rPr>
          <w:rFonts w:eastAsia="仿宋_GB2312"/>
          <w:sz w:val="32"/>
          <w:szCs w:val="32"/>
        </w:rPr>
        <w:t>.应列出适用于申报产品的警示信息和注</w:t>
      </w:r>
      <w:bookmarkStart w:id="1" w:name="_GoBack"/>
      <w:bookmarkEnd w:id="1"/>
      <w:r>
        <w:rPr>
          <w:rFonts w:eastAsia="仿宋_GB2312"/>
          <w:sz w:val="32"/>
          <w:szCs w:val="32"/>
        </w:rPr>
        <w:t>意事项。警告中包括器械相关的严重不良反应或潜在的安全危害，并且还应包含可能的后果。</w:t>
      </w:r>
    </w:p>
    <w:p w14:paraId="795E79F0">
      <w:pPr>
        <w:spacing w:line="520" w:lineRule="exact"/>
        <w:ind w:firstLine="640" w:firstLineChars="200"/>
        <w:rPr>
          <w:rFonts w:eastAsia="仿宋_GB2312"/>
          <w:color w:val="000000"/>
          <w:sz w:val="32"/>
          <w:szCs w:val="32"/>
        </w:rPr>
      </w:pPr>
      <w:r>
        <w:rPr>
          <w:rFonts w:hint="eastAsia" w:eastAsia="仿宋_GB2312"/>
          <w:color w:val="000000"/>
          <w:sz w:val="32"/>
          <w:szCs w:val="32"/>
        </w:rPr>
        <w:t>标签应当符合《医疗器械说明书和标签管理规定》。医疗器械标签因位置或者大小受限而无法全部标明上述内容的，至少应当标注产品名称、型号、规格、生产日期和使用期限或者失效日期，并在标签中明确“其他内容详见说明书”。</w:t>
      </w:r>
    </w:p>
    <w:p w14:paraId="64FB8B1C">
      <w:pPr>
        <w:spacing w:line="520" w:lineRule="exact"/>
        <w:ind w:firstLine="640" w:firstLineChars="200"/>
        <w:rPr>
          <w:rFonts w:eastAsia="楷体_GB2312"/>
          <w:color w:val="000000"/>
          <w:kern w:val="44"/>
          <w:sz w:val="32"/>
          <w:szCs w:val="44"/>
        </w:rPr>
      </w:pPr>
      <w:r>
        <w:rPr>
          <w:rFonts w:eastAsia="楷体_GB2312"/>
          <w:color w:val="000000"/>
          <w:kern w:val="44"/>
          <w:sz w:val="32"/>
          <w:szCs w:val="44"/>
        </w:rPr>
        <w:t>（六）质量管理体系文件</w:t>
      </w:r>
    </w:p>
    <w:p w14:paraId="5A026ABB">
      <w:pPr>
        <w:spacing w:line="520" w:lineRule="exact"/>
        <w:ind w:firstLine="640" w:firstLineChars="200"/>
        <w:rPr>
          <w:rFonts w:eastAsia="仿宋_GB2312"/>
          <w:bCs/>
          <w:color w:val="000000"/>
          <w:sz w:val="32"/>
          <w:szCs w:val="32"/>
        </w:rPr>
      </w:pPr>
      <w:r>
        <w:rPr>
          <w:rFonts w:eastAsia="仿宋_GB2312"/>
          <w:color w:val="000000"/>
          <w:sz w:val="32"/>
          <w:szCs w:val="32"/>
        </w:rPr>
        <w:t>提供工艺流程图及各步骤的描述，包括各步骤的目的、设备、试剂、参数等信息。注明关键工艺及特殊工艺，说明其过程控制点。</w:t>
      </w:r>
      <w:r>
        <w:rPr>
          <w:rFonts w:hint="eastAsia" w:eastAsia="仿宋_GB2312"/>
          <w:bCs/>
          <w:color w:val="000000"/>
          <w:sz w:val="32"/>
          <w:szCs w:val="32"/>
        </w:rPr>
        <w:t>明确产品生产过程中各种加工助剂的使用情况及对各种杂质（如残留单体、小分子残留物、重金属等）的控制情况并提交相应的验证资料。</w:t>
      </w:r>
    </w:p>
    <w:p w14:paraId="1BC3D514">
      <w:pPr>
        <w:spacing w:line="520" w:lineRule="exact"/>
        <w:ind w:firstLine="640" w:firstLineChars="200"/>
        <w:rPr>
          <w:rFonts w:eastAsia="仿宋_GB2312"/>
          <w:color w:val="000000"/>
          <w:sz w:val="32"/>
          <w:szCs w:val="32"/>
        </w:rPr>
      </w:pPr>
      <w:r>
        <w:rPr>
          <w:rFonts w:eastAsia="黑体"/>
          <w:bCs/>
          <w:kern w:val="44"/>
          <w:sz w:val="32"/>
          <w:szCs w:val="44"/>
        </w:rPr>
        <w:t>三、参考文献</w:t>
      </w:r>
    </w:p>
    <w:p w14:paraId="0991125B">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eastAsia="仿宋_GB2312"/>
          <w:color w:val="000000"/>
          <w:sz w:val="32"/>
          <w:szCs w:val="32"/>
        </w:rPr>
        <w:t>中华人民共和国国务院.医疗器械监督管理条例:中华人民共和国国务院令第739号[Z].</w:t>
      </w:r>
    </w:p>
    <w:p w14:paraId="6BF96FF6">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eastAsia="仿宋_GB2312"/>
          <w:color w:val="000000"/>
          <w:sz w:val="32"/>
          <w:szCs w:val="32"/>
        </w:rPr>
        <w:t>国家市场监督管理总局.医疗器械注册与备案管理办法:国家市场监督管理总局令第47号[Z].</w:t>
      </w:r>
    </w:p>
    <w:p w14:paraId="7E1F8886">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eastAsia="仿宋_GB2312"/>
          <w:color w:val="000000"/>
          <w:sz w:val="32"/>
          <w:szCs w:val="32"/>
        </w:rPr>
        <w:t>国家药品监督管理局.医疗器械注册申报资料要求和批准证明文件格式:关于公布医疗器械注册申报资料要求和批准证明文件格式的公告2021年第121号[Z]</w:t>
      </w:r>
    </w:p>
    <w:p w14:paraId="40517185">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eastAsia="仿宋_GB2312"/>
          <w:sz w:val="32"/>
          <w:szCs w:val="32"/>
        </w:rPr>
        <w:t>国家食品药品监督管理总局.</w:t>
      </w:r>
      <w:r>
        <w:rPr>
          <w:rFonts w:eastAsia="仿宋_GB2312"/>
          <w:color w:val="000000"/>
          <w:sz w:val="32"/>
          <w:szCs w:val="32"/>
        </w:rPr>
        <w:t>医疗器械分类规则</w:t>
      </w:r>
      <w:r>
        <w:rPr>
          <w:rFonts w:eastAsia="仿宋_GB2312"/>
          <w:sz w:val="32"/>
          <w:szCs w:val="32"/>
        </w:rPr>
        <w:t>:国家食品药品监督管理总局令第</w:t>
      </w:r>
      <w:r>
        <w:rPr>
          <w:rFonts w:eastAsia="仿宋_GB2312"/>
          <w:color w:val="000000"/>
          <w:sz w:val="32"/>
          <w:szCs w:val="32"/>
        </w:rPr>
        <w:t>15号[Z].</w:t>
      </w:r>
    </w:p>
    <w:p w14:paraId="659B97E7">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eastAsia="仿宋_GB2312"/>
          <w:sz w:val="32"/>
          <w:szCs w:val="32"/>
        </w:rPr>
        <w:t>国家食品药品监督管理总局.医疗器械通用名称命名规则:国家食品药品监督管理总局令第</w:t>
      </w:r>
      <w:r>
        <w:rPr>
          <w:rFonts w:eastAsia="仿宋_GB2312"/>
          <w:color w:val="000000"/>
          <w:sz w:val="32"/>
          <w:szCs w:val="32"/>
        </w:rPr>
        <w:t>19</w:t>
      </w:r>
      <w:r>
        <w:rPr>
          <w:rFonts w:eastAsia="仿宋_GB2312"/>
          <w:sz w:val="32"/>
          <w:szCs w:val="32"/>
        </w:rPr>
        <w:t>号</w:t>
      </w:r>
      <w:r>
        <w:rPr>
          <w:rFonts w:eastAsia="仿宋_GB2312"/>
          <w:color w:val="000000"/>
          <w:sz w:val="32"/>
          <w:szCs w:val="32"/>
        </w:rPr>
        <w:t>[Z].</w:t>
      </w:r>
    </w:p>
    <w:p w14:paraId="54A9B11E">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eastAsia="仿宋_GB2312"/>
          <w:sz w:val="32"/>
          <w:szCs w:val="32"/>
        </w:rPr>
        <w:t>国家药品监督管理局.</w:t>
      </w:r>
      <w:r>
        <w:rPr>
          <w:rFonts w:eastAsia="仿宋_GB2312"/>
          <w:color w:val="000000"/>
          <w:sz w:val="32"/>
          <w:szCs w:val="32"/>
        </w:rPr>
        <w:t>医疗器械分类目录</w:t>
      </w:r>
      <w:r>
        <w:rPr>
          <w:rFonts w:eastAsia="仿宋_GB2312"/>
          <w:sz w:val="32"/>
          <w:szCs w:val="32"/>
        </w:rPr>
        <w:t>:总局关于发布</w:t>
      </w:r>
      <w:r>
        <w:rPr>
          <w:rFonts w:eastAsia="仿宋_GB2312"/>
          <w:color w:val="000000"/>
          <w:sz w:val="32"/>
          <w:szCs w:val="32"/>
        </w:rPr>
        <w:t>医疗器械分类目录</w:t>
      </w:r>
      <w:r>
        <w:rPr>
          <w:rFonts w:eastAsia="仿宋_GB2312"/>
          <w:sz w:val="32"/>
          <w:szCs w:val="32"/>
        </w:rPr>
        <w:t>的公告</w:t>
      </w:r>
      <w:r>
        <w:rPr>
          <w:rFonts w:eastAsia="仿宋_GB2312"/>
          <w:color w:val="000000"/>
          <w:sz w:val="32"/>
          <w:szCs w:val="32"/>
        </w:rPr>
        <w:t>2017</w:t>
      </w:r>
      <w:r>
        <w:rPr>
          <w:rFonts w:eastAsia="仿宋_GB2312"/>
          <w:sz w:val="32"/>
          <w:szCs w:val="32"/>
        </w:rPr>
        <w:t>年第</w:t>
      </w:r>
      <w:r>
        <w:rPr>
          <w:rFonts w:eastAsia="仿宋_GB2312"/>
          <w:color w:val="000000"/>
          <w:sz w:val="32"/>
          <w:szCs w:val="32"/>
        </w:rPr>
        <w:t>104</w:t>
      </w:r>
      <w:r>
        <w:rPr>
          <w:rFonts w:eastAsia="仿宋_GB2312"/>
          <w:sz w:val="32"/>
          <w:szCs w:val="32"/>
        </w:rPr>
        <w:t>号</w:t>
      </w:r>
      <w:r>
        <w:rPr>
          <w:rFonts w:eastAsia="仿宋_GB2312"/>
          <w:color w:val="000000"/>
          <w:sz w:val="32"/>
          <w:szCs w:val="32"/>
        </w:rPr>
        <w:t>[Z].</w:t>
      </w:r>
    </w:p>
    <w:p w14:paraId="0B420B53">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hint="eastAsia" w:eastAsia="仿宋_GB2312"/>
          <w:sz w:val="32"/>
          <w:szCs w:val="32"/>
        </w:rPr>
        <w:t>国家食品药品监督管理局</w:t>
      </w:r>
      <w:r>
        <w:rPr>
          <w:rFonts w:hint="eastAsia" w:eastAsia="仿宋_GB2312"/>
          <w:sz w:val="32"/>
          <w:szCs w:val="32"/>
          <w:lang w:val="en-US" w:eastAsia="zh-CN"/>
        </w:rPr>
        <w:t>办公室</w:t>
      </w:r>
      <w:r>
        <w:rPr>
          <w:rFonts w:hint="default" w:eastAsia="仿宋_GB2312"/>
          <w:sz w:val="32"/>
          <w:szCs w:val="32"/>
          <w:lang w:val="en-US" w:eastAsia="zh-CN"/>
        </w:rPr>
        <w:t>.</w:t>
      </w:r>
      <w:r>
        <w:rPr>
          <w:rFonts w:hint="default" w:eastAsia="仿宋_GB2312"/>
          <w:sz w:val="32"/>
          <w:szCs w:val="32"/>
        </w:rPr>
        <w:t>无源植入性和动物源性医疗器械注册申报资料指导原则</w:t>
      </w:r>
      <w:r>
        <w:rPr>
          <w:rFonts w:hint="default" w:eastAsia="仿宋_GB2312"/>
          <w:sz w:val="32"/>
          <w:szCs w:val="32"/>
          <w:lang w:val="en-US"/>
        </w:rPr>
        <w:t>:</w:t>
      </w:r>
      <w:r>
        <w:rPr>
          <w:rFonts w:hint="default" w:eastAsia="仿宋_GB2312"/>
          <w:sz w:val="32"/>
          <w:szCs w:val="32"/>
        </w:rPr>
        <w:t>食药监办械函[2009]519号</w:t>
      </w:r>
      <w:r>
        <w:rPr>
          <w:rFonts w:eastAsia="仿宋_GB2312"/>
          <w:color w:val="000000"/>
          <w:sz w:val="32"/>
          <w:szCs w:val="32"/>
        </w:rPr>
        <w:t>[Z].</w:t>
      </w:r>
    </w:p>
    <w:p w14:paraId="0013D22D">
      <w:pPr>
        <w:numPr>
          <w:ilvl w:val="0"/>
          <w:numId w:val="4"/>
        </w:numPr>
        <w:tabs>
          <w:tab w:val="left" w:pos="360"/>
          <w:tab w:val="left" w:pos="952"/>
          <w:tab w:val="left" w:pos="1078"/>
          <w:tab w:val="left" w:pos="1140"/>
        </w:tabs>
        <w:autoSpaceDE w:val="0"/>
        <w:autoSpaceDN w:val="0"/>
        <w:adjustRightInd w:val="0"/>
        <w:spacing w:line="520" w:lineRule="exact"/>
        <w:rPr>
          <w:rFonts w:eastAsia="仿宋_GB2312"/>
          <w:sz w:val="32"/>
          <w:szCs w:val="32"/>
        </w:rPr>
      </w:pPr>
      <w:r>
        <w:rPr>
          <w:rFonts w:eastAsia="仿宋_GB2312"/>
          <w:sz w:val="32"/>
          <w:szCs w:val="32"/>
        </w:rPr>
        <w:t>国家药品监督管理局.医疗器械产品技术要求编写指导原则:国家药监局通告</w:t>
      </w:r>
      <w:r>
        <w:rPr>
          <w:rFonts w:eastAsia="仿宋_GB2312"/>
          <w:color w:val="000000"/>
          <w:sz w:val="32"/>
          <w:szCs w:val="32"/>
        </w:rPr>
        <w:t>2022</w:t>
      </w:r>
      <w:r>
        <w:rPr>
          <w:rFonts w:eastAsia="仿宋_GB2312"/>
          <w:sz w:val="32"/>
          <w:szCs w:val="32"/>
        </w:rPr>
        <w:t>年第</w:t>
      </w:r>
      <w:r>
        <w:rPr>
          <w:rFonts w:eastAsia="仿宋_GB2312"/>
          <w:color w:val="000000"/>
          <w:sz w:val="32"/>
          <w:szCs w:val="32"/>
        </w:rPr>
        <w:t>8</w:t>
      </w:r>
      <w:r>
        <w:rPr>
          <w:rFonts w:eastAsia="仿宋_GB2312"/>
          <w:sz w:val="32"/>
          <w:szCs w:val="32"/>
        </w:rPr>
        <w:t>号</w:t>
      </w:r>
      <w:r>
        <w:rPr>
          <w:rFonts w:eastAsia="仿宋_GB2312"/>
          <w:color w:val="000000"/>
          <w:sz w:val="32"/>
          <w:szCs w:val="32"/>
        </w:rPr>
        <w:t>[Z].</w:t>
      </w:r>
    </w:p>
    <w:p w14:paraId="5E19B157">
      <w:pPr>
        <w:numPr>
          <w:ilvl w:val="0"/>
          <w:numId w:val="4"/>
        </w:numPr>
        <w:tabs>
          <w:tab w:val="left" w:pos="360"/>
          <w:tab w:val="left" w:pos="952"/>
          <w:tab w:val="left" w:pos="1078"/>
          <w:tab w:val="left" w:pos="1140"/>
        </w:tabs>
        <w:autoSpaceDE w:val="0"/>
        <w:autoSpaceDN w:val="0"/>
        <w:adjustRightInd w:val="0"/>
        <w:spacing w:line="520" w:lineRule="exact"/>
        <w:rPr>
          <w:rFonts w:eastAsia="仿宋_GB2312"/>
          <w:sz w:val="32"/>
          <w:szCs w:val="32"/>
        </w:rPr>
      </w:pPr>
      <w:r>
        <w:rPr>
          <w:rFonts w:hint="eastAsia" w:eastAsia="仿宋_GB2312"/>
          <w:sz w:val="32"/>
          <w:szCs w:val="32"/>
        </w:rPr>
        <w:t>国家药品监督管理局.免于</w:t>
      </w:r>
      <w:r>
        <w:rPr>
          <w:rFonts w:hint="eastAsia" w:eastAsia="仿宋_GB2312"/>
          <w:sz w:val="32"/>
          <w:szCs w:val="32"/>
          <w:lang w:val="en-US" w:eastAsia="zh-CN"/>
        </w:rPr>
        <w:t>进行</w:t>
      </w:r>
      <w:r>
        <w:rPr>
          <w:rFonts w:hint="eastAsia" w:eastAsia="仿宋_GB2312"/>
          <w:sz w:val="32"/>
          <w:szCs w:val="32"/>
        </w:rPr>
        <w:t>临床评价医疗器械目录：国家药监局通告202</w:t>
      </w:r>
      <w:r>
        <w:rPr>
          <w:rFonts w:hint="eastAsia" w:eastAsia="仿宋_GB2312"/>
          <w:sz w:val="32"/>
          <w:szCs w:val="32"/>
          <w:lang w:val="en-US" w:eastAsia="zh-CN"/>
        </w:rPr>
        <w:t>5</w:t>
      </w:r>
      <w:r>
        <w:rPr>
          <w:rFonts w:hint="eastAsia" w:eastAsia="仿宋_GB2312"/>
          <w:sz w:val="32"/>
          <w:szCs w:val="32"/>
        </w:rPr>
        <w:t>年第</w:t>
      </w:r>
      <w:r>
        <w:rPr>
          <w:rFonts w:hint="eastAsia" w:eastAsia="仿宋_GB2312"/>
          <w:sz w:val="32"/>
          <w:szCs w:val="32"/>
          <w:lang w:val="en-US" w:eastAsia="zh-CN"/>
        </w:rPr>
        <w:t>19</w:t>
      </w:r>
      <w:r>
        <w:rPr>
          <w:rFonts w:hint="eastAsia" w:eastAsia="仿宋_GB2312"/>
          <w:sz w:val="32"/>
          <w:szCs w:val="32"/>
        </w:rPr>
        <w:t>号[Z].</w:t>
      </w:r>
    </w:p>
    <w:p w14:paraId="35FF5F60">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eastAsia="仿宋_GB2312"/>
          <w:color w:val="000000"/>
          <w:sz w:val="32"/>
          <w:szCs w:val="32"/>
        </w:rPr>
        <w:t xml:space="preserve">YY/T </w:t>
      </w:r>
      <w:r>
        <w:rPr>
          <w:rFonts w:hint="eastAsia" w:eastAsia="仿宋_GB2312"/>
          <w:color w:val="000000"/>
          <w:sz w:val="32"/>
          <w:szCs w:val="32"/>
          <w:lang w:val="en-US" w:eastAsia="zh-CN"/>
        </w:rPr>
        <w:t>0334</w:t>
      </w:r>
      <w:r>
        <w:rPr>
          <w:rFonts w:eastAsia="仿宋_GB2312"/>
          <w:sz w:val="32"/>
          <w:szCs w:val="32"/>
        </w:rPr>
        <w:t>,</w:t>
      </w:r>
      <w:r>
        <w:rPr>
          <w:rFonts w:hint="eastAsia" w:eastAsia="仿宋_GB2312"/>
          <w:sz w:val="32"/>
          <w:szCs w:val="32"/>
        </w:rPr>
        <w:t>《</w:t>
      </w:r>
      <w:r>
        <w:rPr>
          <w:rFonts w:hint="eastAsia" w:eastAsia="仿宋_GB2312"/>
          <w:color w:val="000000"/>
          <w:sz w:val="32"/>
          <w:szCs w:val="32"/>
          <w:lang w:val="en-US" w:eastAsia="zh-CN"/>
        </w:rPr>
        <w:t>硅橡胶外科植入物通用要求</w:t>
      </w:r>
      <w:r>
        <w:rPr>
          <w:rFonts w:hint="eastAsia" w:eastAsia="仿宋_GB2312"/>
          <w:sz w:val="32"/>
          <w:szCs w:val="32"/>
        </w:rPr>
        <w:t>》</w:t>
      </w:r>
      <w:r>
        <w:rPr>
          <w:rFonts w:eastAsia="仿宋_GB2312"/>
          <w:color w:val="000000"/>
          <w:sz w:val="32"/>
          <w:szCs w:val="32"/>
        </w:rPr>
        <w:t>[S].</w:t>
      </w:r>
    </w:p>
    <w:p w14:paraId="7C311C3D">
      <w:pPr>
        <w:numPr>
          <w:ilvl w:val="0"/>
          <w:numId w:val="4"/>
        </w:numPr>
        <w:tabs>
          <w:tab w:val="left" w:pos="360"/>
          <w:tab w:val="left" w:pos="952"/>
          <w:tab w:val="left" w:pos="1078"/>
          <w:tab w:val="left" w:pos="1140"/>
        </w:tabs>
        <w:autoSpaceDE w:val="0"/>
        <w:autoSpaceDN w:val="0"/>
        <w:adjustRightInd w:val="0"/>
        <w:spacing w:line="520" w:lineRule="exact"/>
        <w:rPr>
          <w:rFonts w:eastAsia="仿宋_GB2312"/>
          <w:sz w:val="32"/>
          <w:szCs w:val="32"/>
        </w:rPr>
      </w:pPr>
      <w:r>
        <w:rPr>
          <w:rFonts w:eastAsia="仿宋_GB2312"/>
          <w:color w:val="000000"/>
          <w:sz w:val="32"/>
          <w:szCs w:val="32"/>
        </w:rPr>
        <w:t xml:space="preserve">YY/T </w:t>
      </w:r>
      <w:r>
        <w:rPr>
          <w:rFonts w:hint="eastAsia" w:eastAsia="仿宋_GB2312"/>
          <w:color w:val="000000"/>
          <w:sz w:val="32"/>
          <w:szCs w:val="32"/>
          <w:lang w:val="en-US" w:eastAsia="zh-CN"/>
        </w:rPr>
        <w:t>0484</w:t>
      </w:r>
      <w:r>
        <w:rPr>
          <w:rFonts w:eastAsia="仿宋_GB2312"/>
          <w:sz w:val="32"/>
          <w:szCs w:val="32"/>
        </w:rPr>
        <w:t>,</w:t>
      </w:r>
      <w:r>
        <w:rPr>
          <w:rFonts w:hint="eastAsia" w:eastAsia="仿宋_GB2312"/>
          <w:sz w:val="32"/>
          <w:szCs w:val="32"/>
        </w:rPr>
        <w:t>《</w:t>
      </w:r>
      <w:r>
        <w:rPr>
          <w:rFonts w:hint="eastAsia" w:eastAsia="仿宋_GB2312"/>
          <w:sz w:val="32"/>
          <w:szCs w:val="32"/>
          <w:lang w:val="en-US" w:eastAsia="zh-CN"/>
        </w:rPr>
        <w:t>外科植入物 双组分加成型硫化硅橡胶</w:t>
      </w:r>
      <w:r>
        <w:rPr>
          <w:rFonts w:hint="eastAsia" w:eastAsia="仿宋_GB2312"/>
          <w:sz w:val="32"/>
          <w:szCs w:val="32"/>
        </w:rPr>
        <w:t>》</w:t>
      </w:r>
      <w:r>
        <w:rPr>
          <w:rFonts w:eastAsia="仿宋_GB2312"/>
          <w:sz w:val="32"/>
          <w:szCs w:val="32"/>
        </w:rPr>
        <w:t>[</w:t>
      </w:r>
      <w:r>
        <w:rPr>
          <w:rFonts w:eastAsia="仿宋_GB2312"/>
          <w:color w:val="000000"/>
          <w:sz w:val="32"/>
          <w:szCs w:val="32"/>
        </w:rPr>
        <w:t>S</w:t>
      </w:r>
      <w:r>
        <w:rPr>
          <w:rFonts w:eastAsia="仿宋_GB2312"/>
          <w:sz w:val="32"/>
          <w:szCs w:val="32"/>
        </w:rPr>
        <w:t>].</w:t>
      </w:r>
    </w:p>
    <w:p w14:paraId="487EE7E6">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hint="eastAsia" w:eastAsia="仿宋_GB2312"/>
          <w:sz w:val="32"/>
          <w:szCs w:val="32"/>
        </w:rPr>
        <w:t>YY/T 0640</w:t>
      </w:r>
      <w:r>
        <w:rPr>
          <w:rFonts w:eastAsia="仿宋_GB2312"/>
          <w:sz w:val="32"/>
          <w:szCs w:val="32"/>
        </w:rPr>
        <w:t>,</w:t>
      </w:r>
      <w:r>
        <w:rPr>
          <w:rFonts w:hint="eastAsia" w:eastAsia="仿宋_GB2312"/>
          <w:sz w:val="32"/>
          <w:szCs w:val="32"/>
        </w:rPr>
        <w:t>《外科植入物 通用要求》</w:t>
      </w:r>
      <w:r>
        <w:rPr>
          <w:rFonts w:eastAsia="仿宋_GB2312"/>
          <w:color w:val="000000"/>
          <w:sz w:val="32"/>
          <w:szCs w:val="32"/>
        </w:rPr>
        <w:t>[S].</w:t>
      </w:r>
    </w:p>
    <w:p w14:paraId="6F5FCA7E">
      <w:pPr>
        <w:numPr>
          <w:ilvl w:val="0"/>
          <w:numId w:val="4"/>
        </w:numPr>
        <w:tabs>
          <w:tab w:val="left" w:pos="360"/>
          <w:tab w:val="left" w:pos="952"/>
          <w:tab w:val="left" w:pos="1078"/>
          <w:tab w:val="left" w:pos="1140"/>
        </w:tabs>
        <w:autoSpaceDE w:val="0"/>
        <w:autoSpaceDN w:val="0"/>
        <w:adjustRightInd w:val="0"/>
        <w:spacing w:line="520" w:lineRule="exact"/>
        <w:rPr>
          <w:rFonts w:eastAsia="仿宋_GB2312"/>
          <w:sz w:val="32"/>
          <w:szCs w:val="32"/>
        </w:rPr>
      </w:pPr>
      <w:r>
        <w:rPr>
          <w:rFonts w:eastAsia="仿宋_GB2312"/>
          <w:sz w:val="32"/>
          <w:szCs w:val="32"/>
        </w:rPr>
        <w:t>GB/T 16886,医疗器械生物学评价系列标准[S].</w:t>
      </w:r>
    </w:p>
    <w:p w14:paraId="74056975">
      <w:pPr>
        <w:numPr>
          <w:ilvl w:val="0"/>
          <w:numId w:val="4"/>
        </w:numPr>
        <w:tabs>
          <w:tab w:val="left" w:pos="360"/>
          <w:tab w:val="left" w:pos="952"/>
          <w:tab w:val="left" w:pos="1078"/>
          <w:tab w:val="left" w:pos="1140"/>
          <w:tab w:val="clear" w:pos="0"/>
        </w:tabs>
        <w:kinsoku w:val="0"/>
        <w:wordWrap w:val="0"/>
        <w:overflowPunct w:val="0"/>
        <w:topLinePunct/>
        <w:autoSpaceDE w:val="0"/>
        <w:autoSpaceDN w:val="0"/>
        <w:adjustRightInd w:val="0"/>
        <w:spacing w:line="520" w:lineRule="exact"/>
        <w:ind w:firstLine="640" w:firstLineChars="200"/>
        <w:rPr>
          <w:rFonts w:eastAsia="仿宋_GB2312"/>
          <w:sz w:val="32"/>
          <w:szCs w:val="32"/>
        </w:rPr>
      </w:pPr>
      <w:r>
        <w:rPr>
          <w:rFonts w:ascii="Times New Roman" w:hAnsi="Times New Roman" w:eastAsia="仿宋_GB2312"/>
          <w:sz w:val="32"/>
          <w:szCs w:val="28"/>
        </w:rPr>
        <w:t>GB/T 16175,</w:t>
      </w:r>
      <w:r>
        <w:rPr>
          <w:rFonts w:hint="eastAsia" w:eastAsia="仿宋_GB2312"/>
          <w:sz w:val="32"/>
          <w:szCs w:val="32"/>
        </w:rPr>
        <w:t>《</w:t>
      </w:r>
      <w:r>
        <w:rPr>
          <w:rFonts w:ascii="Times New Roman" w:hAnsi="Times New Roman" w:eastAsia="仿宋_GB2312"/>
          <w:sz w:val="32"/>
          <w:szCs w:val="28"/>
        </w:rPr>
        <w:t>医用有机硅材料生物学评价试验方法</w:t>
      </w:r>
      <w:r>
        <w:rPr>
          <w:rFonts w:hint="eastAsia" w:eastAsia="仿宋_GB2312"/>
          <w:sz w:val="32"/>
          <w:szCs w:val="32"/>
        </w:rPr>
        <w:t>》</w:t>
      </w:r>
      <w:r>
        <w:rPr>
          <w:rFonts w:ascii="Times New Roman" w:hAnsi="Times New Roman" w:eastAsia="仿宋_GB2312"/>
          <w:sz w:val="32"/>
          <w:szCs w:val="28"/>
        </w:rPr>
        <w:t>[S].</w:t>
      </w:r>
    </w:p>
    <w:p w14:paraId="2F9C3A89">
      <w:pPr>
        <w:numPr>
          <w:ilvl w:val="0"/>
          <w:numId w:val="4"/>
        </w:numPr>
        <w:tabs>
          <w:tab w:val="left" w:pos="360"/>
          <w:tab w:val="left" w:pos="952"/>
          <w:tab w:val="left" w:pos="1078"/>
          <w:tab w:val="left" w:pos="1140"/>
        </w:tabs>
        <w:autoSpaceDE w:val="0"/>
        <w:autoSpaceDN w:val="0"/>
        <w:adjustRightInd w:val="0"/>
        <w:spacing w:line="520" w:lineRule="exact"/>
        <w:rPr>
          <w:rFonts w:eastAsia="仿宋_GB2312"/>
          <w:sz w:val="32"/>
          <w:szCs w:val="32"/>
        </w:rPr>
      </w:pPr>
      <w:r>
        <w:rPr>
          <w:rFonts w:hint="eastAsia" w:eastAsia="仿宋_GB2312"/>
          <w:sz w:val="32"/>
          <w:szCs w:val="32"/>
        </w:rPr>
        <w:t>GB 18279,医疗保健产品灭菌 环氧乙烷 医疗器械灭菌过程的开发、确认和常规控制的要求[S].</w:t>
      </w:r>
    </w:p>
    <w:p w14:paraId="2939A844">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hint="eastAsia" w:eastAsia="仿宋_GB2312"/>
          <w:sz w:val="32"/>
          <w:szCs w:val="32"/>
        </w:rPr>
        <w:t>GB 18280,医疗保健产品灭菌 辐射系列标准[S].</w:t>
      </w:r>
    </w:p>
    <w:p w14:paraId="6902A82F">
      <w:pPr>
        <w:numPr>
          <w:ilvl w:val="0"/>
          <w:numId w:val="4"/>
        </w:numPr>
        <w:tabs>
          <w:tab w:val="left" w:pos="360"/>
          <w:tab w:val="left" w:pos="952"/>
          <w:tab w:val="left" w:pos="1078"/>
          <w:tab w:val="left" w:pos="1140"/>
          <w:tab w:val="clear" w:pos="0"/>
        </w:tabs>
        <w:autoSpaceDE w:val="0"/>
        <w:autoSpaceDN w:val="0"/>
        <w:adjustRightInd w:val="0"/>
        <w:spacing w:line="520" w:lineRule="exact"/>
        <w:ind w:firstLine="640" w:firstLineChars="200"/>
        <w:rPr>
          <w:rFonts w:eastAsia="仿宋_GB2312"/>
          <w:sz w:val="32"/>
          <w:szCs w:val="32"/>
        </w:rPr>
      </w:pPr>
      <w:r>
        <w:rPr>
          <w:rFonts w:eastAsia="仿宋_GB2312"/>
          <w:color w:val="000000"/>
          <w:sz w:val="32"/>
          <w:szCs w:val="32"/>
        </w:rPr>
        <w:t>GB/T 42062</w:t>
      </w:r>
      <w:r>
        <w:rPr>
          <w:rFonts w:eastAsia="仿宋_GB2312"/>
          <w:sz w:val="32"/>
          <w:szCs w:val="32"/>
        </w:rPr>
        <w:t>,</w:t>
      </w:r>
      <w:r>
        <w:rPr>
          <w:rFonts w:eastAsia="仿宋_GB2312"/>
          <w:color w:val="000000"/>
          <w:sz w:val="32"/>
          <w:szCs w:val="32"/>
        </w:rPr>
        <w:t>《医疗器械 风险管理对医疗器械应用》[S].</w:t>
      </w:r>
    </w:p>
    <w:p w14:paraId="3C99B45B">
      <w:pPr>
        <w:numPr>
          <w:ilvl w:val="0"/>
          <w:numId w:val="4"/>
        </w:numPr>
        <w:tabs>
          <w:tab w:val="left" w:pos="360"/>
          <w:tab w:val="left" w:pos="952"/>
          <w:tab w:val="left" w:pos="1078"/>
          <w:tab w:val="left" w:pos="1140"/>
          <w:tab w:val="clear" w:pos="0"/>
        </w:tabs>
        <w:autoSpaceDE w:val="0"/>
        <w:autoSpaceDN w:val="0"/>
        <w:adjustRightInd w:val="0"/>
        <w:spacing w:line="520" w:lineRule="exact"/>
        <w:rPr>
          <w:rFonts w:eastAsia="仿宋_GB2312"/>
          <w:sz w:val="32"/>
          <w:szCs w:val="32"/>
        </w:rPr>
      </w:pPr>
      <w:r>
        <w:rPr>
          <w:rFonts w:eastAsia="仿宋_GB2312"/>
          <w:sz w:val="32"/>
          <w:szCs w:val="32"/>
        </w:rPr>
        <w:t>国家药品监督管理局.无源植入性医疗器械稳定性研究指导原则（2022年修订版）:</w:t>
      </w:r>
      <w:r>
        <w:rPr>
          <w:rFonts w:hint="eastAsia" w:eastAsia="仿宋_GB2312"/>
          <w:sz w:val="32"/>
          <w:szCs w:val="32"/>
        </w:rPr>
        <w:t>国家药监局器审中心通告2022年第12号</w:t>
      </w:r>
      <w:r>
        <w:rPr>
          <w:rFonts w:eastAsia="仿宋_GB2312"/>
          <w:color w:val="000000"/>
          <w:sz w:val="32"/>
          <w:szCs w:val="32"/>
        </w:rPr>
        <w:t>[</w:t>
      </w:r>
      <w:r>
        <w:rPr>
          <w:rFonts w:eastAsia="仿宋_GB2312"/>
          <w:sz w:val="32"/>
          <w:szCs w:val="32"/>
        </w:rPr>
        <w:t>Z</w:t>
      </w:r>
      <w:r>
        <w:rPr>
          <w:rFonts w:eastAsia="仿宋_GB2312"/>
          <w:color w:val="000000"/>
          <w:sz w:val="32"/>
          <w:szCs w:val="32"/>
        </w:rPr>
        <w:t>].</w:t>
      </w:r>
    </w:p>
    <w:p w14:paraId="13C413A1">
      <w:pPr>
        <w:numPr>
          <w:ilvl w:val="0"/>
          <w:numId w:val="4"/>
        </w:numPr>
        <w:tabs>
          <w:tab w:val="left" w:pos="360"/>
          <w:tab w:val="left" w:pos="952"/>
          <w:tab w:val="left" w:pos="1078"/>
          <w:tab w:val="left" w:pos="1140"/>
          <w:tab w:val="clear" w:pos="0"/>
        </w:tabs>
        <w:autoSpaceDE w:val="0"/>
        <w:autoSpaceDN w:val="0"/>
        <w:adjustRightInd w:val="0"/>
        <w:spacing w:line="520" w:lineRule="exact"/>
        <w:rPr>
          <w:rFonts w:eastAsia="仿宋_GB2312"/>
          <w:sz w:val="32"/>
          <w:szCs w:val="32"/>
        </w:rPr>
      </w:pPr>
      <w:r>
        <w:rPr>
          <w:rFonts w:hint="eastAsia" w:eastAsia="仿宋_GB2312"/>
          <w:sz w:val="32"/>
          <w:szCs w:val="32"/>
        </w:rPr>
        <w:t>国家食品药品监督管理总局.《医疗器械说明书和标签管理规定》:国家食品药品监督管理总局局令第6号[Z].</w:t>
      </w:r>
    </w:p>
    <w:sectPr>
      <w:headerReference r:id="rId3" w:type="default"/>
      <w:footerReference r:id="rId5" w:type="default"/>
      <w:headerReference r:id="rId4" w:type="even"/>
      <w:footerReference r:id="rId6" w:type="even"/>
      <w:pgSz w:w="11906" w:h="16838"/>
      <w:pgMar w:top="1701" w:right="1588" w:bottom="1701" w:left="1588" w:header="851" w:footer="1191" w:gutter="0"/>
      <w:lnNumType w:countBy="1" w:restart="continuous"/>
      <w:pgNumType w:start="1" w:chapStyle="1" w:chapSep="em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汉仪中黑KW">
    <w:panose1 w:val="00020600040101010101"/>
    <w:charset w:val="86"/>
    <w:family w:val="auto"/>
    <w:pitch w:val="default"/>
    <w:sig w:usb0="A00002BF" w:usb1="18EF7CFA" w:usb2="00000016" w:usb3="00000000" w:csb0="00040000" w:csb1="00000000"/>
  </w:font>
  <w:font w:name="Calibri Light">
    <w:altName w:val="Helvetica Neue"/>
    <w:panose1 w:val="020F0302020204030204"/>
    <w:charset w:val="00"/>
    <w:family w:val="swiss"/>
    <w:pitch w:val="default"/>
    <w:sig w:usb0="00000000" w:usb1="00000000" w:usb2="00000000" w:usb3="00000000" w:csb0="0000019F" w:csb1="00000000"/>
  </w:font>
  <w:font w:name="Helvetica Neue">
    <w:panose1 w:val="02000503000000020004"/>
    <w:charset w:val="00"/>
    <w:family w:val="auto"/>
    <w:pitch w:val="default"/>
    <w:sig w:usb0="E50002FF" w:usb1="500079DB" w:usb2="00000010" w:usb3="00000000" w:csb0="00000000" w:csb1="00000000"/>
  </w:font>
  <w:font w:name="Adobe 仿宋 Std R">
    <w:altName w:val="方正仿宋_GBK"/>
    <w:panose1 w:val="00000000000000000000"/>
    <w:charset w:val="86"/>
    <w:family w:val="roman"/>
    <w:pitch w:val="default"/>
    <w:sig w:usb0="00000000" w:usb1="00000000" w:usb2="00000016" w:usb3="00000000" w:csb0="00060007" w:csb1="00000000"/>
  </w:font>
  <w:font w:name="方正仿宋_GBK">
    <w:panose1 w:val="02000000000000000000"/>
    <w:charset w:val="86"/>
    <w:family w:val="auto"/>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方正小标宋简体">
    <w:altName w:val="汉仪书宋二KW"/>
    <w:panose1 w:val="03000509000000000000"/>
    <w:charset w:val="86"/>
    <w:family w:val="script"/>
    <w:pitch w:val="default"/>
    <w:sig w:usb0="00000000" w:usb1="00000000" w:usb2="00000010" w:usb3="00000000" w:csb0="00040000" w:csb1="00000000"/>
  </w:font>
  <w:font w:name="楷体_GB2312">
    <w:altName w:val="汉仪楷体简"/>
    <w:panose1 w:val="02010609030101010101"/>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1" w:usb1="080E0800" w:usb2="00000002" w:usb3="00000000" w:csb0="00040000" w:csb1="00000000"/>
  </w:font>
  <w:font w:name="冬青黑体简体中文">
    <w:panose1 w:val="020B0300000000000000"/>
    <w:charset w:val="86"/>
    <w:family w:val="auto"/>
    <w:pitch w:val="default"/>
    <w:sig w:usb0="A00002BF" w:usb1="1ACF7CFA" w:usb2="00000016" w:usb3="00000000" w:csb0="00060007" w:csb1="00000000"/>
  </w:font>
  <w:font w:name="等线 Light">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7654091"/>
      <w:docPartObj>
        <w:docPartGallery w:val="autotext"/>
      </w:docPartObj>
    </w:sdtPr>
    <w:sdtEndPr>
      <w:rPr>
        <w:rFonts w:ascii="Times New Roman" w:hAnsi="Times New Roman" w:cs="Times New Roman"/>
        <w:sz w:val="28"/>
        <w:szCs w:val="28"/>
      </w:rPr>
    </w:sdtEndPr>
    <w:sdtContent>
      <w:p w14:paraId="52BA27F9">
        <w:pPr>
          <w:pStyle w:val="17"/>
          <w:numPr>
            <w:ilvl w:val="0"/>
            <w:numId w:val="1"/>
          </w:numPr>
          <w:jc w:val="right"/>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17</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4BBA9">
    <w:pPr>
      <w:pStyle w:val="17"/>
      <w:numPr>
        <w:ilvl w:val="0"/>
        <w:numId w:val="2"/>
      </w:numPr>
      <w:rPr>
        <w:rFonts w:ascii="Times New Roman" w:hAnsi="Times New Roman" w:cs="Times New Roman"/>
        <w:sz w:val="28"/>
        <w:szCs w:val="28"/>
      </w:rPr>
    </w:pPr>
    <w:sdt>
      <w:sdtPr>
        <w:id w:val="237143137"/>
        <w:docPartObj>
          <w:docPartGallery w:val="autotext"/>
        </w:docPartObj>
      </w:sdtPr>
      <w:sdtEndPr>
        <w:rPr>
          <w:rFonts w:ascii="Times New Roman" w:hAnsi="Times New Roman" w:cs="Times New Roman"/>
          <w:sz w:val="28"/>
          <w:szCs w:val="28"/>
        </w:rPr>
      </w:sdtEndPr>
      <w:sdtContent>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16</w:t>
        </w:r>
        <w:r>
          <w:rPr>
            <w:rFonts w:ascii="Times New Roman" w:hAnsi="Times New Roman" w:cs="Times New Roman"/>
            <w:sz w:val="28"/>
            <w:szCs w:val="28"/>
          </w:rPr>
          <w:fldChar w:fldCharType="end"/>
        </w:r>
        <w:r>
          <w:rPr>
            <w:rFonts w:ascii="Times New Roman" w:hAnsi="Times New Roman" w:cs="Times New Roman"/>
            <w:sz w:val="28"/>
            <w:szCs w:val="28"/>
          </w:rPr>
          <w:t xml:space="preserve"> —</w:t>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5D37F">
    <w:pPr>
      <w:pStyle w:val="18"/>
      <w:pBdr>
        <w:bottom w:val="none" w:color="auto" w:sz="0" w:space="0"/>
      </w:pBdr>
      <w:rPr>
        <w:rFonts w:ascii="Times New Roman" w:hAnsi="Times New Roman" w:cs="Times New Roman"/>
        <w:sz w:val="28"/>
        <w:szCs w:val="28"/>
      </w:rPr>
    </w:pPr>
  </w:p>
  <w:p w14:paraId="35E477F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4EFD9">
    <w:pPr>
      <w:pStyle w:val="18"/>
      <w:pBdr>
        <w:bottom w:val="none" w:color="auto" w:sz="0" w:space="0"/>
      </w:pBdr>
    </w:pPr>
  </w:p>
  <w:p w14:paraId="0BD2C54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ED7331"/>
    <w:multiLevelType w:val="singleLevel"/>
    <w:tmpl w:val="BDED7331"/>
    <w:lvl w:ilvl="0" w:tentative="0">
      <w:start w:val="1"/>
      <w:numFmt w:val="lowerLetter"/>
      <w:suff w:val="space"/>
      <w:lvlText w:val="（%1）"/>
      <w:lvlJc w:val="left"/>
    </w:lvl>
  </w:abstractNum>
  <w:abstractNum w:abstractNumId="1">
    <w:nsid w:val="1A2A00A7"/>
    <w:multiLevelType w:val="multilevel"/>
    <w:tmpl w:val="1A2A00A7"/>
    <w:lvl w:ilvl="0" w:tentative="0">
      <w:start w:val="0"/>
      <w:numFmt w:val="bullet"/>
      <w:lvlText w:val="—"/>
      <w:lvlJc w:val="left"/>
      <w:pPr>
        <w:ind w:left="360" w:hanging="360"/>
      </w:pPr>
      <w:rPr>
        <w:rFonts w:hint="default" w:ascii="Times New Roman" w:hAnsi="Times New Roman" w:eastAsia="等线"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313E5064"/>
    <w:multiLevelType w:val="multilevel"/>
    <w:tmpl w:val="313E5064"/>
    <w:lvl w:ilvl="0" w:tentative="0">
      <w:start w:val="8"/>
      <w:numFmt w:val="bullet"/>
      <w:lvlText w:val="—"/>
      <w:lvlJc w:val="left"/>
      <w:pPr>
        <w:ind w:left="360" w:hanging="360"/>
      </w:pPr>
      <w:rPr>
        <w:rFonts w:hint="default" w:ascii="Times New Roman" w:hAnsi="Times New Roman" w:eastAsia="等线" w:cs="Times New Roman"/>
        <w:sz w:val="28"/>
        <w:szCs w:val="28"/>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740DDE63"/>
    <w:multiLevelType w:val="multilevel"/>
    <w:tmpl w:val="740DDE63"/>
    <w:lvl w:ilvl="0" w:tentative="0">
      <w:start w:val="1"/>
      <w:numFmt w:val="decimal"/>
      <w:suff w:val="nothing"/>
      <w:lvlText w:val="[%1]"/>
      <w:lvlJc w:val="left"/>
      <w:pPr>
        <w:tabs>
          <w:tab w:val="left" w:pos="0"/>
        </w:tabs>
        <w:ind w:left="0" w:firstLine="60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80"/>
  <w:bordersDoNotSurroundHeader w:val="1"/>
  <w:bordersDoNotSurroundFooter w:val="1"/>
  <w:hideSpellingError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123"/>
    <w:rsid w:val="00002AAD"/>
    <w:rsid w:val="000146D7"/>
    <w:rsid w:val="000329DA"/>
    <w:rsid w:val="000A63C1"/>
    <w:rsid w:val="000D32E0"/>
    <w:rsid w:val="000D4E34"/>
    <w:rsid w:val="00106A9D"/>
    <w:rsid w:val="00114E64"/>
    <w:rsid w:val="00122FBD"/>
    <w:rsid w:val="00134ED0"/>
    <w:rsid w:val="00137012"/>
    <w:rsid w:val="00141273"/>
    <w:rsid w:val="00150E66"/>
    <w:rsid w:val="00151932"/>
    <w:rsid w:val="00184973"/>
    <w:rsid w:val="00191F7A"/>
    <w:rsid w:val="001A4F78"/>
    <w:rsid w:val="001A70F6"/>
    <w:rsid w:val="001B78C4"/>
    <w:rsid w:val="001C4F2E"/>
    <w:rsid w:val="001D11D9"/>
    <w:rsid w:val="001D1A12"/>
    <w:rsid w:val="001F0DF0"/>
    <w:rsid w:val="001F1046"/>
    <w:rsid w:val="00201F93"/>
    <w:rsid w:val="002062EA"/>
    <w:rsid w:val="00217E23"/>
    <w:rsid w:val="00217F03"/>
    <w:rsid w:val="00222BB7"/>
    <w:rsid w:val="00244D02"/>
    <w:rsid w:val="00252B40"/>
    <w:rsid w:val="002548F3"/>
    <w:rsid w:val="00294F3C"/>
    <w:rsid w:val="00295409"/>
    <w:rsid w:val="00295F3E"/>
    <w:rsid w:val="002B2CA7"/>
    <w:rsid w:val="002D5575"/>
    <w:rsid w:val="002F062A"/>
    <w:rsid w:val="002F557C"/>
    <w:rsid w:val="003079E8"/>
    <w:rsid w:val="003100D4"/>
    <w:rsid w:val="003438E9"/>
    <w:rsid w:val="0035732D"/>
    <w:rsid w:val="0036717C"/>
    <w:rsid w:val="003832CA"/>
    <w:rsid w:val="00386FA0"/>
    <w:rsid w:val="00390CE2"/>
    <w:rsid w:val="00393EFB"/>
    <w:rsid w:val="003953C8"/>
    <w:rsid w:val="003B7510"/>
    <w:rsid w:val="003F0E18"/>
    <w:rsid w:val="004067A3"/>
    <w:rsid w:val="00412EF1"/>
    <w:rsid w:val="004146BD"/>
    <w:rsid w:val="004150EE"/>
    <w:rsid w:val="0041585F"/>
    <w:rsid w:val="00417976"/>
    <w:rsid w:val="004214A4"/>
    <w:rsid w:val="004246F2"/>
    <w:rsid w:val="00436D1B"/>
    <w:rsid w:val="004627AE"/>
    <w:rsid w:val="00480C25"/>
    <w:rsid w:val="00482972"/>
    <w:rsid w:val="00483ECD"/>
    <w:rsid w:val="004871DF"/>
    <w:rsid w:val="00494D22"/>
    <w:rsid w:val="004A31E1"/>
    <w:rsid w:val="004A429D"/>
    <w:rsid w:val="004B1017"/>
    <w:rsid w:val="004F2884"/>
    <w:rsid w:val="004F486F"/>
    <w:rsid w:val="005040E6"/>
    <w:rsid w:val="00510DB3"/>
    <w:rsid w:val="00580051"/>
    <w:rsid w:val="005C6177"/>
    <w:rsid w:val="005D5360"/>
    <w:rsid w:val="005D5874"/>
    <w:rsid w:val="005D71E7"/>
    <w:rsid w:val="0060513F"/>
    <w:rsid w:val="0060713A"/>
    <w:rsid w:val="00615B40"/>
    <w:rsid w:val="0061625D"/>
    <w:rsid w:val="00616661"/>
    <w:rsid w:val="00617194"/>
    <w:rsid w:val="0063084F"/>
    <w:rsid w:val="00631AA9"/>
    <w:rsid w:val="00635BFE"/>
    <w:rsid w:val="006370A5"/>
    <w:rsid w:val="006376F5"/>
    <w:rsid w:val="00640B84"/>
    <w:rsid w:val="00641D70"/>
    <w:rsid w:val="006515C5"/>
    <w:rsid w:val="00651DCB"/>
    <w:rsid w:val="00664817"/>
    <w:rsid w:val="0066775D"/>
    <w:rsid w:val="00690E61"/>
    <w:rsid w:val="006C0F4B"/>
    <w:rsid w:val="006E697B"/>
    <w:rsid w:val="00710650"/>
    <w:rsid w:val="007459D2"/>
    <w:rsid w:val="00745B62"/>
    <w:rsid w:val="0078788F"/>
    <w:rsid w:val="0079267F"/>
    <w:rsid w:val="007A5573"/>
    <w:rsid w:val="007A7B0C"/>
    <w:rsid w:val="007B226A"/>
    <w:rsid w:val="00807022"/>
    <w:rsid w:val="00814D41"/>
    <w:rsid w:val="00821123"/>
    <w:rsid w:val="00822C26"/>
    <w:rsid w:val="00822C68"/>
    <w:rsid w:val="00827ED2"/>
    <w:rsid w:val="00831214"/>
    <w:rsid w:val="00844620"/>
    <w:rsid w:val="00857E8D"/>
    <w:rsid w:val="00860D78"/>
    <w:rsid w:val="00866BF0"/>
    <w:rsid w:val="00875AE8"/>
    <w:rsid w:val="00894CA1"/>
    <w:rsid w:val="008A50D5"/>
    <w:rsid w:val="008A7314"/>
    <w:rsid w:val="008C7889"/>
    <w:rsid w:val="008D589E"/>
    <w:rsid w:val="008E64B6"/>
    <w:rsid w:val="00962F71"/>
    <w:rsid w:val="0099578F"/>
    <w:rsid w:val="009C0679"/>
    <w:rsid w:val="009C7F29"/>
    <w:rsid w:val="009D2C2D"/>
    <w:rsid w:val="009D751B"/>
    <w:rsid w:val="009E0C86"/>
    <w:rsid w:val="009F46C1"/>
    <w:rsid w:val="00A16C43"/>
    <w:rsid w:val="00A21DA8"/>
    <w:rsid w:val="00A346B7"/>
    <w:rsid w:val="00A650B1"/>
    <w:rsid w:val="00A81F0C"/>
    <w:rsid w:val="00AA7E86"/>
    <w:rsid w:val="00AF37DC"/>
    <w:rsid w:val="00B2671F"/>
    <w:rsid w:val="00B2724F"/>
    <w:rsid w:val="00B27B9C"/>
    <w:rsid w:val="00B35B77"/>
    <w:rsid w:val="00B52670"/>
    <w:rsid w:val="00B539BD"/>
    <w:rsid w:val="00B61E5F"/>
    <w:rsid w:val="00B7255B"/>
    <w:rsid w:val="00B970D9"/>
    <w:rsid w:val="00BB26D7"/>
    <w:rsid w:val="00BD3433"/>
    <w:rsid w:val="00BD5BB8"/>
    <w:rsid w:val="00BE6AAA"/>
    <w:rsid w:val="00BF33A6"/>
    <w:rsid w:val="00C10FD2"/>
    <w:rsid w:val="00C25443"/>
    <w:rsid w:val="00C421D8"/>
    <w:rsid w:val="00C77C14"/>
    <w:rsid w:val="00CA15D0"/>
    <w:rsid w:val="00CB40F3"/>
    <w:rsid w:val="00CC15CF"/>
    <w:rsid w:val="00CC7810"/>
    <w:rsid w:val="00CD7359"/>
    <w:rsid w:val="00CE7716"/>
    <w:rsid w:val="00CF3E07"/>
    <w:rsid w:val="00D0654B"/>
    <w:rsid w:val="00D2114A"/>
    <w:rsid w:val="00D22218"/>
    <w:rsid w:val="00D31360"/>
    <w:rsid w:val="00D57B53"/>
    <w:rsid w:val="00D9244F"/>
    <w:rsid w:val="00D941BF"/>
    <w:rsid w:val="00D96564"/>
    <w:rsid w:val="00DA3197"/>
    <w:rsid w:val="00DB285C"/>
    <w:rsid w:val="00DB63E0"/>
    <w:rsid w:val="00DC2A13"/>
    <w:rsid w:val="00DE4529"/>
    <w:rsid w:val="00DF1104"/>
    <w:rsid w:val="00DF487B"/>
    <w:rsid w:val="00DF6A15"/>
    <w:rsid w:val="00E1589F"/>
    <w:rsid w:val="00E2148D"/>
    <w:rsid w:val="00E22FA3"/>
    <w:rsid w:val="00E42413"/>
    <w:rsid w:val="00E84CB3"/>
    <w:rsid w:val="00E917E5"/>
    <w:rsid w:val="00EC5105"/>
    <w:rsid w:val="00F017EC"/>
    <w:rsid w:val="00F1084F"/>
    <w:rsid w:val="00F31C51"/>
    <w:rsid w:val="00F32980"/>
    <w:rsid w:val="00F448B0"/>
    <w:rsid w:val="00F44E8C"/>
    <w:rsid w:val="00F82827"/>
    <w:rsid w:val="00F83687"/>
    <w:rsid w:val="00F83D79"/>
    <w:rsid w:val="00F91F4F"/>
    <w:rsid w:val="00FA53B8"/>
    <w:rsid w:val="00FA576D"/>
    <w:rsid w:val="00FE498C"/>
    <w:rsid w:val="00FE4E41"/>
    <w:rsid w:val="00FF31AA"/>
    <w:rsid w:val="00FF6DAE"/>
    <w:rsid w:val="2FEFE8ED"/>
    <w:rsid w:val="5B4CE1C8"/>
    <w:rsid w:val="5EC78E9D"/>
    <w:rsid w:val="5F6F84C6"/>
    <w:rsid w:val="5FCF9D88"/>
    <w:rsid w:val="5FFFF554"/>
    <w:rsid w:val="67FDD528"/>
    <w:rsid w:val="74CF4F7C"/>
    <w:rsid w:val="779F0ECF"/>
    <w:rsid w:val="77FF9182"/>
    <w:rsid w:val="7B7FF20D"/>
    <w:rsid w:val="7F65C613"/>
    <w:rsid w:val="7F72065F"/>
    <w:rsid w:val="7FFF2DB7"/>
    <w:rsid w:val="9BE7C921"/>
    <w:rsid w:val="9EFFB1E6"/>
    <w:rsid w:val="B47C4971"/>
    <w:rsid w:val="BF6DABFA"/>
    <w:rsid w:val="BFE5054F"/>
    <w:rsid w:val="BFFFF4A9"/>
    <w:rsid w:val="CAEE8C81"/>
    <w:rsid w:val="CF559D15"/>
    <w:rsid w:val="D3F70844"/>
    <w:rsid w:val="D6FDD1BD"/>
    <w:rsid w:val="E7FB682F"/>
    <w:rsid w:val="F7FBCDA0"/>
    <w:rsid w:val="FA2BF3EF"/>
    <w:rsid w:val="FBFF646C"/>
    <w:rsid w:val="FDBB95F4"/>
    <w:rsid w:val="FEB79D65"/>
    <w:rsid w:val="FF1F3E30"/>
    <w:rsid w:val="FFB7E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nhideWhenUsed="0" w:uiPriority="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autoRedefine/>
    <w:qFormat/>
    <w:uiPriority w:val="0"/>
    <w:pPr>
      <w:keepNext/>
      <w:keepLines/>
      <w:spacing w:before="340" w:after="330" w:line="578" w:lineRule="auto"/>
      <w:outlineLvl w:val="0"/>
    </w:pPr>
    <w:rPr>
      <w:rFonts w:asciiTheme="minorHAnsi" w:hAnsiTheme="minorHAnsi" w:eastAsiaTheme="minorEastAsia" w:cstheme="minorBidi"/>
      <w:b/>
      <w:bCs/>
      <w:kern w:val="44"/>
      <w:sz w:val="44"/>
      <w:szCs w:val="44"/>
    </w:rPr>
  </w:style>
  <w:style w:type="paragraph" w:styleId="3">
    <w:name w:val="heading 2"/>
    <w:basedOn w:val="1"/>
    <w:next w:val="1"/>
    <w:link w:val="31"/>
    <w:unhideWhenUsed/>
    <w:qFormat/>
    <w:uiPriority w:val="0"/>
    <w:pPr>
      <w:keepNext/>
      <w:keepLines/>
      <w:spacing w:line="360" w:lineRule="auto"/>
      <w:ind w:firstLine="200" w:firstLineChars="200"/>
      <w:outlineLvl w:val="1"/>
    </w:pPr>
    <w:rPr>
      <w:rFonts w:eastAsia="黑体" w:asciiTheme="majorHAnsi" w:hAnsiTheme="majorHAnsi" w:cstheme="majorBidi"/>
      <w:bCs/>
      <w:sz w:val="32"/>
      <w:szCs w:val="32"/>
    </w:rPr>
  </w:style>
  <w:style w:type="paragraph" w:styleId="4">
    <w:name w:val="heading 3"/>
    <w:basedOn w:val="1"/>
    <w:next w:val="1"/>
    <w:link w:val="32"/>
    <w:qFormat/>
    <w:uiPriority w:val="0"/>
    <w:pPr>
      <w:keepNext/>
      <w:keepLines/>
      <w:spacing w:before="260" w:after="260" w:line="416" w:lineRule="auto"/>
      <w:outlineLvl w:val="2"/>
    </w:pPr>
    <w:rPr>
      <w:b/>
      <w:bCs/>
      <w:sz w:val="32"/>
      <w:szCs w:val="32"/>
    </w:rPr>
  </w:style>
  <w:style w:type="paragraph" w:styleId="5">
    <w:name w:val="heading 4"/>
    <w:basedOn w:val="1"/>
    <w:next w:val="1"/>
    <w:link w:val="33"/>
    <w:qFormat/>
    <w:uiPriority w:val="0"/>
    <w:pPr>
      <w:keepNext/>
      <w:keepLines/>
      <w:spacing w:before="280" w:after="290" w:line="376" w:lineRule="auto"/>
      <w:outlineLvl w:val="3"/>
    </w:pPr>
    <w:rPr>
      <w:rFonts w:ascii="Calibri Light" w:hAnsi="Calibri Light"/>
      <w:b/>
      <w:bCs/>
      <w:sz w:val="28"/>
      <w:szCs w:val="28"/>
    </w:rPr>
  </w:style>
  <w:style w:type="paragraph" w:styleId="6">
    <w:name w:val="heading 5"/>
    <w:basedOn w:val="1"/>
    <w:next w:val="1"/>
    <w:link w:val="34"/>
    <w:qFormat/>
    <w:uiPriority w:val="0"/>
    <w:pPr>
      <w:keepNext/>
      <w:keepLines/>
      <w:spacing w:before="280" w:after="290" w:line="376" w:lineRule="auto"/>
      <w:outlineLvl w:val="4"/>
    </w:pPr>
    <w:rPr>
      <w:b/>
      <w:bCs/>
      <w:sz w:val="28"/>
      <w:szCs w:val="28"/>
    </w:rPr>
  </w:style>
  <w:style w:type="paragraph" w:styleId="7">
    <w:name w:val="heading 6"/>
    <w:basedOn w:val="1"/>
    <w:next w:val="1"/>
    <w:link w:val="35"/>
    <w:qFormat/>
    <w:uiPriority w:val="0"/>
    <w:pPr>
      <w:keepNext/>
      <w:keepLines/>
      <w:spacing w:before="240" w:after="64" w:line="320" w:lineRule="auto"/>
      <w:outlineLvl w:val="5"/>
    </w:pPr>
    <w:rPr>
      <w:rFonts w:ascii="Calibri Light" w:hAnsi="Calibri Light"/>
      <w:b/>
      <w:bCs/>
      <w:sz w:val="24"/>
    </w:rPr>
  </w:style>
  <w:style w:type="paragraph" w:styleId="8">
    <w:name w:val="heading 7"/>
    <w:basedOn w:val="1"/>
    <w:next w:val="1"/>
    <w:link w:val="36"/>
    <w:qFormat/>
    <w:uiPriority w:val="0"/>
    <w:pPr>
      <w:keepNext/>
      <w:keepLines/>
      <w:spacing w:before="240" w:after="64" w:line="320" w:lineRule="auto"/>
      <w:outlineLvl w:val="6"/>
    </w:pPr>
    <w:rPr>
      <w:b/>
      <w:bCs/>
      <w:sz w:val="24"/>
    </w:rPr>
  </w:style>
  <w:style w:type="paragraph" w:styleId="9">
    <w:name w:val="heading 8"/>
    <w:basedOn w:val="1"/>
    <w:next w:val="1"/>
    <w:link w:val="37"/>
    <w:qFormat/>
    <w:uiPriority w:val="0"/>
    <w:pPr>
      <w:keepNext/>
      <w:keepLines/>
      <w:spacing w:before="240" w:after="64" w:line="320" w:lineRule="auto"/>
      <w:outlineLvl w:val="7"/>
    </w:pPr>
    <w:rPr>
      <w:rFonts w:ascii="Calibri Light" w:hAnsi="Calibri Light"/>
      <w:sz w:val="24"/>
    </w:rPr>
  </w:style>
  <w:style w:type="paragraph" w:styleId="10">
    <w:name w:val="heading 9"/>
    <w:basedOn w:val="1"/>
    <w:next w:val="1"/>
    <w:link w:val="38"/>
    <w:unhideWhenUsed/>
    <w:qFormat/>
    <w:uiPriority w:val="0"/>
    <w:pPr>
      <w:keepNext/>
      <w:keepLines/>
      <w:spacing w:before="240" w:after="64" w:line="320" w:lineRule="auto"/>
      <w:outlineLvl w:val="8"/>
    </w:pPr>
    <w:rPr>
      <w:rFonts w:ascii="等线 Light" w:hAnsi="等线 Light" w:eastAsia="等线 Light"/>
      <w:szCs w:val="21"/>
    </w:rPr>
  </w:style>
  <w:style w:type="character" w:default="1" w:styleId="24">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11">
    <w:name w:val="Document Map"/>
    <w:basedOn w:val="1"/>
    <w:link w:val="52"/>
    <w:semiHidden/>
    <w:uiPriority w:val="0"/>
    <w:pPr>
      <w:shd w:val="clear" w:color="auto" w:fill="000080"/>
    </w:pPr>
  </w:style>
  <w:style w:type="paragraph" w:styleId="12">
    <w:name w:val="annotation text"/>
    <w:basedOn w:val="1"/>
    <w:link w:val="47"/>
    <w:unhideWhenUsed/>
    <w:qFormat/>
    <w:uiPriority w:val="0"/>
    <w:pPr>
      <w:jc w:val="left"/>
    </w:pPr>
    <w:rPr>
      <w:rFonts w:ascii="宋体" w:hAnsi="宋体" w:cs="宋体"/>
      <w:sz w:val="24"/>
    </w:rPr>
  </w:style>
  <w:style w:type="paragraph" w:styleId="13">
    <w:name w:val="Body Text"/>
    <w:basedOn w:val="1"/>
    <w:link w:val="51"/>
    <w:qFormat/>
    <w:uiPriority w:val="0"/>
    <w:pPr>
      <w:spacing w:after="120"/>
    </w:pPr>
    <w:rPr>
      <w:rFonts w:eastAsiaTheme="minorEastAsia" w:cstheme="minorBidi"/>
    </w:rPr>
  </w:style>
  <w:style w:type="paragraph" w:styleId="14">
    <w:name w:val="Plain Text"/>
    <w:basedOn w:val="1"/>
    <w:link w:val="41"/>
    <w:unhideWhenUsed/>
    <w:qFormat/>
    <w:uiPriority w:val="99"/>
    <w:rPr>
      <w:rFonts w:ascii="宋体" w:hAnsi="Courier New" w:cs="Courier New"/>
      <w:szCs w:val="21"/>
    </w:rPr>
  </w:style>
  <w:style w:type="paragraph" w:styleId="15">
    <w:name w:val="Date"/>
    <w:basedOn w:val="1"/>
    <w:next w:val="1"/>
    <w:link w:val="49"/>
    <w:qFormat/>
    <w:uiPriority w:val="0"/>
    <w:pPr>
      <w:ind w:left="100" w:leftChars="2500"/>
    </w:pPr>
    <w:rPr>
      <w:rFonts w:asciiTheme="minorHAnsi" w:hAnsiTheme="minorHAnsi" w:eastAsiaTheme="minorEastAsia" w:cstheme="minorBidi"/>
    </w:rPr>
  </w:style>
  <w:style w:type="paragraph" w:styleId="16">
    <w:name w:val="Balloon Text"/>
    <w:basedOn w:val="1"/>
    <w:link w:val="44"/>
    <w:semiHidden/>
    <w:unhideWhenUsed/>
    <w:qFormat/>
    <w:uiPriority w:val="0"/>
    <w:rPr>
      <w:sz w:val="18"/>
      <w:szCs w:val="18"/>
    </w:rPr>
  </w:style>
  <w:style w:type="paragraph" w:styleId="17">
    <w:name w:val="footer"/>
    <w:basedOn w:val="1"/>
    <w:link w:val="4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8">
    <w:name w:val="header"/>
    <w:basedOn w:val="1"/>
    <w:link w:val="3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9">
    <w:name w:val="footnote text"/>
    <w:basedOn w:val="1"/>
    <w:link w:val="59"/>
    <w:unhideWhenUsed/>
    <w:qFormat/>
    <w:uiPriority w:val="0"/>
    <w:pPr>
      <w:snapToGrid w:val="0"/>
      <w:jc w:val="left"/>
    </w:pPr>
    <w:rPr>
      <w:rFonts w:eastAsia="Adobe 仿宋 Std R"/>
      <w:sz w:val="18"/>
      <w:szCs w:val="18"/>
    </w:rPr>
  </w:style>
  <w:style w:type="paragraph" w:styleId="2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1">
    <w:name w:val="annotation subject"/>
    <w:basedOn w:val="12"/>
    <w:next w:val="12"/>
    <w:link w:val="50"/>
    <w:qFormat/>
    <w:uiPriority w:val="0"/>
    <w:rPr>
      <w:rFonts w:asciiTheme="minorHAnsi" w:hAnsiTheme="minorHAnsi" w:eastAsiaTheme="minorEastAsia" w:cstheme="minorBidi"/>
      <w:b/>
      <w:bCs/>
      <w:sz w:val="21"/>
    </w:rPr>
  </w:style>
  <w:style w:type="table" w:styleId="23">
    <w:name w:val="Table Grid"/>
    <w:basedOn w:val="22"/>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qFormat/>
    <w:uiPriority w:val="0"/>
  </w:style>
  <w:style w:type="character" w:styleId="26">
    <w:name w:val="line number"/>
    <w:qFormat/>
    <w:uiPriority w:val="0"/>
  </w:style>
  <w:style w:type="character" w:styleId="27">
    <w:name w:val="Hyperlink"/>
    <w:basedOn w:val="24"/>
    <w:qFormat/>
    <w:uiPriority w:val="0"/>
    <w:rPr>
      <w:color w:val="0000FF"/>
      <w:u w:val="single"/>
    </w:rPr>
  </w:style>
  <w:style w:type="character" w:styleId="28">
    <w:name w:val="annotation reference"/>
    <w:qFormat/>
    <w:uiPriority w:val="99"/>
    <w:rPr>
      <w:sz w:val="21"/>
      <w:szCs w:val="21"/>
    </w:rPr>
  </w:style>
  <w:style w:type="character" w:styleId="29">
    <w:name w:val="footnote reference"/>
    <w:unhideWhenUsed/>
    <w:qFormat/>
    <w:uiPriority w:val="0"/>
    <w:rPr>
      <w:vertAlign w:val="superscript"/>
    </w:rPr>
  </w:style>
  <w:style w:type="character" w:customStyle="1" w:styleId="30">
    <w:name w:val="标题 1 字符"/>
    <w:basedOn w:val="24"/>
    <w:link w:val="2"/>
    <w:qFormat/>
    <w:uiPriority w:val="0"/>
    <w:rPr>
      <w:b/>
      <w:bCs/>
      <w:kern w:val="44"/>
      <w:sz w:val="44"/>
      <w:szCs w:val="44"/>
    </w:rPr>
  </w:style>
  <w:style w:type="character" w:customStyle="1" w:styleId="31">
    <w:name w:val="标题 2 字符"/>
    <w:basedOn w:val="24"/>
    <w:link w:val="3"/>
    <w:qFormat/>
    <w:uiPriority w:val="0"/>
    <w:rPr>
      <w:rFonts w:eastAsia="黑体" w:asciiTheme="majorHAnsi" w:hAnsiTheme="majorHAnsi" w:cstheme="majorBidi"/>
      <w:bCs/>
      <w:sz w:val="32"/>
      <w:szCs w:val="32"/>
    </w:rPr>
  </w:style>
  <w:style w:type="character" w:customStyle="1" w:styleId="32">
    <w:name w:val="标题 3 字符"/>
    <w:basedOn w:val="24"/>
    <w:link w:val="4"/>
    <w:qFormat/>
    <w:uiPriority w:val="0"/>
    <w:rPr>
      <w:rFonts w:ascii="Times New Roman" w:hAnsi="Times New Roman" w:eastAsia="宋体" w:cs="Times New Roman"/>
      <w:b/>
      <w:bCs/>
      <w:sz w:val="32"/>
      <w:szCs w:val="32"/>
    </w:rPr>
  </w:style>
  <w:style w:type="character" w:customStyle="1" w:styleId="33">
    <w:name w:val="标题 4 字符"/>
    <w:basedOn w:val="24"/>
    <w:link w:val="5"/>
    <w:uiPriority w:val="0"/>
    <w:rPr>
      <w:rFonts w:ascii="Calibri Light" w:hAnsi="Calibri Light" w:eastAsia="宋体" w:cs="Times New Roman"/>
      <w:b/>
      <w:bCs/>
      <w:sz w:val="28"/>
      <w:szCs w:val="28"/>
    </w:rPr>
  </w:style>
  <w:style w:type="character" w:customStyle="1" w:styleId="34">
    <w:name w:val="标题 5 字符"/>
    <w:basedOn w:val="24"/>
    <w:link w:val="6"/>
    <w:uiPriority w:val="0"/>
    <w:rPr>
      <w:rFonts w:ascii="Times New Roman" w:hAnsi="Times New Roman" w:eastAsia="宋体" w:cs="Times New Roman"/>
      <w:b/>
      <w:bCs/>
      <w:sz w:val="28"/>
      <w:szCs w:val="28"/>
    </w:rPr>
  </w:style>
  <w:style w:type="character" w:customStyle="1" w:styleId="35">
    <w:name w:val="标题 6 字符"/>
    <w:basedOn w:val="24"/>
    <w:link w:val="7"/>
    <w:qFormat/>
    <w:uiPriority w:val="0"/>
    <w:rPr>
      <w:rFonts w:ascii="Calibri Light" w:hAnsi="Calibri Light" w:eastAsia="宋体" w:cs="Times New Roman"/>
      <w:b/>
      <w:bCs/>
      <w:sz w:val="24"/>
      <w:szCs w:val="24"/>
    </w:rPr>
  </w:style>
  <w:style w:type="character" w:customStyle="1" w:styleId="36">
    <w:name w:val="标题 7 字符"/>
    <w:basedOn w:val="24"/>
    <w:link w:val="8"/>
    <w:qFormat/>
    <w:uiPriority w:val="0"/>
    <w:rPr>
      <w:rFonts w:ascii="Times New Roman" w:hAnsi="Times New Roman" w:eastAsia="宋体" w:cs="Times New Roman"/>
      <w:b/>
      <w:bCs/>
      <w:sz w:val="24"/>
      <w:szCs w:val="24"/>
    </w:rPr>
  </w:style>
  <w:style w:type="character" w:customStyle="1" w:styleId="37">
    <w:name w:val="标题 8 字符"/>
    <w:basedOn w:val="24"/>
    <w:link w:val="9"/>
    <w:qFormat/>
    <w:uiPriority w:val="0"/>
    <w:rPr>
      <w:rFonts w:ascii="Calibri Light" w:hAnsi="Calibri Light" w:eastAsia="宋体" w:cs="Times New Roman"/>
      <w:sz w:val="24"/>
      <w:szCs w:val="24"/>
    </w:rPr>
  </w:style>
  <w:style w:type="character" w:customStyle="1" w:styleId="38">
    <w:name w:val="标题 9 字符"/>
    <w:basedOn w:val="24"/>
    <w:link w:val="10"/>
    <w:uiPriority w:val="0"/>
    <w:rPr>
      <w:rFonts w:ascii="等线 Light" w:hAnsi="等线 Light" w:eastAsia="等线 Light" w:cs="Times New Roman"/>
      <w:szCs w:val="21"/>
    </w:rPr>
  </w:style>
  <w:style w:type="character" w:customStyle="1" w:styleId="39">
    <w:name w:val="页眉 字符"/>
    <w:basedOn w:val="24"/>
    <w:link w:val="18"/>
    <w:uiPriority w:val="99"/>
    <w:rPr>
      <w:sz w:val="18"/>
      <w:szCs w:val="18"/>
    </w:rPr>
  </w:style>
  <w:style w:type="character" w:customStyle="1" w:styleId="40">
    <w:name w:val="页脚 字符"/>
    <w:basedOn w:val="24"/>
    <w:link w:val="17"/>
    <w:qFormat/>
    <w:uiPriority w:val="99"/>
    <w:rPr>
      <w:sz w:val="18"/>
      <w:szCs w:val="18"/>
    </w:rPr>
  </w:style>
  <w:style w:type="character" w:customStyle="1" w:styleId="41">
    <w:name w:val="纯文本 字符"/>
    <w:basedOn w:val="24"/>
    <w:link w:val="14"/>
    <w:qFormat/>
    <w:uiPriority w:val="99"/>
    <w:rPr>
      <w:rFonts w:ascii="宋体" w:hAnsi="Courier New" w:eastAsia="宋体" w:cs="Courier New"/>
      <w:szCs w:val="21"/>
    </w:rPr>
  </w:style>
  <w:style w:type="character" w:customStyle="1" w:styleId="42">
    <w:name w:val="Font Style47"/>
    <w:autoRedefine/>
    <w:qFormat/>
    <w:uiPriority w:val="0"/>
    <w:rPr>
      <w:rFonts w:ascii="Times New Roman" w:hAnsi="Times New Roman" w:cs="Times New Roman"/>
      <w:sz w:val="22"/>
      <w:szCs w:val="22"/>
    </w:rPr>
  </w:style>
  <w:style w:type="paragraph" w:styleId="43">
    <w:name w:val="List Paragraph"/>
    <w:basedOn w:val="1"/>
    <w:autoRedefine/>
    <w:qFormat/>
    <w:uiPriority w:val="34"/>
    <w:pPr>
      <w:ind w:firstLine="420" w:firstLineChars="200"/>
    </w:pPr>
    <w:rPr>
      <w:rFonts w:asciiTheme="minorHAnsi" w:hAnsiTheme="minorHAnsi" w:eastAsiaTheme="minorEastAsia" w:cstheme="minorBidi"/>
      <w:szCs w:val="22"/>
    </w:rPr>
  </w:style>
  <w:style w:type="character" w:customStyle="1" w:styleId="44">
    <w:name w:val="批注框文本 字符"/>
    <w:basedOn w:val="24"/>
    <w:link w:val="16"/>
    <w:semiHidden/>
    <w:uiPriority w:val="99"/>
    <w:rPr>
      <w:rFonts w:ascii="Times New Roman" w:hAnsi="Times New Roman" w:eastAsia="宋体" w:cs="Times New Roman"/>
      <w:sz w:val="18"/>
      <w:szCs w:val="18"/>
    </w:rPr>
  </w:style>
  <w:style w:type="paragraph" w:styleId="4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列出段落2"/>
    <w:basedOn w:val="1"/>
    <w:qFormat/>
    <w:uiPriority w:val="0"/>
    <w:pPr>
      <w:widowControl/>
      <w:ind w:firstLine="420" w:firstLineChars="200"/>
      <w:jc w:val="left"/>
    </w:pPr>
    <w:rPr>
      <w:rFonts w:ascii="宋体" w:hAnsi="宋体" w:cs="宋体"/>
      <w:kern w:val="0"/>
      <w:sz w:val="24"/>
    </w:rPr>
  </w:style>
  <w:style w:type="character" w:customStyle="1" w:styleId="47">
    <w:name w:val="批注文字 字符"/>
    <w:basedOn w:val="24"/>
    <w:link w:val="12"/>
    <w:qFormat/>
    <w:uiPriority w:val="0"/>
    <w:rPr>
      <w:rFonts w:ascii="宋体" w:hAnsi="宋体" w:eastAsia="宋体" w:cs="宋体"/>
      <w:sz w:val="24"/>
      <w:szCs w:val="24"/>
    </w:rPr>
  </w:style>
  <w:style w:type="paragraph" w:customStyle="1" w:styleId="48">
    <w:name w:val="列出段落1"/>
    <w:basedOn w:val="1"/>
    <w:qFormat/>
    <w:uiPriority w:val="34"/>
    <w:pPr>
      <w:ind w:firstLine="420" w:firstLineChars="200"/>
    </w:pPr>
    <w:rPr>
      <w:rFonts w:ascii="Calibri" w:hAnsi="Calibri" w:cs="黑体"/>
      <w:szCs w:val="22"/>
    </w:rPr>
  </w:style>
  <w:style w:type="character" w:customStyle="1" w:styleId="49">
    <w:name w:val="日期 字符"/>
    <w:link w:val="15"/>
    <w:qFormat/>
    <w:uiPriority w:val="0"/>
    <w:rPr>
      <w:szCs w:val="24"/>
    </w:rPr>
  </w:style>
  <w:style w:type="character" w:customStyle="1" w:styleId="50">
    <w:name w:val="批注主题 字符"/>
    <w:link w:val="21"/>
    <w:qFormat/>
    <w:uiPriority w:val="0"/>
    <w:rPr>
      <w:b/>
      <w:bCs/>
      <w:szCs w:val="24"/>
    </w:rPr>
  </w:style>
  <w:style w:type="character" w:customStyle="1" w:styleId="51">
    <w:name w:val="正文文本 字符"/>
    <w:link w:val="13"/>
    <w:qFormat/>
    <w:uiPriority w:val="0"/>
    <w:rPr>
      <w:rFonts w:ascii="Times New Roman" w:hAnsi="Times New Roman"/>
      <w:szCs w:val="24"/>
    </w:rPr>
  </w:style>
  <w:style w:type="character" w:customStyle="1" w:styleId="52">
    <w:name w:val="文档结构图 字符"/>
    <w:basedOn w:val="24"/>
    <w:link w:val="11"/>
    <w:semiHidden/>
    <w:uiPriority w:val="0"/>
    <w:rPr>
      <w:rFonts w:ascii="Times New Roman" w:hAnsi="Times New Roman" w:eastAsia="宋体" w:cs="Times New Roman"/>
      <w:szCs w:val="24"/>
      <w:shd w:val="clear" w:color="auto" w:fill="000080"/>
    </w:rPr>
  </w:style>
  <w:style w:type="character" w:customStyle="1" w:styleId="53">
    <w:name w:val="日期 字符1"/>
    <w:basedOn w:val="24"/>
    <w:semiHidden/>
    <w:uiPriority w:val="99"/>
    <w:rPr>
      <w:rFonts w:ascii="Times New Roman" w:hAnsi="Times New Roman" w:eastAsia="宋体" w:cs="Times New Roman"/>
      <w:szCs w:val="24"/>
    </w:rPr>
  </w:style>
  <w:style w:type="character" w:customStyle="1" w:styleId="54">
    <w:name w:val="正文文本 字符1"/>
    <w:basedOn w:val="24"/>
    <w:semiHidden/>
    <w:uiPriority w:val="99"/>
    <w:rPr>
      <w:rFonts w:ascii="Times New Roman" w:hAnsi="Times New Roman" w:eastAsia="宋体" w:cs="Times New Roman"/>
      <w:szCs w:val="24"/>
    </w:rPr>
  </w:style>
  <w:style w:type="character" w:customStyle="1" w:styleId="55">
    <w:name w:val="批注主题 字符1"/>
    <w:basedOn w:val="47"/>
    <w:semiHidden/>
    <w:uiPriority w:val="99"/>
    <w:rPr>
      <w:rFonts w:ascii="Times New Roman" w:hAnsi="Times New Roman" w:eastAsia="宋体" w:cs="Times New Roman"/>
      <w:b/>
      <w:bCs/>
      <w:sz w:val="24"/>
      <w:szCs w:val="24"/>
    </w:rPr>
  </w:style>
  <w:style w:type="paragraph" w:customStyle="1" w:styleId="56">
    <w:name w:val="Revision"/>
    <w:hidden/>
    <w:unhideWhenUsed/>
    <w:uiPriority w:val="99"/>
    <w:rPr>
      <w:rFonts w:ascii="Times New Roman" w:hAnsi="Times New Roman" w:eastAsia="宋体" w:cs="Times New Roman"/>
      <w:kern w:val="2"/>
      <w:sz w:val="21"/>
      <w:szCs w:val="24"/>
      <w:lang w:val="en-US" w:eastAsia="zh-CN" w:bidi="ar-SA"/>
    </w:rPr>
  </w:style>
  <w:style w:type="paragraph" w:customStyle="1" w:styleId="57">
    <w:name w:val="Default"/>
    <w:qFormat/>
    <w:uiPriority w:val="0"/>
    <w:pPr>
      <w:widowControl w:val="0"/>
      <w:autoSpaceDE w:val="0"/>
      <w:autoSpaceDN w:val="0"/>
      <w:adjustRightInd w:val="0"/>
    </w:pPr>
    <w:rPr>
      <w:rFonts w:ascii="黑体" w:hAnsi="Times New Roman" w:eastAsia="黑体" w:cs="黑体"/>
      <w:color w:val="000000"/>
      <w:kern w:val="0"/>
      <w:sz w:val="24"/>
      <w:szCs w:val="24"/>
      <w:lang w:val="en-US" w:eastAsia="zh-CN" w:bidi="ar-SA"/>
    </w:rPr>
  </w:style>
  <w:style w:type="paragraph" w:customStyle="1" w:styleId="58">
    <w:name w:val="普通(Web)"/>
    <w:basedOn w:val="1"/>
    <w:qFormat/>
    <w:uiPriority w:val="0"/>
    <w:pPr>
      <w:widowControl/>
      <w:spacing w:before="100" w:beforeAutospacing="1" w:after="100" w:afterAutospacing="1"/>
      <w:jc w:val="left"/>
    </w:pPr>
    <w:rPr>
      <w:rFonts w:ascii="宋体" w:hAnsi="宋体"/>
      <w:color w:val="000000"/>
      <w:kern w:val="0"/>
      <w:sz w:val="24"/>
    </w:rPr>
  </w:style>
  <w:style w:type="character" w:customStyle="1" w:styleId="59">
    <w:name w:val="脚注文本 字符"/>
    <w:basedOn w:val="24"/>
    <w:link w:val="19"/>
    <w:semiHidden/>
    <w:uiPriority w:val="99"/>
    <w:rPr>
      <w:rFonts w:ascii="Times New Roman" w:hAnsi="Times New Roman" w:eastAsia="Adobe 仿宋 Std R" w:cs="Times New Roman"/>
      <w:sz w:val="18"/>
      <w:szCs w:val="18"/>
    </w:rPr>
  </w:style>
  <w:style w:type="character" w:customStyle="1" w:styleId="60">
    <w:name w:val="Font Style42"/>
    <w:qFormat/>
    <w:uiPriority w:val="0"/>
    <w:rPr>
      <w:rFonts w:ascii="Times New Roman" w:hAnsi="Times New Roman" w:cs="Times New Roman"/>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E63A6F09-F31C-4140-B1DB-0398CEA3537B}">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12</Pages>
  <Words>1482</Words>
  <Characters>8452</Characters>
  <Lines>70</Lines>
  <Paragraphs>19</Paragraphs>
  <TotalTime>6</TotalTime>
  <ScaleCrop>false</ScaleCrop>
  <LinksUpToDate>false</LinksUpToDate>
  <CharactersWithSpaces>9915</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2025-08-10T08:42:00Z</dcterms:created>
  <dc:creator>Emma</dc:creator>
  <cp:lastModifiedBy>ykkkkk</cp:lastModifiedBy>
  <cp:lastPrinted>2025-04-26T14:56:00Z</cp:lastPrinted>
  <dcterms:modified xsi:type="dcterms:W3CDTF">2026-07-29T10:23:28Z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2F10EE15C5190FF716F2C569B1A0ED60_42</vt:lpwstr>
  </property>
</Properties>
</file>