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CF60D">
      <w:pPr>
        <w:overflowPunct w:val="0"/>
        <w:spacing w:line="520" w:lineRule="exact"/>
        <w:jc w:val="center"/>
        <w:rPr>
          <w:rFonts w:hint="eastAsia" w:eastAsia="方正小标宋简体"/>
          <w:sz w:val="44"/>
          <w:szCs w:val="36"/>
        </w:rPr>
      </w:pPr>
      <w:r>
        <w:rPr>
          <w:rFonts w:hint="eastAsia" w:eastAsia="方正小标宋简体"/>
          <w:sz w:val="44"/>
          <w:szCs w:val="36"/>
        </w:rPr>
        <w:t>静电理疗贴注册审查指导原则</w:t>
      </w:r>
    </w:p>
    <w:p w14:paraId="040B5E8E">
      <w:pPr>
        <w:overflowPunct w:val="0"/>
        <w:spacing w:line="520" w:lineRule="exact"/>
        <w:jc w:val="center"/>
        <w:rPr>
          <w:rFonts w:eastAsia="方正小标宋简体"/>
          <w:sz w:val="44"/>
          <w:szCs w:val="36"/>
        </w:rPr>
      </w:pPr>
      <w:r>
        <w:rPr>
          <w:rFonts w:hint="eastAsia" w:eastAsia="方正小标宋简体"/>
          <w:sz w:val="44"/>
          <w:szCs w:val="36"/>
        </w:rPr>
        <w:t>（征求意见稿）</w:t>
      </w:r>
    </w:p>
    <w:p w14:paraId="6D5E90BD">
      <w:pPr>
        <w:overflowPunct w:val="0"/>
        <w:spacing w:line="520" w:lineRule="exact"/>
        <w:ind w:firstLine="640" w:firstLineChars="200"/>
        <w:jc w:val="both"/>
        <w:rPr>
          <w:rFonts w:eastAsia="仿宋_GB2312"/>
          <w:sz w:val="32"/>
          <w:szCs w:val="32"/>
        </w:rPr>
      </w:pPr>
    </w:p>
    <w:p w14:paraId="7516F53E">
      <w:pPr>
        <w:overflowPunct w:val="0"/>
        <w:spacing w:line="520" w:lineRule="exact"/>
        <w:ind w:firstLine="640" w:firstLineChars="200"/>
        <w:jc w:val="both"/>
        <w:rPr>
          <w:rFonts w:eastAsia="仿宋_GB2312"/>
          <w:sz w:val="32"/>
          <w:szCs w:val="32"/>
        </w:rPr>
      </w:pPr>
      <w:r>
        <w:rPr>
          <w:rFonts w:hint="eastAsia" w:eastAsia="仿宋_GB2312"/>
          <w:sz w:val="32"/>
          <w:szCs w:val="32"/>
        </w:rPr>
        <w:t>本指导原则旨在指导注册申请人对静电理疗贴注册申报资料的准备及撰写，同时也为技术审评部门审评注册申报资料提供参考。</w:t>
      </w:r>
    </w:p>
    <w:p w14:paraId="160A615C">
      <w:pPr>
        <w:overflowPunct w:val="0"/>
        <w:spacing w:line="520" w:lineRule="exact"/>
        <w:ind w:firstLine="640" w:firstLineChars="200"/>
        <w:jc w:val="both"/>
        <w:rPr>
          <w:rFonts w:eastAsia="仿宋_GB2312"/>
          <w:sz w:val="32"/>
          <w:szCs w:val="32"/>
        </w:rPr>
      </w:pPr>
      <w:r>
        <w:rPr>
          <w:rFonts w:hint="eastAsia" w:eastAsia="仿宋_GB2312"/>
          <w:sz w:val="32"/>
          <w:szCs w:val="32"/>
        </w:rPr>
        <w:t>本指导原则是对静电理疗贴的一般要求，申请人应依据产品的具体特性确定其中内容是否适用。若不适用，需具体阐述理由及相应的科学依据，并依据产品的具体特性对注册申报资料的内容进行充实和细化。</w:t>
      </w:r>
    </w:p>
    <w:p w14:paraId="53F00AF5">
      <w:pPr>
        <w:overflowPunct w:val="0"/>
        <w:spacing w:line="520" w:lineRule="exact"/>
        <w:ind w:firstLine="640" w:firstLineChars="200"/>
        <w:jc w:val="both"/>
        <w:rPr>
          <w:rFonts w:eastAsia="仿宋_GB2312"/>
          <w:sz w:val="32"/>
          <w:szCs w:val="32"/>
        </w:rPr>
      </w:pPr>
      <w:r>
        <w:rPr>
          <w:rFonts w:hint="eastAsia" w:eastAsia="仿宋_GB2312"/>
          <w:sz w:val="32"/>
          <w:szCs w:val="32"/>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1998CCE7">
      <w:pPr>
        <w:overflowPunct w:val="0"/>
        <w:spacing w:line="520" w:lineRule="exact"/>
        <w:ind w:firstLine="640" w:firstLineChars="200"/>
        <w:jc w:val="both"/>
        <w:rPr>
          <w:rFonts w:eastAsia="仿宋_GB2312"/>
          <w:sz w:val="32"/>
          <w:szCs w:val="32"/>
        </w:rPr>
      </w:pPr>
      <w:r>
        <w:rPr>
          <w:rFonts w:hint="eastAsia" w:eastAsia="仿宋_GB2312"/>
          <w:sz w:val="32"/>
          <w:szCs w:val="32"/>
        </w:rPr>
        <w:t>本指导原则是在现行法规和标准体系以及当前认知水平下制定，随着法规和标准的不断完善，以及科学技术的不断发展，相关内容也将适时进行调整。本指导原则中相关内容均应执行最新版本的标准。</w:t>
      </w:r>
    </w:p>
    <w:p w14:paraId="33DEDE1B">
      <w:pPr>
        <w:overflowPunct w:val="0"/>
        <w:spacing w:line="520" w:lineRule="exact"/>
        <w:ind w:firstLine="640" w:firstLineChars="200"/>
        <w:outlineLvl w:val="0"/>
        <w:rPr>
          <w:rFonts w:eastAsia="黑体"/>
          <w:sz w:val="32"/>
          <w:szCs w:val="32"/>
        </w:rPr>
      </w:pPr>
      <w:r>
        <w:rPr>
          <w:rFonts w:hint="eastAsia" w:eastAsia="黑体"/>
          <w:sz w:val="32"/>
          <w:szCs w:val="32"/>
        </w:rPr>
        <w:t>一、适用范围</w:t>
      </w:r>
    </w:p>
    <w:p w14:paraId="77A7D997">
      <w:pPr>
        <w:overflowPunct w:val="0"/>
        <w:spacing w:line="520" w:lineRule="exact"/>
        <w:ind w:firstLine="640" w:firstLineChars="200"/>
        <w:jc w:val="both"/>
        <w:rPr>
          <w:rFonts w:eastAsia="仿宋_GB2312"/>
          <w:sz w:val="32"/>
          <w:szCs w:val="32"/>
        </w:rPr>
      </w:pPr>
      <w:r>
        <w:rPr>
          <w:rFonts w:hint="eastAsia" w:eastAsia="仿宋_GB2312"/>
          <w:sz w:val="32"/>
          <w:szCs w:val="32"/>
        </w:rPr>
        <w:t>本指导原则适用于《医疗器械分类目录》中管理类别为 Ⅱ 类的静电理疗贴，分类编码为 09-01-04（物理治疗器械 - 电疗设备 / 器具 - 静电贴敷器具）。产品通常由驻极体膜、医用基材、医用压敏胶、离型纸（如有）组成，不含药。用于通过物理静电场作用，缓解颈、肩、腰、</w:t>
      </w:r>
      <w:r>
        <w:rPr>
          <w:rFonts w:hint="eastAsia" w:ascii="Times New Roman" w:hAnsi="Times New Roman" w:eastAsia="仿宋_GB2312" w:cs="Times New Roman"/>
          <w:sz w:val="32"/>
          <w:szCs w:val="32"/>
        </w:rPr>
        <w:t>腿等部位</w:t>
      </w:r>
      <w:r>
        <w:rPr>
          <w:rFonts w:hint="eastAsia" w:eastAsia="仿宋_GB2312"/>
          <w:sz w:val="32"/>
          <w:szCs w:val="32"/>
        </w:rPr>
        <w:t>及软组织损伤引起的疼痛。</w:t>
      </w:r>
    </w:p>
    <w:p w14:paraId="60A5F907">
      <w:pPr>
        <w:overflowPunct w:val="0"/>
        <w:spacing w:line="520" w:lineRule="exact"/>
        <w:ind w:firstLine="640" w:firstLineChars="200"/>
        <w:outlineLvl w:val="0"/>
        <w:rPr>
          <w:rFonts w:eastAsia="黑体"/>
          <w:sz w:val="32"/>
          <w:szCs w:val="32"/>
        </w:rPr>
      </w:pPr>
      <w:r>
        <w:rPr>
          <w:rFonts w:hint="eastAsia" w:eastAsia="黑体"/>
          <w:sz w:val="32"/>
          <w:szCs w:val="32"/>
        </w:rPr>
        <w:t>二、注册审查要点</w:t>
      </w:r>
    </w:p>
    <w:p w14:paraId="3E0D1A37">
      <w:pPr>
        <w:overflowPunct w:val="0"/>
        <w:spacing w:line="520" w:lineRule="exact"/>
        <w:ind w:firstLine="640" w:firstLineChars="200"/>
        <w:jc w:val="both"/>
        <w:rPr>
          <w:rFonts w:eastAsia="仿宋_GB2312"/>
          <w:sz w:val="32"/>
          <w:szCs w:val="32"/>
        </w:rPr>
      </w:pPr>
      <w:r>
        <w:rPr>
          <w:rFonts w:hint="eastAsia" w:eastAsia="仿宋_GB2312"/>
          <w:sz w:val="32"/>
          <w:szCs w:val="32"/>
        </w:rPr>
        <w:t>（一）总体要求</w:t>
      </w:r>
    </w:p>
    <w:p w14:paraId="346BB2FE">
      <w:pPr>
        <w:overflowPunct w:val="0"/>
        <w:spacing w:line="520" w:lineRule="exact"/>
        <w:ind w:firstLine="640" w:firstLineChars="200"/>
        <w:jc w:val="both"/>
        <w:rPr>
          <w:rFonts w:eastAsia="仿宋_GB2312"/>
          <w:sz w:val="32"/>
          <w:szCs w:val="32"/>
        </w:rPr>
      </w:pPr>
      <w:r>
        <w:rPr>
          <w:rFonts w:hint="eastAsia" w:eastAsia="仿宋_GB2312"/>
          <w:sz w:val="32"/>
          <w:szCs w:val="32"/>
        </w:rPr>
        <w:t>静电理疗贴的产品设计开发应以临床为导向，应能保证产品用于临床的安全和有效。产品设计开发和生产过程应保证产生的加工残留物等降低到可接受水平，为患者提供最大程度的安全保障。产品设计开发应考虑医疗器械可用性工程的要求。</w:t>
      </w:r>
    </w:p>
    <w:p w14:paraId="34034426">
      <w:pPr>
        <w:overflowPunct w:val="0"/>
        <w:spacing w:line="520" w:lineRule="exact"/>
        <w:ind w:firstLine="640" w:firstLineChars="200"/>
        <w:jc w:val="both"/>
        <w:rPr>
          <w:rFonts w:eastAsia="仿宋_GB2312"/>
          <w:sz w:val="32"/>
          <w:szCs w:val="32"/>
        </w:rPr>
      </w:pPr>
      <w:r>
        <w:rPr>
          <w:rFonts w:hint="eastAsia" w:eastAsia="仿宋_GB2312"/>
          <w:sz w:val="32"/>
          <w:szCs w:val="32"/>
        </w:rPr>
        <w:t>（二）监管信息</w:t>
      </w:r>
    </w:p>
    <w:p w14:paraId="133ABC45">
      <w:pPr>
        <w:overflowPunct w:val="0"/>
        <w:spacing w:line="520" w:lineRule="exact"/>
        <w:ind w:firstLine="640" w:firstLineChars="200"/>
        <w:jc w:val="both"/>
        <w:rPr>
          <w:rFonts w:eastAsia="仿宋_GB2312"/>
          <w:sz w:val="32"/>
          <w:szCs w:val="32"/>
        </w:rPr>
      </w:pPr>
      <w:r>
        <w:rPr>
          <w:rFonts w:hint="eastAsia" w:eastAsia="仿宋_GB2312"/>
          <w:sz w:val="32"/>
          <w:szCs w:val="32"/>
        </w:rPr>
        <w:t>申请人应提供申请表、产品列表、既往沟通记录、主文档授权信以及其它管理信息。</w:t>
      </w:r>
    </w:p>
    <w:p w14:paraId="266E107C">
      <w:pPr>
        <w:overflowPunct w:val="0"/>
        <w:spacing w:line="520" w:lineRule="exact"/>
        <w:ind w:firstLine="640" w:firstLineChars="200"/>
        <w:jc w:val="both"/>
        <w:rPr>
          <w:rFonts w:eastAsia="仿宋_GB2312"/>
          <w:sz w:val="32"/>
          <w:szCs w:val="32"/>
        </w:rPr>
      </w:pPr>
      <w:r>
        <w:rPr>
          <w:rFonts w:hint="eastAsia" w:eastAsia="仿宋_GB2312"/>
          <w:sz w:val="32"/>
          <w:szCs w:val="32"/>
        </w:rPr>
        <w:t>1. 产品名称</w:t>
      </w:r>
    </w:p>
    <w:p w14:paraId="08D43EB4">
      <w:pPr>
        <w:overflowPunct w:val="0"/>
        <w:spacing w:line="520" w:lineRule="exact"/>
        <w:ind w:firstLine="640" w:firstLineChars="200"/>
        <w:jc w:val="both"/>
        <w:rPr>
          <w:rFonts w:eastAsia="仿宋_GB2312"/>
          <w:sz w:val="32"/>
          <w:szCs w:val="32"/>
        </w:rPr>
      </w:pPr>
      <w:r>
        <w:rPr>
          <w:rFonts w:hint="eastAsia" w:eastAsia="仿宋_GB2312"/>
          <w:sz w:val="32"/>
          <w:szCs w:val="32"/>
        </w:rPr>
        <w:t>产品命名应符合《医疗器械通用名称命名规则》的要求，例如：静电理疗贴、静电理疗膜。</w:t>
      </w:r>
    </w:p>
    <w:p w14:paraId="3EE2BDFC">
      <w:pPr>
        <w:overflowPunct w:val="0"/>
        <w:spacing w:line="520" w:lineRule="exact"/>
        <w:ind w:firstLine="640" w:firstLineChars="200"/>
        <w:jc w:val="both"/>
        <w:rPr>
          <w:rFonts w:eastAsia="仿宋_GB2312"/>
          <w:sz w:val="32"/>
          <w:szCs w:val="32"/>
        </w:rPr>
      </w:pPr>
      <w:r>
        <w:rPr>
          <w:rFonts w:hint="eastAsia" w:eastAsia="仿宋_GB2312"/>
          <w:sz w:val="32"/>
          <w:szCs w:val="32"/>
        </w:rPr>
        <w:t>2. 分类编码</w:t>
      </w:r>
    </w:p>
    <w:p w14:paraId="7045007B">
      <w:pPr>
        <w:overflowPunct w:val="0"/>
        <w:spacing w:line="520" w:lineRule="exact"/>
        <w:ind w:firstLine="640" w:firstLineChars="200"/>
        <w:jc w:val="both"/>
        <w:rPr>
          <w:rFonts w:eastAsia="仿宋_GB2312"/>
          <w:sz w:val="32"/>
          <w:szCs w:val="32"/>
        </w:rPr>
      </w:pPr>
      <w:r>
        <w:rPr>
          <w:rFonts w:hint="eastAsia" w:eastAsia="仿宋_GB2312"/>
          <w:sz w:val="32"/>
          <w:szCs w:val="32"/>
        </w:rPr>
        <w:t>根据《医疗器械分类目录》，申报产品属于子目录 09 - 物理治疗器械，一级产品类别 01 - 电疗设备 / 器具，二级产品类别 04 - 静电贴敷器具。</w:t>
      </w:r>
    </w:p>
    <w:p w14:paraId="0571AB81">
      <w:pPr>
        <w:overflowPunct w:val="0"/>
        <w:spacing w:line="520" w:lineRule="exact"/>
        <w:ind w:firstLine="640" w:firstLineChars="200"/>
        <w:jc w:val="both"/>
        <w:rPr>
          <w:rFonts w:eastAsia="仿宋_GB2312"/>
          <w:sz w:val="32"/>
          <w:szCs w:val="32"/>
        </w:rPr>
      </w:pPr>
      <w:r>
        <w:rPr>
          <w:rFonts w:hint="eastAsia" w:eastAsia="仿宋_GB2312"/>
          <w:sz w:val="32"/>
          <w:szCs w:val="32"/>
        </w:rPr>
        <w:t>3. 注册单元划分的原则和实例</w:t>
      </w:r>
    </w:p>
    <w:p w14:paraId="5AA6110F">
      <w:pPr>
        <w:overflowPunct w:val="0"/>
        <w:spacing w:line="520" w:lineRule="exact"/>
        <w:ind w:firstLine="640" w:firstLineChars="200"/>
        <w:jc w:val="both"/>
        <w:rPr>
          <w:rFonts w:eastAsia="仿宋_GB2312"/>
          <w:sz w:val="32"/>
          <w:szCs w:val="32"/>
        </w:rPr>
      </w:pPr>
      <w:r>
        <w:rPr>
          <w:rFonts w:hint="eastAsia" w:eastAsia="仿宋_GB2312"/>
          <w:sz w:val="32"/>
          <w:szCs w:val="32"/>
        </w:rPr>
        <w:t>注册单元的划分应参照《医疗器械注册单元划分指导原则》，以产品的技术原理、结构组成、性能指标和适用范围等因素为划分依据。</w:t>
      </w:r>
    </w:p>
    <w:p w14:paraId="4B5F7ECA">
      <w:pPr>
        <w:overflowPunct w:val="0"/>
        <w:spacing w:line="520" w:lineRule="exact"/>
        <w:ind w:firstLine="640" w:firstLineChars="200"/>
        <w:jc w:val="both"/>
        <w:rPr>
          <w:rFonts w:eastAsia="仿宋_GB2312"/>
          <w:sz w:val="32"/>
          <w:szCs w:val="32"/>
        </w:rPr>
      </w:pPr>
      <w:r>
        <w:rPr>
          <w:rFonts w:hint="eastAsia" w:eastAsia="仿宋_GB2312"/>
          <w:sz w:val="32"/>
          <w:szCs w:val="32"/>
        </w:rPr>
        <w:t>无菌与非无菌产品建议划分不同注册单元；</w:t>
      </w:r>
    </w:p>
    <w:p w14:paraId="2FD53B6E">
      <w:pPr>
        <w:overflowPunct w:val="0"/>
        <w:spacing w:line="520" w:lineRule="exact"/>
        <w:ind w:firstLine="640" w:firstLineChars="200"/>
        <w:jc w:val="both"/>
        <w:rPr>
          <w:rFonts w:eastAsia="仿宋_GB2312"/>
          <w:sz w:val="32"/>
          <w:szCs w:val="32"/>
        </w:rPr>
      </w:pPr>
      <w:r>
        <w:rPr>
          <w:rFonts w:hint="eastAsia" w:eastAsia="仿宋_GB2312"/>
          <w:sz w:val="32"/>
          <w:szCs w:val="32"/>
        </w:rPr>
        <w:t>驻极体膜材质不同建议划分不同注册单元；</w:t>
      </w:r>
    </w:p>
    <w:p w14:paraId="1E69E2FA">
      <w:pPr>
        <w:overflowPunct w:val="0"/>
        <w:spacing w:line="520" w:lineRule="exact"/>
        <w:ind w:firstLine="640" w:firstLineChars="200"/>
        <w:jc w:val="both"/>
        <w:rPr>
          <w:rFonts w:eastAsia="仿宋_GB2312"/>
          <w:sz w:val="32"/>
          <w:szCs w:val="32"/>
        </w:rPr>
      </w:pPr>
      <w:r>
        <w:rPr>
          <w:rFonts w:hint="eastAsia" w:eastAsia="仿宋_GB2312"/>
          <w:sz w:val="32"/>
          <w:szCs w:val="32"/>
        </w:rPr>
        <w:t>（三）综述资料</w:t>
      </w:r>
    </w:p>
    <w:p w14:paraId="50980035">
      <w:pPr>
        <w:overflowPunct w:val="0"/>
        <w:spacing w:line="520" w:lineRule="exact"/>
        <w:ind w:firstLine="640" w:firstLineChars="200"/>
        <w:jc w:val="both"/>
        <w:rPr>
          <w:rFonts w:eastAsia="仿宋_GB2312"/>
          <w:sz w:val="32"/>
          <w:szCs w:val="32"/>
        </w:rPr>
      </w:pPr>
      <w:r>
        <w:rPr>
          <w:rFonts w:hint="eastAsia" w:eastAsia="仿宋_GB2312"/>
          <w:sz w:val="32"/>
          <w:szCs w:val="32"/>
        </w:rPr>
        <w:t>1. 概述</w:t>
      </w:r>
    </w:p>
    <w:p w14:paraId="0D09F355">
      <w:pPr>
        <w:overflowPunct w:val="0"/>
        <w:spacing w:line="520" w:lineRule="exact"/>
        <w:ind w:firstLine="640" w:firstLineChars="200"/>
        <w:jc w:val="both"/>
        <w:rPr>
          <w:rFonts w:eastAsia="仿宋_GB2312"/>
          <w:sz w:val="32"/>
          <w:szCs w:val="32"/>
        </w:rPr>
      </w:pPr>
      <w:r>
        <w:rPr>
          <w:rFonts w:hint="eastAsia" w:eastAsia="仿宋_GB2312"/>
          <w:sz w:val="32"/>
          <w:szCs w:val="32"/>
        </w:rPr>
        <w:t>1.1 依据医疗器械分类目录，静电理疗贴管理类别为 Ⅱ 类医疗器械，分类编码为 09-01-04（物理治疗器械 - 电疗设备 / 器具 - 静电贴敷器具）。</w:t>
      </w:r>
    </w:p>
    <w:p w14:paraId="52FE0A56">
      <w:pPr>
        <w:overflowPunct w:val="0"/>
        <w:spacing w:line="520" w:lineRule="exact"/>
        <w:ind w:firstLine="640" w:firstLineChars="200"/>
        <w:jc w:val="both"/>
        <w:rPr>
          <w:rFonts w:eastAsia="仿宋_GB2312"/>
          <w:sz w:val="32"/>
          <w:szCs w:val="32"/>
        </w:rPr>
      </w:pPr>
      <w:r>
        <w:rPr>
          <w:rFonts w:hint="eastAsia" w:eastAsia="仿宋_GB2312"/>
          <w:sz w:val="32"/>
          <w:szCs w:val="32"/>
        </w:rPr>
        <w:t>1.2 产品命名应符合《医疗器械通用名称命名规则》、《物理治疗器械通用名称命名指导原则》和国家标准、行业标准中的通用名称要求，如：静电理疗贴、静电理疗膜。</w:t>
      </w:r>
    </w:p>
    <w:p w14:paraId="265CDC34">
      <w:pPr>
        <w:overflowPunct w:val="0"/>
        <w:spacing w:line="520" w:lineRule="exact"/>
        <w:ind w:firstLine="640" w:firstLineChars="200"/>
        <w:jc w:val="both"/>
        <w:rPr>
          <w:rFonts w:eastAsia="仿宋_GB2312"/>
          <w:sz w:val="32"/>
          <w:szCs w:val="32"/>
        </w:rPr>
      </w:pPr>
      <w:r>
        <w:rPr>
          <w:rFonts w:hint="eastAsia" w:eastAsia="仿宋_GB2312"/>
          <w:sz w:val="32"/>
          <w:szCs w:val="32"/>
        </w:rPr>
        <w:t>2. 产品描述</w:t>
      </w:r>
    </w:p>
    <w:p w14:paraId="6AA8F5E0">
      <w:pPr>
        <w:overflowPunct w:val="0"/>
        <w:spacing w:line="520" w:lineRule="exact"/>
        <w:ind w:firstLine="640" w:firstLineChars="200"/>
        <w:jc w:val="both"/>
        <w:rPr>
          <w:rFonts w:eastAsia="仿宋_GB2312"/>
          <w:sz w:val="32"/>
          <w:szCs w:val="32"/>
        </w:rPr>
      </w:pPr>
      <w:r>
        <w:rPr>
          <w:rFonts w:hint="eastAsia" w:eastAsia="仿宋_GB2312"/>
          <w:sz w:val="32"/>
          <w:szCs w:val="32"/>
        </w:rPr>
        <w:t>2.1 产品的结构和组成</w:t>
      </w:r>
    </w:p>
    <w:p w14:paraId="201FF039">
      <w:pPr>
        <w:overflowPunct w:val="0"/>
        <w:spacing w:line="520" w:lineRule="exact"/>
        <w:ind w:firstLine="640" w:firstLineChars="200"/>
        <w:jc w:val="both"/>
        <w:rPr>
          <w:rFonts w:eastAsia="仿宋_GB2312"/>
          <w:sz w:val="32"/>
          <w:szCs w:val="32"/>
        </w:rPr>
      </w:pPr>
      <w:r>
        <w:rPr>
          <w:rFonts w:hint="eastAsia" w:eastAsia="仿宋_GB2312"/>
          <w:sz w:val="32"/>
          <w:szCs w:val="32"/>
        </w:rPr>
        <w:t>静电理疗贴产品通常由驻极体膜、医用基材、医用压敏胶、离型纸（如有）组成，不含药。</w:t>
      </w:r>
    </w:p>
    <w:p w14:paraId="4984878D">
      <w:pPr>
        <w:overflowPunct w:val="0"/>
        <w:spacing w:line="520" w:lineRule="exact"/>
        <w:ind w:firstLine="640" w:firstLineChars="200"/>
        <w:jc w:val="both"/>
        <w:rPr>
          <w:rFonts w:eastAsia="仿宋_GB2312"/>
          <w:sz w:val="3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3989070</wp:posOffset>
                </wp:positionH>
                <wp:positionV relativeFrom="paragraph">
                  <wp:posOffset>1543685</wp:posOffset>
                </wp:positionV>
                <wp:extent cx="1222375" cy="452755"/>
                <wp:effectExtent l="1185545" t="6350" r="11430" b="17145"/>
                <wp:wrapNone/>
                <wp:docPr id="5" name="矩形标注 5"/>
                <wp:cNvGraphicFramePr/>
                <a:graphic xmlns:a="http://schemas.openxmlformats.org/drawingml/2006/main">
                  <a:graphicData uri="http://schemas.microsoft.com/office/word/2010/wordprocessingShape">
                    <wps:wsp>
                      <wps:cNvSpPr/>
                      <wps:spPr>
                        <a:xfrm>
                          <a:off x="0" y="0"/>
                          <a:ext cx="1222375" cy="452755"/>
                        </a:xfrm>
                        <a:prstGeom prst="wedgeRectCallout">
                          <a:avLst>
                            <a:gd name="adj1" fmla="val -142831"/>
                            <a:gd name="adj2" fmla="val 10028"/>
                          </a:avLst>
                        </a:prstGeom>
                        <a:solidFill>
                          <a:schemeClr val="bg1"/>
                        </a:solidFill>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785FF391">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驻极体膜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14.1pt;margin-top:121.55pt;height:35.65pt;width:96.25pt;z-index:251661312;v-text-anchor:middle;mso-width-relative:page;mso-height-relative:page;" fillcolor="#FFFFFF [3212]" filled="t" stroked="t" coordsize="21600,21600" o:gfxdata="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AIJImnaAAAACwEAAA8AAAAAAAAAAQAgAAAAIgAAAGRycy9k&#10;b3ducmV2LnhtbFBLAQIUABQAAAAIAIdO4kAdWinkqwIAAGQFAAAOAAAAAAAAAAEAIAAAACkBAABk&#10;cnMvZTJvRG9jLnhtbFBLBQYAAAAABgAGAFkBAABGBgAAAAA=&#10;" adj="-20051,12966">
                <v:fill on="t" focussize="0,0"/>
                <v:stroke weight="1pt" color="#000000 [3213]" miterlimit="8" joinstyle="miter"/>
                <v:imagedata o:title=""/>
                <o:lock v:ext="edit" aspectratio="f"/>
                <v:textbox>
                  <w:txbxContent>
                    <w:p w14:paraId="785FF391">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驻极体膜</w:t>
                      </w:r>
                    </w:p>
                  </w:txbxContent>
                </v:textbox>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-165735</wp:posOffset>
                </wp:positionH>
                <wp:positionV relativeFrom="paragraph">
                  <wp:posOffset>450215</wp:posOffset>
                </wp:positionV>
                <wp:extent cx="1275715" cy="461645"/>
                <wp:effectExtent l="6350" t="6350" r="813435" b="732155"/>
                <wp:wrapNone/>
                <wp:docPr id="6" name="矩形标注 6"/>
                <wp:cNvGraphicFramePr/>
                <a:graphic xmlns:a="http://schemas.openxmlformats.org/drawingml/2006/main">
                  <a:graphicData uri="http://schemas.microsoft.com/office/word/2010/wordprocessingShape">
                    <wps:wsp>
                      <wps:cNvSpPr/>
                      <wps:spPr>
                        <a:xfrm>
                          <a:off x="0" y="0"/>
                          <a:ext cx="1275715" cy="461645"/>
                        </a:xfrm>
                        <a:prstGeom prst="wedgeRectCallout">
                          <a:avLst>
                            <a:gd name="adj1" fmla="val 110079"/>
                            <a:gd name="adj2" fmla="val 201306"/>
                          </a:avLst>
                        </a:prstGeom>
                        <a:solidFill>
                          <a:schemeClr val="bg1"/>
                        </a:solidFill>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4EB2B6B9">
                            <w:pPr>
                              <w:jc w:val="center"/>
                            </w:pPr>
                            <w:r>
                              <w:rPr>
                                <w:rFonts w:hint="eastAsia" w:eastAsia="仿宋_GB2312"/>
                                <w:sz w:val="32"/>
                                <w:szCs w:val="32"/>
                              </w:rPr>
                              <w:t>离型纸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05pt;margin-top:35.45pt;height:36.35pt;width:100.45pt;z-index:251662336;v-text-anchor:middle;mso-width-relative:page;mso-height-relative:page;" fillcolor="#FFFFFF [3212]" filled="t" stroked="t" coordsize="21600,21600" o:gfxdata="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CrcZOO2QAAAAoBAAAPAAAAAAAAAAEAIAAAACIAAABkcnMvZG93&#10;bnJldi54bWxQSwECFAAUAAAACACHTuJAZRzvO6oCAABkBQAADgAAAAAAAAABACAAAAAoAQAAZHJz&#10;L2Uyb0RvYy54bWxQSwUGAAAAAAYABgBZAQAARAYAAAAA&#10;" adj="34577,54282">
                <v:fill on="t" focussize="0,0"/>
                <v:stroke weight="1pt" color="#000000 [3213]" miterlimit="8" joinstyle="miter"/>
                <v:imagedata o:title=""/>
                <o:lock v:ext="edit" aspectratio="f"/>
                <v:textbox>
                  <w:txbxContent>
                    <w:p w14:paraId="4EB2B6B9">
                      <w:pPr>
                        <w:jc w:val="center"/>
                      </w:pPr>
                      <w:r>
                        <w:rPr>
                          <w:rFonts w:hint="eastAsia" w:eastAsia="仿宋_GB2312"/>
                          <w:sz w:val="32"/>
                          <w:szCs w:val="32"/>
                        </w:rPr>
                        <w:t>离型纸</w:t>
                      </w:r>
                    </w:p>
                  </w:txbxContent>
                </v:textbox>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3986530</wp:posOffset>
                </wp:positionH>
                <wp:positionV relativeFrom="paragraph">
                  <wp:posOffset>456565</wp:posOffset>
                </wp:positionV>
                <wp:extent cx="1602105" cy="452755"/>
                <wp:effectExtent l="576580" t="6350" r="12065" b="474345"/>
                <wp:wrapNone/>
                <wp:docPr id="4" name="矩形标注 4"/>
                <wp:cNvGraphicFramePr/>
                <a:graphic xmlns:a="http://schemas.openxmlformats.org/drawingml/2006/main">
                  <a:graphicData uri="http://schemas.microsoft.com/office/word/2010/wordprocessingShape">
                    <wps:wsp>
                      <wps:cNvSpPr/>
                      <wps:spPr>
                        <a:xfrm>
                          <a:off x="4591685" y="5003800"/>
                          <a:ext cx="1602105" cy="452755"/>
                        </a:xfrm>
                        <a:prstGeom prst="wedgeRectCallout">
                          <a:avLst>
                            <a:gd name="adj1" fmla="val -83055"/>
                            <a:gd name="adj2" fmla="val 148176"/>
                          </a:avLst>
                        </a:prstGeom>
                        <a:solidFill>
                          <a:schemeClr val="bg1"/>
                        </a:solidFill>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4F086D7A">
                            <w:pPr>
                              <w:jc w:val="center"/>
                            </w:pPr>
                            <w:r>
                              <w:rPr>
                                <w:rFonts w:hint="eastAsia" w:eastAsia="仿宋_GB2312"/>
                                <w:sz w:val="32"/>
                                <w:szCs w:val="32"/>
                              </w:rPr>
                              <w:t>医用压敏胶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13.9pt;margin-top:35.95pt;height:35.65pt;width:126.15pt;z-index:251660288;v-text-anchor:middle;mso-width-relative:page;mso-height-relative:page;" fillcolor="#FFFFFF [3212]" filled="t" stroked="t" coordsize="21600,21600" o:gfxdata="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CnzGDz3AAAAAoBAAAPAAAA&#10;AAAAAAEAIAAAACIAAABkcnMvZG93bnJldi54bWxQSwECFAAUAAAACACHTuJAP43OqrwCAABwBQAA&#10;DgAAAAAAAAABACAAAAArAQAAZHJzL2Uyb0RvYy54bWxQSwUGAAAAAAYABgBZAQAAWQYAAAAA&#10;" adj="-7140,42806">
                <v:fill on="t" focussize="0,0"/>
                <v:stroke weight="1pt" color="#000000 [3213]" miterlimit="8" joinstyle="miter"/>
                <v:imagedata o:title=""/>
                <o:lock v:ext="edit" aspectratio="f"/>
                <v:textbox>
                  <w:txbxContent>
                    <w:p w14:paraId="4F086D7A">
                      <w:pPr>
                        <w:jc w:val="center"/>
                      </w:pPr>
                      <w:r>
                        <w:rPr>
                          <w:rFonts w:hint="eastAsia" w:eastAsia="仿宋_GB2312"/>
                          <w:sz w:val="32"/>
                          <w:szCs w:val="32"/>
                        </w:rPr>
                        <w:t>医用压敏胶</w:t>
                      </w:r>
                    </w:p>
                  </w:txbxContent>
                </v:textbox>
              </v:shape>
            </w:pict>
          </mc:Fallback>
        </mc:AlternateContent>
      </w:r>
      <w:r>
        <w:rPr>
          <w:rFonts w:hint="eastAsia" w:eastAsia="仿宋_GB2312"/>
          <w:sz w:val="32"/>
          <w:szCs w:val="32"/>
        </w:rPr>
        <w:drawing>
          <wp:anchor distT="0" distB="0" distL="114300" distR="114300" simplePos="0" relativeHeight="251659264" behindDoc="0" locked="0" layoutInCell="1" allowOverlap="1">
            <wp:simplePos x="0" y="0"/>
            <wp:positionH relativeFrom="column">
              <wp:posOffset>1200150</wp:posOffset>
            </wp:positionH>
            <wp:positionV relativeFrom="paragraph">
              <wp:posOffset>70485</wp:posOffset>
            </wp:positionV>
            <wp:extent cx="2682875" cy="2901315"/>
            <wp:effectExtent l="0" t="0" r="3175" b="13335"/>
            <wp:wrapTopAndBottom/>
            <wp:docPr id="2" name="图片 2" descr="b7b5d8aae7b6ae5078a025b9f4743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7b5d8aae7b6ae5078a025b9f474313a"/>
                    <pic:cNvPicPr>
                      <a:picLocks noChangeAspect="1"/>
                    </pic:cNvPicPr>
                  </pic:nvPicPr>
                  <pic:blipFill>
                    <a:blip r:embed="rId4"/>
                    <a:stretch>
                      <a:fillRect/>
                    </a:stretch>
                  </pic:blipFill>
                  <pic:spPr>
                    <a:xfrm>
                      <a:off x="0" y="0"/>
                      <a:ext cx="2682875" cy="2901315"/>
                    </a:xfrm>
                    <a:prstGeom prst="rect">
                      <a:avLst/>
                    </a:prstGeom>
                  </pic:spPr>
                </pic:pic>
              </a:graphicData>
            </a:graphic>
          </wp:anchor>
        </w:drawing>
      </w:r>
      <w:r>
        <w:rPr>
          <w:rFonts w:hint="eastAsia" w:eastAsia="仿宋_GB2312"/>
          <w:sz w:val="32"/>
          <w:szCs w:val="32"/>
        </w:rPr>
        <w:t>2.2 产品工作原理</w:t>
      </w:r>
    </w:p>
    <w:p w14:paraId="44BC2205">
      <w:pPr>
        <w:overflowPunct w:val="0"/>
        <w:spacing w:line="520" w:lineRule="exact"/>
        <w:ind w:firstLine="640" w:firstLineChars="200"/>
        <w:jc w:val="both"/>
        <w:rPr>
          <w:rFonts w:eastAsia="仿宋_GB2312"/>
          <w:sz w:val="32"/>
          <w:szCs w:val="32"/>
        </w:rPr>
      </w:pPr>
      <w:r>
        <w:rPr>
          <w:rFonts w:hint="eastAsia" w:eastAsia="仿宋_GB2312"/>
          <w:sz w:val="32"/>
          <w:szCs w:val="32"/>
        </w:rPr>
        <w:t>静电理疗贴利用驻极体膜所携带的持久静电场作用于人体完整皮肤，通过物理作用改善局部微循环，辅助缓解颈、肩、腰、腿等部位疼痛及软组织损伤</w:t>
      </w:r>
      <w:r>
        <w:rPr>
          <w:rFonts w:hint="eastAsia" w:eastAsia="仿宋_GB2312"/>
          <w:sz w:val="32"/>
          <w:szCs w:val="32"/>
          <w:lang w:val="en-US" w:eastAsia="zh-CN"/>
        </w:rPr>
        <w:t>等</w:t>
      </w:r>
      <w:r>
        <w:rPr>
          <w:rFonts w:hint="eastAsia" w:eastAsia="仿宋_GB2312"/>
          <w:sz w:val="32"/>
          <w:szCs w:val="32"/>
        </w:rPr>
        <w:t>不适症状。</w:t>
      </w:r>
    </w:p>
    <w:p w14:paraId="47E3F423">
      <w:pPr>
        <w:overflowPunct w:val="0"/>
        <w:spacing w:line="520" w:lineRule="exact"/>
        <w:ind w:firstLine="640" w:firstLineChars="200"/>
        <w:jc w:val="both"/>
        <w:rPr>
          <w:rFonts w:eastAsia="仿宋_GB2312"/>
          <w:sz w:val="32"/>
          <w:szCs w:val="32"/>
        </w:rPr>
      </w:pPr>
      <w:r>
        <w:rPr>
          <w:rFonts w:hint="eastAsia" w:eastAsia="仿宋_GB2312"/>
          <w:sz w:val="32"/>
          <w:szCs w:val="32"/>
        </w:rPr>
        <w:t>3. 型号规格</w:t>
      </w:r>
    </w:p>
    <w:p w14:paraId="2137A58C">
      <w:pPr>
        <w:overflowPunct w:val="0"/>
        <w:spacing w:line="520" w:lineRule="exact"/>
        <w:ind w:firstLine="640" w:firstLineChars="200"/>
        <w:jc w:val="both"/>
        <w:rPr>
          <w:rFonts w:eastAsia="仿宋_GB2312"/>
          <w:sz w:val="32"/>
          <w:szCs w:val="32"/>
        </w:rPr>
      </w:pPr>
      <w:r>
        <w:rPr>
          <w:rFonts w:hint="eastAsia" w:eastAsia="仿宋_GB2312"/>
          <w:sz w:val="32"/>
          <w:szCs w:val="32"/>
        </w:rPr>
        <w:t>说明产品的型号规格及划分依据，明确各型号规格的区别。</w:t>
      </w:r>
    </w:p>
    <w:p w14:paraId="1E0B8B21">
      <w:pPr>
        <w:overflowPunct w:val="0"/>
        <w:spacing w:line="520" w:lineRule="exact"/>
        <w:ind w:firstLine="640" w:firstLineChars="200"/>
        <w:jc w:val="both"/>
        <w:rPr>
          <w:rFonts w:eastAsia="仿宋_GB2312"/>
          <w:sz w:val="32"/>
          <w:szCs w:val="32"/>
        </w:rPr>
      </w:pPr>
      <w:r>
        <w:rPr>
          <w:rFonts w:hint="eastAsia" w:eastAsia="仿宋_GB2312"/>
          <w:sz w:val="32"/>
          <w:szCs w:val="32"/>
        </w:rPr>
        <w:t>4. 包装说明</w:t>
      </w:r>
    </w:p>
    <w:p w14:paraId="7F753A9D">
      <w:pPr>
        <w:overflowPunct w:val="0"/>
        <w:spacing w:line="520" w:lineRule="exact"/>
        <w:ind w:firstLine="640" w:firstLineChars="200"/>
        <w:jc w:val="both"/>
        <w:rPr>
          <w:rFonts w:eastAsia="仿宋_GB2312"/>
          <w:sz w:val="32"/>
          <w:szCs w:val="32"/>
        </w:rPr>
      </w:pPr>
      <w:r>
        <w:rPr>
          <w:rFonts w:hint="eastAsia" w:eastAsia="仿宋_GB2312"/>
          <w:sz w:val="32"/>
          <w:szCs w:val="32"/>
        </w:rPr>
        <w:t>说明产品的包装层次，写明产品各层次包装（初包装、中包装、大包装）的信息，包括包装所用材料及包装所载明的信息及样图。</w:t>
      </w:r>
    </w:p>
    <w:p w14:paraId="57DD6814">
      <w:pPr>
        <w:overflowPunct w:val="0"/>
        <w:spacing w:line="520" w:lineRule="exact"/>
        <w:ind w:firstLine="640" w:firstLineChars="200"/>
        <w:jc w:val="both"/>
        <w:rPr>
          <w:rFonts w:eastAsia="仿宋_GB2312"/>
          <w:sz w:val="32"/>
          <w:szCs w:val="32"/>
        </w:rPr>
      </w:pPr>
      <w:r>
        <w:rPr>
          <w:rFonts w:hint="eastAsia" w:eastAsia="仿宋_GB2312"/>
          <w:sz w:val="32"/>
          <w:szCs w:val="32"/>
        </w:rPr>
        <w:t>5. 适用范围和禁忌证</w:t>
      </w:r>
    </w:p>
    <w:p w14:paraId="32EE542B">
      <w:pPr>
        <w:overflowPunct w:val="0"/>
        <w:spacing w:line="520" w:lineRule="exact"/>
        <w:ind w:firstLine="640" w:firstLineChars="200"/>
        <w:jc w:val="both"/>
        <w:rPr>
          <w:rFonts w:eastAsia="仿宋_GB2312"/>
          <w:sz w:val="32"/>
          <w:szCs w:val="32"/>
        </w:rPr>
      </w:pPr>
      <w:r>
        <w:rPr>
          <w:rFonts w:hint="eastAsia" w:eastAsia="仿宋_GB2312"/>
          <w:sz w:val="32"/>
          <w:szCs w:val="32"/>
        </w:rPr>
        <w:t>5.1 适用范围：用于缓解颈、肩、腰、腿等部位软组织损伤引起的疼痛。</w:t>
      </w:r>
    </w:p>
    <w:p w14:paraId="3B184C2D">
      <w:pPr>
        <w:overflowPunct w:val="0"/>
        <w:spacing w:line="520" w:lineRule="exact"/>
        <w:ind w:firstLine="640" w:firstLineChars="200"/>
        <w:jc w:val="both"/>
        <w:rPr>
          <w:rFonts w:eastAsia="仿宋_GB2312"/>
          <w:sz w:val="32"/>
          <w:szCs w:val="32"/>
        </w:rPr>
      </w:pPr>
      <w:r>
        <w:rPr>
          <w:rFonts w:hint="eastAsia" w:eastAsia="仿宋_GB2312"/>
          <w:sz w:val="32"/>
          <w:szCs w:val="32"/>
        </w:rPr>
        <w:t>5.2 禁忌证：对产品组成成分过敏者禁用，皮肤破损或感染禁止使用，孕妇禁用，心脏起搏器佩戴者禁用或禁止贴于靠近起搏器部位。</w:t>
      </w:r>
    </w:p>
    <w:p w14:paraId="4B178032">
      <w:pPr>
        <w:overflowPunct w:val="0"/>
        <w:spacing w:line="520" w:lineRule="exact"/>
        <w:ind w:firstLine="640" w:firstLineChars="200"/>
        <w:jc w:val="both"/>
        <w:rPr>
          <w:rFonts w:eastAsia="仿宋_GB2312"/>
          <w:sz w:val="32"/>
          <w:szCs w:val="32"/>
        </w:rPr>
      </w:pPr>
      <w:r>
        <w:rPr>
          <w:rFonts w:hint="eastAsia" w:eastAsia="仿宋_GB2312"/>
          <w:sz w:val="32"/>
          <w:szCs w:val="32"/>
        </w:rPr>
        <w:t>6. 参考的同类产品或前代产品</w:t>
      </w:r>
    </w:p>
    <w:p w14:paraId="27E4A62F">
      <w:pPr>
        <w:overflowPunct w:val="0"/>
        <w:spacing w:line="520" w:lineRule="exact"/>
        <w:ind w:firstLine="640" w:firstLineChars="200"/>
        <w:jc w:val="both"/>
        <w:rPr>
          <w:rFonts w:eastAsia="仿宋_GB2312"/>
          <w:sz w:val="32"/>
          <w:szCs w:val="32"/>
        </w:rPr>
      </w:pPr>
      <w:r>
        <w:rPr>
          <w:rFonts w:hint="eastAsia" w:eastAsia="仿宋_GB2312"/>
          <w:sz w:val="32"/>
          <w:szCs w:val="32"/>
        </w:rPr>
        <w:t>提供同类产品（国内外已上市）或前代产品（如有）的信息，阐述申请注册产品的研发背景和目的。对于同类产品，说明选择其作为研发参考的原因。申报产品应与已在中国境内上市的同类产品或前代产品进行对比分析，应详述产品间异同。</w:t>
      </w:r>
    </w:p>
    <w:p w14:paraId="62A69CF1">
      <w:pPr>
        <w:overflowPunct w:val="0"/>
        <w:spacing w:line="520" w:lineRule="exact"/>
        <w:ind w:firstLine="640" w:firstLineChars="200"/>
        <w:jc w:val="both"/>
        <w:rPr>
          <w:rFonts w:eastAsia="仿宋_GB2312"/>
          <w:sz w:val="32"/>
          <w:szCs w:val="32"/>
        </w:rPr>
      </w:pPr>
      <w:r>
        <w:rPr>
          <w:rFonts w:hint="eastAsia" w:eastAsia="仿宋_GB2312"/>
          <w:sz w:val="32"/>
          <w:szCs w:val="32"/>
        </w:rPr>
        <w:t>7. 不良事件情况（如适用）</w:t>
      </w:r>
    </w:p>
    <w:p w14:paraId="3FE7B4AD">
      <w:pPr>
        <w:overflowPunct w:val="0"/>
        <w:spacing w:line="520" w:lineRule="exact"/>
        <w:ind w:firstLine="640" w:firstLineChars="200"/>
        <w:jc w:val="both"/>
        <w:rPr>
          <w:rFonts w:eastAsia="仿宋_GB2312"/>
          <w:sz w:val="32"/>
          <w:szCs w:val="32"/>
        </w:rPr>
      </w:pPr>
      <w:r>
        <w:rPr>
          <w:rFonts w:hint="eastAsia" w:eastAsia="仿宋_GB2312"/>
          <w:sz w:val="32"/>
          <w:szCs w:val="32"/>
        </w:rPr>
        <w:t>应当提交申报产品的上市、销售、不良事件和召回等相关情况分析资料。</w:t>
      </w:r>
    </w:p>
    <w:p w14:paraId="384A5CA1">
      <w:pPr>
        <w:overflowPunct w:val="0"/>
        <w:spacing w:line="520" w:lineRule="exact"/>
        <w:ind w:firstLine="640" w:firstLineChars="200"/>
        <w:jc w:val="both"/>
        <w:rPr>
          <w:rFonts w:eastAsia="仿宋_GB2312"/>
          <w:sz w:val="32"/>
          <w:szCs w:val="32"/>
        </w:rPr>
      </w:pPr>
      <w:r>
        <w:rPr>
          <w:rFonts w:hint="eastAsia" w:eastAsia="仿宋_GB2312"/>
          <w:sz w:val="32"/>
          <w:szCs w:val="32"/>
        </w:rPr>
        <w:t>（四）非临床资料</w:t>
      </w:r>
    </w:p>
    <w:p w14:paraId="49CE4B0D">
      <w:pPr>
        <w:overflowPunct w:val="0"/>
        <w:spacing w:line="520" w:lineRule="exact"/>
        <w:ind w:firstLine="640" w:firstLineChars="200"/>
        <w:jc w:val="both"/>
        <w:rPr>
          <w:rFonts w:eastAsia="仿宋_GB2312"/>
          <w:sz w:val="32"/>
          <w:szCs w:val="32"/>
        </w:rPr>
      </w:pPr>
      <w:r>
        <w:rPr>
          <w:rFonts w:hint="eastAsia" w:eastAsia="仿宋_GB2312"/>
          <w:sz w:val="32"/>
          <w:szCs w:val="32"/>
        </w:rPr>
        <w:t>1. 产品风险管理资料</w:t>
      </w:r>
    </w:p>
    <w:p w14:paraId="248202DC">
      <w:pPr>
        <w:overflowPunct w:val="0"/>
        <w:spacing w:line="520" w:lineRule="exact"/>
        <w:ind w:firstLine="640" w:firstLineChars="200"/>
        <w:jc w:val="both"/>
        <w:rPr>
          <w:rFonts w:eastAsia="仿宋_GB2312"/>
          <w:sz w:val="32"/>
          <w:szCs w:val="32"/>
        </w:rPr>
      </w:pPr>
      <w:r>
        <w:rPr>
          <w:rFonts w:hint="eastAsia" w:eastAsia="仿宋_GB2312"/>
          <w:sz w:val="32"/>
          <w:szCs w:val="32"/>
        </w:rPr>
        <w:t>1.1 风险分析方法</w:t>
      </w:r>
    </w:p>
    <w:p w14:paraId="18931898">
      <w:pPr>
        <w:overflowPunct w:val="0"/>
        <w:spacing w:line="520" w:lineRule="exact"/>
        <w:ind w:firstLine="640" w:firstLineChars="200"/>
        <w:jc w:val="both"/>
        <w:rPr>
          <w:rFonts w:eastAsia="仿宋_GB2312"/>
          <w:sz w:val="32"/>
          <w:szCs w:val="32"/>
        </w:rPr>
      </w:pPr>
      <w:r>
        <w:rPr>
          <w:rFonts w:hint="eastAsia" w:eastAsia="仿宋_GB2312"/>
          <w:sz w:val="32"/>
          <w:szCs w:val="32"/>
        </w:rPr>
        <w:t>1.1.1 在对风险的判定及分析中，要考虑合理的可预见的情况，它们包括：正常使用条件下和非正常使用条件下；</w:t>
      </w:r>
    </w:p>
    <w:p w14:paraId="7211DF13">
      <w:pPr>
        <w:overflowPunct w:val="0"/>
        <w:spacing w:line="520" w:lineRule="exact"/>
        <w:ind w:firstLine="640" w:firstLineChars="200"/>
        <w:jc w:val="both"/>
        <w:rPr>
          <w:rFonts w:eastAsia="仿宋_GB2312"/>
          <w:sz w:val="32"/>
          <w:szCs w:val="32"/>
        </w:rPr>
      </w:pPr>
      <w:r>
        <w:rPr>
          <w:rFonts w:hint="eastAsia" w:eastAsia="仿宋_GB2312"/>
          <w:sz w:val="32"/>
          <w:szCs w:val="32"/>
        </w:rPr>
        <w:t>1.1.2 风险判定及分析应包括：对于患者的危害、对于操作者的危害和对于环境的危害；</w:t>
      </w:r>
    </w:p>
    <w:p w14:paraId="41633DE4">
      <w:pPr>
        <w:overflowPunct w:val="0"/>
        <w:spacing w:line="520" w:lineRule="exact"/>
        <w:ind w:firstLine="640" w:firstLineChars="200"/>
        <w:jc w:val="both"/>
        <w:rPr>
          <w:rFonts w:eastAsia="仿宋_GB2312"/>
          <w:sz w:val="32"/>
          <w:szCs w:val="32"/>
        </w:rPr>
      </w:pPr>
      <w:r>
        <w:rPr>
          <w:rFonts w:hint="eastAsia" w:eastAsia="仿宋_GB2312"/>
          <w:sz w:val="32"/>
          <w:szCs w:val="32"/>
        </w:rPr>
        <w:t>1.1.3 风险形成的初始原因应包括：原材料选择不当，设计、生产风险，运输与防护不当等；人为因素包括不合理的操作；适用错误；综合危害；环境条件；</w:t>
      </w:r>
    </w:p>
    <w:p w14:paraId="47A65B11">
      <w:pPr>
        <w:overflowPunct w:val="0"/>
        <w:spacing w:line="520" w:lineRule="exact"/>
        <w:ind w:firstLine="640" w:firstLineChars="200"/>
        <w:jc w:val="both"/>
        <w:rPr>
          <w:rFonts w:eastAsia="仿宋_GB2312"/>
          <w:sz w:val="32"/>
          <w:szCs w:val="32"/>
        </w:rPr>
      </w:pPr>
      <w:r>
        <w:rPr>
          <w:rFonts w:hint="eastAsia" w:eastAsia="仿宋_GB2312"/>
          <w:sz w:val="32"/>
          <w:szCs w:val="32"/>
        </w:rPr>
        <w:t>1.1.4 风险判定及分析考虑的问题包括：产品原材料生物学危害；产品质量是否会导致使用中出现不正常结果；操作信息，包括警示性语言、注意事项以及使用方法的准确性等。</w:t>
      </w:r>
    </w:p>
    <w:p w14:paraId="69DDBAB2">
      <w:pPr>
        <w:overflowPunct w:val="0"/>
        <w:spacing w:line="520" w:lineRule="exact"/>
        <w:ind w:firstLine="640" w:firstLineChars="200"/>
        <w:jc w:val="both"/>
        <w:rPr>
          <w:rFonts w:eastAsia="仿宋_GB2312"/>
          <w:sz w:val="32"/>
          <w:szCs w:val="32"/>
        </w:rPr>
      </w:pPr>
      <w:r>
        <w:rPr>
          <w:rFonts w:hint="eastAsia" w:eastAsia="仿宋_GB2312"/>
          <w:sz w:val="32"/>
          <w:szCs w:val="32"/>
        </w:rPr>
        <w:t>1.2 风险分析清单</w:t>
      </w:r>
    </w:p>
    <w:p w14:paraId="05260B1A">
      <w:pPr>
        <w:overflowPunct w:val="0"/>
        <w:spacing w:line="520" w:lineRule="exact"/>
        <w:ind w:firstLine="640" w:firstLineChars="200"/>
        <w:jc w:val="both"/>
        <w:rPr>
          <w:rFonts w:eastAsia="仿宋_GB2312"/>
          <w:sz w:val="32"/>
          <w:szCs w:val="32"/>
        </w:rPr>
      </w:pPr>
      <w:r>
        <w:rPr>
          <w:rFonts w:hint="eastAsia" w:eastAsia="仿宋_GB2312"/>
          <w:sz w:val="32"/>
          <w:szCs w:val="32"/>
        </w:rPr>
        <w:t>静电理疗贴产品的风险管理报告应符合 GB/T 42062《医疗器械风险管理对医疗器械的应用》的有关要求，审查要点包括：</w:t>
      </w:r>
    </w:p>
    <w:p w14:paraId="28E97946">
      <w:pPr>
        <w:overflowPunct w:val="0"/>
        <w:spacing w:line="520" w:lineRule="exact"/>
        <w:ind w:firstLine="640" w:firstLineChars="200"/>
        <w:jc w:val="both"/>
        <w:rPr>
          <w:rFonts w:eastAsia="仿宋_GB2312"/>
          <w:sz w:val="32"/>
          <w:szCs w:val="32"/>
        </w:rPr>
      </w:pPr>
      <w:r>
        <w:rPr>
          <w:rFonts w:hint="eastAsia" w:eastAsia="仿宋_GB2312"/>
          <w:sz w:val="32"/>
          <w:szCs w:val="32"/>
        </w:rPr>
        <w:t>1.2.1 产品安全性特征判定是否准确（依据 YY/T 1437）；</w:t>
      </w:r>
    </w:p>
    <w:p w14:paraId="5F68F9AC">
      <w:pPr>
        <w:overflowPunct w:val="0"/>
        <w:spacing w:line="520" w:lineRule="exact"/>
        <w:ind w:firstLine="640" w:firstLineChars="200"/>
        <w:jc w:val="both"/>
        <w:rPr>
          <w:rFonts w:eastAsia="仿宋_GB2312"/>
          <w:sz w:val="32"/>
          <w:szCs w:val="32"/>
        </w:rPr>
      </w:pPr>
      <w:r>
        <w:rPr>
          <w:rFonts w:hint="eastAsia" w:eastAsia="仿宋_GB2312"/>
          <w:sz w:val="32"/>
          <w:szCs w:val="32"/>
        </w:rPr>
        <w:t>1.2.2 危害分析是否全面（依据 GB/T 42062 附录 C）；</w:t>
      </w:r>
    </w:p>
    <w:p w14:paraId="44FC6CF4">
      <w:pPr>
        <w:overflowPunct w:val="0"/>
        <w:spacing w:line="520" w:lineRule="exact"/>
        <w:ind w:firstLine="640" w:firstLineChars="200"/>
        <w:jc w:val="both"/>
        <w:rPr>
          <w:rFonts w:eastAsia="仿宋_GB2312"/>
          <w:sz w:val="32"/>
          <w:szCs w:val="32"/>
        </w:rPr>
      </w:pPr>
      <w:r>
        <w:rPr>
          <w:rFonts w:hint="eastAsia" w:eastAsia="仿宋_GB2312"/>
          <w:sz w:val="32"/>
          <w:szCs w:val="32"/>
        </w:rPr>
        <w:t>1.2.3 风险可接受准则，降低风险的措施及采取措施后风险的可接受程度，是否有新的风险产生。</w:t>
      </w:r>
    </w:p>
    <w:p w14:paraId="48A11542">
      <w:pPr>
        <w:overflowPunct w:val="0"/>
        <w:spacing w:line="520" w:lineRule="exact"/>
        <w:ind w:firstLine="640" w:firstLineChars="200"/>
        <w:jc w:val="both"/>
        <w:rPr>
          <w:rFonts w:eastAsia="仿宋_GB2312"/>
          <w:sz w:val="32"/>
          <w:szCs w:val="32"/>
        </w:rPr>
      </w:pPr>
      <w:r>
        <w:rPr>
          <w:rFonts w:hint="eastAsia" w:eastAsia="仿宋_GB2312"/>
          <w:sz w:val="32"/>
          <w:szCs w:val="32"/>
        </w:rPr>
        <w:t>根据 GB/T 42062 对静电理疗贴已知或可预见的风险进行判定，产品在进行风险分析时至少应包括以下主要危害，注册申请人还应根据自身产品特点确定其他危害。针对各项风险，应采取应对措施，确保风险降到可接受程度。</w:t>
      </w:r>
    </w:p>
    <w:p w14:paraId="77449366">
      <w:pPr>
        <w:overflowPunct w:val="0"/>
        <w:spacing w:line="520" w:lineRule="exact"/>
        <w:ind w:firstLine="640" w:firstLineChars="200"/>
        <w:jc w:val="both"/>
        <w:rPr>
          <w:rFonts w:eastAsia="仿宋_GB2312"/>
          <w:sz w:val="32"/>
          <w:szCs w:val="32"/>
        </w:rPr>
      </w:pPr>
      <w:r>
        <w:rPr>
          <w:rFonts w:hint="eastAsia" w:eastAsia="仿宋_GB2312"/>
          <w:sz w:val="32"/>
          <w:szCs w:val="32"/>
        </w:rPr>
        <w:t>2. 产品技术要求及检验报告</w:t>
      </w:r>
    </w:p>
    <w:p w14:paraId="7926466A">
      <w:pPr>
        <w:overflowPunct w:val="0"/>
        <w:spacing w:line="520" w:lineRule="exact"/>
        <w:ind w:firstLine="640" w:firstLineChars="200"/>
        <w:jc w:val="both"/>
        <w:rPr>
          <w:rFonts w:eastAsia="仿宋_GB2312"/>
          <w:sz w:val="32"/>
          <w:szCs w:val="32"/>
        </w:rPr>
      </w:pPr>
      <w:r>
        <w:rPr>
          <w:rFonts w:hint="eastAsia" w:eastAsia="仿宋_GB2312"/>
          <w:sz w:val="32"/>
          <w:szCs w:val="32"/>
        </w:rPr>
        <w:t>产品技术要求的制定应符合《医疗器械产品技术要求编写指导原则》的要求。申请人应依据产品的技术特征和临床使用情况确定安全有效的技术指标和检验方法，且性能指标不得低于强制性国家标准、行业标准。</w:t>
      </w:r>
    </w:p>
    <w:p w14:paraId="477C7623">
      <w:pPr>
        <w:overflowPunct w:val="0"/>
        <w:spacing w:line="520" w:lineRule="exact"/>
        <w:ind w:firstLine="640" w:firstLineChars="200"/>
        <w:jc w:val="both"/>
        <w:rPr>
          <w:rFonts w:eastAsia="仿宋_GB2312"/>
          <w:sz w:val="32"/>
          <w:szCs w:val="32"/>
        </w:rPr>
      </w:pPr>
      <w:r>
        <w:rPr>
          <w:rFonts w:hint="eastAsia" w:eastAsia="仿宋_GB2312"/>
          <w:sz w:val="32"/>
          <w:szCs w:val="32"/>
        </w:rPr>
        <w:t>2.1 产品型号/规格及其划分说明</w:t>
      </w:r>
    </w:p>
    <w:p w14:paraId="684532C1">
      <w:pPr>
        <w:overflowPunct w:val="0"/>
        <w:spacing w:line="520" w:lineRule="exact"/>
        <w:ind w:firstLine="640" w:firstLineChars="200"/>
        <w:jc w:val="both"/>
        <w:rPr>
          <w:rFonts w:eastAsia="仿宋_GB2312"/>
          <w:sz w:val="32"/>
          <w:szCs w:val="32"/>
        </w:rPr>
      </w:pPr>
      <w:r>
        <w:rPr>
          <w:rFonts w:hint="eastAsia" w:eastAsia="仿宋_GB2312"/>
          <w:sz w:val="32"/>
          <w:szCs w:val="32"/>
        </w:rPr>
        <w:t>明确产品型号/规格，阐明各型号/规格间区别及划分说明，型号/规格表述应与全部注册申报资料保持一致，并提供结构示意图。</w:t>
      </w:r>
    </w:p>
    <w:p w14:paraId="054B27CF">
      <w:pPr>
        <w:overflowPunct w:val="0"/>
        <w:spacing w:line="520" w:lineRule="exact"/>
        <w:ind w:firstLine="640" w:firstLineChars="200"/>
        <w:jc w:val="both"/>
        <w:rPr>
          <w:rFonts w:eastAsia="仿宋_GB2312"/>
          <w:sz w:val="32"/>
          <w:szCs w:val="32"/>
        </w:rPr>
      </w:pPr>
      <w:r>
        <w:rPr>
          <w:rFonts w:hint="eastAsia" w:eastAsia="仿宋_GB2312"/>
          <w:sz w:val="32"/>
          <w:szCs w:val="32"/>
        </w:rPr>
        <w:t>2.2 性能指标</w:t>
      </w:r>
    </w:p>
    <w:p w14:paraId="7CA3DDD0">
      <w:pPr>
        <w:overflowPunct w:val="0"/>
        <w:spacing w:line="520" w:lineRule="exact"/>
        <w:ind w:firstLine="640" w:firstLineChars="200"/>
        <w:jc w:val="both"/>
        <w:rPr>
          <w:rFonts w:eastAsia="仿宋_GB2312"/>
          <w:sz w:val="32"/>
          <w:szCs w:val="32"/>
        </w:rPr>
      </w:pPr>
      <w:r>
        <w:rPr>
          <w:rFonts w:hint="eastAsia" w:eastAsia="仿宋_GB2312"/>
          <w:sz w:val="32"/>
          <w:szCs w:val="32"/>
        </w:rPr>
        <w:t>静电理疗贴产品性能指标至少应包括以下几点：</w:t>
      </w:r>
    </w:p>
    <w:p w14:paraId="6C71FEF8">
      <w:pPr>
        <w:overflowPunct w:val="0"/>
        <w:spacing w:line="520" w:lineRule="exact"/>
        <w:ind w:firstLine="640" w:firstLineChars="200"/>
        <w:jc w:val="both"/>
        <w:rPr>
          <w:rFonts w:eastAsia="仿宋_GB2312"/>
          <w:sz w:val="32"/>
          <w:szCs w:val="32"/>
        </w:rPr>
      </w:pPr>
      <w:r>
        <w:rPr>
          <w:rFonts w:hint="eastAsia" w:eastAsia="仿宋_GB2312"/>
          <w:sz w:val="32"/>
          <w:szCs w:val="32"/>
        </w:rPr>
        <w:t>2.2.1 外观及尺寸（粘贴层、离子堆积层尺寸）；</w:t>
      </w:r>
    </w:p>
    <w:p w14:paraId="6D2EACDE">
      <w:pPr>
        <w:overflowPunct w:val="0"/>
        <w:spacing w:line="520" w:lineRule="exact"/>
        <w:ind w:firstLine="640" w:firstLineChars="200"/>
        <w:jc w:val="both"/>
        <w:rPr>
          <w:rFonts w:eastAsia="仿宋_GB2312"/>
          <w:sz w:val="32"/>
          <w:szCs w:val="32"/>
        </w:rPr>
      </w:pPr>
      <w:r>
        <w:rPr>
          <w:rFonts w:hint="eastAsia" w:eastAsia="仿宋_GB2312"/>
          <w:sz w:val="32"/>
          <w:szCs w:val="32"/>
        </w:rPr>
        <w:t>2.2.2 剥离强度；</w:t>
      </w:r>
    </w:p>
    <w:p w14:paraId="3CD3DB8A">
      <w:pPr>
        <w:overflowPunct w:val="0"/>
        <w:spacing w:line="520" w:lineRule="exact"/>
        <w:ind w:firstLine="640" w:firstLineChars="200"/>
        <w:jc w:val="both"/>
        <w:rPr>
          <w:rFonts w:eastAsia="仿宋_GB2312"/>
          <w:sz w:val="32"/>
          <w:szCs w:val="32"/>
        </w:rPr>
      </w:pPr>
      <w:r>
        <w:rPr>
          <w:rFonts w:hint="eastAsia" w:eastAsia="仿宋_GB2312"/>
          <w:sz w:val="32"/>
          <w:szCs w:val="32"/>
        </w:rPr>
        <w:t>2.2.3 持粘性；</w:t>
      </w:r>
    </w:p>
    <w:p w14:paraId="2968EC2E">
      <w:pPr>
        <w:overflowPunct w:val="0"/>
        <w:spacing w:line="520" w:lineRule="exact"/>
        <w:ind w:firstLine="640" w:firstLineChars="200"/>
        <w:jc w:val="both"/>
        <w:rPr>
          <w:rFonts w:eastAsia="仿宋_GB2312"/>
          <w:sz w:val="32"/>
          <w:szCs w:val="32"/>
        </w:rPr>
      </w:pPr>
      <w:r>
        <w:rPr>
          <w:rFonts w:hint="eastAsia" w:eastAsia="仿宋_GB2312"/>
          <w:sz w:val="32"/>
          <w:szCs w:val="32"/>
        </w:rPr>
        <w:t xml:space="preserve">2.2.4 </w:t>
      </w:r>
      <w:r>
        <w:rPr>
          <w:rFonts w:hint="eastAsia" w:eastAsia="仿宋_GB2312"/>
          <w:sz w:val="32"/>
          <w:szCs w:val="32"/>
          <w:lang w:val="en-US" w:eastAsia="zh-CN"/>
        </w:rPr>
        <w:t>水蒸气透过性（如适用）、阻水性（如适用）</w:t>
      </w:r>
      <w:r>
        <w:rPr>
          <w:rFonts w:hint="eastAsia" w:eastAsia="仿宋_GB2312"/>
          <w:sz w:val="32"/>
          <w:szCs w:val="32"/>
        </w:rPr>
        <w:t>；</w:t>
      </w:r>
    </w:p>
    <w:p w14:paraId="11A1C767">
      <w:pPr>
        <w:overflowPunct w:val="0"/>
        <w:spacing w:line="520" w:lineRule="exact"/>
        <w:ind w:firstLine="640" w:firstLineChars="200"/>
        <w:jc w:val="both"/>
        <w:rPr>
          <w:rFonts w:eastAsia="仿宋_GB2312"/>
          <w:sz w:val="32"/>
          <w:szCs w:val="32"/>
        </w:rPr>
      </w:pPr>
      <w:r>
        <w:rPr>
          <w:rFonts w:hint="eastAsia" w:eastAsia="仿宋_GB2312"/>
          <w:sz w:val="32"/>
          <w:szCs w:val="32"/>
        </w:rPr>
        <w:t>2.2.5 静电性能（表面电位/静电压）；最小值还是标称值；</w:t>
      </w:r>
    </w:p>
    <w:p w14:paraId="7FACA34D">
      <w:pPr>
        <w:overflowPunct w:val="0"/>
        <w:spacing w:line="520" w:lineRule="exact"/>
        <w:ind w:firstLine="640" w:firstLineChars="200"/>
        <w:jc w:val="both"/>
        <w:rPr>
          <w:rFonts w:eastAsia="仿宋_GB2312"/>
          <w:sz w:val="32"/>
          <w:szCs w:val="32"/>
        </w:rPr>
      </w:pPr>
      <w:r>
        <w:rPr>
          <w:rFonts w:hint="eastAsia" w:eastAsia="仿宋_GB2312"/>
          <w:sz w:val="32"/>
          <w:szCs w:val="32"/>
        </w:rPr>
        <w:t>2.2.6 无菌（如适用）；</w:t>
      </w:r>
    </w:p>
    <w:p w14:paraId="403B9F1D">
      <w:pPr>
        <w:overflowPunct w:val="0"/>
        <w:spacing w:line="520" w:lineRule="exact"/>
        <w:ind w:firstLine="640" w:firstLineChars="200"/>
        <w:jc w:val="both"/>
        <w:rPr>
          <w:rFonts w:eastAsia="仿宋_GB2312"/>
          <w:sz w:val="32"/>
          <w:szCs w:val="32"/>
        </w:rPr>
      </w:pPr>
      <w:r>
        <w:rPr>
          <w:rFonts w:hint="eastAsia" w:eastAsia="仿宋_GB2312"/>
          <w:sz w:val="32"/>
          <w:szCs w:val="32"/>
        </w:rPr>
        <w:t>2.2.7 微生物限度（如适用）；</w:t>
      </w:r>
    </w:p>
    <w:p w14:paraId="41EF839C">
      <w:pPr>
        <w:overflowPunct w:val="0"/>
        <w:spacing w:line="520" w:lineRule="exact"/>
        <w:ind w:firstLine="640" w:firstLineChars="200"/>
        <w:outlineLvl w:val="0"/>
        <w:rPr>
          <w:rFonts w:eastAsia="仿宋_GB2312"/>
          <w:sz w:val="32"/>
          <w:szCs w:val="32"/>
        </w:rPr>
      </w:pPr>
      <w:r>
        <w:rPr>
          <w:rFonts w:hint="eastAsia" w:eastAsia="仿宋_GB2312"/>
          <w:sz w:val="32"/>
          <w:szCs w:val="32"/>
        </w:rPr>
        <w:t>2.2.8 化学性能；</w:t>
      </w:r>
    </w:p>
    <w:p w14:paraId="20F2FC79">
      <w:pPr>
        <w:overflowPunct w:val="0"/>
        <w:spacing w:line="520" w:lineRule="exact"/>
        <w:ind w:firstLine="640" w:firstLineChars="200"/>
        <w:outlineLvl w:val="0"/>
        <w:rPr>
          <w:rFonts w:eastAsia="仿宋_GB2312"/>
          <w:sz w:val="32"/>
          <w:szCs w:val="32"/>
        </w:rPr>
      </w:pPr>
      <w:r>
        <w:rPr>
          <w:rFonts w:hint="eastAsia" w:eastAsia="仿宋_GB2312"/>
          <w:sz w:val="32"/>
          <w:szCs w:val="32"/>
        </w:rPr>
        <w:t>根据不同材料特性，</w:t>
      </w:r>
      <w:r>
        <w:rPr>
          <w:rFonts w:hint="eastAsia" w:eastAsia="仿宋_GB2312"/>
          <w:sz w:val="32"/>
          <w:szCs w:val="32"/>
          <w:lang w:val="en-US" w:eastAsia="zh-CN"/>
        </w:rPr>
        <w:t>明确</w:t>
      </w:r>
      <w:r>
        <w:rPr>
          <w:rFonts w:hint="eastAsia" w:eastAsia="仿宋_GB2312"/>
          <w:sz w:val="32"/>
          <w:szCs w:val="32"/>
        </w:rPr>
        <w:t>化学性能要求（如：酸碱度等，具体指标的选择可以参照相应的国家、行业标准及已上市同类产品情况）。用环氧乙烷灭菌的产品应规定环氧乙烷残留量的要求。</w:t>
      </w:r>
    </w:p>
    <w:p w14:paraId="48909E61">
      <w:pPr>
        <w:overflowPunct w:val="0"/>
        <w:spacing w:line="520" w:lineRule="exact"/>
        <w:ind w:firstLine="640" w:firstLineChars="200"/>
        <w:jc w:val="both"/>
        <w:rPr>
          <w:rFonts w:hint="eastAsia" w:eastAsia="宋体"/>
          <w:sz w:val="32"/>
          <w:szCs w:val="32"/>
          <w:lang w:eastAsia="zh-CN"/>
        </w:rPr>
      </w:pPr>
      <w:r>
        <w:rPr>
          <w:rFonts w:hint="eastAsia" w:eastAsia="仿宋_GB2312"/>
          <w:sz w:val="32"/>
          <w:szCs w:val="32"/>
        </w:rPr>
        <w:t>2.2.9 根据产品宣称的技术特点制定的其他性能要求</w:t>
      </w:r>
      <w:r>
        <w:rPr>
          <w:rFonts w:hint="eastAsia" w:eastAsia="仿宋_GB2312"/>
          <w:sz w:val="32"/>
          <w:szCs w:val="32"/>
          <w:lang w:eastAsia="zh-CN"/>
        </w:rPr>
        <w:t>，</w:t>
      </w:r>
      <w:r>
        <w:rPr>
          <w:rFonts w:hint="eastAsia" w:eastAsia="仿宋_GB2312"/>
          <w:sz w:val="32"/>
          <w:szCs w:val="32"/>
          <w:lang w:val="en-US" w:eastAsia="zh-CN"/>
        </w:rPr>
        <w:t>如</w:t>
      </w:r>
      <w:r>
        <w:rPr>
          <w:rFonts w:hint="eastAsia" w:eastAsia="仿宋_GB2312"/>
          <w:sz w:val="32"/>
          <w:szCs w:val="32"/>
        </w:rPr>
        <w:t>表面电位的均匀性指标</w:t>
      </w:r>
      <w:r>
        <w:rPr>
          <w:rFonts w:hint="eastAsia"/>
          <w:lang w:eastAsia="zh-CN"/>
        </w:rPr>
        <w:t>。</w:t>
      </w:r>
    </w:p>
    <w:p w14:paraId="24BD844E">
      <w:pPr>
        <w:overflowPunct w:val="0"/>
        <w:spacing w:line="520" w:lineRule="exact"/>
        <w:ind w:firstLine="640" w:firstLineChars="200"/>
        <w:jc w:val="both"/>
        <w:rPr>
          <w:rFonts w:eastAsia="仿宋_GB2312"/>
          <w:sz w:val="32"/>
          <w:szCs w:val="32"/>
        </w:rPr>
      </w:pPr>
      <w:r>
        <w:rPr>
          <w:rFonts w:hint="eastAsia" w:eastAsia="仿宋_GB2312"/>
          <w:sz w:val="32"/>
          <w:szCs w:val="32"/>
        </w:rPr>
        <w:t>2.3 检验报告</w:t>
      </w:r>
    </w:p>
    <w:p w14:paraId="624F25CF">
      <w:pPr>
        <w:overflowPunct w:val="0"/>
        <w:spacing w:line="520" w:lineRule="exact"/>
        <w:ind w:firstLine="640" w:firstLineChars="200"/>
        <w:jc w:val="both"/>
        <w:rPr>
          <w:rFonts w:eastAsia="仿宋_GB2312"/>
          <w:sz w:val="32"/>
          <w:szCs w:val="32"/>
        </w:rPr>
      </w:pPr>
      <w:r>
        <w:rPr>
          <w:rFonts w:hint="eastAsia" w:eastAsia="仿宋_GB2312"/>
          <w:sz w:val="32"/>
          <w:szCs w:val="32"/>
        </w:rPr>
        <w:t>2.3.1 同一注册单元内所检验的产品应当是能够代表本注册单元内其他产品安全性和有效性的典型产品，其功能最齐全、或结构最复杂、或风险最高。其他型号可进行差异性检测。</w:t>
      </w:r>
    </w:p>
    <w:p w14:paraId="70076E64">
      <w:pPr>
        <w:overflowPunct w:val="0"/>
        <w:spacing w:line="520" w:lineRule="exact"/>
        <w:ind w:firstLine="640" w:firstLineChars="200"/>
        <w:jc w:val="both"/>
        <w:rPr>
          <w:rFonts w:eastAsia="仿宋_GB2312"/>
          <w:sz w:val="32"/>
          <w:szCs w:val="32"/>
        </w:rPr>
      </w:pPr>
      <w:r>
        <w:rPr>
          <w:rFonts w:hint="eastAsia" w:eastAsia="仿宋_GB2312"/>
          <w:sz w:val="32"/>
          <w:szCs w:val="32"/>
        </w:rPr>
        <w:t>2.3.2 典型产品的确定可以通过比较同一注册单元内所有产品的技术结构、性能指标等相应资料，说明其能够代表本注册单元内其他产品的安全性和有效性。</w:t>
      </w:r>
    </w:p>
    <w:p w14:paraId="45A02F61">
      <w:pPr>
        <w:overflowPunct w:val="0"/>
        <w:spacing w:line="520" w:lineRule="exact"/>
        <w:ind w:firstLine="640" w:firstLineChars="200"/>
        <w:jc w:val="both"/>
        <w:rPr>
          <w:rFonts w:eastAsia="仿宋_GB2312"/>
          <w:sz w:val="32"/>
          <w:szCs w:val="32"/>
        </w:rPr>
      </w:pPr>
      <w:r>
        <w:rPr>
          <w:rFonts w:hint="eastAsia" w:eastAsia="仿宋_GB2312"/>
          <w:sz w:val="32"/>
          <w:szCs w:val="32"/>
        </w:rPr>
        <w:t>3. 研究资料</w:t>
      </w:r>
    </w:p>
    <w:p w14:paraId="6D4F0A5A">
      <w:pPr>
        <w:overflowPunct w:val="0"/>
        <w:spacing w:line="520" w:lineRule="exact"/>
        <w:ind w:firstLine="640" w:firstLineChars="200"/>
        <w:jc w:val="both"/>
        <w:rPr>
          <w:rFonts w:eastAsia="仿宋_GB2312"/>
          <w:sz w:val="32"/>
          <w:szCs w:val="32"/>
        </w:rPr>
      </w:pPr>
      <w:r>
        <w:rPr>
          <w:rFonts w:hint="eastAsia" w:eastAsia="仿宋_GB2312"/>
          <w:sz w:val="32"/>
          <w:szCs w:val="32"/>
        </w:rPr>
        <w:t>3.1 原材料控制</w:t>
      </w:r>
    </w:p>
    <w:p w14:paraId="0BFF8CE1">
      <w:pPr>
        <w:overflowPunct w:val="0"/>
        <w:spacing w:line="520" w:lineRule="exact"/>
        <w:ind w:firstLine="640" w:firstLineChars="200"/>
        <w:rPr>
          <w:rFonts w:eastAsia="仿宋_GB2312"/>
          <w:sz w:val="32"/>
          <w:szCs w:val="32"/>
        </w:rPr>
      </w:pPr>
      <w:r>
        <w:rPr>
          <w:rFonts w:hint="eastAsia" w:eastAsia="仿宋_GB2312"/>
          <w:sz w:val="32"/>
          <w:szCs w:val="32"/>
        </w:rPr>
        <w:t>说明原材料的选择依据，明确产品的起始材料，列明产品生产过程中由起始材料至终产品所需全部材料（包括添加剂、助剂等）的基本信息，如名称、供应商、符合的标准（如适用）等。产品组成材料可以列表的形式提供，并与产品结构图示中标识的部件一一对应。若产品组成材料为混合物的，应明确各组分及其比例。</w:t>
      </w:r>
    </w:p>
    <w:p w14:paraId="47EFB7BA">
      <w:pPr>
        <w:overflowPunct w:val="0"/>
        <w:spacing w:line="520" w:lineRule="exact"/>
        <w:ind w:firstLine="640" w:firstLineChars="200"/>
        <w:rPr>
          <w:rFonts w:eastAsia="仿宋_GB2312"/>
          <w:sz w:val="32"/>
          <w:szCs w:val="32"/>
        </w:rPr>
      </w:pPr>
      <w:r>
        <w:rPr>
          <w:rFonts w:hint="eastAsia" w:eastAsia="仿宋_GB2312"/>
          <w:sz w:val="32"/>
          <w:szCs w:val="32"/>
        </w:rPr>
        <w:t>原材料应具有稳定的供货渠道以保证产品质量，所用原材料的质量控制标准和研究资料。</w:t>
      </w:r>
    </w:p>
    <w:p w14:paraId="58E5F354">
      <w:pPr>
        <w:overflowPunct w:val="0"/>
        <w:spacing w:line="520" w:lineRule="exact"/>
        <w:ind w:firstLine="640" w:firstLineChars="200"/>
        <w:rPr>
          <w:rFonts w:eastAsia="仿宋_GB2312"/>
          <w:sz w:val="32"/>
          <w:szCs w:val="32"/>
        </w:rPr>
      </w:pPr>
      <w:r>
        <w:rPr>
          <w:rFonts w:hint="eastAsia" w:eastAsia="仿宋_GB2312"/>
          <w:sz w:val="32"/>
          <w:szCs w:val="32"/>
        </w:rPr>
        <w:t>对于首次应用于医疗器械的新材料，应提供该材料适合用于产品预期用途的相关研究资料，可参考提供该材料适于人体使用的相关研究资料，如新材料的生物相容性研究资料，毒理学分析，可沥滤物分析，临床应用史等。</w:t>
      </w:r>
    </w:p>
    <w:p w14:paraId="2E739B3C">
      <w:pPr>
        <w:overflowPunct w:val="0"/>
        <w:spacing w:line="520" w:lineRule="exact"/>
        <w:ind w:firstLine="640" w:firstLineChars="200"/>
        <w:jc w:val="both"/>
        <w:rPr>
          <w:rFonts w:eastAsia="仿宋_GB2312"/>
          <w:sz w:val="32"/>
          <w:szCs w:val="32"/>
        </w:rPr>
      </w:pPr>
      <w:r>
        <w:rPr>
          <w:rFonts w:hint="eastAsia" w:eastAsia="仿宋_GB2312"/>
          <w:sz w:val="32"/>
          <w:szCs w:val="32"/>
        </w:rPr>
        <w:t>3.2 产品性能研究</w:t>
      </w:r>
    </w:p>
    <w:p w14:paraId="20026B63">
      <w:pPr>
        <w:overflowPunct w:val="0"/>
        <w:spacing w:line="520" w:lineRule="exact"/>
        <w:ind w:firstLine="640" w:firstLineChars="200"/>
        <w:jc w:val="both"/>
        <w:rPr>
          <w:rFonts w:hint="eastAsia" w:eastAsia="仿宋_GB2312"/>
          <w:sz w:val="32"/>
          <w:szCs w:val="32"/>
        </w:rPr>
      </w:pPr>
      <w:r>
        <w:rPr>
          <w:rFonts w:hint="eastAsia" w:eastAsia="仿宋_GB2312"/>
          <w:sz w:val="32"/>
          <w:szCs w:val="32"/>
        </w:rPr>
        <w:t>应给出技术要求中各性能指标设定依据、采用标准或方法、原因及理论基础。应提供关键性能如静电性能</w:t>
      </w:r>
      <w:r>
        <w:rPr>
          <w:rFonts w:hint="eastAsia" w:ascii="Times New Roman" w:hAnsi="Times New Roman" w:eastAsia="仿宋_GB2312" w:cs="Times New Roman"/>
          <w:sz w:val="32"/>
          <w:szCs w:val="32"/>
          <w:lang w:eastAsia="zh-CN"/>
        </w:rPr>
        <w:t>、电荷存储稳定性、表面电位分布均匀性</w:t>
      </w:r>
      <w:r>
        <w:rPr>
          <w:rFonts w:hint="eastAsia" w:ascii="Times New Roman" w:hAnsi="Times New Roman" w:eastAsia="仿宋_GB2312" w:cs="Times New Roman"/>
          <w:sz w:val="32"/>
          <w:szCs w:val="32"/>
        </w:rPr>
        <w:t>、持粘性、剥离性能等验证资料</w:t>
      </w:r>
      <w:r>
        <w:rPr>
          <w:rFonts w:hint="eastAsia" w:eastAsia="仿宋_GB2312"/>
          <w:sz w:val="32"/>
          <w:szCs w:val="32"/>
        </w:rPr>
        <w:t>。应考虑贴敷于人体皮肤后，结合使用时间，进行静电保持时间的研究。</w:t>
      </w:r>
    </w:p>
    <w:p w14:paraId="7E237659">
      <w:pPr>
        <w:overflowPunct w:val="0"/>
        <w:spacing w:line="520" w:lineRule="exact"/>
        <w:ind w:firstLine="640" w:firstLineChars="200"/>
        <w:jc w:val="both"/>
        <w:rPr>
          <w:rFonts w:hint="eastAsia" w:eastAsia="仿宋_GB2312"/>
          <w:sz w:val="32"/>
          <w:szCs w:val="32"/>
          <w:lang w:eastAsia="zh-CN"/>
        </w:rPr>
      </w:pPr>
      <w:r>
        <w:rPr>
          <w:rFonts w:hint="eastAsia" w:eastAsia="仿宋_GB2312"/>
          <w:sz w:val="32"/>
          <w:szCs w:val="32"/>
          <w:lang w:val="en-US" w:eastAsia="zh-CN"/>
        </w:rPr>
        <w:t>还应</w:t>
      </w:r>
      <w:r>
        <w:rPr>
          <w:rFonts w:hint="eastAsia" w:eastAsia="仿宋_GB2312"/>
          <w:sz w:val="32"/>
          <w:szCs w:val="32"/>
        </w:rPr>
        <w:t>考虑患者辅助漏电流、静电放电等电气安全因素</w:t>
      </w:r>
      <w:r>
        <w:rPr>
          <w:rFonts w:hint="eastAsia" w:eastAsia="仿宋_GB2312"/>
          <w:sz w:val="32"/>
          <w:szCs w:val="32"/>
          <w:lang w:eastAsia="zh-CN"/>
        </w:rPr>
        <w:t>。</w:t>
      </w:r>
    </w:p>
    <w:p w14:paraId="3EC3D5DF">
      <w:pPr>
        <w:overflowPunct w:val="0"/>
        <w:spacing w:line="520" w:lineRule="exact"/>
        <w:ind w:firstLine="640" w:firstLineChars="200"/>
        <w:jc w:val="both"/>
        <w:rPr>
          <w:rFonts w:eastAsia="仿宋_GB2312"/>
          <w:sz w:val="32"/>
          <w:szCs w:val="32"/>
        </w:rPr>
      </w:pPr>
      <w:r>
        <w:rPr>
          <w:rFonts w:hint="eastAsia" w:eastAsia="仿宋_GB2312"/>
          <w:sz w:val="32"/>
          <w:szCs w:val="32"/>
        </w:rPr>
        <w:t>3.3 生物学特性研究</w:t>
      </w:r>
    </w:p>
    <w:p w14:paraId="5F11C17F">
      <w:pPr>
        <w:overflowPunct w:val="0"/>
        <w:spacing w:line="520" w:lineRule="exact"/>
        <w:ind w:firstLine="640" w:firstLineChars="200"/>
        <w:rPr>
          <w:rFonts w:eastAsia="仿宋_GB2312"/>
          <w:kern w:val="0"/>
          <w:sz w:val="32"/>
          <w:szCs w:val="32"/>
        </w:rPr>
      </w:pPr>
      <w:r>
        <w:rPr>
          <w:rFonts w:hint="eastAsia" w:eastAsia="仿宋_GB2312"/>
          <w:kern w:val="0"/>
          <w:sz w:val="32"/>
          <w:szCs w:val="32"/>
        </w:rPr>
        <w:t>按照GB/T 16886.1《医疗器械生物学评价第1部分：风险管理过程中的评价与试验》、《关于印发医疗器械生物学评价和审查指南的通知》要求开展生物相容性评价，</w:t>
      </w:r>
      <w:r>
        <w:rPr>
          <w:rFonts w:eastAsia="仿宋_GB2312"/>
          <w:kern w:val="0"/>
          <w:sz w:val="32"/>
          <w:szCs w:val="32"/>
        </w:rPr>
        <w:t>生物相容性评价研究资料应当包括：生物相容性评价的依据</w:t>
      </w:r>
      <w:r>
        <w:rPr>
          <w:rFonts w:hint="eastAsia" w:eastAsia="仿宋_GB2312"/>
          <w:kern w:val="0"/>
          <w:sz w:val="32"/>
          <w:szCs w:val="32"/>
        </w:rPr>
        <w:t>、项目</w:t>
      </w:r>
      <w:r>
        <w:rPr>
          <w:rFonts w:eastAsia="仿宋_GB2312"/>
          <w:kern w:val="0"/>
          <w:sz w:val="32"/>
          <w:szCs w:val="32"/>
        </w:rPr>
        <w:t>和方法</w:t>
      </w:r>
      <w:r>
        <w:rPr>
          <w:rFonts w:hint="eastAsia" w:eastAsia="仿宋_GB2312"/>
          <w:kern w:val="0"/>
          <w:sz w:val="32"/>
          <w:szCs w:val="32"/>
        </w:rPr>
        <w:t>；</w:t>
      </w:r>
      <w:r>
        <w:rPr>
          <w:rFonts w:eastAsia="仿宋_GB2312"/>
          <w:kern w:val="0"/>
          <w:sz w:val="32"/>
          <w:szCs w:val="32"/>
        </w:rPr>
        <w:t>产品所用材料的描述及与人体接触的性质和时间；实施或豁免生物学试验的理由和论证</w:t>
      </w:r>
      <w:r>
        <w:rPr>
          <w:rFonts w:hint="eastAsia" w:eastAsia="仿宋_GB2312"/>
          <w:kern w:val="0"/>
          <w:sz w:val="32"/>
          <w:szCs w:val="32"/>
        </w:rPr>
        <w:t>；</w:t>
      </w:r>
      <w:r>
        <w:rPr>
          <w:rFonts w:eastAsia="仿宋_GB2312"/>
          <w:kern w:val="0"/>
          <w:sz w:val="32"/>
          <w:szCs w:val="32"/>
        </w:rPr>
        <w:t>对于现有数据或试验结果的评价。</w:t>
      </w:r>
    </w:p>
    <w:p w14:paraId="7A6BF260">
      <w:pPr>
        <w:overflowPunct w:val="0"/>
        <w:spacing w:line="520" w:lineRule="exact"/>
        <w:ind w:firstLine="640" w:firstLineChars="200"/>
        <w:jc w:val="both"/>
        <w:rPr>
          <w:rFonts w:eastAsia="仿宋_GB2312"/>
          <w:kern w:val="0"/>
          <w:sz w:val="32"/>
          <w:szCs w:val="32"/>
        </w:rPr>
      </w:pPr>
      <w:r>
        <w:rPr>
          <w:rFonts w:hint="eastAsia" w:eastAsia="仿宋_GB2312"/>
          <w:kern w:val="0"/>
          <w:sz w:val="32"/>
          <w:szCs w:val="32"/>
        </w:rPr>
        <w:t>本</w:t>
      </w:r>
      <w:r>
        <w:rPr>
          <w:rFonts w:eastAsia="仿宋_GB2312"/>
          <w:kern w:val="0"/>
          <w:sz w:val="32"/>
          <w:szCs w:val="32"/>
        </w:rPr>
        <w:t>指导原则中的</w:t>
      </w:r>
      <w:r>
        <w:rPr>
          <w:rFonts w:hint="eastAsia" w:eastAsia="仿宋_GB2312"/>
          <w:kern w:val="0"/>
          <w:sz w:val="32"/>
          <w:szCs w:val="32"/>
        </w:rPr>
        <w:t>静电理疗贴</w:t>
      </w:r>
      <w:r>
        <w:rPr>
          <w:rFonts w:eastAsia="仿宋_GB2312"/>
          <w:kern w:val="0"/>
          <w:sz w:val="32"/>
          <w:szCs w:val="32"/>
        </w:rPr>
        <w:t>开展生物学评价时，建议考虑累积接触时间</w:t>
      </w:r>
      <w:r>
        <w:rPr>
          <w:rFonts w:hint="eastAsia" w:eastAsia="仿宋_GB2312"/>
          <w:kern w:val="0"/>
          <w:sz w:val="32"/>
          <w:szCs w:val="32"/>
        </w:rPr>
        <w:t>，</w:t>
      </w:r>
      <w:r>
        <w:rPr>
          <w:rFonts w:eastAsia="仿宋_GB2312"/>
          <w:kern w:val="0"/>
          <w:sz w:val="32"/>
          <w:szCs w:val="32"/>
        </w:rPr>
        <w:t>应按照GB/T 16886.1《医疗器械生物学评价第1部分：风险管理过程中的评价与试验》标准进行评价，至少应</w:t>
      </w:r>
      <w:r>
        <w:rPr>
          <w:rFonts w:hint="eastAsia" w:eastAsia="仿宋_GB2312"/>
          <w:kern w:val="0"/>
          <w:sz w:val="32"/>
          <w:szCs w:val="32"/>
        </w:rPr>
        <w:t>包括</w:t>
      </w:r>
      <w:r>
        <w:rPr>
          <w:rFonts w:eastAsia="仿宋_GB2312"/>
          <w:kern w:val="0"/>
          <w:sz w:val="32"/>
          <w:szCs w:val="32"/>
        </w:rPr>
        <w:t>细胞毒性、刺激</w:t>
      </w:r>
      <w:r>
        <w:rPr>
          <w:rFonts w:hint="eastAsia" w:eastAsia="仿宋_GB2312"/>
          <w:kern w:val="0"/>
          <w:sz w:val="32"/>
          <w:szCs w:val="32"/>
        </w:rPr>
        <w:t>反应</w:t>
      </w:r>
      <w:r>
        <w:rPr>
          <w:rFonts w:eastAsia="仿宋_GB2312"/>
          <w:kern w:val="0"/>
          <w:sz w:val="32"/>
          <w:szCs w:val="32"/>
        </w:rPr>
        <w:t>、</w:t>
      </w:r>
      <w:r>
        <w:rPr>
          <w:rFonts w:hint="eastAsia" w:eastAsia="仿宋_GB2312"/>
          <w:kern w:val="0"/>
          <w:sz w:val="32"/>
          <w:szCs w:val="32"/>
        </w:rPr>
        <w:t>致</w:t>
      </w:r>
      <w:r>
        <w:rPr>
          <w:rFonts w:eastAsia="仿宋_GB2312"/>
          <w:kern w:val="0"/>
          <w:sz w:val="32"/>
          <w:szCs w:val="32"/>
        </w:rPr>
        <w:t>敏反应</w:t>
      </w:r>
      <w:r>
        <w:rPr>
          <w:rFonts w:hint="eastAsia" w:eastAsia="仿宋_GB2312"/>
          <w:kern w:val="0"/>
          <w:sz w:val="32"/>
          <w:szCs w:val="32"/>
        </w:rPr>
        <w:t>等</w:t>
      </w:r>
      <w:r>
        <w:rPr>
          <w:rFonts w:eastAsia="仿宋_GB2312"/>
          <w:kern w:val="0"/>
          <w:sz w:val="32"/>
          <w:szCs w:val="32"/>
        </w:rPr>
        <w:t>。</w:t>
      </w:r>
      <w:r>
        <w:rPr>
          <w:rFonts w:hint="eastAsia" w:eastAsia="仿宋_GB2312"/>
          <w:kern w:val="0"/>
          <w:sz w:val="32"/>
          <w:szCs w:val="32"/>
        </w:rPr>
        <w:t>说明书中规定的最长使用时间不应超出生物学评价时确定的累积接触时间</w:t>
      </w:r>
    </w:p>
    <w:p w14:paraId="722CA984">
      <w:pPr>
        <w:overflowPunct w:val="0"/>
        <w:spacing w:line="520" w:lineRule="exact"/>
        <w:ind w:firstLine="640" w:firstLineChars="200"/>
        <w:jc w:val="both"/>
        <w:rPr>
          <w:rFonts w:eastAsia="仿宋_GB2312"/>
          <w:sz w:val="32"/>
          <w:szCs w:val="32"/>
        </w:rPr>
      </w:pPr>
      <w:r>
        <w:rPr>
          <w:rFonts w:hint="eastAsia" w:eastAsia="仿宋_GB2312"/>
          <w:sz w:val="32"/>
          <w:szCs w:val="32"/>
        </w:rPr>
        <w:t>3.4 灭菌工艺研究</w:t>
      </w:r>
    </w:p>
    <w:p w14:paraId="60D85F1E">
      <w:pPr>
        <w:overflowPunct w:val="0"/>
        <w:spacing w:line="520" w:lineRule="exact"/>
        <w:ind w:firstLine="640" w:firstLineChars="200"/>
        <w:rPr>
          <w:rFonts w:eastAsia="仿宋_GB2312"/>
          <w:kern w:val="0"/>
          <w:sz w:val="32"/>
          <w:szCs w:val="32"/>
        </w:rPr>
      </w:pPr>
      <w:r>
        <w:rPr>
          <w:rFonts w:hint="eastAsia" w:eastAsia="仿宋_GB2312"/>
          <w:kern w:val="0"/>
          <w:sz w:val="32"/>
          <w:szCs w:val="32"/>
        </w:rPr>
        <w:t>如产品无菌供应，</w:t>
      </w:r>
      <w:r>
        <w:rPr>
          <w:rFonts w:eastAsia="仿宋_GB2312"/>
          <w:kern w:val="0"/>
          <w:sz w:val="32"/>
          <w:szCs w:val="32"/>
        </w:rPr>
        <w:t>应明确灭菌工艺（方法和参数）及其选择依据和无菌保证水平（SAL），并提供灭菌确认报告，无菌保证水平（SAL）应保证达到1×10</w:t>
      </w:r>
      <w:r>
        <w:rPr>
          <w:rFonts w:eastAsia="仿宋_GB2312"/>
          <w:kern w:val="0"/>
          <w:sz w:val="32"/>
          <w:szCs w:val="32"/>
          <w:vertAlign w:val="superscript"/>
        </w:rPr>
        <w:t>-6</w:t>
      </w:r>
      <w:r>
        <w:rPr>
          <w:rFonts w:hint="eastAsia" w:eastAsia="仿宋_GB2312"/>
          <w:kern w:val="0"/>
          <w:sz w:val="32"/>
          <w:szCs w:val="32"/>
        </w:rPr>
        <w:t xml:space="preserve">，报告内容应符合 </w:t>
      </w:r>
      <w:r>
        <w:rPr>
          <w:rFonts w:hint="eastAsia" w:eastAsia="仿宋_GB2312"/>
          <w:sz w:val="32"/>
          <w:szCs w:val="32"/>
        </w:rPr>
        <w:t>GB 18279《医疗保健产品灭菌 环氧乙烷》系列标准等相关标准规定</w:t>
      </w:r>
      <w:r>
        <w:rPr>
          <w:rFonts w:eastAsia="仿宋_GB2312"/>
          <w:kern w:val="0"/>
          <w:sz w:val="32"/>
          <w:szCs w:val="32"/>
        </w:rPr>
        <w:t>。灭菌过程的选择应至少考虑以下因素：产品与灭菌过程的适应性；包装材料与灭菌过程的适应性；灭菌对产品安全有效性的影响。</w:t>
      </w:r>
    </w:p>
    <w:p w14:paraId="277789A0">
      <w:pPr>
        <w:overflowPunct w:val="0"/>
        <w:spacing w:line="520" w:lineRule="exact"/>
        <w:ind w:firstLine="640" w:firstLineChars="200"/>
        <w:jc w:val="both"/>
        <w:rPr>
          <w:rFonts w:eastAsia="仿宋_GB2312"/>
          <w:sz w:val="32"/>
          <w:szCs w:val="32"/>
        </w:rPr>
      </w:pPr>
      <w:r>
        <w:rPr>
          <w:rFonts w:hint="eastAsia" w:eastAsia="仿宋_GB2312"/>
          <w:kern w:val="0"/>
          <w:sz w:val="32"/>
          <w:szCs w:val="32"/>
        </w:rPr>
        <w:t>若灭菌使用的方法容易出现残留，如环氧乙烷灭菌，应当明确残留物信息及采取的处理方法，并提供环氧乙烷解析的研究资料</w:t>
      </w:r>
      <w:r>
        <w:rPr>
          <w:rFonts w:hint="eastAsia" w:eastAsia="仿宋_GB2312"/>
          <w:sz w:val="32"/>
          <w:szCs w:val="32"/>
        </w:rPr>
        <w:t>。</w:t>
      </w:r>
    </w:p>
    <w:p w14:paraId="172F567E">
      <w:pPr>
        <w:overflowPunct w:val="0"/>
        <w:spacing w:line="520" w:lineRule="exact"/>
        <w:ind w:firstLine="640" w:firstLineChars="200"/>
        <w:jc w:val="both"/>
        <w:rPr>
          <w:rFonts w:eastAsia="仿宋_GB2312"/>
          <w:sz w:val="32"/>
          <w:szCs w:val="32"/>
        </w:rPr>
      </w:pPr>
      <w:r>
        <w:rPr>
          <w:rFonts w:hint="eastAsia" w:eastAsia="仿宋_GB2312"/>
          <w:sz w:val="32"/>
          <w:szCs w:val="32"/>
        </w:rPr>
        <w:t>3.5 产品稳定性</w:t>
      </w:r>
    </w:p>
    <w:p w14:paraId="2D05B0B0">
      <w:pPr>
        <w:overflowPunct w:val="0"/>
        <w:spacing w:line="520" w:lineRule="exact"/>
        <w:ind w:firstLine="640" w:firstLineChars="200"/>
        <w:jc w:val="both"/>
        <w:rPr>
          <w:rFonts w:eastAsia="仿宋_GB2312"/>
          <w:sz w:val="32"/>
          <w:szCs w:val="32"/>
        </w:rPr>
      </w:pPr>
      <w:r>
        <w:rPr>
          <w:rFonts w:hint="eastAsia" w:eastAsia="仿宋_GB2312"/>
          <w:sz w:val="32"/>
          <w:szCs w:val="32"/>
        </w:rPr>
        <w:t>3.5.1 货架有效期</w:t>
      </w:r>
    </w:p>
    <w:p w14:paraId="5FC45A1B">
      <w:pPr>
        <w:overflowPunct w:val="0"/>
        <w:spacing w:line="520" w:lineRule="exact"/>
        <w:ind w:firstLine="640" w:firstLineChars="200"/>
        <w:jc w:val="both"/>
        <w:rPr>
          <w:rFonts w:eastAsia="仿宋_GB2312"/>
          <w:sz w:val="32"/>
          <w:szCs w:val="32"/>
        </w:rPr>
      </w:pPr>
      <w:r>
        <w:rPr>
          <w:rFonts w:hint="eastAsia" w:eastAsia="仿宋_GB2312"/>
          <w:sz w:val="32"/>
          <w:szCs w:val="32"/>
        </w:rPr>
        <w:t>货架有效期包括产品有效期和包装有效期。产品有效期研究可采用加速老化或实时老化的研究，加速老化研究可参考YY/T 0681.1《无菌医疗器械包装试验方法第1部分：加速老化试验指南》。有效期验证方案中应设定验证项目、验证方法及判定标准。验证项目包括产品自身性能验证和包装系统性能验证两方面。</w:t>
      </w:r>
    </w:p>
    <w:p w14:paraId="4FC65F75">
      <w:pPr>
        <w:overflowPunct w:val="0"/>
        <w:spacing w:line="520" w:lineRule="exact"/>
        <w:ind w:firstLine="640" w:firstLineChars="200"/>
        <w:jc w:val="both"/>
        <w:rPr>
          <w:rFonts w:eastAsia="仿宋_GB2312"/>
          <w:sz w:val="32"/>
          <w:szCs w:val="32"/>
        </w:rPr>
      </w:pPr>
      <w:r>
        <w:rPr>
          <w:rFonts w:hint="eastAsia" w:eastAsia="仿宋_GB2312"/>
          <w:sz w:val="32"/>
          <w:szCs w:val="32"/>
        </w:rPr>
        <w:t>3.5.2 包装及包装完整性</w:t>
      </w:r>
    </w:p>
    <w:p w14:paraId="74413382">
      <w:pPr>
        <w:overflowPunct w:val="0"/>
        <w:spacing w:line="520" w:lineRule="exact"/>
        <w:ind w:firstLine="640" w:firstLineChars="200"/>
        <w:outlineLvl w:val="0"/>
        <w:rPr>
          <w:rFonts w:eastAsia="仿宋_GB2312"/>
          <w:sz w:val="32"/>
          <w:szCs w:val="32"/>
        </w:rPr>
      </w:pPr>
      <w:r>
        <w:rPr>
          <w:rFonts w:eastAsia="仿宋_GB2312"/>
          <w:sz w:val="32"/>
          <w:szCs w:val="32"/>
        </w:rPr>
        <w:t>应明确产品的内包装形式并确保包装在宣称的运输储存条件下，在产品有效期内能够对产品起到防护作用并保持产品清洁。产品包装验证可依据有关标准进行（</w:t>
      </w:r>
      <w:r>
        <w:rPr>
          <w:rFonts w:hint="eastAsia" w:eastAsia="仿宋_GB2312"/>
          <w:sz w:val="32"/>
          <w:szCs w:val="32"/>
        </w:rPr>
        <w:t>如GB/T19633系列标准</w:t>
      </w:r>
      <w:r>
        <w:rPr>
          <w:rFonts w:eastAsia="仿宋_GB2312"/>
          <w:sz w:val="32"/>
          <w:szCs w:val="32"/>
        </w:rPr>
        <w:t>），提交产品的包装验证报告。包装材料的选择应考虑以下因素：包装材料的物理化学性能；</w:t>
      </w:r>
      <w:r>
        <w:rPr>
          <w:rFonts w:hint="eastAsia" w:eastAsia="仿宋_GB2312"/>
          <w:sz w:val="32"/>
          <w:szCs w:val="32"/>
        </w:rPr>
        <w:t>包装材料所能提供的物理、化学和微生物屏障保护</w:t>
      </w:r>
      <w:r>
        <w:rPr>
          <w:rFonts w:eastAsia="仿宋_GB2312"/>
          <w:sz w:val="32"/>
          <w:szCs w:val="32"/>
        </w:rPr>
        <w:t>；包装材料与成型和密封过程的适应性；包装材料与产品的适应性；包装材料与标签系统的适应性；包装材料与贮存运输过程的适合性；包装有效期。包装验证的资料内容应与包装说明中给出的信息相符。</w:t>
      </w:r>
    </w:p>
    <w:p w14:paraId="59CAAF8D">
      <w:pPr>
        <w:overflowPunct w:val="0"/>
        <w:spacing w:line="520" w:lineRule="exact"/>
        <w:ind w:firstLine="640" w:firstLineChars="200"/>
        <w:outlineLvl w:val="0"/>
        <w:rPr>
          <w:rFonts w:eastAsia="仿宋_GB2312"/>
          <w:sz w:val="32"/>
          <w:szCs w:val="32"/>
        </w:rPr>
      </w:pPr>
      <w:r>
        <w:rPr>
          <w:rFonts w:hint="eastAsia" w:eastAsia="仿宋_GB2312"/>
          <w:sz w:val="32"/>
          <w:szCs w:val="32"/>
        </w:rPr>
        <w:t>提交运输稳定性研究资料，证明在生产企业规定的运输条件下，运输过程中的环境条件（例如：震动、振动、温度和湿度的波动）不会对医疗器械的特性和性能，包括完整性和清洁度，造成不利影响。</w:t>
      </w:r>
    </w:p>
    <w:p w14:paraId="69C70267">
      <w:pPr>
        <w:overflowPunct w:val="0"/>
        <w:spacing w:line="520" w:lineRule="exact"/>
        <w:ind w:firstLine="640" w:firstLineChars="200"/>
        <w:jc w:val="both"/>
        <w:rPr>
          <w:rFonts w:eastAsia="仿宋_GB2312"/>
          <w:sz w:val="32"/>
          <w:szCs w:val="32"/>
        </w:rPr>
      </w:pPr>
      <w:r>
        <w:rPr>
          <w:rFonts w:hint="eastAsia" w:eastAsia="仿宋_GB2312"/>
          <w:sz w:val="32"/>
          <w:szCs w:val="32"/>
        </w:rPr>
        <w:t>3.6 其他资料</w:t>
      </w:r>
    </w:p>
    <w:p w14:paraId="413AF5D2">
      <w:pPr>
        <w:overflowPunct w:val="0"/>
        <w:spacing w:line="520" w:lineRule="exact"/>
        <w:ind w:firstLine="640" w:firstLineChars="200"/>
        <w:jc w:val="both"/>
        <w:rPr>
          <w:rFonts w:hint="eastAsia" w:eastAsia="仿宋_GB2312"/>
          <w:sz w:val="32"/>
          <w:szCs w:val="32"/>
        </w:rPr>
      </w:pPr>
      <w:r>
        <w:rPr>
          <w:rFonts w:hint="eastAsia" w:eastAsia="仿宋_GB2312"/>
          <w:sz w:val="32"/>
          <w:szCs w:val="32"/>
        </w:rPr>
        <w:t>静电理疗贴未列入《免于进行临床评价医疗器械目录》，应按要求提交完整临床评价资料。</w:t>
      </w:r>
    </w:p>
    <w:p w14:paraId="1AD4663B">
      <w:pPr>
        <w:overflowPunct w:val="0"/>
        <w:spacing w:line="520" w:lineRule="exact"/>
        <w:ind w:firstLine="640" w:firstLineChars="200"/>
        <w:jc w:val="both"/>
        <w:rPr>
          <w:rFonts w:hint="eastAsia" w:eastAsia="仿宋_GB2312"/>
          <w:sz w:val="32"/>
          <w:szCs w:val="32"/>
        </w:rPr>
      </w:pPr>
      <w:r>
        <w:rPr>
          <w:rFonts w:hint="eastAsia" w:eastAsia="仿宋_GB2312"/>
          <w:sz w:val="32"/>
          <w:szCs w:val="32"/>
        </w:rPr>
        <w:t>3.7可用性工程</w:t>
      </w:r>
    </w:p>
    <w:p w14:paraId="78E4F0F3">
      <w:pPr>
        <w:overflowPunct w:val="0"/>
        <w:spacing w:line="520" w:lineRule="exact"/>
        <w:ind w:firstLine="640" w:firstLineChars="200"/>
        <w:jc w:val="both"/>
        <w:rPr>
          <w:rFonts w:hint="eastAsia" w:eastAsia="仿宋_GB2312"/>
          <w:sz w:val="32"/>
          <w:szCs w:val="32"/>
        </w:rPr>
      </w:pPr>
      <w:r>
        <w:rPr>
          <w:rFonts w:hint="eastAsia" w:eastAsia="仿宋_GB2312"/>
          <w:sz w:val="32"/>
          <w:szCs w:val="32"/>
        </w:rPr>
        <w:t>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6323B15A">
      <w:pPr>
        <w:overflowPunct w:val="0"/>
        <w:spacing w:line="520" w:lineRule="exact"/>
        <w:ind w:firstLine="640" w:firstLineChars="200"/>
        <w:jc w:val="both"/>
        <w:rPr>
          <w:rFonts w:eastAsia="仿宋_GB2312"/>
          <w:sz w:val="32"/>
          <w:szCs w:val="32"/>
        </w:rPr>
      </w:pPr>
      <w:r>
        <w:rPr>
          <w:rFonts w:hint="eastAsia" w:eastAsia="仿宋_GB2312"/>
          <w:sz w:val="32"/>
          <w:szCs w:val="32"/>
        </w:rPr>
        <w:t>（五）临床评价资料</w:t>
      </w:r>
    </w:p>
    <w:p w14:paraId="158311F0">
      <w:pPr>
        <w:overflowPunct w:val="0"/>
        <w:spacing w:line="520" w:lineRule="exact"/>
        <w:ind w:firstLine="640" w:firstLineChars="200"/>
        <w:jc w:val="both"/>
        <w:rPr>
          <w:rFonts w:eastAsia="仿宋_GB2312"/>
          <w:sz w:val="32"/>
          <w:szCs w:val="32"/>
        </w:rPr>
      </w:pPr>
      <w:r>
        <w:rPr>
          <w:rFonts w:hint="eastAsia" w:eastAsia="仿宋_GB2312"/>
          <w:sz w:val="32"/>
          <w:szCs w:val="32"/>
        </w:rPr>
        <w:t>静电理疗贴不属于免于进行临床评价目录产品，注册申报必须按照《医疗器械临床评价技术指导原则》提交完整临床评价资料，可通过同品种临床评价路径或临床试验路径开展。</w:t>
      </w:r>
    </w:p>
    <w:p w14:paraId="3F160656">
      <w:pPr>
        <w:overflowPunct w:val="0"/>
        <w:spacing w:line="520" w:lineRule="exact"/>
        <w:ind w:firstLine="640" w:firstLineChars="200"/>
        <w:jc w:val="both"/>
        <w:rPr>
          <w:rFonts w:eastAsia="仿宋_GB2312"/>
          <w:sz w:val="32"/>
          <w:szCs w:val="32"/>
        </w:rPr>
      </w:pPr>
      <w:r>
        <w:rPr>
          <w:rFonts w:hint="eastAsia" w:eastAsia="仿宋_GB2312"/>
          <w:sz w:val="32"/>
          <w:szCs w:val="32"/>
        </w:rPr>
        <w:t>1. 采用同品种临床评价路径：应选取境内已上市同类产品作为参比，充分论证等同性，并系统收集临床文献、临床数据、不良事件数据等，形成完整临床评价报告。</w:t>
      </w:r>
    </w:p>
    <w:p w14:paraId="77AB5C85">
      <w:pPr>
        <w:overflowPunct w:val="0"/>
        <w:spacing w:line="520" w:lineRule="exact"/>
        <w:ind w:firstLine="640" w:firstLineChars="200"/>
        <w:jc w:val="both"/>
        <w:rPr>
          <w:rFonts w:eastAsia="仿宋_GB2312"/>
          <w:sz w:val="32"/>
          <w:szCs w:val="32"/>
        </w:rPr>
      </w:pPr>
      <w:r>
        <w:rPr>
          <w:rFonts w:hint="eastAsia" w:eastAsia="仿宋_GB2312"/>
          <w:sz w:val="32"/>
          <w:szCs w:val="32"/>
        </w:rPr>
        <w:t xml:space="preserve">2. </w:t>
      </w:r>
      <w:r>
        <w:rPr>
          <w:rFonts w:eastAsia="仿宋_GB2312"/>
          <w:sz w:val="32"/>
          <w:szCs w:val="32"/>
        </w:rPr>
        <w:t>如需开展临床试验，应符合《医疗器械临床试验质量管理规范》等相关文件的要求。对于所宣称的产品功效，注册注册申请人应提交相应的、充分的、具有临床和统计学意义的临床数据支持。</w:t>
      </w:r>
    </w:p>
    <w:p w14:paraId="210D0888">
      <w:pPr>
        <w:overflowPunct w:val="0"/>
        <w:spacing w:line="520" w:lineRule="exact"/>
        <w:ind w:firstLine="640" w:firstLineChars="200"/>
        <w:jc w:val="both"/>
        <w:rPr>
          <w:rFonts w:eastAsia="仿宋_GB2312"/>
          <w:sz w:val="32"/>
          <w:szCs w:val="32"/>
        </w:rPr>
      </w:pPr>
      <w:r>
        <w:rPr>
          <w:rFonts w:hint="eastAsia" w:eastAsia="仿宋_GB2312"/>
          <w:sz w:val="32"/>
          <w:szCs w:val="32"/>
        </w:rPr>
        <w:t>（六）产品说明书和标签样稿</w:t>
      </w:r>
    </w:p>
    <w:p w14:paraId="79FEBD43">
      <w:pPr>
        <w:overflowPunct w:val="0"/>
        <w:spacing w:line="520" w:lineRule="exact"/>
        <w:ind w:firstLine="640" w:firstLineChars="200"/>
        <w:jc w:val="both"/>
        <w:rPr>
          <w:rFonts w:eastAsia="仿宋_GB2312"/>
          <w:sz w:val="32"/>
          <w:szCs w:val="32"/>
        </w:rPr>
      </w:pPr>
      <w:r>
        <w:rPr>
          <w:rFonts w:hint="eastAsia" w:eastAsia="仿宋_GB2312"/>
          <w:sz w:val="32"/>
          <w:szCs w:val="32"/>
        </w:rPr>
        <w:t>产品说明书和标签编写应符合《医疗器械说明书和标签管理规定》，关于产品性能特征的描述不应超出研究资料及产品技术要求，不得含有未经验证的夸大宣传。</w:t>
      </w:r>
    </w:p>
    <w:p w14:paraId="32D0E851">
      <w:pPr>
        <w:overflowPunct w:val="0"/>
        <w:spacing w:line="520" w:lineRule="exact"/>
        <w:ind w:firstLine="640" w:firstLineChars="200"/>
        <w:jc w:val="both"/>
        <w:rPr>
          <w:rFonts w:eastAsia="仿宋_GB2312"/>
          <w:sz w:val="32"/>
          <w:szCs w:val="32"/>
        </w:rPr>
      </w:pPr>
      <w:r>
        <w:rPr>
          <w:rFonts w:hint="eastAsia" w:eastAsia="仿宋_GB2312"/>
          <w:sz w:val="32"/>
          <w:szCs w:val="32"/>
        </w:rPr>
        <w:t>1. 提示使用前首先阅读说明书。</w:t>
      </w:r>
    </w:p>
    <w:p w14:paraId="01CF7C31">
      <w:pPr>
        <w:overflowPunct w:val="0"/>
        <w:spacing w:line="520" w:lineRule="exact"/>
        <w:ind w:firstLine="640" w:firstLineChars="200"/>
        <w:jc w:val="both"/>
        <w:rPr>
          <w:rFonts w:eastAsia="仿宋_GB2312"/>
          <w:sz w:val="32"/>
          <w:szCs w:val="32"/>
        </w:rPr>
      </w:pPr>
      <w:r>
        <w:rPr>
          <w:rFonts w:hint="eastAsia" w:eastAsia="仿宋_GB2312"/>
          <w:sz w:val="32"/>
          <w:szCs w:val="32"/>
        </w:rPr>
        <w:t>2. 禁忌证至少包含：对成分过敏者禁用；皮肤破损 / 感染禁用；孕妇禁用；起搏器使用者禁用或禁止贴于靠近起搏器部位</w:t>
      </w:r>
      <w:bookmarkStart w:id="0" w:name="_GoBack"/>
      <w:bookmarkEnd w:id="0"/>
      <w:r>
        <w:rPr>
          <w:rFonts w:hint="eastAsia" w:eastAsia="仿宋_GB2312"/>
          <w:sz w:val="32"/>
          <w:szCs w:val="32"/>
        </w:rPr>
        <w:t>。</w:t>
      </w:r>
    </w:p>
    <w:p w14:paraId="07AFDA33">
      <w:pPr>
        <w:overflowPunct w:val="0"/>
        <w:spacing w:line="520" w:lineRule="exact"/>
        <w:ind w:firstLine="640" w:firstLineChars="200"/>
        <w:jc w:val="both"/>
        <w:rPr>
          <w:rFonts w:eastAsia="仿宋_GB2312"/>
          <w:sz w:val="32"/>
          <w:szCs w:val="32"/>
        </w:rPr>
      </w:pPr>
      <w:r>
        <w:rPr>
          <w:rFonts w:hint="eastAsia" w:eastAsia="仿宋_GB2312"/>
          <w:sz w:val="32"/>
          <w:szCs w:val="32"/>
        </w:rPr>
        <w:t>3. 产品灭菌方式、一次性使用、有效期。</w:t>
      </w:r>
    </w:p>
    <w:p w14:paraId="6B681656">
      <w:pPr>
        <w:overflowPunct w:val="0"/>
        <w:spacing w:line="520" w:lineRule="exact"/>
        <w:ind w:firstLine="640" w:firstLineChars="200"/>
        <w:jc w:val="both"/>
        <w:rPr>
          <w:rFonts w:eastAsia="仿宋_GB2312"/>
          <w:sz w:val="32"/>
          <w:szCs w:val="32"/>
        </w:rPr>
      </w:pPr>
      <w:r>
        <w:rPr>
          <w:rFonts w:hint="eastAsia" w:eastAsia="仿宋_GB2312"/>
          <w:sz w:val="32"/>
          <w:szCs w:val="32"/>
        </w:rPr>
        <w:t>4. 注意事项应包含使用时间限制、皮肤反应处理、包装破损禁止使用、仅限完整皮肤使用、单人单次使用等。</w:t>
      </w:r>
    </w:p>
    <w:p w14:paraId="2DAC601F">
      <w:pPr>
        <w:overflowPunct w:val="0"/>
        <w:spacing w:line="520" w:lineRule="exact"/>
        <w:ind w:firstLine="640" w:firstLineChars="200"/>
        <w:jc w:val="both"/>
        <w:rPr>
          <w:rFonts w:eastAsia="仿宋_GB2312"/>
          <w:sz w:val="32"/>
          <w:szCs w:val="32"/>
        </w:rPr>
      </w:pPr>
      <w:r>
        <w:rPr>
          <w:rFonts w:hint="eastAsia" w:eastAsia="仿宋_GB2312"/>
          <w:sz w:val="32"/>
          <w:szCs w:val="32"/>
        </w:rPr>
        <w:t>（七）质量管理体系文件</w:t>
      </w:r>
    </w:p>
    <w:p w14:paraId="3EDE663D">
      <w:pPr>
        <w:overflowPunct w:val="0"/>
        <w:spacing w:line="520" w:lineRule="exact"/>
        <w:ind w:firstLine="640" w:firstLineChars="200"/>
        <w:rPr>
          <w:rFonts w:eastAsia="仿宋_GB2312"/>
          <w:sz w:val="32"/>
          <w:szCs w:val="32"/>
        </w:rPr>
      </w:pPr>
      <w:r>
        <w:rPr>
          <w:rFonts w:hint="eastAsia" w:eastAsia="仿宋_GB2312"/>
          <w:sz w:val="32"/>
          <w:szCs w:val="32"/>
        </w:rPr>
        <w:t>质量管理体系文件应符合国家药品监督管理局《关于公布医疗器械注册申报资料要求和批准证明文件格式的公告》中对质量管理体系文件的要求，</w:t>
      </w:r>
      <w:r>
        <w:rPr>
          <w:rFonts w:eastAsia="仿宋_GB2312"/>
          <w:sz w:val="32"/>
          <w:szCs w:val="32"/>
        </w:rPr>
        <w:t>至少应包括但不限于以下内容：</w:t>
      </w:r>
    </w:p>
    <w:p w14:paraId="477D90CF">
      <w:pPr>
        <w:overflowPunct w:val="0"/>
        <w:spacing w:line="520" w:lineRule="exact"/>
        <w:ind w:firstLine="640" w:firstLineChars="200"/>
        <w:rPr>
          <w:rFonts w:eastAsia="仿宋_GB2312"/>
          <w:sz w:val="32"/>
        </w:rPr>
      </w:pPr>
      <w:r>
        <w:rPr>
          <w:rFonts w:eastAsia="仿宋_GB2312"/>
          <w:sz w:val="32"/>
          <w:szCs w:val="32"/>
        </w:rPr>
        <w:t>1.</w:t>
      </w:r>
      <w:r>
        <w:rPr>
          <w:rFonts w:eastAsia="仿宋_GB2312"/>
          <w:sz w:val="32"/>
        </w:rPr>
        <w:t>生产工艺过程及过程控制点</w:t>
      </w:r>
    </w:p>
    <w:p w14:paraId="76E8F93D">
      <w:pPr>
        <w:widowControl/>
        <w:overflowPunct w:val="0"/>
        <w:spacing w:line="520" w:lineRule="exact"/>
        <w:ind w:firstLine="640" w:firstLineChars="200"/>
      </w:pPr>
      <w:r>
        <w:rPr>
          <w:rFonts w:eastAsia="仿宋_GB2312"/>
          <w:sz w:val="32"/>
        </w:rPr>
        <w:t>注册申请人应根据申报产品的实际情况，</w:t>
      </w:r>
      <w:r>
        <w:rPr>
          <w:rFonts w:eastAsia="仿宋_GB2312"/>
          <w:sz w:val="32"/>
          <w:szCs w:val="32"/>
        </w:rPr>
        <w:t>以流程图的形式对生产工艺过程进行详细描述，注明关键工序和特殊过程，并</w:t>
      </w:r>
      <w:r>
        <w:rPr>
          <w:rFonts w:eastAsia="仿宋_GB2312"/>
          <w:spacing w:val="-4"/>
          <w:sz w:val="32"/>
        </w:rPr>
        <w:t>进行简单说明。关键工序和特殊过程因生产企业不同可能会存在差异。应说明生产工艺过程质量控制点，包括关键工序和特殊过程的控制规定和方法。</w:t>
      </w:r>
    </w:p>
    <w:p w14:paraId="0F63E47C">
      <w:pPr>
        <w:overflowPunct w:val="0"/>
        <w:spacing w:line="520" w:lineRule="exact"/>
        <w:ind w:firstLine="640" w:firstLineChars="200"/>
        <w:rPr>
          <w:rFonts w:eastAsia="仿宋_GB2312"/>
          <w:sz w:val="32"/>
        </w:rPr>
      </w:pPr>
      <w:r>
        <w:rPr>
          <w:rFonts w:eastAsia="仿宋_GB2312"/>
          <w:sz w:val="32"/>
          <w:szCs w:val="32"/>
        </w:rPr>
        <w:t>2.</w:t>
      </w:r>
      <w:r>
        <w:rPr>
          <w:rFonts w:eastAsia="仿宋_GB2312"/>
          <w:sz w:val="32"/>
        </w:rPr>
        <w:t>研制、生产场地情况概述</w:t>
      </w:r>
    </w:p>
    <w:p w14:paraId="2D34F68A">
      <w:pPr>
        <w:overflowPunct w:val="0"/>
        <w:spacing w:line="520" w:lineRule="exact"/>
        <w:ind w:firstLine="640" w:firstLineChars="200"/>
        <w:rPr>
          <w:rFonts w:eastAsia="仿宋_GB2312"/>
          <w:sz w:val="32"/>
          <w:szCs w:val="32"/>
        </w:rPr>
      </w:pPr>
      <w:r>
        <w:rPr>
          <w:rFonts w:eastAsia="仿宋_GB2312"/>
          <w:sz w:val="32"/>
          <w:szCs w:val="32"/>
        </w:rPr>
        <w:t>应结合场地平面图详细介绍研发、生产、检验、仓库场地情况。有多个研制、生产场地，应介绍每个研制、生产场地的实际情况。生产场地应与生产规模相适应。生产场地的区域划分应与生产工艺流程相符合。</w:t>
      </w:r>
    </w:p>
    <w:p w14:paraId="3CFAAC59">
      <w:pPr>
        <w:spacing w:line="520" w:lineRule="exact"/>
        <w:ind w:firstLine="640" w:firstLineChars="200"/>
        <w:rPr>
          <w:rFonts w:eastAsia="仿宋_GB2312"/>
          <w:sz w:val="32"/>
          <w:szCs w:val="32"/>
        </w:rPr>
      </w:pPr>
      <w:r>
        <w:rPr>
          <w:rFonts w:eastAsia="仿宋_GB2312"/>
          <w:sz w:val="32"/>
          <w:szCs w:val="32"/>
        </w:rPr>
        <w:t>3.根据上述质量管理体系程序，申请人应当形成相关质量管理体系文件和记录。应当提交下列资料，在质量管理体系核查时进行检查。</w:t>
      </w:r>
    </w:p>
    <w:p w14:paraId="7BD59864">
      <w:pPr>
        <w:spacing w:line="520" w:lineRule="exact"/>
        <w:ind w:firstLine="640" w:firstLineChars="200"/>
        <w:rPr>
          <w:rFonts w:eastAsia="仿宋_GB2312"/>
          <w:sz w:val="32"/>
          <w:szCs w:val="32"/>
        </w:rPr>
      </w:pPr>
      <w:r>
        <w:rPr>
          <w:rFonts w:eastAsia="仿宋_GB2312"/>
          <w:sz w:val="32"/>
          <w:szCs w:val="32"/>
        </w:rPr>
        <w:t>3.1申请人基本情况表。</w:t>
      </w:r>
    </w:p>
    <w:p w14:paraId="65079917">
      <w:pPr>
        <w:spacing w:line="520" w:lineRule="exact"/>
        <w:ind w:firstLine="640" w:firstLineChars="200"/>
        <w:rPr>
          <w:rFonts w:eastAsia="仿宋_GB2312"/>
          <w:sz w:val="32"/>
          <w:szCs w:val="32"/>
        </w:rPr>
      </w:pPr>
      <w:r>
        <w:rPr>
          <w:rFonts w:eastAsia="仿宋_GB2312"/>
          <w:sz w:val="32"/>
          <w:szCs w:val="32"/>
        </w:rPr>
        <w:t>3.2申请人组织机构图。</w:t>
      </w:r>
    </w:p>
    <w:p w14:paraId="406240E5">
      <w:pPr>
        <w:spacing w:line="520" w:lineRule="exact"/>
        <w:ind w:firstLine="640" w:firstLineChars="200"/>
        <w:rPr>
          <w:rFonts w:eastAsia="仿宋_GB2312"/>
          <w:sz w:val="32"/>
          <w:szCs w:val="32"/>
        </w:rPr>
      </w:pPr>
      <w:r>
        <w:rPr>
          <w:rFonts w:eastAsia="仿宋_GB2312"/>
          <w:sz w:val="32"/>
          <w:szCs w:val="32"/>
        </w:rPr>
        <w:t>3.3生产企业总平面布置图、生产区域分布图。</w:t>
      </w:r>
    </w:p>
    <w:p w14:paraId="50BB5AAD">
      <w:pPr>
        <w:spacing w:line="520" w:lineRule="exact"/>
        <w:ind w:firstLine="640" w:firstLineChars="200"/>
        <w:rPr>
          <w:rFonts w:eastAsia="仿宋_GB2312"/>
          <w:sz w:val="32"/>
          <w:szCs w:val="32"/>
        </w:rPr>
      </w:pPr>
      <w:r>
        <w:rPr>
          <w:rFonts w:eastAsia="仿宋_GB2312"/>
          <w:sz w:val="32"/>
          <w:szCs w:val="32"/>
        </w:rPr>
        <w:t>3.4生产过程有净化要求的，应当提供有资质的检测机构出具的环境检测报告（附平面布局图）复印件。</w:t>
      </w:r>
    </w:p>
    <w:p w14:paraId="6D0AFC2E">
      <w:pPr>
        <w:spacing w:line="520" w:lineRule="exact"/>
        <w:ind w:firstLine="640" w:firstLineChars="200"/>
        <w:rPr>
          <w:rFonts w:eastAsia="仿宋_GB2312"/>
          <w:sz w:val="32"/>
          <w:szCs w:val="32"/>
        </w:rPr>
      </w:pPr>
      <w:r>
        <w:rPr>
          <w:rFonts w:eastAsia="仿宋_GB2312"/>
          <w:sz w:val="32"/>
          <w:szCs w:val="32"/>
        </w:rPr>
        <w:t>3.5产品生产工艺流程图，应当标明主要控制点与项目及主要原材料、采购件的来源及质量控制方法。</w:t>
      </w:r>
    </w:p>
    <w:p w14:paraId="39EC77A2">
      <w:pPr>
        <w:spacing w:line="520" w:lineRule="exact"/>
        <w:ind w:firstLine="640" w:firstLineChars="200"/>
        <w:rPr>
          <w:rFonts w:eastAsia="仿宋_GB2312"/>
          <w:sz w:val="32"/>
          <w:szCs w:val="32"/>
        </w:rPr>
      </w:pPr>
      <w:r>
        <w:rPr>
          <w:rFonts w:eastAsia="仿宋_GB2312"/>
          <w:sz w:val="32"/>
          <w:szCs w:val="32"/>
        </w:rPr>
        <w:t>3.6主要生产设备和检验设备（包括进货检验、过程检验、出厂最终检验所需的相关设备；在净化条件下生产的，还应当提供环境监测设备）目录。</w:t>
      </w:r>
    </w:p>
    <w:p w14:paraId="67F4294A">
      <w:pPr>
        <w:spacing w:line="520" w:lineRule="exact"/>
        <w:ind w:firstLine="640" w:firstLineChars="200"/>
        <w:rPr>
          <w:rFonts w:eastAsia="仿宋_GB2312"/>
          <w:sz w:val="32"/>
          <w:szCs w:val="32"/>
        </w:rPr>
      </w:pPr>
      <w:r>
        <w:rPr>
          <w:rFonts w:eastAsia="仿宋_GB2312"/>
          <w:sz w:val="32"/>
          <w:szCs w:val="32"/>
        </w:rPr>
        <w:t>3.7质量管理体系自查报告。</w:t>
      </w:r>
    </w:p>
    <w:p w14:paraId="04281E63">
      <w:pPr>
        <w:overflowPunct w:val="0"/>
        <w:spacing w:line="520" w:lineRule="exact"/>
        <w:ind w:firstLine="640" w:firstLineChars="200"/>
        <w:jc w:val="both"/>
        <w:rPr>
          <w:rFonts w:eastAsia="仿宋_GB2312"/>
          <w:sz w:val="32"/>
          <w:szCs w:val="32"/>
        </w:rPr>
      </w:pPr>
      <w:r>
        <w:rPr>
          <w:rFonts w:eastAsia="仿宋_GB2312"/>
          <w:sz w:val="32"/>
          <w:szCs w:val="32"/>
        </w:rPr>
        <w:t>3.8如适用，应当提供拟核查产品与既往已通过核查产品在生产条件、生产工艺等方面的对比说明。</w:t>
      </w:r>
    </w:p>
    <w:p w14:paraId="607CCFD5">
      <w:pPr>
        <w:overflowPunct w:val="0"/>
        <w:spacing w:line="520" w:lineRule="exact"/>
        <w:ind w:firstLine="640" w:firstLineChars="200"/>
        <w:jc w:val="both"/>
        <w:rPr>
          <w:rFonts w:eastAsia="仿宋_GB2312"/>
          <w:sz w:val="32"/>
          <w:szCs w:val="32"/>
        </w:rPr>
      </w:pPr>
      <w:r>
        <w:rPr>
          <w:rFonts w:hint="eastAsia" w:eastAsia="仿宋_GB2312"/>
          <w:sz w:val="32"/>
          <w:szCs w:val="32"/>
        </w:rPr>
        <w:t>三、参考文献</w:t>
      </w:r>
    </w:p>
    <w:p w14:paraId="3F2B1E15">
      <w:pPr>
        <w:pStyle w:val="12"/>
        <w:overflowPunct w:val="0"/>
        <w:autoSpaceDE w:val="0"/>
        <w:autoSpaceDN w:val="0"/>
        <w:spacing w:line="520" w:lineRule="exact"/>
        <w:ind w:firstLine="640"/>
        <w:outlineLvl w:val="2"/>
        <w:rPr>
          <w:rFonts w:eastAsia="仿宋_GB2312"/>
          <w:snapToGrid w:val="0"/>
          <w:kern w:val="0"/>
          <w:sz w:val="32"/>
          <w:szCs w:val="32"/>
        </w:rPr>
      </w:pPr>
      <w:r>
        <w:rPr>
          <w:rFonts w:eastAsia="仿宋_GB2312"/>
          <w:snapToGrid w:val="0"/>
          <w:kern w:val="0"/>
          <w:sz w:val="32"/>
          <w:szCs w:val="32"/>
        </w:rPr>
        <w:t>[1]</w:t>
      </w:r>
      <w:r>
        <w:rPr>
          <w:rFonts w:hint="eastAsia" w:eastAsia="仿宋_GB2312"/>
          <w:snapToGrid w:val="0"/>
          <w:kern w:val="0"/>
          <w:sz w:val="32"/>
          <w:szCs w:val="32"/>
        </w:rPr>
        <w:t>中华人民共和国国务院.医疗器械监督管理条例:中华人民共和国国务院令第739号[Z].</w:t>
      </w:r>
    </w:p>
    <w:p w14:paraId="4DA2BF90">
      <w:pPr>
        <w:pStyle w:val="12"/>
        <w:overflowPunct w:val="0"/>
        <w:autoSpaceDE w:val="0"/>
        <w:autoSpaceDN w:val="0"/>
        <w:spacing w:line="520" w:lineRule="exact"/>
        <w:ind w:firstLine="640"/>
        <w:outlineLvl w:val="2"/>
        <w:rPr>
          <w:rFonts w:eastAsia="仿宋_GB2312"/>
          <w:snapToGrid w:val="0"/>
          <w:kern w:val="0"/>
          <w:sz w:val="32"/>
          <w:szCs w:val="32"/>
        </w:rPr>
      </w:pPr>
      <w:r>
        <w:rPr>
          <w:rFonts w:eastAsia="仿宋_GB2312"/>
          <w:snapToGrid w:val="0"/>
          <w:kern w:val="0"/>
          <w:sz w:val="32"/>
          <w:szCs w:val="32"/>
        </w:rPr>
        <w:t>[2]</w:t>
      </w:r>
      <w:r>
        <w:rPr>
          <w:rFonts w:hint="eastAsia" w:eastAsia="仿宋_GB2312"/>
          <w:snapToGrid w:val="0"/>
          <w:kern w:val="0"/>
          <w:sz w:val="32"/>
          <w:szCs w:val="32"/>
        </w:rPr>
        <w:t>国家市场监督管理总局.医疗器械注册与备案管理办法:国家市场监督管理总局令第47号[Z].</w:t>
      </w:r>
    </w:p>
    <w:p w14:paraId="5CE6C163">
      <w:pPr>
        <w:pStyle w:val="12"/>
        <w:overflowPunct w:val="0"/>
        <w:autoSpaceDE w:val="0"/>
        <w:autoSpaceDN w:val="0"/>
        <w:spacing w:line="520" w:lineRule="exact"/>
        <w:ind w:firstLine="640"/>
        <w:outlineLvl w:val="2"/>
        <w:rPr>
          <w:rFonts w:eastAsia="仿宋_GB2312"/>
          <w:sz w:val="32"/>
          <w:szCs w:val="32"/>
        </w:rPr>
      </w:pPr>
      <w:r>
        <w:rPr>
          <w:rFonts w:eastAsia="仿宋_GB2312"/>
          <w:snapToGrid w:val="0"/>
          <w:kern w:val="0"/>
          <w:sz w:val="32"/>
          <w:szCs w:val="32"/>
        </w:rPr>
        <w:t>[3]</w:t>
      </w:r>
      <w:r>
        <w:rPr>
          <w:rFonts w:hint="eastAsia" w:eastAsia="仿宋_GB2312"/>
          <w:sz w:val="32"/>
          <w:szCs w:val="32"/>
        </w:rPr>
        <w:t>国家食品药品监督管理局.医疗器械说明书和标签管理规定:国家食品药品监督管理总局令第6号[Z].</w:t>
      </w:r>
    </w:p>
    <w:p w14:paraId="41FA9222">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[4]</w:t>
      </w:r>
      <w:r>
        <w:rPr>
          <w:rFonts w:hint="eastAsia" w:eastAsia="仿宋_GB2312"/>
          <w:sz w:val="32"/>
          <w:szCs w:val="32"/>
        </w:rPr>
        <w:t>国家食品药品监督管理局.医疗器械通用名称命名规则：国家食品药品监督管理总局令第19号[Z].</w:t>
      </w:r>
    </w:p>
    <w:p w14:paraId="2EE2DF9F">
      <w:pPr>
        <w:pStyle w:val="12"/>
        <w:overflowPunct w:val="0"/>
        <w:autoSpaceDE w:val="0"/>
        <w:autoSpaceDN w:val="0"/>
        <w:spacing w:line="520" w:lineRule="exact"/>
        <w:ind w:firstLine="640"/>
        <w:outlineLvl w:val="2"/>
        <w:rPr>
          <w:rFonts w:eastAsia="仿宋_GB2312"/>
          <w:sz w:val="32"/>
          <w:szCs w:val="32"/>
        </w:rPr>
      </w:pPr>
      <w:r>
        <w:rPr>
          <w:rFonts w:hint="eastAsia" w:eastAsia="仿宋_GB2312"/>
          <w:sz w:val="32"/>
          <w:szCs w:val="32"/>
        </w:rPr>
        <w:t>[</w:t>
      </w:r>
      <w:r>
        <w:rPr>
          <w:rFonts w:eastAsia="仿宋_GB2312"/>
          <w:sz w:val="32"/>
          <w:szCs w:val="32"/>
        </w:rPr>
        <w:t xml:space="preserve">5] </w:t>
      </w:r>
      <w:r>
        <w:rPr>
          <w:rFonts w:hint="eastAsia" w:eastAsia="仿宋_GB2312"/>
          <w:sz w:val="32"/>
          <w:szCs w:val="32"/>
        </w:rPr>
        <w:t>国家食品药品监督管理局.医疗器械分类目录:国家食品药品监督管理总局公告2017年第104号[Z].</w:t>
      </w:r>
    </w:p>
    <w:p w14:paraId="47D3CCA6">
      <w:pPr>
        <w:pStyle w:val="12"/>
        <w:overflowPunct w:val="0"/>
        <w:autoSpaceDE w:val="0"/>
        <w:autoSpaceDN w:val="0"/>
        <w:spacing w:line="520" w:lineRule="exact"/>
        <w:ind w:firstLine="640"/>
        <w:outlineLvl w:val="2"/>
        <w:rPr>
          <w:rFonts w:eastAsia="仿宋_GB2312"/>
          <w:snapToGrid w:val="0"/>
          <w:kern w:val="0"/>
          <w:sz w:val="32"/>
          <w:szCs w:val="32"/>
        </w:rPr>
      </w:pPr>
      <w:r>
        <w:rPr>
          <w:rFonts w:hint="eastAsia" w:eastAsia="仿宋_GB2312"/>
          <w:snapToGrid w:val="0"/>
          <w:kern w:val="0"/>
          <w:sz w:val="32"/>
          <w:szCs w:val="32"/>
        </w:rPr>
        <w:t>[</w:t>
      </w:r>
      <w:r>
        <w:rPr>
          <w:rFonts w:eastAsia="仿宋_GB2312"/>
          <w:snapToGrid w:val="0"/>
          <w:kern w:val="0"/>
          <w:sz w:val="32"/>
          <w:szCs w:val="32"/>
        </w:rPr>
        <w:t xml:space="preserve">6] </w:t>
      </w:r>
      <w:r>
        <w:rPr>
          <w:rFonts w:hint="eastAsia" w:eastAsia="仿宋_GB2312"/>
          <w:snapToGrid w:val="0"/>
          <w:kern w:val="0"/>
          <w:sz w:val="32"/>
          <w:szCs w:val="32"/>
        </w:rPr>
        <w:t>国家食品药品监督管理局.医疗器械注册单元划分指导原则:总局通告2017年第187号[Z].</w:t>
      </w:r>
    </w:p>
    <w:p w14:paraId="5678450A">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[7]</w:t>
      </w:r>
      <w:r>
        <w:rPr>
          <w:rFonts w:hint="eastAsia" w:eastAsia="仿宋_GB2312"/>
          <w:sz w:val="32"/>
          <w:szCs w:val="32"/>
        </w:rPr>
        <w:t>国家药品监督管理局.医疗器械临床评价技术指导原则:国家药监局通告2021年第73号[Z].</w:t>
      </w:r>
    </w:p>
    <w:p w14:paraId="4EEB0C7E">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[8]</w:t>
      </w:r>
      <w:r>
        <w:rPr>
          <w:rFonts w:hint="eastAsia" w:eastAsia="仿宋_GB2312"/>
          <w:sz w:val="32"/>
          <w:szCs w:val="32"/>
        </w:rPr>
        <w:t>国家药品监督管理局.医疗器械注册申报资料要求和批准证明文件格式:国家药监局公告2021年第121号[Z].</w:t>
      </w:r>
    </w:p>
    <w:p w14:paraId="5A55D864">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w:t>
      </w:r>
      <w:r>
        <w:rPr>
          <w:rFonts w:hint="eastAsia" w:eastAsia="仿宋_GB2312"/>
          <w:sz w:val="32"/>
          <w:szCs w:val="32"/>
        </w:rPr>
        <w:t>9</w:t>
      </w:r>
      <w:r>
        <w:rPr>
          <w:rFonts w:eastAsia="仿宋_GB2312"/>
          <w:sz w:val="32"/>
          <w:szCs w:val="32"/>
        </w:rPr>
        <w:t>]GB/T 16886.1,医疗器械生物学评价第1部分：风险管理过程中的评价与试验[S].</w:t>
      </w:r>
    </w:p>
    <w:p w14:paraId="1742ED2E">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[1</w:t>
      </w:r>
      <w:r>
        <w:rPr>
          <w:rFonts w:hint="eastAsia" w:eastAsia="仿宋_GB2312"/>
          <w:sz w:val="32"/>
          <w:szCs w:val="32"/>
        </w:rPr>
        <w:t>0</w:t>
      </w:r>
      <w:r>
        <w:rPr>
          <w:rFonts w:eastAsia="仿宋_GB2312"/>
          <w:sz w:val="32"/>
          <w:szCs w:val="32"/>
        </w:rPr>
        <w:t>]GB/T 16886.5,医疗器械生物学评价第5部分：体外细胞毒性试验[S].</w:t>
      </w:r>
    </w:p>
    <w:p w14:paraId="7F21B1FB">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[1</w:t>
      </w:r>
      <w:r>
        <w:rPr>
          <w:rFonts w:hint="eastAsia" w:eastAsia="仿宋_GB2312"/>
          <w:sz w:val="32"/>
          <w:szCs w:val="32"/>
        </w:rPr>
        <w:t>1</w:t>
      </w:r>
      <w:r>
        <w:rPr>
          <w:rFonts w:eastAsia="仿宋_GB2312"/>
          <w:sz w:val="32"/>
          <w:szCs w:val="32"/>
        </w:rPr>
        <w:t>]GB/T 16886.10,医疗器械生物学评价第10部分：刺激与皮肤致敏试验[S].</w:t>
      </w:r>
    </w:p>
    <w:p w14:paraId="7A6E45B1">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[1</w:t>
      </w:r>
      <w:r>
        <w:rPr>
          <w:rFonts w:hint="eastAsia" w:eastAsia="仿宋_GB2312"/>
          <w:sz w:val="32"/>
          <w:szCs w:val="32"/>
        </w:rPr>
        <w:t>2</w:t>
      </w:r>
      <w:r>
        <w:rPr>
          <w:rFonts w:eastAsia="仿宋_GB2312"/>
          <w:sz w:val="32"/>
          <w:szCs w:val="32"/>
        </w:rPr>
        <w:t>]</w:t>
      </w:r>
      <w:r>
        <w:rPr>
          <w:rFonts w:hint="eastAsia" w:eastAsia="仿宋_GB2312"/>
          <w:sz w:val="32"/>
          <w:szCs w:val="32"/>
        </w:rPr>
        <w:t>GB 18279.1, 医疗保健产品灭菌环氧乙烷第1部分：医疗器械灭菌过程的开发、确认和常规控制的要求[S]</w:t>
      </w:r>
      <w:r>
        <w:rPr>
          <w:rFonts w:eastAsia="仿宋_GB2312"/>
          <w:sz w:val="32"/>
          <w:szCs w:val="32"/>
        </w:rPr>
        <w:t>.</w:t>
      </w:r>
    </w:p>
    <w:p w14:paraId="7E0C3E61">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[1</w:t>
      </w:r>
      <w:r>
        <w:rPr>
          <w:rFonts w:hint="eastAsia" w:eastAsia="仿宋_GB2312"/>
          <w:sz w:val="32"/>
          <w:szCs w:val="32"/>
        </w:rPr>
        <w:t>3</w:t>
      </w:r>
      <w:r>
        <w:rPr>
          <w:rFonts w:eastAsia="仿宋_GB2312"/>
          <w:sz w:val="32"/>
          <w:szCs w:val="32"/>
        </w:rPr>
        <w:t>]</w:t>
      </w:r>
      <w:r>
        <w:rPr>
          <w:rFonts w:hint="eastAsia" w:eastAsia="仿宋_GB2312"/>
          <w:sz w:val="32"/>
          <w:szCs w:val="32"/>
        </w:rPr>
        <w:t>GB 18281.2, 医疗保健产品灭菌生物指示物第2部分：环氧乙烷灭菌用生物指示物[S]</w:t>
      </w:r>
      <w:r>
        <w:rPr>
          <w:rFonts w:eastAsia="仿宋_GB2312"/>
          <w:sz w:val="32"/>
          <w:szCs w:val="32"/>
        </w:rPr>
        <w:t>.</w:t>
      </w:r>
    </w:p>
    <w:p w14:paraId="5DCDBF4E">
      <w:pPr>
        <w:pStyle w:val="12"/>
        <w:overflowPunct w:val="0"/>
        <w:autoSpaceDE w:val="0"/>
        <w:autoSpaceDN w:val="0"/>
        <w:spacing w:line="520" w:lineRule="exact"/>
        <w:ind w:firstLine="640"/>
        <w:outlineLvl w:val="2"/>
        <w:rPr>
          <w:rFonts w:eastAsia="仿宋_GB2312"/>
          <w:sz w:val="32"/>
          <w:szCs w:val="32"/>
        </w:rPr>
      </w:pPr>
      <w:r>
        <w:rPr>
          <w:rFonts w:hint="eastAsia" w:eastAsia="仿宋_GB2312"/>
          <w:sz w:val="32"/>
          <w:szCs w:val="32"/>
        </w:rPr>
        <w:t>[14]GB/T 19633.1, 最终灭菌医疗器械包装第1部分：材料、无菌屏障系统和包装系统的要求[S].</w:t>
      </w:r>
    </w:p>
    <w:p w14:paraId="5BBDF160">
      <w:pPr>
        <w:pStyle w:val="12"/>
        <w:overflowPunct w:val="0"/>
        <w:autoSpaceDE w:val="0"/>
        <w:autoSpaceDN w:val="0"/>
        <w:spacing w:line="520" w:lineRule="exact"/>
        <w:ind w:firstLine="640"/>
        <w:outlineLvl w:val="2"/>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5]GB/T 19633.2, 最终灭菌医疗器械包装第2部分：成形、密封和装配过程确认的要求[S].</w:t>
      </w:r>
    </w:p>
    <w:p w14:paraId="68ECE0A9">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w:t>
      </w:r>
      <w:r>
        <w:rPr>
          <w:rFonts w:hint="eastAsia" w:eastAsia="仿宋_GB2312"/>
          <w:sz w:val="32"/>
          <w:szCs w:val="32"/>
        </w:rPr>
        <w:t>16</w:t>
      </w:r>
      <w:r>
        <w:rPr>
          <w:rFonts w:eastAsia="仿宋_GB2312"/>
          <w:sz w:val="32"/>
          <w:szCs w:val="32"/>
        </w:rPr>
        <w:t>]YY/T 0466.1,医疗器械用于医疗器械标签、标记和提供信息的符号第1部分：通用要求[S].</w:t>
      </w:r>
    </w:p>
    <w:p w14:paraId="539F1F44">
      <w:pPr>
        <w:pStyle w:val="12"/>
        <w:overflowPunct w:val="0"/>
        <w:autoSpaceDE w:val="0"/>
        <w:autoSpaceDN w:val="0"/>
        <w:spacing w:line="520" w:lineRule="exact"/>
        <w:ind w:firstLine="640"/>
        <w:outlineLvl w:val="2"/>
        <w:rPr>
          <w:rFonts w:eastAsia="仿宋_GB2312"/>
          <w:sz w:val="32"/>
          <w:szCs w:val="32"/>
        </w:rPr>
      </w:pPr>
      <w:r>
        <w:rPr>
          <w:rFonts w:eastAsia="仿宋_GB2312"/>
          <w:sz w:val="32"/>
          <w:szCs w:val="32"/>
        </w:rPr>
        <w:t>[</w:t>
      </w:r>
      <w:r>
        <w:rPr>
          <w:rFonts w:hint="eastAsia" w:eastAsia="仿宋_GB2312"/>
          <w:sz w:val="32"/>
          <w:szCs w:val="32"/>
        </w:rPr>
        <w:t>17</w:t>
      </w:r>
      <w:r>
        <w:rPr>
          <w:rFonts w:eastAsia="仿宋_GB2312"/>
          <w:sz w:val="32"/>
          <w:szCs w:val="32"/>
        </w:rPr>
        <w:t>]</w:t>
      </w:r>
      <w:r>
        <w:rPr>
          <w:rFonts w:hint="eastAsia" w:eastAsia="仿宋_GB2312"/>
          <w:sz w:val="32"/>
          <w:szCs w:val="32"/>
        </w:rPr>
        <w:t>GB/T 42062,医疗器械风险管理对医疗器械的应用[S].</w:t>
      </w:r>
    </w:p>
    <w:p w14:paraId="345315DA">
      <w:pPr>
        <w:pStyle w:val="12"/>
        <w:overflowPunct w:val="0"/>
        <w:autoSpaceDE w:val="0"/>
        <w:autoSpaceDN w:val="0"/>
        <w:spacing w:line="520" w:lineRule="exact"/>
        <w:ind w:firstLine="640"/>
        <w:jc w:val="both"/>
        <w:outlineLvl w:val="2"/>
        <w:rPr>
          <w:rFonts w:eastAsia="仿宋_GB2312"/>
          <w:snapToGrid w:val="0"/>
          <w:kern w:val="0"/>
          <w:sz w:val="32"/>
          <w:szCs w:val="32"/>
        </w:rPr>
      </w:pPr>
      <w:r>
        <w:rPr>
          <w:rFonts w:hint="eastAsia" w:eastAsia="仿宋_GB2312"/>
          <w:snapToGrid w:val="0"/>
          <w:kern w:val="0"/>
          <w:sz w:val="32"/>
          <w:szCs w:val="32"/>
        </w:rPr>
        <w:t>[18] YY/T 0148,医用胶带 通用要求</w:t>
      </w:r>
      <w:r>
        <w:rPr>
          <w:rFonts w:eastAsia="仿宋_GB2312"/>
          <w:sz w:val="32"/>
          <w:szCs w:val="32"/>
        </w:rPr>
        <w:t>[S]</w:t>
      </w:r>
      <w:r>
        <w:rPr>
          <w:rFonts w:hint="eastAsia" w:eastAsia="仿宋_GB2312"/>
          <w:sz w:val="32"/>
          <w:szCs w:val="32"/>
        </w:rPr>
        <w:t>.</w:t>
      </w:r>
    </w:p>
    <w:p w14:paraId="7BF07ECE">
      <w:pPr>
        <w:overflowPunct w:val="0"/>
        <w:spacing w:line="520" w:lineRule="exact"/>
        <w:ind w:firstLine="640" w:firstLineChars="200"/>
        <w:jc w:val="both"/>
        <w:rPr>
          <w:rFonts w:eastAsia="仿宋_GB2312"/>
          <w:sz w:val="32"/>
          <w:szCs w:val="32"/>
        </w:rPr>
      </w:pPr>
    </w:p>
    <w:p w14:paraId="4EA3C1AD">
      <w:pPr>
        <w:overflowPunct w:val="0"/>
        <w:spacing w:line="520" w:lineRule="exact"/>
        <w:ind w:firstLine="640" w:firstLineChars="200"/>
        <w:jc w:val="both"/>
        <w:rPr>
          <w:rFonts w:eastAsia="仿宋_GB2312"/>
          <w:sz w:val="32"/>
          <w:szCs w:val="32"/>
        </w:rPr>
        <w:sectPr>
          <w:pgSz w:w="11906" w:h="16838"/>
          <w:pgMar w:top="1440" w:right="1800" w:bottom="1440" w:left="1800" w:header="851" w:footer="992" w:gutter="0"/>
          <w:lnNumType w:countBy="1" w:restart="continuous"/>
          <w:cols w:space="425" w:num="1"/>
          <w:docGrid w:type="lines" w:linePitch="312" w:charSpace="0"/>
        </w:sectPr>
      </w:pPr>
    </w:p>
    <w:p w14:paraId="59C31141">
      <w:pPr>
        <w:overflowPunct w:val="0"/>
        <w:spacing w:line="520" w:lineRule="exact"/>
        <w:jc w:val="both"/>
        <w:rPr>
          <w:rFonts w:ascii="黑体" w:hAnsi="黑体" w:eastAsia="黑体" w:cs="黑体"/>
          <w:sz w:val="32"/>
          <w:szCs w:val="32"/>
        </w:rPr>
      </w:pPr>
      <w:r>
        <w:rPr>
          <w:rFonts w:hint="eastAsia" w:ascii="黑体" w:hAnsi="黑体" w:eastAsia="黑体" w:cs="黑体"/>
          <w:sz w:val="32"/>
          <w:szCs w:val="32"/>
        </w:rPr>
        <w:t xml:space="preserve">附件 </w:t>
      </w:r>
    </w:p>
    <w:p w14:paraId="6A00E561">
      <w:pPr>
        <w:overflowPunct w:val="0"/>
        <w:spacing w:line="520" w:lineRule="exact"/>
        <w:jc w:val="center"/>
        <w:rPr>
          <w:rFonts w:eastAsia="仿宋_GB2312"/>
          <w:sz w:val="32"/>
          <w:szCs w:val="32"/>
        </w:rPr>
      </w:pPr>
      <w:r>
        <w:rPr>
          <w:rFonts w:eastAsia="黑体"/>
          <w:szCs w:val="28"/>
        </w:rPr>
        <w:t>表1产品主</w:t>
      </w:r>
      <w:r>
        <w:rPr>
          <w:rFonts w:ascii="黑体" w:hAnsi="黑体" w:eastAsia="黑体"/>
          <w:szCs w:val="28"/>
        </w:rPr>
        <w:t>要危害</w:t>
      </w:r>
    </w:p>
    <w:tbl>
      <w:tblPr>
        <w:tblStyle w:val="7"/>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901"/>
        <w:gridCol w:w="3321"/>
        <w:gridCol w:w="2832"/>
      </w:tblGrid>
      <w:tr w14:paraId="55EE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0" w:type="dxa"/>
            <w:gridSpan w:val="2"/>
            <w:vAlign w:val="center"/>
          </w:tcPr>
          <w:p w14:paraId="5051CEA2">
            <w:pPr>
              <w:spacing w:line="520" w:lineRule="exact"/>
              <w:jc w:val="center"/>
              <w:rPr>
                <w:rFonts w:ascii="黑体" w:hAnsi="黑体" w:eastAsia="黑体" w:cs="黑体"/>
                <w:bCs/>
                <w:szCs w:val="28"/>
              </w:rPr>
            </w:pPr>
            <w:r>
              <w:rPr>
                <w:rFonts w:hint="eastAsia" w:ascii="黑体" w:hAnsi="黑体" w:eastAsia="黑体" w:cs="黑体"/>
                <w:bCs/>
                <w:szCs w:val="28"/>
              </w:rPr>
              <w:t>危害类型</w:t>
            </w:r>
          </w:p>
        </w:tc>
        <w:tc>
          <w:tcPr>
            <w:tcW w:w="3321" w:type="dxa"/>
            <w:vAlign w:val="center"/>
          </w:tcPr>
          <w:p w14:paraId="0C781728">
            <w:pPr>
              <w:spacing w:line="520" w:lineRule="exact"/>
              <w:jc w:val="center"/>
              <w:rPr>
                <w:rFonts w:ascii="黑体" w:hAnsi="黑体" w:eastAsia="黑体" w:cs="黑体"/>
                <w:bCs/>
                <w:szCs w:val="28"/>
              </w:rPr>
            </w:pPr>
            <w:r>
              <w:rPr>
                <w:rFonts w:hint="eastAsia" w:ascii="黑体" w:hAnsi="黑体" w:eastAsia="黑体" w:cs="黑体"/>
                <w:bCs/>
                <w:szCs w:val="28"/>
              </w:rPr>
              <w:t>可预见的事件序列</w:t>
            </w:r>
          </w:p>
        </w:tc>
        <w:tc>
          <w:tcPr>
            <w:tcW w:w="2832" w:type="dxa"/>
            <w:vAlign w:val="center"/>
          </w:tcPr>
          <w:p w14:paraId="0D14077A">
            <w:pPr>
              <w:spacing w:line="520" w:lineRule="exact"/>
              <w:jc w:val="center"/>
              <w:rPr>
                <w:rFonts w:ascii="黑体" w:hAnsi="黑体" w:eastAsia="黑体" w:cs="黑体"/>
                <w:bCs/>
                <w:szCs w:val="28"/>
              </w:rPr>
            </w:pPr>
            <w:r>
              <w:rPr>
                <w:rFonts w:hint="eastAsia" w:ascii="黑体" w:hAnsi="黑体" w:eastAsia="黑体" w:cs="黑体"/>
                <w:bCs/>
                <w:szCs w:val="28"/>
              </w:rPr>
              <w:t>可能产生的危害</w:t>
            </w:r>
          </w:p>
        </w:tc>
      </w:tr>
      <w:tr w14:paraId="39B0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vAlign w:val="center"/>
          </w:tcPr>
          <w:p w14:paraId="6B10D042">
            <w:pPr>
              <w:spacing w:line="520" w:lineRule="exact"/>
              <w:jc w:val="center"/>
              <w:rPr>
                <w:rFonts w:eastAsia="仿宋_GB2312"/>
                <w:bCs/>
                <w:szCs w:val="28"/>
              </w:rPr>
            </w:pPr>
            <w:r>
              <w:rPr>
                <w:rFonts w:eastAsia="仿宋_GB2312"/>
                <w:bCs/>
                <w:szCs w:val="28"/>
              </w:rPr>
              <w:t>生物学和化学危害</w:t>
            </w:r>
          </w:p>
        </w:tc>
        <w:tc>
          <w:tcPr>
            <w:tcW w:w="1901" w:type="dxa"/>
            <w:vAlign w:val="center"/>
          </w:tcPr>
          <w:p w14:paraId="0C235C10">
            <w:pPr>
              <w:spacing w:line="520" w:lineRule="exact"/>
              <w:rPr>
                <w:rFonts w:eastAsia="仿宋_GB2312"/>
                <w:bCs/>
                <w:szCs w:val="28"/>
              </w:rPr>
            </w:pPr>
            <w:r>
              <w:rPr>
                <w:rFonts w:eastAsia="仿宋_GB2312"/>
                <w:bCs/>
                <w:szCs w:val="28"/>
              </w:rPr>
              <w:t>生物污染</w:t>
            </w:r>
          </w:p>
        </w:tc>
        <w:tc>
          <w:tcPr>
            <w:tcW w:w="3321" w:type="dxa"/>
            <w:vAlign w:val="center"/>
          </w:tcPr>
          <w:p w14:paraId="4FEE91DB">
            <w:pPr>
              <w:spacing w:line="520" w:lineRule="exact"/>
              <w:rPr>
                <w:rFonts w:eastAsia="仿宋_GB2312"/>
                <w:bCs/>
                <w:szCs w:val="28"/>
              </w:rPr>
            </w:pPr>
            <w:r>
              <w:rPr>
                <w:rFonts w:eastAsia="仿宋_GB2312"/>
                <w:bCs/>
                <w:szCs w:val="28"/>
              </w:rPr>
              <w:t>包装破损或使用时操作不规范造成生物污染</w:t>
            </w:r>
          </w:p>
        </w:tc>
        <w:tc>
          <w:tcPr>
            <w:tcW w:w="2832" w:type="dxa"/>
            <w:vAlign w:val="center"/>
          </w:tcPr>
          <w:p w14:paraId="5B3E62DC">
            <w:pPr>
              <w:spacing w:line="520" w:lineRule="exact"/>
              <w:rPr>
                <w:rFonts w:eastAsia="仿宋_GB2312"/>
                <w:bCs/>
                <w:szCs w:val="28"/>
              </w:rPr>
            </w:pPr>
            <w:r>
              <w:rPr>
                <w:rFonts w:eastAsia="仿宋_GB2312"/>
                <w:bCs/>
                <w:szCs w:val="28"/>
              </w:rPr>
              <w:t>产品引入致病菌，引起患者身体不适或感染</w:t>
            </w:r>
          </w:p>
        </w:tc>
      </w:tr>
      <w:tr w14:paraId="12EA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15BB7196">
            <w:pPr>
              <w:spacing w:line="520" w:lineRule="exact"/>
              <w:jc w:val="center"/>
              <w:rPr>
                <w:rFonts w:eastAsia="仿宋_GB2312"/>
                <w:bCs/>
                <w:szCs w:val="28"/>
              </w:rPr>
            </w:pPr>
          </w:p>
        </w:tc>
        <w:tc>
          <w:tcPr>
            <w:tcW w:w="1901" w:type="dxa"/>
            <w:vAlign w:val="center"/>
          </w:tcPr>
          <w:p w14:paraId="4B83693F">
            <w:pPr>
              <w:spacing w:line="520" w:lineRule="exact"/>
              <w:rPr>
                <w:rFonts w:eastAsia="仿宋_GB2312"/>
                <w:bCs/>
                <w:szCs w:val="28"/>
              </w:rPr>
            </w:pPr>
            <w:r>
              <w:rPr>
                <w:rFonts w:eastAsia="仿宋_GB2312"/>
                <w:bCs/>
                <w:szCs w:val="28"/>
              </w:rPr>
              <w:t>环境污</w:t>
            </w:r>
            <w:r>
              <w:rPr>
                <w:rFonts w:hint="eastAsia" w:eastAsia="仿宋_GB2312"/>
                <w:bCs/>
                <w:szCs w:val="28"/>
              </w:rPr>
              <w:t>染</w:t>
            </w:r>
          </w:p>
        </w:tc>
        <w:tc>
          <w:tcPr>
            <w:tcW w:w="3321" w:type="dxa"/>
            <w:vAlign w:val="center"/>
          </w:tcPr>
          <w:p w14:paraId="7FF7FA9D">
            <w:pPr>
              <w:spacing w:line="520" w:lineRule="exact"/>
              <w:rPr>
                <w:rFonts w:eastAsia="仿宋_GB2312"/>
                <w:bCs/>
                <w:szCs w:val="28"/>
              </w:rPr>
            </w:pPr>
            <w:r>
              <w:rPr>
                <w:rFonts w:eastAsia="仿宋_GB2312"/>
                <w:bCs/>
                <w:szCs w:val="28"/>
              </w:rPr>
              <w:t>生产环境污染产品，如外来的粉尘、其他杂质等</w:t>
            </w:r>
          </w:p>
        </w:tc>
        <w:tc>
          <w:tcPr>
            <w:tcW w:w="2832" w:type="dxa"/>
            <w:vAlign w:val="center"/>
          </w:tcPr>
          <w:p w14:paraId="3914DF13">
            <w:pPr>
              <w:spacing w:line="520" w:lineRule="exact"/>
              <w:rPr>
                <w:rFonts w:eastAsia="仿宋_GB2312"/>
                <w:bCs/>
                <w:szCs w:val="28"/>
              </w:rPr>
            </w:pPr>
            <w:r>
              <w:rPr>
                <w:rFonts w:eastAsia="仿宋_GB2312"/>
                <w:bCs/>
                <w:szCs w:val="28"/>
              </w:rPr>
              <w:t>引起患者身体不适或感染</w:t>
            </w:r>
          </w:p>
        </w:tc>
      </w:tr>
      <w:tr w14:paraId="749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79" w:type="dxa"/>
            <w:vMerge w:val="continue"/>
            <w:vAlign w:val="center"/>
          </w:tcPr>
          <w:p w14:paraId="29220D37">
            <w:pPr>
              <w:spacing w:line="520" w:lineRule="exact"/>
              <w:jc w:val="center"/>
              <w:rPr>
                <w:rFonts w:eastAsia="仿宋_GB2312"/>
                <w:bCs/>
                <w:szCs w:val="28"/>
              </w:rPr>
            </w:pPr>
          </w:p>
        </w:tc>
        <w:tc>
          <w:tcPr>
            <w:tcW w:w="1901" w:type="dxa"/>
            <w:vAlign w:val="center"/>
          </w:tcPr>
          <w:p w14:paraId="1CDF5866">
            <w:pPr>
              <w:spacing w:line="520" w:lineRule="exact"/>
              <w:rPr>
                <w:rFonts w:eastAsia="仿宋_GB2312"/>
                <w:bCs/>
                <w:szCs w:val="28"/>
              </w:rPr>
            </w:pPr>
            <w:r>
              <w:rPr>
                <w:rFonts w:eastAsia="仿宋_GB2312"/>
                <w:bCs/>
                <w:szCs w:val="28"/>
              </w:rPr>
              <w:t>生物相容性</w:t>
            </w:r>
          </w:p>
        </w:tc>
        <w:tc>
          <w:tcPr>
            <w:tcW w:w="3321" w:type="dxa"/>
            <w:vAlign w:val="center"/>
          </w:tcPr>
          <w:p w14:paraId="1CF924C5">
            <w:pPr>
              <w:spacing w:line="520" w:lineRule="exact"/>
              <w:rPr>
                <w:rFonts w:eastAsia="仿宋_GB2312"/>
                <w:bCs/>
                <w:szCs w:val="28"/>
              </w:rPr>
            </w:pPr>
            <w:r>
              <w:rPr>
                <w:rFonts w:eastAsia="仿宋_GB2312"/>
                <w:bCs/>
                <w:szCs w:val="28"/>
              </w:rPr>
              <w:t>采用了不合格原辅材料；生产引入了外来物质</w:t>
            </w:r>
          </w:p>
        </w:tc>
        <w:tc>
          <w:tcPr>
            <w:tcW w:w="2832" w:type="dxa"/>
            <w:vAlign w:val="center"/>
          </w:tcPr>
          <w:p w14:paraId="15219E00">
            <w:pPr>
              <w:spacing w:line="520" w:lineRule="exact"/>
              <w:rPr>
                <w:rFonts w:eastAsia="仿宋_GB2312"/>
                <w:bCs/>
                <w:szCs w:val="28"/>
              </w:rPr>
            </w:pPr>
            <w:r>
              <w:rPr>
                <w:rFonts w:eastAsia="仿宋_GB2312"/>
                <w:bCs/>
                <w:szCs w:val="28"/>
              </w:rPr>
              <w:t>引起患者局部过敏</w:t>
            </w:r>
            <w:r>
              <w:rPr>
                <w:rFonts w:hint="eastAsia" w:eastAsia="仿宋_GB2312"/>
                <w:bCs/>
                <w:szCs w:val="28"/>
              </w:rPr>
              <w:t>或刺激</w:t>
            </w:r>
          </w:p>
        </w:tc>
      </w:tr>
      <w:tr w14:paraId="086B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7" w:hRule="atLeast"/>
          <w:jc w:val="center"/>
        </w:trPr>
        <w:tc>
          <w:tcPr>
            <w:tcW w:w="1079" w:type="dxa"/>
            <w:vMerge w:val="continue"/>
            <w:vAlign w:val="center"/>
          </w:tcPr>
          <w:p w14:paraId="5EA0A8DA">
            <w:pPr>
              <w:spacing w:line="520" w:lineRule="exact"/>
              <w:jc w:val="center"/>
              <w:rPr>
                <w:rFonts w:eastAsia="仿宋_GB2312"/>
                <w:bCs/>
                <w:szCs w:val="28"/>
              </w:rPr>
            </w:pPr>
          </w:p>
        </w:tc>
        <w:tc>
          <w:tcPr>
            <w:tcW w:w="1901" w:type="dxa"/>
            <w:vAlign w:val="center"/>
          </w:tcPr>
          <w:p w14:paraId="224DED01">
            <w:pPr>
              <w:spacing w:line="520" w:lineRule="exact"/>
              <w:rPr>
                <w:rFonts w:eastAsia="仿宋_GB2312"/>
                <w:bCs/>
                <w:szCs w:val="28"/>
              </w:rPr>
            </w:pPr>
            <w:r>
              <w:rPr>
                <w:rFonts w:eastAsia="仿宋_GB2312"/>
                <w:bCs/>
                <w:szCs w:val="28"/>
              </w:rPr>
              <w:t>化学危害</w:t>
            </w:r>
          </w:p>
        </w:tc>
        <w:tc>
          <w:tcPr>
            <w:tcW w:w="3321" w:type="dxa"/>
            <w:vAlign w:val="center"/>
          </w:tcPr>
          <w:p w14:paraId="6C8477BF">
            <w:pPr>
              <w:spacing w:line="520" w:lineRule="exact"/>
              <w:rPr>
                <w:rFonts w:eastAsia="仿宋_GB2312"/>
                <w:bCs/>
                <w:szCs w:val="28"/>
              </w:rPr>
            </w:pPr>
            <w:r>
              <w:rPr>
                <w:rFonts w:eastAsia="仿宋_GB2312"/>
                <w:bCs/>
                <w:szCs w:val="28"/>
              </w:rPr>
              <w:t>生产工艺控制不严</w:t>
            </w:r>
          </w:p>
          <w:p w14:paraId="5D82D6E5">
            <w:pPr>
              <w:spacing w:line="520" w:lineRule="exact"/>
              <w:rPr>
                <w:rFonts w:eastAsia="仿宋_GB2312"/>
                <w:bCs/>
                <w:szCs w:val="28"/>
              </w:rPr>
            </w:pPr>
            <w:r>
              <w:rPr>
                <w:rFonts w:eastAsia="仿宋_GB2312"/>
                <w:bCs/>
                <w:szCs w:val="28"/>
              </w:rPr>
              <w:t>不正确的配方（化学成分）</w:t>
            </w:r>
          </w:p>
          <w:p w14:paraId="2BBA5892">
            <w:pPr>
              <w:spacing w:line="520" w:lineRule="exact"/>
              <w:rPr>
                <w:rFonts w:eastAsia="仿宋_GB2312"/>
                <w:bCs/>
                <w:szCs w:val="28"/>
              </w:rPr>
            </w:pPr>
            <w:r>
              <w:rPr>
                <w:rFonts w:eastAsia="仿宋_GB2312"/>
                <w:bCs/>
                <w:szCs w:val="28"/>
              </w:rPr>
              <w:t>添加剂或助剂使用比例不正确</w:t>
            </w:r>
          </w:p>
        </w:tc>
        <w:tc>
          <w:tcPr>
            <w:tcW w:w="2832" w:type="dxa"/>
            <w:vAlign w:val="center"/>
          </w:tcPr>
          <w:p w14:paraId="565E312B">
            <w:pPr>
              <w:spacing w:line="520" w:lineRule="exact"/>
              <w:rPr>
                <w:rFonts w:eastAsia="仿宋_GB2312"/>
                <w:bCs/>
                <w:szCs w:val="28"/>
              </w:rPr>
            </w:pPr>
            <w:r>
              <w:rPr>
                <w:rFonts w:eastAsia="仿宋_GB2312"/>
                <w:bCs/>
                <w:szCs w:val="28"/>
              </w:rPr>
              <w:t>造成毒性危害</w:t>
            </w:r>
          </w:p>
        </w:tc>
      </w:tr>
      <w:tr w14:paraId="1699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jc w:val="center"/>
        </w:trPr>
        <w:tc>
          <w:tcPr>
            <w:tcW w:w="1079" w:type="dxa"/>
            <w:vMerge w:val="restart"/>
            <w:vAlign w:val="center"/>
          </w:tcPr>
          <w:p w14:paraId="224EB9D3">
            <w:pPr>
              <w:spacing w:line="520" w:lineRule="exact"/>
              <w:jc w:val="center"/>
              <w:rPr>
                <w:rFonts w:eastAsia="仿宋_GB2312"/>
                <w:bCs/>
                <w:szCs w:val="28"/>
              </w:rPr>
            </w:pPr>
            <w:r>
              <w:rPr>
                <w:rFonts w:hint="eastAsia" w:eastAsia="仿宋_GB2312"/>
                <w:bCs/>
                <w:szCs w:val="28"/>
              </w:rPr>
              <w:t>可用性</w:t>
            </w:r>
          </w:p>
          <w:p w14:paraId="138EE35A">
            <w:pPr>
              <w:spacing w:line="520" w:lineRule="exact"/>
              <w:jc w:val="center"/>
              <w:rPr>
                <w:rFonts w:eastAsia="仿宋_GB2312"/>
                <w:bCs/>
                <w:szCs w:val="28"/>
              </w:rPr>
            </w:pPr>
          </w:p>
        </w:tc>
        <w:tc>
          <w:tcPr>
            <w:tcW w:w="1901" w:type="dxa"/>
            <w:vAlign w:val="center"/>
          </w:tcPr>
          <w:p w14:paraId="35BBC09E">
            <w:pPr>
              <w:spacing w:line="520" w:lineRule="exact"/>
              <w:rPr>
                <w:rFonts w:eastAsia="仿宋_GB2312"/>
                <w:bCs/>
                <w:szCs w:val="28"/>
              </w:rPr>
            </w:pPr>
            <w:r>
              <w:rPr>
                <w:rFonts w:eastAsia="仿宋_GB2312"/>
                <w:bCs/>
                <w:szCs w:val="28"/>
              </w:rPr>
              <w:t>使用产品时未按照说明书中操作方法操作</w:t>
            </w:r>
          </w:p>
        </w:tc>
        <w:tc>
          <w:tcPr>
            <w:tcW w:w="3321" w:type="dxa"/>
            <w:vAlign w:val="center"/>
          </w:tcPr>
          <w:p w14:paraId="055D68DD">
            <w:pPr>
              <w:spacing w:line="520" w:lineRule="exact"/>
              <w:rPr>
                <w:rFonts w:eastAsia="仿宋_GB2312"/>
                <w:bCs/>
                <w:szCs w:val="28"/>
              </w:rPr>
            </w:pPr>
            <w:r>
              <w:rPr>
                <w:rFonts w:eastAsia="仿宋_GB2312"/>
                <w:bCs/>
                <w:szCs w:val="28"/>
              </w:rPr>
              <w:t>错误操作；未采取相应的保护措施</w:t>
            </w:r>
          </w:p>
        </w:tc>
        <w:tc>
          <w:tcPr>
            <w:tcW w:w="2832" w:type="dxa"/>
          </w:tcPr>
          <w:p w14:paraId="50823D6D">
            <w:pPr>
              <w:spacing w:line="520" w:lineRule="exact"/>
              <w:rPr>
                <w:rFonts w:eastAsia="仿宋_GB2312"/>
                <w:bCs/>
                <w:szCs w:val="28"/>
              </w:rPr>
            </w:pPr>
            <w:r>
              <w:rPr>
                <w:rFonts w:eastAsia="仿宋_GB2312"/>
                <w:bCs/>
                <w:szCs w:val="28"/>
              </w:rPr>
              <w:t>无法保证使用安全性</w:t>
            </w:r>
          </w:p>
          <w:p w14:paraId="1E327E70">
            <w:pPr>
              <w:spacing w:line="520" w:lineRule="exact"/>
              <w:rPr>
                <w:rFonts w:eastAsia="仿宋_GB2312"/>
                <w:bCs/>
                <w:szCs w:val="28"/>
              </w:rPr>
            </w:pPr>
            <w:r>
              <w:rPr>
                <w:rFonts w:eastAsia="仿宋_GB2312"/>
                <w:bCs/>
                <w:szCs w:val="28"/>
              </w:rPr>
              <w:t>导致操作失误</w:t>
            </w:r>
            <w:r>
              <w:rPr>
                <w:rFonts w:hint="eastAsia" w:eastAsia="仿宋_GB2312"/>
                <w:bCs/>
                <w:szCs w:val="28"/>
              </w:rPr>
              <w:t>，导致无法达到满意的效果</w:t>
            </w:r>
          </w:p>
        </w:tc>
      </w:tr>
      <w:tr w14:paraId="1C6A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vAlign w:val="center"/>
          </w:tcPr>
          <w:p w14:paraId="4EDCB9BD">
            <w:pPr>
              <w:spacing w:line="520" w:lineRule="exact"/>
              <w:rPr>
                <w:rFonts w:eastAsia="仿宋_GB2312"/>
                <w:bCs/>
                <w:szCs w:val="28"/>
              </w:rPr>
            </w:pPr>
          </w:p>
        </w:tc>
        <w:tc>
          <w:tcPr>
            <w:tcW w:w="1901" w:type="dxa"/>
            <w:vAlign w:val="center"/>
          </w:tcPr>
          <w:p w14:paraId="30C32268">
            <w:pPr>
              <w:spacing w:line="520" w:lineRule="exact"/>
              <w:rPr>
                <w:rFonts w:eastAsia="仿宋_GB2312"/>
                <w:bCs/>
                <w:szCs w:val="28"/>
              </w:rPr>
            </w:pPr>
            <w:r>
              <w:rPr>
                <w:rFonts w:eastAsia="仿宋_GB2312"/>
                <w:bCs/>
                <w:szCs w:val="28"/>
              </w:rPr>
              <w:t>忽视说明书中</w:t>
            </w:r>
            <w:r>
              <w:rPr>
                <w:rFonts w:hint="eastAsia" w:eastAsia="仿宋_GB2312"/>
                <w:bCs/>
                <w:szCs w:val="28"/>
              </w:rPr>
              <w:t>禁忌证</w:t>
            </w:r>
            <w:r>
              <w:rPr>
                <w:rFonts w:eastAsia="仿宋_GB2312"/>
                <w:bCs/>
                <w:szCs w:val="28"/>
              </w:rPr>
              <w:t>、警示信息等内容</w:t>
            </w:r>
          </w:p>
        </w:tc>
        <w:tc>
          <w:tcPr>
            <w:tcW w:w="3321" w:type="dxa"/>
            <w:vAlign w:val="center"/>
          </w:tcPr>
          <w:p w14:paraId="1E6C7110">
            <w:pPr>
              <w:spacing w:line="520" w:lineRule="exact"/>
              <w:rPr>
                <w:rFonts w:eastAsia="仿宋_GB2312"/>
                <w:bCs/>
                <w:szCs w:val="28"/>
              </w:rPr>
            </w:pPr>
            <w:r>
              <w:rPr>
                <w:rFonts w:eastAsia="仿宋_GB2312"/>
                <w:bCs/>
                <w:szCs w:val="28"/>
              </w:rPr>
              <w:t>患者在使用过程中出现过敏</w:t>
            </w:r>
          </w:p>
        </w:tc>
        <w:tc>
          <w:tcPr>
            <w:tcW w:w="2832" w:type="dxa"/>
            <w:vAlign w:val="center"/>
          </w:tcPr>
          <w:p w14:paraId="47D987FE">
            <w:pPr>
              <w:spacing w:line="520" w:lineRule="exact"/>
              <w:rPr>
                <w:rFonts w:eastAsia="仿宋_GB2312"/>
                <w:bCs/>
                <w:szCs w:val="28"/>
              </w:rPr>
            </w:pPr>
            <w:r>
              <w:rPr>
                <w:rFonts w:eastAsia="仿宋_GB2312"/>
                <w:bCs/>
                <w:szCs w:val="28"/>
              </w:rPr>
              <w:t>引起患者过敏</w:t>
            </w:r>
          </w:p>
        </w:tc>
      </w:tr>
      <w:tr w14:paraId="2C44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vAlign w:val="center"/>
          </w:tcPr>
          <w:p w14:paraId="6771815D">
            <w:pPr>
              <w:spacing w:line="520" w:lineRule="exact"/>
              <w:rPr>
                <w:rFonts w:eastAsia="仿宋_GB2312"/>
                <w:bCs/>
                <w:szCs w:val="28"/>
              </w:rPr>
            </w:pPr>
          </w:p>
        </w:tc>
        <w:tc>
          <w:tcPr>
            <w:tcW w:w="1901" w:type="dxa"/>
            <w:vAlign w:val="center"/>
          </w:tcPr>
          <w:p w14:paraId="57523173">
            <w:pPr>
              <w:spacing w:line="520" w:lineRule="exact"/>
              <w:rPr>
                <w:rFonts w:eastAsia="仿宋_GB2312"/>
                <w:bCs/>
                <w:szCs w:val="28"/>
              </w:rPr>
            </w:pPr>
            <w:r>
              <w:rPr>
                <w:rFonts w:eastAsia="仿宋_GB2312"/>
                <w:bCs/>
                <w:szCs w:val="28"/>
              </w:rPr>
              <w:t>不正确的标签</w:t>
            </w:r>
          </w:p>
        </w:tc>
        <w:tc>
          <w:tcPr>
            <w:tcW w:w="3321" w:type="dxa"/>
            <w:vAlign w:val="center"/>
          </w:tcPr>
          <w:p w14:paraId="0388407F">
            <w:pPr>
              <w:spacing w:line="520" w:lineRule="exact"/>
              <w:rPr>
                <w:rFonts w:eastAsia="仿宋_GB2312"/>
                <w:bCs/>
                <w:szCs w:val="28"/>
              </w:rPr>
            </w:pPr>
            <w:r>
              <w:rPr>
                <w:rFonts w:eastAsia="仿宋_GB2312"/>
                <w:bCs/>
                <w:szCs w:val="28"/>
              </w:rPr>
              <w:t>外部标记不全面、标记不正确或不能够清楚易认</w:t>
            </w:r>
          </w:p>
        </w:tc>
        <w:tc>
          <w:tcPr>
            <w:tcW w:w="2832" w:type="dxa"/>
            <w:vAlign w:val="center"/>
          </w:tcPr>
          <w:p w14:paraId="4FE00D39">
            <w:pPr>
              <w:spacing w:line="520" w:lineRule="exact"/>
              <w:rPr>
                <w:rFonts w:eastAsia="仿宋_GB2312"/>
                <w:bCs/>
                <w:szCs w:val="28"/>
              </w:rPr>
            </w:pPr>
            <w:r>
              <w:rPr>
                <w:rFonts w:eastAsia="仿宋_GB2312"/>
                <w:bCs/>
                <w:szCs w:val="28"/>
              </w:rPr>
              <w:t>错误使用；产品辨别错误</w:t>
            </w:r>
          </w:p>
        </w:tc>
      </w:tr>
      <w:tr w14:paraId="1781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vAlign w:val="center"/>
          </w:tcPr>
          <w:p w14:paraId="00C4F2D8">
            <w:pPr>
              <w:spacing w:line="520" w:lineRule="exact"/>
              <w:rPr>
                <w:rFonts w:eastAsia="仿宋_GB2312"/>
                <w:bCs/>
                <w:szCs w:val="28"/>
              </w:rPr>
            </w:pPr>
          </w:p>
        </w:tc>
        <w:tc>
          <w:tcPr>
            <w:tcW w:w="1901" w:type="dxa"/>
            <w:vAlign w:val="center"/>
          </w:tcPr>
          <w:p w14:paraId="17C7A656">
            <w:pPr>
              <w:spacing w:line="520" w:lineRule="exact"/>
              <w:rPr>
                <w:rFonts w:eastAsia="仿宋_GB2312"/>
                <w:bCs/>
                <w:szCs w:val="28"/>
              </w:rPr>
            </w:pPr>
            <w:r>
              <w:rPr>
                <w:rFonts w:eastAsia="仿宋_GB2312"/>
                <w:bCs/>
                <w:szCs w:val="28"/>
              </w:rPr>
              <w:t>不正确的说明书；说明书上的注意事项、</w:t>
            </w:r>
            <w:r>
              <w:rPr>
                <w:rFonts w:hint="eastAsia" w:eastAsia="仿宋_GB2312"/>
                <w:bCs/>
                <w:szCs w:val="28"/>
              </w:rPr>
              <w:t>禁忌证</w:t>
            </w:r>
            <w:r>
              <w:rPr>
                <w:rFonts w:eastAsia="仿宋_GB2312"/>
                <w:bCs/>
                <w:szCs w:val="28"/>
              </w:rPr>
              <w:t>不全</w:t>
            </w:r>
          </w:p>
        </w:tc>
        <w:tc>
          <w:tcPr>
            <w:tcW w:w="3321" w:type="dxa"/>
            <w:vAlign w:val="center"/>
          </w:tcPr>
          <w:p w14:paraId="7FF660F5">
            <w:pPr>
              <w:spacing w:line="520" w:lineRule="exact"/>
              <w:rPr>
                <w:rFonts w:eastAsia="仿宋_GB2312"/>
                <w:bCs/>
                <w:szCs w:val="28"/>
              </w:rPr>
            </w:pPr>
            <w:r>
              <w:rPr>
                <w:rFonts w:eastAsia="仿宋_GB2312"/>
                <w:bCs/>
                <w:szCs w:val="28"/>
              </w:rPr>
              <w:t>缺少详细的使用方法、必要的警告说明</w:t>
            </w:r>
          </w:p>
        </w:tc>
        <w:tc>
          <w:tcPr>
            <w:tcW w:w="2832" w:type="dxa"/>
            <w:vAlign w:val="center"/>
          </w:tcPr>
          <w:p w14:paraId="54F14B01">
            <w:pPr>
              <w:spacing w:line="520" w:lineRule="exact"/>
              <w:rPr>
                <w:rFonts w:eastAsia="仿宋_GB2312"/>
                <w:bCs/>
                <w:szCs w:val="28"/>
              </w:rPr>
            </w:pPr>
            <w:r>
              <w:rPr>
                <w:rFonts w:eastAsia="仿宋_GB2312"/>
                <w:bCs/>
                <w:szCs w:val="28"/>
              </w:rPr>
              <w:t>错误操作；无法保证使用安全有效性</w:t>
            </w:r>
          </w:p>
        </w:tc>
      </w:tr>
      <w:tr w14:paraId="523F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vAlign w:val="center"/>
          </w:tcPr>
          <w:p w14:paraId="4984EF22">
            <w:pPr>
              <w:spacing w:line="520" w:lineRule="exact"/>
              <w:rPr>
                <w:rFonts w:eastAsia="仿宋_GB2312"/>
                <w:bCs/>
                <w:szCs w:val="28"/>
              </w:rPr>
            </w:pPr>
            <w:r>
              <w:rPr>
                <w:rFonts w:hint="eastAsia" w:eastAsia="仿宋_GB2312"/>
                <w:bCs/>
                <w:szCs w:val="28"/>
              </w:rPr>
              <w:t>功能性</w:t>
            </w:r>
          </w:p>
        </w:tc>
        <w:tc>
          <w:tcPr>
            <w:tcW w:w="1901" w:type="dxa"/>
            <w:vAlign w:val="center"/>
          </w:tcPr>
          <w:p w14:paraId="7632EE65">
            <w:pPr>
              <w:spacing w:line="520" w:lineRule="exact"/>
              <w:rPr>
                <w:rFonts w:eastAsia="仿宋_GB2312"/>
                <w:bCs/>
                <w:szCs w:val="28"/>
              </w:rPr>
            </w:pPr>
            <w:r>
              <w:rPr>
                <w:rFonts w:eastAsia="仿宋_GB2312"/>
                <w:bCs/>
                <w:szCs w:val="28"/>
              </w:rPr>
              <w:t>对医疗器械寿命终止缺少适当的决定</w:t>
            </w:r>
          </w:p>
        </w:tc>
        <w:tc>
          <w:tcPr>
            <w:tcW w:w="3321" w:type="dxa"/>
            <w:vAlign w:val="center"/>
          </w:tcPr>
          <w:p w14:paraId="5994ED02">
            <w:pPr>
              <w:spacing w:line="520" w:lineRule="exact"/>
              <w:rPr>
                <w:rFonts w:eastAsia="仿宋_GB2312"/>
                <w:bCs/>
                <w:szCs w:val="28"/>
              </w:rPr>
            </w:pPr>
            <w:r>
              <w:rPr>
                <w:rFonts w:eastAsia="仿宋_GB2312"/>
                <w:bCs/>
                <w:szCs w:val="28"/>
              </w:rPr>
              <w:t>没有标识产品有效期</w:t>
            </w:r>
          </w:p>
        </w:tc>
        <w:tc>
          <w:tcPr>
            <w:tcW w:w="2832" w:type="dxa"/>
            <w:vAlign w:val="center"/>
          </w:tcPr>
          <w:p w14:paraId="1C3432B6">
            <w:pPr>
              <w:spacing w:line="520" w:lineRule="exact"/>
              <w:rPr>
                <w:rFonts w:eastAsia="仿宋_GB2312"/>
                <w:bCs/>
                <w:szCs w:val="28"/>
              </w:rPr>
            </w:pPr>
            <w:r>
              <w:rPr>
                <w:rFonts w:eastAsia="仿宋_GB2312"/>
                <w:bCs/>
                <w:szCs w:val="28"/>
              </w:rPr>
              <w:t>超出有效期的产品被使用，可能会引起患者细菌感染，或因材料老化产生而导致产品性能不符合要求</w:t>
            </w:r>
          </w:p>
        </w:tc>
      </w:tr>
      <w:tr w14:paraId="260E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6C247208">
            <w:pPr>
              <w:spacing w:line="520" w:lineRule="exact"/>
              <w:rPr>
                <w:rFonts w:eastAsia="仿宋_GB2312"/>
                <w:bCs/>
                <w:szCs w:val="28"/>
              </w:rPr>
            </w:pPr>
          </w:p>
        </w:tc>
        <w:tc>
          <w:tcPr>
            <w:tcW w:w="1901" w:type="dxa"/>
            <w:vAlign w:val="center"/>
          </w:tcPr>
          <w:p w14:paraId="5B6C2971">
            <w:pPr>
              <w:spacing w:line="520" w:lineRule="exact"/>
              <w:rPr>
                <w:rFonts w:eastAsia="仿宋_GB2312"/>
                <w:bCs/>
                <w:szCs w:val="28"/>
              </w:rPr>
            </w:pPr>
            <w:r>
              <w:rPr>
                <w:rFonts w:eastAsia="仿宋_GB2312"/>
                <w:bCs/>
                <w:szCs w:val="28"/>
              </w:rPr>
              <w:t>不适当的产品包装（产品污染和／或变性）</w:t>
            </w:r>
          </w:p>
        </w:tc>
        <w:tc>
          <w:tcPr>
            <w:tcW w:w="3321" w:type="dxa"/>
            <w:vAlign w:val="center"/>
          </w:tcPr>
          <w:p w14:paraId="1098B00B">
            <w:pPr>
              <w:spacing w:line="520" w:lineRule="exact"/>
              <w:rPr>
                <w:rFonts w:eastAsia="仿宋_GB2312"/>
                <w:bCs/>
                <w:szCs w:val="28"/>
              </w:rPr>
            </w:pPr>
            <w:r>
              <w:rPr>
                <w:rFonts w:eastAsia="仿宋_GB2312"/>
                <w:bCs/>
                <w:szCs w:val="28"/>
              </w:rPr>
              <w:t>生产、运输、搬运和储存过程中导致包装破损；包装封口不严密；包装材料选择不适当；使用前未检查产品包装状态</w:t>
            </w:r>
          </w:p>
        </w:tc>
        <w:tc>
          <w:tcPr>
            <w:tcW w:w="2832" w:type="dxa"/>
            <w:vAlign w:val="center"/>
          </w:tcPr>
          <w:p w14:paraId="67D3D737">
            <w:pPr>
              <w:spacing w:line="520" w:lineRule="exact"/>
              <w:rPr>
                <w:rFonts w:eastAsia="仿宋_GB2312"/>
                <w:bCs/>
                <w:szCs w:val="28"/>
              </w:rPr>
            </w:pPr>
            <w:r>
              <w:rPr>
                <w:rFonts w:eastAsia="仿宋_GB2312"/>
                <w:bCs/>
                <w:szCs w:val="28"/>
              </w:rPr>
              <w:t>产品使用性能无法得到保证</w:t>
            </w:r>
          </w:p>
        </w:tc>
      </w:tr>
      <w:tr w14:paraId="3925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174648FA">
            <w:pPr>
              <w:spacing w:line="520" w:lineRule="exact"/>
              <w:rPr>
                <w:rFonts w:eastAsia="仿宋_GB2312"/>
                <w:bCs/>
                <w:szCs w:val="28"/>
              </w:rPr>
            </w:pPr>
          </w:p>
        </w:tc>
        <w:tc>
          <w:tcPr>
            <w:tcW w:w="1901" w:type="dxa"/>
            <w:vAlign w:val="center"/>
          </w:tcPr>
          <w:p w14:paraId="4020458B">
            <w:pPr>
              <w:spacing w:line="520" w:lineRule="exact"/>
              <w:rPr>
                <w:rFonts w:eastAsia="仿宋_GB2312"/>
                <w:bCs/>
                <w:szCs w:val="28"/>
              </w:rPr>
            </w:pPr>
            <w:r>
              <w:rPr>
                <w:rFonts w:eastAsia="仿宋_GB2312"/>
                <w:bCs/>
                <w:szCs w:val="28"/>
              </w:rPr>
              <w:t>再次使用和/或不适当的再次使用</w:t>
            </w:r>
          </w:p>
        </w:tc>
        <w:tc>
          <w:tcPr>
            <w:tcW w:w="3321" w:type="dxa"/>
            <w:vAlign w:val="center"/>
          </w:tcPr>
          <w:p w14:paraId="45433615">
            <w:pPr>
              <w:spacing w:line="520" w:lineRule="exact"/>
              <w:rPr>
                <w:rFonts w:eastAsia="仿宋_GB2312"/>
                <w:bCs/>
                <w:szCs w:val="28"/>
              </w:rPr>
            </w:pPr>
            <w:r>
              <w:rPr>
                <w:rFonts w:eastAsia="仿宋_GB2312"/>
                <w:bCs/>
                <w:szCs w:val="28"/>
              </w:rPr>
              <w:t>产品多次使用，未说明具体操作方法</w:t>
            </w:r>
          </w:p>
        </w:tc>
        <w:tc>
          <w:tcPr>
            <w:tcW w:w="2832" w:type="dxa"/>
            <w:vAlign w:val="center"/>
          </w:tcPr>
          <w:p w14:paraId="11A55346">
            <w:pPr>
              <w:spacing w:line="520" w:lineRule="exact"/>
              <w:rPr>
                <w:rFonts w:eastAsia="仿宋_GB2312"/>
                <w:bCs/>
                <w:szCs w:val="28"/>
              </w:rPr>
            </w:pPr>
            <w:r>
              <w:rPr>
                <w:rFonts w:eastAsia="仿宋_GB2312"/>
                <w:bCs/>
                <w:szCs w:val="28"/>
              </w:rPr>
              <w:t>出现细菌感染现象</w:t>
            </w:r>
          </w:p>
        </w:tc>
      </w:tr>
    </w:tbl>
    <w:p w14:paraId="497EF4C6">
      <w:pPr>
        <w:spacing w:line="52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49C"/>
    <w:rsid w:val="00D96D37"/>
    <w:rsid w:val="00E3449C"/>
    <w:rsid w:val="03A2513B"/>
    <w:rsid w:val="05296444"/>
    <w:rsid w:val="09D777A5"/>
    <w:rsid w:val="10467A96"/>
    <w:rsid w:val="10E215A5"/>
    <w:rsid w:val="1162595A"/>
    <w:rsid w:val="13184B96"/>
    <w:rsid w:val="17AC74E4"/>
    <w:rsid w:val="1C9F6A6A"/>
    <w:rsid w:val="1E4F6261"/>
    <w:rsid w:val="251442B8"/>
    <w:rsid w:val="2CFC5EAE"/>
    <w:rsid w:val="2DE44E58"/>
    <w:rsid w:val="316B6A21"/>
    <w:rsid w:val="320545D8"/>
    <w:rsid w:val="32EF547F"/>
    <w:rsid w:val="359B5DD3"/>
    <w:rsid w:val="37FC066A"/>
    <w:rsid w:val="39623D81"/>
    <w:rsid w:val="3AEF1BA5"/>
    <w:rsid w:val="439B2339"/>
    <w:rsid w:val="43D968A0"/>
    <w:rsid w:val="46E261D5"/>
    <w:rsid w:val="4727682E"/>
    <w:rsid w:val="47E97841"/>
    <w:rsid w:val="49F618DB"/>
    <w:rsid w:val="52DA2487"/>
    <w:rsid w:val="53330E00"/>
    <w:rsid w:val="59F24396"/>
    <w:rsid w:val="5AFB212D"/>
    <w:rsid w:val="5B9D78AD"/>
    <w:rsid w:val="5F92752C"/>
    <w:rsid w:val="60171DB3"/>
    <w:rsid w:val="611C2460"/>
    <w:rsid w:val="61AC2C30"/>
    <w:rsid w:val="639004F3"/>
    <w:rsid w:val="68922846"/>
    <w:rsid w:val="68BE2B99"/>
    <w:rsid w:val="69120836"/>
    <w:rsid w:val="69EE0F3D"/>
    <w:rsid w:val="6D76707B"/>
    <w:rsid w:val="721A28AA"/>
    <w:rsid w:val="79AE6CF2"/>
    <w:rsid w:val="7C4F77D4"/>
    <w:rsid w:val="7C6A2535"/>
    <w:rsid w:val="7DE06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宋体" w:cs="Times New Roman"/>
      <w:kern w:val="2"/>
      <w:sz w:val="28"/>
      <w:szCs w:val="24"/>
      <w:lang w:val="en-US" w:eastAsia="zh-CN" w:bidi="ar-SA"/>
    </w:rPr>
  </w:style>
  <w:style w:type="paragraph" w:styleId="2">
    <w:name w:val="heading 1"/>
    <w:basedOn w:val="1"/>
    <w:next w:val="1"/>
    <w:qFormat/>
    <w:uiPriority w:val="0"/>
    <w:pPr>
      <w:keepNext/>
      <w:keepLines/>
      <w:spacing w:before="340" w:after="330"/>
      <w:outlineLvl w:val="0"/>
    </w:pPr>
    <w:rPr>
      <w:rFonts w:eastAsia="仿宋_GB2312"/>
      <w:b/>
      <w:kern w:val="44"/>
      <w:sz w:val="32"/>
    </w:rPr>
  </w:style>
  <w:style w:type="paragraph" w:styleId="3">
    <w:name w:val="heading 2"/>
    <w:basedOn w:val="1"/>
    <w:next w:val="1"/>
    <w:semiHidden/>
    <w:unhideWhenUsed/>
    <w:qFormat/>
    <w:uiPriority w:val="0"/>
    <w:pPr>
      <w:spacing w:beforeAutospacing="1" w:afterAutospacing="1" w:line="360" w:lineRule="auto"/>
      <w:outlineLvl w:val="1"/>
    </w:pPr>
    <w:rPr>
      <w:rFonts w:hint="eastAsia" w:ascii="宋体" w:hAnsi="宋体" w:eastAsia="仿宋_GB2312"/>
      <w:b/>
      <w:bCs/>
      <w:kern w:val="0"/>
      <w:sz w:val="32"/>
      <w:szCs w:val="36"/>
    </w:rPr>
  </w:style>
  <w:style w:type="paragraph" w:styleId="4">
    <w:name w:val="heading 3"/>
    <w:basedOn w:val="1"/>
    <w:next w:val="1"/>
    <w:link w:val="11"/>
    <w:semiHidden/>
    <w:unhideWhenUsed/>
    <w:qFormat/>
    <w:uiPriority w:val="0"/>
    <w:pPr>
      <w:spacing w:beforeAutospacing="1" w:afterAutospacing="1"/>
      <w:outlineLvl w:val="2"/>
    </w:pPr>
    <w:rPr>
      <w:rFonts w:hint="eastAsia" w:ascii="宋体" w:hAnsi="宋体"/>
      <w:b/>
      <w:bCs/>
      <w:kern w:val="0"/>
      <w:sz w:val="27"/>
      <w:szCs w:val="27"/>
    </w:rPr>
  </w:style>
  <w:style w:type="paragraph" w:styleId="5">
    <w:name w:val="heading 4"/>
    <w:basedOn w:val="1"/>
    <w:next w:val="1"/>
    <w:semiHidden/>
    <w:unhideWhenUsed/>
    <w:qFormat/>
    <w:uiPriority w:val="0"/>
    <w:pPr>
      <w:keepNext/>
      <w:keepLines/>
      <w:spacing w:before="280" w:after="290" w:line="372" w:lineRule="auto"/>
      <w:outlineLvl w:val="3"/>
    </w:pPr>
    <w:rPr>
      <w:rFonts w:eastAsia="仿宋_GB231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character" w:styleId="9">
    <w:name w:val="Strong"/>
    <w:basedOn w:val="8"/>
    <w:qFormat/>
    <w:uiPriority w:val="0"/>
    <w:rPr>
      <w:b/>
    </w:rPr>
  </w:style>
  <w:style w:type="character" w:styleId="10">
    <w:name w:val="line number"/>
    <w:basedOn w:val="8"/>
    <w:qFormat/>
    <w:uiPriority w:val="0"/>
  </w:style>
  <w:style w:type="character" w:customStyle="1" w:styleId="11">
    <w:name w:val="标题 3 字符"/>
    <w:link w:val="4"/>
    <w:qFormat/>
    <w:uiPriority w:val="0"/>
    <w:rPr>
      <w:rFonts w:ascii="宋体" w:hAnsi="宋体" w:eastAsia="仿宋_GB2312" w:cs="宋体"/>
      <w:sz w:val="24"/>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6267</Words>
  <Characters>6735</Characters>
  <Lines>50</Lines>
  <Paragraphs>14</Paragraphs>
  <TotalTime>8</TotalTime>
  <ScaleCrop>false</ScaleCrop>
  <LinksUpToDate>false</LinksUpToDate>
  <CharactersWithSpaces>6860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2024-12-12T00:52:00Z</dcterms:created>
  <dc:creator>SPZX</dc:creator>
  <cp:lastModifiedBy>wzp</cp:lastModifiedBy>
  <dcterms:modified xsi:type="dcterms:W3CDTF">2026-07-23T07:13:07Z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DFAC52D56061430391209F42D58A0052_13</vt:lpwstr>
  </property>
  <property fmtid="{D5CDD505-2E9C-101B-9397-08002B2CF9AE}" pid="4" name="KSOTemplateDocerSaveRecord">
    <vt:lpwstr>eyJoZGlkIjoiNTMzZDUxY2NjMDU3YTZjZGFjNTBhZTQzMThmMzAxZjEiLCJ1c2VySWQiOiI3NDExMTE5OTIifQ==</vt:lpwstr>
  </property>
</Properties>
</file>