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4DE" w:rsidRDefault="00614A98">
      <w:pPr>
        <w:pStyle w:val="21"/>
        <w:spacing w:line="600" w:lineRule="exact"/>
        <w:ind w:left="0"/>
        <w:outlineLvl w:val="0"/>
        <w:rPr>
          <w:rFonts w:ascii="Times New Roman" w:eastAsia="方正小标宋简体" w:hAnsi="Times New Roman"/>
          <w:b w:val="0"/>
          <w:spacing w:val="-6"/>
          <w:sz w:val="44"/>
          <w:szCs w:val="44"/>
        </w:rPr>
      </w:pPr>
      <w:bookmarkStart w:id="0" w:name="_Toc2038"/>
      <w:bookmarkStart w:id="1" w:name="_Toc2301"/>
      <w:r>
        <w:rPr>
          <w:rFonts w:ascii="Times New Roman" w:eastAsia="方正小标宋简体" w:hAnsi="Times New Roman" w:hint="eastAsia"/>
          <w:b w:val="0"/>
          <w:spacing w:val="-6"/>
          <w:sz w:val="44"/>
          <w:szCs w:val="44"/>
        </w:rPr>
        <w:t>无源止血带产品</w:t>
      </w:r>
      <w:r>
        <w:rPr>
          <w:rFonts w:ascii="Times New Roman" w:eastAsia="方正小标宋简体" w:hAnsi="Times New Roman"/>
          <w:b w:val="0"/>
          <w:spacing w:val="-6"/>
          <w:sz w:val="44"/>
          <w:szCs w:val="44"/>
        </w:rPr>
        <w:t>注册</w:t>
      </w:r>
      <w:bookmarkStart w:id="2" w:name="_GoBack"/>
      <w:bookmarkEnd w:id="2"/>
      <w:r>
        <w:rPr>
          <w:rFonts w:ascii="Times New Roman" w:eastAsia="方正小标宋简体" w:hAnsi="Times New Roman"/>
          <w:b w:val="0"/>
          <w:spacing w:val="-6"/>
          <w:sz w:val="44"/>
          <w:szCs w:val="44"/>
        </w:rPr>
        <w:t>审查</w:t>
      </w:r>
      <w:r>
        <w:rPr>
          <w:rFonts w:ascii="Times New Roman" w:eastAsia="方正小标宋简体" w:hAnsi="Times New Roman" w:hint="eastAsia"/>
          <w:b w:val="0"/>
          <w:spacing w:val="-6"/>
          <w:sz w:val="44"/>
          <w:szCs w:val="44"/>
        </w:rPr>
        <w:t>指导原则</w:t>
      </w:r>
    </w:p>
    <w:p w:rsidR="003E24DE" w:rsidRDefault="00614A98">
      <w:pPr>
        <w:pStyle w:val="21"/>
        <w:spacing w:line="600" w:lineRule="exact"/>
        <w:ind w:left="0"/>
        <w:outlineLvl w:val="0"/>
        <w:rPr>
          <w:rFonts w:ascii="Times New Roman" w:eastAsia="方正小标宋简体" w:hAnsi="Times New Roman"/>
          <w:b w:val="0"/>
          <w:spacing w:val="-6"/>
          <w:sz w:val="44"/>
          <w:szCs w:val="44"/>
        </w:rPr>
      </w:pPr>
      <w:r>
        <w:rPr>
          <w:rFonts w:ascii="Times New Roman" w:eastAsia="方正小标宋简体" w:hAnsi="Times New Roman" w:hint="eastAsia"/>
          <w:b w:val="0"/>
          <w:spacing w:val="-6"/>
          <w:sz w:val="44"/>
          <w:szCs w:val="44"/>
        </w:rPr>
        <w:t>（征求意见稿）</w:t>
      </w:r>
    </w:p>
    <w:bookmarkEnd w:id="0"/>
    <w:bookmarkEnd w:id="1"/>
    <w:p w:rsidR="003E24DE" w:rsidRDefault="003E24DE">
      <w:pPr>
        <w:pStyle w:val="21"/>
        <w:adjustRightInd w:val="0"/>
        <w:snapToGrid w:val="0"/>
        <w:spacing w:line="520" w:lineRule="exact"/>
        <w:ind w:left="0" w:firstLineChars="200" w:firstLine="640"/>
        <w:jc w:val="both"/>
        <w:outlineLvl w:val="0"/>
        <w:rPr>
          <w:rFonts w:ascii="Times New Roman" w:eastAsia="楷体_GB2312" w:hAnsi="Times New Roman"/>
          <w:b w:val="0"/>
          <w:sz w:val="32"/>
          <w:szCs w:val="32"/>
        </w:rPr>
      </w:pP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bookmarkStart w:id="3" w:name="_Toc233025303"/>
      <w:r>
        <w:rPr>
          <w:rFonts w:ascii="Times New Roman" w:eastAsia="仿宋_GB2312" w:hAnsi="Times New Roman" w:hint="eastAsia"/>
          <w:bCs/>
          <w:sz w:val="32"/>
          <w:szCs w:val="32"/>
        </w:rPr>
        <w:t>本指导原则旨在指导注册申请人对无源止血带产品注册申报资料的准备及撰写，同时也为技术审评部门提供参考</w:t>
      </w:r>
      <w:r>
        <w:rPr>
          <w:rFonts w:ascii="Times New Roman" w:eastAsia="仿宋_GB2312" w:hAnsi="Times New Roman" w:hint="eastAsia"/>
          <w:bCs/>
          <w:sz w:val="32"/>
          <w:szCs w:val="32"/>
        </w:rPr>
        <w:t>。</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本指</w:t>
      </w:r>
      <w:r>
        <w:rPr>
          <w:rFonts w:ascii="Times New Roman" w:eastAsia="仿宋_GB2312" w:hAnsi="Times New Roman" w:hint="eastAsia"/>
          <w:bCs/>
          <w:sz w:val="32"/>
          <w:szCs w:val="32"/>
        </w:rPr>
        <w:t>导原则是对</w:t>
      </w:r>
      <w:r>
        <w:rPr>
          <w:rFonts w:ascii="Times New Roman" w:eastAsia="仿宋_GB2312" w:hAnsi="Times New Roman" w:hint="eastAsia"/>
          <w:bCs/>
          <w:sz w:val="32"/>
          <w:szCs w:val="32"/>
        </w:rPr>
        <w:t>无源止血</w:t>
      </w:r>
      <w:r>
        <w:rPr>
          <w:rFonts w:ascii="Times New Roman" w:eastAsia="仿宋_GB2312" w:hAnsi="Times New Roman" w:hint="eastAsia"/>
          <w:bCs/>
          <w:sz w:val="32"/>
          <w:szCs w:val="32"/>
        </w:rPr>
        <w:t>带产品注册申报资料的一般要求，</w:t>
      </w:r>
      <w:r>
        <w:rPr>
          <w:rFonts w:ascii="Times New Roman" w:eastAsia="仿宋_GB2312" w:hAnsi="Times New Roman" w:hint="eastAsia"/>
          <w:bCs/>
          <w:sz w:val="32"/>
          <w:szCs w:val="32"/>
        </w:rPr>
        <w:t>注册</w:t>
      </w:r>
      <w:r>
        <w:rPr>
          <w:rFonts w:ascii="Times New Roman" w:eastAsia="仿宋_GB2312" w:hAnsi="Times New Roman" w:hint="eastAsia"/>
          <w:bCs/>
          <w:sz w:val="32"/>
          <w:szCs w:val="32"/>
        </w:rPr>
        <w:t>申请人应依据产品的具体特性确定其中内容是否适用。若不适用，需具体阐述理由及相</w:t>
      </w:r>
      <w:r>
        <w:rPr>
          <w:rFonts w:ascii="Times New Roman" w:eastAsia="仿宋_GB2312" w:hAnsi="Times New Roman" w:hint="eastAsia"/>
          <w:bCs/>
          <w:sz w:val="32"/>
          <w:szCs w:val="32"/>
        </w:rPr>
        <w:t>应的科学依据，并依据产品的具体特性对注册申报资料的内容进行充实和细化</w:t>
      </w:r>
      <w:r>
        <w:rPr>
          <w:rFonts w:ascii="Times New Roman" w:eastAsia="仿宋_GB2312" w:hAnsi="Times New Roman" w:hint="eastAsia"/>
          <w:bCs/>
          <w:sz w:val="32"/>
          <w:szCs w:val="32"/>
        </w:rPr>
        <w:t>。</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本指导原则是供注册申请人和技术审评人员使用的指导性文件，但不包括审评审批所涉及的行政事项，亦不作为法规强制执行，应在遵循相关法规的前提下使用本指导原则。如果有能够满足相关法规要求的其他方法，也可以采用，但是需要提供详细的研究资料和验证资料</w:t>
      </w:r>
      <w:r>
        <w:rPr>
          <w:rFonts w:ascii="Times New Roman" w:eastAsia="仿宋_GB2312" w:hAnsi="Times New Roman" w:hint="eastAsia"/>
          <w:bCs/>
          <w:sz w:val="32"/>
          <w:szCs w:val="32"/>
        </w:rPr>
        <w:t>。</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本指导原则是在现行法规和标准体系以及当前认知水平下制定，随着法规和标准的不断完善，以及科学技术的不断发展，相关内容也将适时进行调整</w:t>
      </w:r>
      <w:r>
        <w:rPr>
          <w:rFonts w:ascii="Times New Roman" w:eastAsia="仿宋_GB2312" w:hAnsi="Times New Roman" w:hint="eastAsia"/>
          <w:bCs/>
          <w:sz w:val="32"/>
          <w:szCs w:val="32"/>
        </w:rPr>
        <w:t>。</w:t>
      </w:r>
    </w:p>
    <w:p w:rsidR="003E24DE" w:rsidRDefault="00614A98">
      <w:pPr>
        <w:adjustRightInd w:val="0"/>
        <w:snapToGrid w:val="0"/>
        <w:spacing w:line="520" w:lineRule="exact"/>
        <w:ind w:firstLineChars="200" w:firstLine="640"/>
        <w:outlineLvl w:val="0"/>
        <w:rPr>
          <w:rFonts w:ascii="Times New Roman" w:eastAsia="黑体" w:hAnsi="Times New Roman"/>
          <w:sz w:val="32"/>
          <w:szCs w:val="32"/>
        </w:rPr>
      </w:pPr>
      <w:bookmarkStart w:id="4" w:name="_Toc22258"/>
      <w:bookmarkStart w:id="5" w:name="_Toc22535"/>
      <w:r>
        <w:rPr>
          <w:rFonts w:ascii="Times New Roman" w:eastAsia="黑体" w:hAnsi="Times New Roman" w:hint="eastAsia"/>
          <w:sz w:val="32"/>
          <w:szCs w:val="32"/>
        </w:rPr>
        <w:t>一、适用范围</w:t>
      </w:r>
      <w:bookmarkEnd w:id="3"/>
      <w:bookmarkEnd w:id="4"/>
      <w:bookmarkEnd w:id="5"/>
    </w:p>
    <w:p w:rsidR="003E24DE" w:rsidRDefault="00614A98">
      <w:pPr>
        <w:adjustRightInd w:val="0"/>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本指导原则仅</w:t>
      </w:r>
      <w:r>
        <w:rPr>
          <w:rFonts w:ascii="Times New Roman" w:eastAsia="仿宋_GB2312" w:hAnsi="Times New Roman"/>
          <w:color w:val="000000"/>
          <w:sz w:val="32"/>
          <w:szCs w:val="32"/>
        </w:rPr>
        <w:t>适用于</w:t>
      </w:r>
      <w:r>
        <w:rPr>
          <w:rFonts w:ascii="Times New Roman" w:eastAsia="仿宋_GB2312" w:hAnsi="Times New Roman" w:hint="eastAsia"/>
          <w:color w:val="000000"/>
          <w:sz w:val="32"/>
          <w:szCs w:val="32"/>
        </w:rPr>
        <w:t>旋压式止血带产品</w:t>
      </w:r>
      <w:r>
        <w:rPr>
          <w:rFonts w:ascii="Times New Roman" w:eastAsia="仿宋_GB2312" w:hAnsi="Times New Roman"/>
          <w:color w:val="000000"/>
          <w:sz w:val="32"/>
          <w:szCs w:val="32"/>
        </w:rPr>
        <w:t>的注册。</w:t>
      </w:r>
    </w:p>
    <w:p w:rsidR="003E24DE" w:rsidRDefault="00614A98">
      <w:pPr>
        <w:adjustRightInd w:val="0"/>
        <w:snapToGrid w:val="0"/>
        <w:spacing w:line="520" w:lineRule="exact"/>
        <w:ind w:firstLineChars="200" w:firstLine="640"/>
        <w:outlineLvl w:val="0"/>
        <w:rPr>
          <w:rFonts w:ascii="Times New Roman" w:eastAsia="黑体" w:hAnsi="Times New Roman"/>
          <w:sz w:val="32"/>
          <w:szCs w:val="32"/>
        </w:rPr>
      </w:pPr>
      <w:r>
        <w:rPr>
          <w:rFonts w:ascii="Times New Roman" w:eastAsia="黑体" w:hAnsi="Times New Roman" w:hint="eastAsia"/>
          <w:sz w:val="32"/>
          <w:szCs w:val="32"/>
        </w:rPr>
        <w:t>二、注册审查要点</w:t>
      </w:r>
    </w:p>
    <w:p w:rsidR="003E24DE" w:rsidRDefault="00614A98">
      <w:pPr>
        <w:adjustRightInd w:val="0"/>
        <w:snapToGrid w:val="0"/>
        <w:spacing w:line="520" w:lineRule="exact"/>
        <w:ind w:firstLineChars="200" w:firstLine="640"/>
        <w:outlineLvl w:val="0"/>
        <w:rPr>
          <w:rFonts w:ascii="楷体_GB2312" w:eastAsia="楷体_GB2312" w:hAnsi="楷体_GB2312" w:cs="楷体_GB2312"/>
          <w:bCs/>
          <w:sz w:val="32"/>
          <w:szCs w:val="32"/>
        </w:rPr>
      </w:pPr>
      <w:r>
        <w:rPr>
          <w:rFonts w:ascii="楷体_GB2312" w:eastAsia="楷体_GB2312" w:hAnsi="楷体_GB2312" w:cs="楷体_GB2312" w:hint="eastAsia"/>
          <w:sz w:val="32"/>
          <w:szCs w:val="32"/>
        </w:rPr>
        <w:t>（一）监管信息</w:t>
      </w:r>
    </w:p>
    <w:p w:rsidR="003E24DE" w:rsidRDefault="00614A98">
      <w:pPr>
        <w:adjustRightInd w:val="0"/>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bCs/>
          <w:sz w:val="32"/>
          <w:szCs w:val="32"/>
        </w:rPr>
        <w:t>申请人应提供申请表、产品列表、既</w:t>
      </w:r>
      <w:r>
        <w:rPr>
          <w:rFonts w:ascii="Times New Roman" w:eastAsia="仿宋_GB2312" w:hAnsi="Times New Roman" w:hint="eastAsia"/>
          <w:bCs/>
          <w:sz w:val="32"/>
          <w:szCs w:val="32"/>
        </w:rPr>
        <w:t>往沟通记录、主文档授权信以及其它管理</w:t>
      </w:r>
      <w:r>
        <w:rPr>
          <w:rFonts w:ascii="Times New Roman" w:eastAsia="仿宋_GB2312" w:hAnsi="Times New Roman" w:hint="eastAsia"/>
          <w:color w:val="000000"/>
          <w:sz w:val="32"/>
          <w:szCs w:val="32"/>
        </w:rPr>
        <w:t>信息。产品的注册单元划分原则上应符合《医疗器械注册单元划分指导原则》的要求，产品结构组成不同而导致产品性能指标不同时，建议划分为不同的注</w:t>
      </w:r>
      <w:r>
        <w:rPr>
          <w:rFonts w:ascii="Times New Roman" w:eastAsia="仿宋_GB2312" w:hAnsi="Times New Roman" w:hint="eastAsia"/>
          <w:color w:val="000000"/>
          <w:sz w:val="32"/>
          <w:szCs w:val="32"/>
        </w:rPr>
        <w:lastRenderedPageBreak/>
        <w:t>册单元。</w:t>
      </w:r>
    </w:p>
    <w:p w:rsidR="003E24DE" w:rsidRDefault="00614A98">
      <w:pPr>
        <w:adjustRightInd w:val="0"/>
        <w:snapToGrid w:val="0"/>
        <w:spacing w:line="520" w:lineRule="exact"/>
        <w:ind w:firstLineChars="200" w:firstLine="640"/>
        <w:outlineLvl w:val="0"/>
        <w:rPr>
          <w:rFonts w:ascii="楷体_GB2312" w:eastAsia="楷体_GB2312" w:hAnsi="楷体_GB2312" w:cs="楷体_GB2312"/>
          <w:sz w:val="32"/>
          <w:szCs w:val="32"/>
        </w:rPr>
      </w:pPr>
      <w:bookmarkStart w:id="6" w:name="_Toc233025304"/>
      <w:r>
        <w:rPr>
          <w:rFonts w:ascii="楷体_GB2312" w:eastAsia="楷体_GB2312" w:hAnsi="楷体_GB2312" w:cs="楷体_GB2312" w:hint="eastAsia"/>
          <w:sz w:val="32"/>
          <w:szCs w:val="32"/>
        </w:rPr>
        <w:t>（二）综述资料</w:t>
      </w:r>
    </w:p>
    <w:p w:rsidR="003E24DE" w:rsidRDefault="00614A98">
      <w:pPr>
        <w:adjustRightInd w:val="0"/>
        <w:snapToGrid w:val="0"/>
        <w:spacing w:line="520" w:lineRule="exact"/>
        <w:ind w:firstLineChars="200" w:firstLine="640"/>
        <w:outlineLvl w:val="2"/>
        <w:rPr>
          <w:rFonts w:ascii="Times New Roman" w:eastAsia="仿宋_GB2312" w:hAnsi="Times New Roman"/>
          <w:bCs/>
          <w:sz w:val="32"/>
          <w:szCs w:val="32"/>
        </w:rPr>
      </w:pPr>
      <w:r>
        <w:rPr>
          <w:rFonts w:ascii="Times New Roman" w:eastAsia="仿宋_GB2312" w:hAnsi="Times New Roman"/>
          <w:bCs/>
          <w:sz w:val="32"/>
          <w:szCs w:val="32"/>
        </w:rPr>
        <w:t>1.</w:t>
      </w:r>
      <w:r>
        <w:rPr>
          <w:rFonts w:ascii="Times New Roman" w:eastAsia="仿宋_GB2312" w:hAnsi="Times New Roman"/>
          <w:bCs/>
          <w:sz w:val="32"/>
          <w:szCs w:val="32"/>
        </w:rPr>
        <w:t>概述</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1.1</w:t>
      </w:r>
      <w:r>
        <w:rPr>
          <w:rFonts w:ascii="Times New Roman" w:eastAsia="仿宋_GB2312" w:hAnsi="Times New Roman" w:hint="eastAsia"/>
          <w:bCs/>
          <w:sz w:val="32"/>
          <w:szCs w:val="32"/>
        </w:rPr>
        <w:t>产品名称</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产品命名应符合《医疗器械通用名称命名规则》的要求，通常可采用</w:t>
      </w:r>
      <w:r>
        <w:rPr>
          <w:rFonts w:ascii="Times New Roman" w:eastAsia="仿宋_GB2312" w:hAnsi="Times New Roman" w:hint="eastAsia"/>
          <w:bCs/>
          <w:sz w:val="32"/>
          <w:szCs w:val="32"/>
        </w:rPr>
        <w:t>旋压式止血带命名</w:t>
      </w:r>
      <w:r>
        <w:rPr>
          <w:rFonts w:ascii="Times New Roman" w:eastAsia="仿宋_GB2312" w:hAnsi="Times New Roman" w:hint="eastAsia"/>
          <w:bCs/>
          <w:sz w:val="32"/>
          <w:szCs w:val="32"/>
        </w:rPr>
        <w:t>。</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1.2</w:t>
      </w:r>
      <w:r>
        <w:rPr>
          <w:rFonts w:ascii="Times New Roman" w:eastAsia="仿宋_GB2312" w:hAnsi="Times New Roman" w:hint="eastAsia"/>
          <w:bCs/>
          <w:sz w:val="32"/>
          <w:szCs w:val="32"/>
        </w:rPr>
        <w:t>分类编码</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描述申报产品的管理类别、分类编码及名称的确定依据。产品应符合《医疗器械分类目录》中</w:t>
      </w:r>
      <w:r>
        <w:rPr>
          <w:rFonts w:ascii="Times New Roman" w:eastAsia="仿宋_GB2312" w:hAnsi="Times New Roman"/>
          <w:color w:val="000000"/>
          <w:sz w:val="32"/>
          <w:szCs w:val="32"/>
        </w:rPr>
        <w:t>14</w:t>
      </w:r>
      <w:r>
        <w:rPr>
          <w:rFonts w:ascii="Times New Roman" w:eastAsia="仿宋_GB2312" w:hAnsi="Times New Roman"/>
          <w:color w:val="000000"/>
          <w:sz w:val="32"/>
          <w:szCs w:val="32"/>
        </w:rPr>
        <w:t>注输、护理和防护器械目录下</w:t>
      </w:r>
      <w:r>
        <w:rPr>
          <w:rFonts w:ascii="Times New Roman" w:eastAsia="仿宋_GB2312" w:hAnsi="Times New Roman" w:hint="eastAsia"/>
          <w:color w:val="000000"/>
          <w:sz w:val="32"/>
          <w:szCs w:val="32"/>
        </w:rPr>
        <w:t>04</w:t>
      </w:r>
      <w:r>
        <w:rPr>
          <w:rFonts w:ascii="Times New Roman" w:eastAsia="仿宋_GB2312" w:hAnsi="Times New Roman" w:hint="eastAsia"/>
          <w:color w:val="000000"/>
          <w:sz w:val="32"/>
          <w:szCs w:val="32"/>
        </w:rPr>
        <w:t>止血器具</w:t>
      </w:r>
      <w:r>
        <w:rPr>
          <w:rFonts w:ascii="Times New Roman" w:eastAsia="仿宋_GB2312" w:hAnsi="Times New Roman"/>
          <w:color w:val="000000"/>
          <w:sz w:val="32"/>
          <w:szCs w:val="32"/>
        </w:rPr>
        <w:t>项下的</w:t>
      </w:r>
      <w:r>
        <w:rPr>
          <w:rFonts w:ascii="Times New Roman" w:eastAsia="仿宋_GB2312" w:hAnsi="Times New Roman" w:hint="eastAsia"/>
          <w:color w:val="000000"/>
          <w:sz w:val="32"/>
          <w:szCs w:val="32"/>
        </w:rPr>
        <w:t>0</w:t>
      </w:r>
      <w:r>
        <w:rPr>
          <w:rFonts w:ascii="Times New Roman" w:eastAsia="仿宋_GB2312" w:hAnsi="Times New Roman" w:hint="eastAsia"/>
          <w:color w:val="000000"/>
          <w:sz w:val="32"/>
          <w:szCs w:val="32"/>
        </w:rPr>
        <w:t>3</w:t>
      </w:r>
      <w:r>
        <w:rPr>
          <w:rFonts w:ascii="Times New Roman" w:eastAsia="仿宋_GB2312" w:hAnsi="Times New Roman" w:hint="eastAsia"/>
          <w:color w:val="000000"/>
          <w:sz w:val="32"/>
          <w:szCs w:val="32"/>
        </w:rPr>
        <w:t>无源止血</w:t>
      </w:r>
      <w:r>
        <w:rPr>
          <w:rFonts w:ascii="Times New Roman" w:eastAsia="仿宋_GB2312" w:hAnsi="Times New Roman" w:hint="eastAsia"/>
          <w:color w:val="000000"/>
          <w:sz w:val="32"/>
          <w:szCs w:val="32"/>
        </w:rPr>
        <w:t>带</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分类编码：</w:t>
      </w:r>
      <w:r>
        <w:rPr>
          <w:rFonts w:ascii="Times New Roman" w:eastAsia="仿宋_GB2312" w:hAnsi="Times New Roman" w:hint="eastAsia"/>
          <w:color w:val="000000"/>
          <w:sz w:val="32"/>
          <w:szCs w:val="32"/>
        </w:rPr>
        <w:t>14-04-03</w:t>
      </w:r>
      <w:r>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管理类别为Ⅱ</w:t>
      </w:r>
      <w:r>
        <w:rPr>
          <w:rFonts w:ascii="Times New Roman" w:eastAsia="仿宋_GB2312" w:hAnsi="Times New Roman"/>
          <w:color w:val="000000"/>
          <w:sz w:val="32"/>
          <w:szCs w:val="32"/>
        </w:rPr>
        <w:t>类。</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color w:val="000000"/>
          <w:sz w:val="32"/>
          <w:szCs w:val="32"/>
        </w:rPr>
        <w:t>2.</w:t>
      </w:r>
      <w:r>
        <w:rPr>
          <w:rFonts w:ascii="Times New Roman" w:eastAsia="仿宋_GB2312" w:hAnsi="Times New Roman"/>
          <w:color w:val="000000"/>
          <w:sz w:val="32"/>
          <w:szCs w:val="32"/>
        </w:rPr>
        <w:t>产品及工作原</w:t>
      </w:r>
      <w:r>
        <w:rPr>
          <w:rFonts w:ascii="Times New Roman" w:eastAsia="仿宋_GB2312" w:hAnsi="Times New Roman"/>
          <w:bCs/>
          <w:sz w:val="32"/>
          <w:szCs w:val="32"/>
        </w:rPr>
        <w:t>理描述</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2.1</w:t>
      </w:r>
      <w:r>
        <w:rPr>
          <w:rFonts w:ascii="Times New Roman" w:eastAsia="仿宋_GB2312" w:hAnsi="Times New Roman" w:hint="eastAsia"/>
          <w:bCs/>
          <w:sz w:val="32"/>
          <w:szCs w:val="32"/>
        </w:rPr>
        <w:t>结构及组成</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旋</w:t>
      </w:r>
      <w:r>
        <w:rPr>
          <w:rFonts w:ascii="Times New Roman" w:eastAsia="仿宋_GB2312" w:hAnsi="Times New Roman"/>
          <w:color w:val="000000"/>
          <w:sz w:val="32"/>
          <w:szCs w:val="32"/>
        </w:rPr>
        <w:t>压式止血带由</w:t>
      </w:r>
      <w:r>
        <w:rPr>
          <w:rFonts w:ascii="Times New Roman" w:eastAsia="仿宋_GB2312" w:hAnsi="Times New Roman" w:hint="eastAsia"/>
          <w:color w:val="000000"/>
          <w:sz w:val="32"/>
          <w:szCs w:val="32"/>
        </w:rPr>
        <w:t>摩擦带扣（或</w:t>
      </w:r>
      <w:r>
        <w:rPr>
          <w:rFonts w:ascii="Times New Roman" w:eastAsia="仿宋_GB2312" w:hAnsi="Times New Roman"/>
          <w:color w:val="000000"/>
          <w:sz w:val="32"/>
          <w:szCs w:val="32"/>
        </w:rPr>
        <w:t>日字扣</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、绞棒、</w:t>
      </w:r>
      <w:r>
        <w:rPr>
          <w:rFonts w:ascii="Times New Roman" w:eastAsia="仿宋_GB2312" w:hAnsi="Times New Roman" w:hint="eastAsia"/>
          <w:color w:val="000000"/>
          <w:sz w:val="32"/>
          <w:szCs w:val="32"/>
        </w:rPr>
        <w:t>绞棒</w:t>
      </w:r>
      <w:r>
        <w:rPr>
          <w:rFonts w:ascii="Times New Roman" w:eastAsia="仿宋_GB2312" w:hAnsi="Times New Roman"/>
          <w:color w:val="000000"/>
          <w:sz w:val="32"/>
          <w:szCs w:val="32"/>
        </w:rPr>
        <w:t>固定夹、绞棒固定带</w:t>
      </w:r>
      <w:r>
        <w:rPr>
          <w:rFonts w:ascii="Times New Roman" w:eastAsia="仿宋_GB2312" w:hAnsi="Times New Roman" w:hint="eastAsia"/>
          <w:color w:val="000000"/>
          <w:sz w:val="32"/>
          <w:szCs w:val="32"/>
        </w:rPr>
        <w:t>（可兼具功能：记录实施止血起始时间的标志）、</w:t>
      </w:r>
      <w:r>
        <w:rPr>
          <w:rFonts w:ascii="Times New Roman" w:eastAsia="仿宋_GB2312" w:hAnsi="Times New Roman"/>
          <w:color w:val="000000"/>
          <w:sz w:val="32"/>
          <w:szCs w:val="32"/>
        </w:rPr>
        <w:t>织带、粘扣带缝制热压组装而成。</w:t>
      </w:r>
    </w:p>
    <w:p w:rsidR="003E24DE" w:rsidRDefault="003E24DE">
      <w:pPr>
        <w:tabs>
          <w:tab w:val="left" w:pos="540"/>
        </w:tabs>
        <w:adjustRightInd w:val="0"/>
        <w:snapToGrid w:val="0"/>
        <w:spacing w:line="520" w:lineRule="exact"/>
        <w:ind w:firstLineChars="200" w:firstLine="640"/>
        <w:rPr>
          <w:rFonts w:ascii="Times New Roman" w:eastAsia="仿宋_GB2312" w:hAnsi="Times New Roman"/>
          <w:color w:val="000000"/>
          <w:sz w:val="32"/>
          <w:szCs w:val="32"/>
        </w:rPr>
      </w:pPr>
    </w:p>
    <w:p w:rsidR="003E24DE" w:rsidRDefault="00614A98">
      <w:pPr>
        <w:adjustRightInd w:val="0"/>
        <w:snapToGrid w:val="0"/>
        <w:ind w:firstLineChars="200" w:firstLine="640"/>
        <w:jc w:val="center"/>
        <w:rPr>
          <w:rFonts w:ascii="Times New Roman" w:eastAsia="仿宋_GB2312" w:hAnsi="Times New Roman"/>
          <w:color w:val="FF0000"/>
          <w:kern w:val="0"/>
          <w:sz w:val="32"/>
          <w:szCs w:val="32"/>
        </w:rPr>
      </w:pPr>
      <w:r>
        <w:rPr>
          <w:rFonts w:ascii="Times New Roman" w:eastAsia="仿宋_GB2312" w:hAnsi="Times New Roman"/>
          <w:noProof/>
          <w:color w:val="FF0000"/>
          <w:kern w:val="0"/>
          <w:sz w:val="32"/>
          <w:szCs w:val="32"/>
        </w:rPr>
        <w:drawing>
          <wp:inline distT="0" distB="0" distL="114300" distR="114300">
            <wp:extent cx="2263775" cy="1701165"/>
            <wp:effectExtent l="12700" t="12700" r="28575" b="19685"/>
            <wp:docPr id="1" name="图片 1" descr="dbb51d3cb78c19625102afe1ed15f1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bb51d3cb78c19625102afe1ed15f17d"/>
                    <pic:cNvPicPr>
                      <a:picLocks noChangeAspect="1"/>
                    </pic:cNvPicPr>
                  </pic:nvPicPr>
                  <pic:blipFill>
                    <a:blip r:embed="rId7"/>
                    <a:stretch>
                      <a:fillRect/>
                    </a:stretch>
                  </pic:blipFill>
                  <pic:spPr>
                    <a:xfrm>
                      <a:off x="0" y="0"/>
                      <a:ext cx="2263775" cy="1701165"/>
                    </a:xfrm>
                    <a:prstGeom prst="rect">
                      <a:avLst/>
                    </a:prstGeom>
                    <a:ln w="12700" cmpd="sng">
                      <a:solidFill>
                        <a:schemeClr val="accent1">
                          <a:shade val="50000"/>
                        </a:schemeClr>
                      </a:solidFill>
                      <a:prstDash val="solid"/>
                    </a:ln>
                  </pic:spPr>
                </pic:pic>
              </a:graphicData>
            </a:graphic>
          </wp:inline>
        </w:drawing>
      </w:r>
      <w:r>
        <w:rPr>
          <w:rFonts w:ascii="Times New Roman" w:eastAsia="仿宋_GB2312" w:hAnsi="Times New Roman" w:hint="eastAsia"/>
          <w:color w:val="FF0000"/>
          <w:kern w:val="0"/>
          <w:sz w:val="32"/>
          <w:szCs w:val="32"/>
        </w:rPr>
        <w:t xml:space="preserve"> </w:t>
      </w:r>
      <w:r>
        <w:rPr>
          <w:noProof/>
        </w:rPr>
        <w:drawing>
          <wp:inline distT="0" distB="0" distL="114300" distR="114300">
            <wp:extent cx="1856105" cy="1686560"/>
            <wp:effectExtent l="12700" t="12700" r="17145" b="152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rcRect l="8856" r="12702"/>
                    <a:stretch>
                      <a:fillRect/>
                    </a:stretch>
                  </pic:blipFill>
                  <pic:spPr>
                    <a:xfrm>
                      <a:off x="0" y="0"/>
                      <a:ext cx="1856105" cy="1686560"/>
                    </a:xfrm>
                    <a:prstGeom prst="rect">
                      <a:avLst/>
                    </a:prstGeom>
                    <a:noFill/>
                    <a:ln w="12700" cmpd="sng">
                      <a:solidFill>
                        <a:schemeClr val="accent1">
                          <a:shade val="50000"/>
                        </a:schemeClr>
                      </a:solidFill>
                      <a:prstDash val="solid"/>
                    </a:ln>
                  </pic:spPr>
                </pic:pic>
              </a:graphicData>
            </a:graphic>
          </wp:inline>
        </w:drawing>
      </w:r>
    </w:p>
    <w:p w:rsidR="003E24DE" w:rsidRDefault="00614A98">
      <w:pPr>
        <w:adjustRightInd w:val="0"/>
        <w:snapToGrid w:val="0"/>
        <w:spacing w:line="520" w:lineRule="exact"/>
        <w:ind w:firstLineChars="200" w:firstLine="560"/>
        <w:jc w:val="center"/>
        <w:rPr>
          <w:rFonts w:ascii="黑体" w:eastAsia="黑体" w:hAnsi="黑体" w:cs="黑体"/>
          <w:color w:val="FF0000"/>
          <w:kern w:val="0"/>
          <w:sz w:val="28"/>
          <w:szCs w:val="28"/>
        </w:rPr>
      </w:pPr>
      <w:r>
        <w:rPr>
          <w:rFonts w:ascii="黑体" w:eastAsia="黑体" w:hAnsi="黑体" w:cs="黑体" w:hint="eastAsia"/>
          <w:color w:val="000000"/>
          <w:sz w:val="28"/>
          <w:szCs w:val="28"/>
        </w:rPr>
        <w:t>旋压式止血带</w:t>
      </w:r>
    </w:p>
    <w:p w:rsidR="003E24DE" w:rsidRDefault="003E24DE">
      <w:pPr>
        <w:adjustRightInd w:val="0"/>
        <w:snapToGrid w:val="0"/>
        <w:spacing w:line="520" w:lineRule="exact"/>
        <w:ind w:firstLineChars="200" w:firstLine="640"/>
        <w:rPr>
          <w:rFonts w:ascii="Times New Roman" w:eastAsia="仿宋_GB2312" w:hAnsi="Times New Roman"/>
          <w:color w:val="FF0000"/>
          <w:kern w:val="0"/>
          <w:sz w:val="32"/>
          <w:szCs w:val="32"/>
        </w:rPr>
      </w:pP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2.2</w:t>
      </w:r>
      <w:r>
        <w:rPr>
          <w:rFonts w:ascii="Times New Roman" w:eastAsia="仿宋_GB2312" w:hAnsi="Times New Roman"/>
          <w:bCs/>
          <w:sz w:val="32"/>
          <w:szCs w:val="32"/>
        </w:rPr>
        <w:t>产品工作原理</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kern w:val="0"/>
          <w:sz w:val="32"/>
          <w:szCs w:val="32"/>
        </w:rPr>
        <w:t>产</w:t>
      </w:r>
      <w:r>
        <w:rPr>
          <w:rFonts w:ascii="Times New Roman" w:eastAsia="仿宋_GB2312" w:hAnsi="Times New Roman"/>
          <w:kern w:val="0"/>
          <w:sz w:val="32"/>
          <w:szCs w:val="32"/>
        </w:rPr>
        <w:t>品通过粘扣带环绕创伤</w:t>
      </w:r>
      <w:r>
        <w:rPr>
          <w:rFonts w:ascii="Times New Roman" w:eastAsia="仿宋_GB2312" w:hAnsi="Times New Roman"/>
          <w:kern w:val="0"/>
          <w:sz w:val="32"/>
          <w:szCs w:val="32"/>
        </w:rPr>
        <w:t>肢体的近心端部位，固定后使</w:t>
      </w:r>
      <w:r>
        <w:rPr>
          <w:rFonts w:ascii="Times New Roman" w:eastAsia="仿宋_GB2312" w:hAnsi="Times New Roman"/>
          <w:kern w:val="0"/>
          <w:sz w:val="32"/>
          <w:szCs w:val="32"/>
        </w:rPr>
        <w:lastRenderedPageBreak/>
        <w:t>用绞棒旋转收紧施加足够的压力，以阻断动脉</w:t>
      </w:r>
      <w:r>
        <w:rPr>
          <w:rFonts w:ascii="Times New Roman" w:eastAsia="仿宋_GB2312" w:hAnsi="Times New Roman" w:hint="eastAsia"/>
          <w:kern w:val="0"/>
          <w:sz w:val="32"/>
          <w:szCs w:val="32"/>
        </w:rPr>
        <w:t>血流</w:t>
      </w:r>
      <w:r>
        <w:rPr>
          <w:rFonts w:ascii="Times New Roman" w:eastAsia="仿宋_GB2312" w:hAnsi="Times New Roman"/>
          <w:kern w:val="0"/>
          <w:sz w:val="32"/>
          <w:szCs w:val="32"/>
        </w:rPr>
        <w:t>而</w:t>
      </w:r>
      <w:r>
        <w:rPr>
          <w:rFonts w:ascii="Times New Roman" w:eastAsia="仿宋_GB2312" w:hAnsi="Times New Roman"/>
          <w:kern w:val="0"/>
          <w:sz w:val="32"/>
          <w:szCs w:val="32"/>
        </w:rPr>
        <w:t>达到止血目的。</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color w:val="000000"/>
          <w:sz w:val="32"/>
          <w:szCs w:val="32"/>
        </w:rPr>
      </w:pPr>
      <w:r>
        <w:rPr>
          <w:rFonts w:ascii="Times New Roman" w:eastAsia="仿宋_GB2312" w:hAnsi="Times New Roman" w:hint="eastAsia"/>
          <w:bCs/>
          <w:sz w:val="32"/>
          <w:szCs w:val="32"/>
        </w:rPr>
        <w:t>3.</w:t>
      </w:r>
      <w:r>
        <w:rPr>
          <w:rFonts w:ascii="Times New Roman" w:eastAsia="仿宋_GB2312" w:hAnsi="Times New Roman"/>
          <w:bCs/>
          <w:sz w:val="32"/>
          <w:szCs w:val="32"/>
        </w:rPr>
        <w:t>型号规格</w:t>
      </w:r>
    </w:p>
    <w:p w:rsidR="003E24DE" w:rsidRDefault="00614A98">
      <w:pPr>
        <w:adjustRightInd w:val="0"/>
        <w:snapToGrid w:val="0"/>
        <w:spacing w:line="520" w:lineRule="exact"/>
        <w:ind w:firstLineChars="200" w:firstLine="640"/>
        <w:rPr>
          <w:rFonts w:ascii="Times New Roman" w:eastAsia="仿宋_GB2312" w:hAnsi="Times New Roman"/>
          <w:sz w:val="32"/>
          <w:szCs w:val="32"/>
        </w:rPr>
      </w:pPr>
      <w:r>
        <w:rPr>
          <w:rFonts w:ascii="Times New Roman" w:eastAsia="仿宋_GB2312" w:hAnsi="Times New Roman"/>
          <w:kern w:val="0"/>
          <w:sz w:val="32"/>
          <w:szCs w:val="32"/>
        </w:rPr>
        <w:t>对于存在多种型号规格的产品，应当明确各型号规格的区别</w:t>
      </w:r>
      <w:r>
        <w:rPr>
          <w:rFonts w:ascii="Times New Roman" w:eastAsia="仿宋_GB2312" w:hAnsi="Times New Roman"/>
          <w:kern w:val="0"/>
          <w:sz w:val="32"/>
          <w:szCs w:val="32"/>
        </w:rPr>
        <w:t>。应当采用对比表及带有说明性文字的图片、图表，对于各种型号规格的结构组成（或配置）、功能、产品特征和性能指标等方面加以描述。</w:t>
      </w:r>
    </w:p>
    <w:p w:rsidR="003E24DE" w:rsidRDefault="00614A98">
      <w:pPr>
        <w:tabs>
          <w:tab w:val="left" w:pos="312"/>
        </w:tabs>
        <w:adjustRightInd w:val="0"/>
        <w:snapToGrid w:val="0"/>
        <w:spacing w:line="520" w:lineRule="exact"/>
        <w:ind w:firstLineChars="200" w:firstLine="640"/>
        <w:outlineLvl w:val="2"/>
        <w:rPr>
          <w:rFonts w:ascii="Times New Roman" w:eastAsia="仿宋_GB2312" w:hAnsi="Times New Roman"/>
          <w:sz w:val="32"/>
          <w:szCs w:val="32"/>
        </w:rPr>
      </w:pPr>
      <w:r>
        <w:rPr>
          <w:rFonts w:ascii="Times New Roman" w:eastAsia="仿宋_GB2312" w:hAnsi="Times New Roman" w:hint="eastAsia"/>
          <w:bCs/>
          <w:sz w:val="32"/>
          <w:szCs w:val="32"/>
        </w:rPr>
        <w:t>4.</w:t>
      </w:r>
      <w:r>
        <w:rPr>
          <w:rFonts w:ascii="Times New Roman" w:eastAsia="仿宋_GB2312" w:hAnsi="Times New Roman"/>
          <w:sz w:val="32"/>
          <w:szCs w:val="32"/>
        </w:rPr>
        <w:t>包装说明</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kern w:val="0"/>
          <w:sz w:val="32"/>
          <w:szCs w:val="32"/>
        </w:rPr>
      </w:pPr>
      <w:r>
        <w:rPr>
          <w:rFonts w:ascii="Times New Roman" w:eastAsia="仿宋_GB2312" w:hAnsi="Times New Roman" w:hint="eastAsia"/>
          <w:kern w:val="0"/>
          <w:sz w:val="32"/>
          <w:szCs w:val="32"/>
        </w:rPr>
        <w:t>说明产品的包装层次，写明产品各层次包装（初包装、中包装、大包装）的信息，包括包装所用材料及包装所载明的信息及样图。</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sz w:val="32"/>
          <w:szCs w:val="32"/>
        </w:rPr>
        <w:t>适用范围和禁忌证</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5.1</w:t>
      </w:r>
      <w:r>
        <w:rPr>
          <w:rFonts w:ascii="Times New Roman" w:eastAsia="仿宋_GB2312" w:hAnsi="Times New Roman"/>
          <w:sz w:val="32"/>
          <w:szCs w:val="32"/>
        </w:rPr>
        <w:t>适用范围</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color w:val="FF0000"/>
          <w:kern w:val="0"/>
          <w:sz w:val="32"/>
          <w:szCs w:val="32"/>
        </w:rPr>
      </w:pPr>
      <w:r>
        <w:rPr>
          <w:rFonts w:ascii="Times New Roman" w:eastAsia="仿宋_GB2312" w:hAnsi="Times New Roman" w:hint="eastAsia"/>
          <w:kern w:val="0"/>
          <w:sz w:val="32"/>
          <w:szCs w:val="32"/>
        </w:rPr>
        <w:t>用</w:t>
      </w:r>
      <w:r>
        <w:rPr>
          <w:rFonts w:ascii="Times New Roman" w:eastAsia="仿宋_GB2312" w:hAnsi="Times New Roman"/>
          <w:kern w:val="0"/>
          <w:sz w:val="32"/>
          <w:szCs w:val="32"/>
        </w:rPr>
        <w:t>于事故现场、战场</w:t>
      </w:r>
      <w:r>
        <w:rPr>
          <w:rFonts w:ascii="Times New Roman" w:eastAsia="仿宋_GB2312" w:hAnsi="Times New Roman"/>
          <w:kern w:val="0"/>
          <w:sz w:val="32"/>
          <w:szCs w:val="32"/>
        </w:rPr>
        <w:t>救治四肢出血时进行止血处理。</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5.2</w:t>
      </w:r>
      <w:r>
        <w:rPr>
          <w:rFonts w:ascii="Times New Roman" w:eastAsia="仿宋_GB2312" w:hAnsi="Times New Roman"/>
          <w:color w:val="000000"/>
          <w:sz w:val="32"/>
          <w:szCs w:val="32"/>
        </w:rPr>
        <w:t>禁忌证</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kern w:val="0"/>
          <w:sz w:val="32"/>
          <w:szCs w:val="32"/>
        </w:rPr>
      </w:pPr>
      <w:r>
        <w:rPr>
          <w:rFonts w:ascii="Times New Roman" w:eastAsia="仿宋_GB2312" w:hAnsi="Times New Roman" w:hint="eastAsia"/>
          <w:kern w:val="0"/>
          <w:sz w:val="32"/>
          <w:szCs w:val="32"/>
        </w:rPr>
        <w:t>除伤员四肢血管大出血外禁用，四肢近端出血者禁用。动脉血栓形成、血栓闭塞性脉管炎、肺栓塞、明显的周围血管病、高血压、糖尿病并发严重血管疾病者禁用。</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kern w:val="0"/>
          <w:sz w:val="32"/>
          <w:szCs w:val="32"/>
        </w:rPr>
      </w:pPr>
      <w:r>
        <w:rPr>
          <w:rFonts w:ascii="Times New Roman" w:eastAsia="仿宋_GB2312" w:hAnsi="Times New Roman" w:hint="eastAsia"/>
          <w:kern w:val="0"/>
          <w:sz w:val="32"/>
          <w:szCs w:val="32"/>
        </w:rPr>
        <w:t>6.</w:t>
      </w:r>
      <w:r>
        <w:rPr>
          <w:rFonts w:ascii="Times New Roman" w:eastAsia="仿宋_GB2312" w:hAnsi="Times New Roman" w:hint="eastAsia"/>
          <w:kern w:val="0"/>
          <w:sz w:val="32"/>
          <w:szCs w:val="32"/>
        </w:rPr>
        <w:t>与同类和</w:t>
      </w:r>
      <w:r>
        <w:rPr>
          <w:rFonts w:ascii="Times New Roman" w:eastAsia="仿宋_GB2312" w:hAnsi="Times New Roman" w:hint="eastAsia"/>
          <w:kern w:val="0"/>
          <w:sz w:val="32"/>
          <w:szCs w:val="32"/>
        </w:rPr>
        <w:t>/</w:t>
      </w:r>
      <w:r>
        <w:rPr>
          <w:rFonts w:ascii="Times New Roman" w:eastAsia="仿宋_GB2312" w:hAnsi="Times New Roman" w:hint="eastAsia"/>
          <w:kern w:val="0"/>
          <w:sz w:val="32"/>
          <w:szCs w:val="32"/>
        </w:rPr>
        <w:t>或前代产品的参考和比较</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kern w:val="0"/>
          <w:sz w:val="32"/>
          <w:szCs w:val="32"/>
        </w:rPr>
      </w:pPr>
      <w:r>
        <w:rPr>
          <w:rFonts w:ascii="Times New Roman" w:eastAsia="仿宋_GB2312" w:hAnsi="Times New Roman" w:hint="eastAsia"/>
          <w:kern w:val="0"/>
          <w:sz w:val="32"/>
          <w:szCs w:val="32"/>
        </w:rPr>
        <w:t>提供同类产品（国内外已上市）或前代产品（如有）的信息，阐述申请注册产品的研发背景</w:t>
      </w:r>
      <w:r>
        <w:rPr>
          <w:rFonts w:ascii="Times New Roman" w:eastAsia="仿宋_GB2312" w:hAnsi="Times New Roman" w:hint="eastAsia"/>
          <w:kern w:val="0"/>
          <w:sz w:val="32"/>
          <w:szCs w:val="32"/>
        </w:rPr>
        <w:t>和目的。对于同类产品，说明选择其作为研发参考的原因。申报产品应与已在中国境内上市的同类产品或前代产品进行对比分析，应详述产品间异同。</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kern w:val="0"/>
          <w:sz w:val="32"/>
          <w:szCs w:val="32"/>
        </w:rPr>
      </w:pPr>
      <w:r>
        <w:rPr>
          <w:rFonts w:ascii="Times New Roman" w:eastAsia="仿宋_GB2312" w:hAnsi="Times New Roman" w:hint="eastAsia"/>
          <w:kern w:val="0"/>
          <w:sz w:val="32"/>
          <w:szCs w:val="32"/>
        </w:rPr>
        <w:t>7.</w:t>
      </w:r>
      <w:r>
        <w:rPr>
          <w:rFonts w:ascii="Times New Roman" w:eastAsia="仿宋_GB2312" w:hAnsi="Times New Roman" w:hint="eastAsia"/>
          <w:kern w:val="0"/>
          <w:sz w:val="32"/>
          <w:szCs w:val="32"/>
        </w:rPr>
        <w:t>不良事件情况（如适用）</w:t>
      </w:r>
    </w:p>
    <w:p w:rsidR="003E24DE" w:rsidRDefault="00614A98">
      <w:pPr>
        <w:adjustRightInd w:val="0"/>
        <w:snapToGrid w:val="0"/>
        <w:spacing w:line="520" w:lineRule="exact"/>
        <w:ind w:firstLineChars="200" w:firstLine="640"/>
        <w:outlineLvl w:val="1"/>
        <w:rPr>
          <w:rFonts w:ascii="Times New Roman" w:eastAsia="仿宋_GB2312" w:hAnsi="Times New Roman"/>
          <w:kern w:val="0"/>
          <w:sz w:val="32"/>
          <w:szCs w:val="32"/>
        </w:rPr>
      </w:pPr>
      <w:r>
        <w:rPr>
          <w:rFonts w:ascii="Times New Roman" w:eastAsia="仿宋_GB2312" w:hAnsi="Times New Roman" w:hint="eastAsia"/>
          <w:kern w:val="0"/>
          <w:sz w:val="32"/>
          <w:szCs w:val="32"/>
        </w:rPr>
        <w:t>如适用，提交申报产品在各国家或地区的上市批准时</w:t>
      </w:r>
      <w:r>
        <w:rPr>
          <w:rFonts w:ascii="Times New Roman" w:eastAsia="仿宋_GB2312" w:hAnsi="Times New Roman" w:hint="eastAsia"/>
          <w:kern w:val="0"/>
          <w:sz w:val="32"/>
          <w:szCs w:val="32"/>
        </w:rPr>
        <w:lastRenderedPageBreak/>
        <w:t>间、销售情况。如有不良事件和召回，分别对申报产品上市后发生的不良事件、召回的发生时间、注册申请人采取的处理和解决方案、相关部门的调查处理情况等进行描述。</w:t>
      </w:r>
    </w:p>
    <w:p w:rsidR="003E24DE" w:rsidRDefault="00614A98">
      <w:pPr>
        <w:adjustRightInd w:val="0"/>
        <w:snapToGrid w:val="0"/>
        <w:spacing w:line="520" w:lineRule="exact"/>
        <w:ind w:firstLineChars="200" w:firstLine="640"/>
        <w:outlineLvl w:val="1"/>
        <w:rPr>
          <w:rFonts w:ascii="Times New Roman" w:eastAsia="仿宋_GB2312" w:hAnsi="Times New Roman"/>
          <w:kern w:val="0"/>
          <w:sz w:val="32"/>
          <w:szCs w:val="32"/>
        </w:rPr>
      </w:pPr>
      <w:r>
        <w:rPr>
          <w:rFonts w:ascii="Times New Roman" w:eastAsia="仿宋_GB2312" w:hAnsi="Times New Roman" w:hint="eastAsia"/>
          <w:kern w:val="0"/>
          <w:sz w:val="32"/>
          <w:szCs w:val="32"/>
        </w:rPr>
        <w:t>注册申请人可收集已上市同类产品的</w:t>
      </w:r>
      <w:r>
        <w:rPr>
          <w:rFonts w:ascii="Times New Roman" w:eastAsia="仿宋_GB2312" w:hAnsi="Times New Roman" w:hint="eastAsia"/>
          <w:kern w:val="0"/>
          <w:sz w:val="32"/>
          <w:szCs w:val="32"/>
        </w:rPr>
        <w:t>不良事件、召回、警戒等相关信息，并将其作为产品设计开发和风险管理的输入资料，进行风险控制。</w:t>
      </w:r>
    </w:p>
    <w:p w:rsidR="003E24DE" w:rsidRDefault="00614A98">
      <w:pPr>
        <w:adjustRightInd w:val="0"/>
        <w:snapToGrid w:val="0"/>
        <w:spacing w:line="520" w:lineRule="exact"/>
        <w:ind w:firstLineChars="200" w:firstLine="640"/>
        <w:outlineLvl w:val="1"/>
        <w:rPr>
          <w:rFonts w:ascii="Times New Roman" w:eastAsia="楷体_GB2312" w:hAnsi="Times New Roman"/>
          <w:color w:val="000000"/>
          <w:sz w:val="32"/>
          <w:szCs w:val="32"/>
        </w:rPr>
      </w:pPr>
      <w:r>
        <w:rPr>
          <w:rFonts w:ascii="Times New Roman" w:eastAsia="楷体_GB2312" w:hAnsi="Times New Roman"/>
          <w:color w:val="000000"/>
          <w:sz w:val="32"/>
          <w:szCs w:val="32"/>
        </w:rPr>
        <w:t>（三）非临床资料</w:t>
      </w:r>
    </w:p>
    <w:p w:rsidR="003E24DE" w:rsidRDefault="00614A98">
      <w:pPr>
        <w:adjustRightInd w:val="0"/>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至少应包含如下内容：</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sz w:val="32"/>
          <w:szCs w:val="32"/>
        </w:rPr>
      </w:pPr>
      <w:r>
        <w:rPr>
          <w:rFonts w:ascii="Times New Roman" w:eastAsia="仿宋_GB2312" w:hAnsi="Times New Roman"/>
          <w:bCs/>
          <w:sz w:val="32"/>
          <w:szCs w:val="32"/>
        </w:rPr>
        <w:t>1.</w:t>
      </w:r>
      <w:r>
        <w:rPr>
          <w:rFonts w:ascii="Times New Roman" w:eastAsia="仿宋_GB2312" w:hAnsi="Times New Roman"/>
          <w:bCs/>
          <w:sz w:val="32"/>
          <w:szCs w:val="32"/>
        </w:rPr>
        <w:t>产品</w:t>
      </w:r>
      <w:r>
        <w:rPr>
          <w:rFonts w:ascii="Times New Roman" w:eastAsia="仿宋_GB2312" w:hAnsi="Times New Roman"/>
          <w:sz w:val="32"/>
          <w:szCs w:val="32"/>
        </w:rPr>
        <w:t>风险管理资料</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建议申请人参考</w:t>
      </w:r>
      <w:r>
        <w:rPr>
          <w:rFonts w:ascii="Times New Roman" w:eastAsia="仿宋_GB2312" w:hAnsi="Times New Roman"/>
          <w:sz w:val="32"/>
          <w:szCs w:val="32"/>
        </w:rPr>
        <w:t>GB/T</w:t>
      </w:r>
      <w:r>
        <w:rPr>
          <w:rFonts w:ascii="Times New Roman" w:eastAsia="仿宋_GB2312" w:hAnsi="Times New Roman" w:hint="eastAsia"/>
          <w:sz w:val="32"/>
          <w:szCs w:val="32"/>
        </w:rPr>
        <w:t xml:space="preserve"> </w:t>
      </w:r>
      <w:r>
        <w:rPr>
          <w:rFonts w:ascii="Times New Roman" w:eastAsia="仿宋_GB2312" w:hAnsi="Times New Roman"/>
          <w:sz w:val="32"/>
          <w:szCs w:val="32"/>
        </w:rPr>
        <w:t>42062</w:t>
      </w:r>
      <w:r>
        <w:rPr>
          <w:rFonts w:ascii="Times New Roman" w:eastAsia="仿宋_GB2312" w:hAnsi="Times New Roman"/>
          <w:sz w:val="32"/>
          <w:szCs w:val="32"/>
        </w:rPr>
        <w:t>《医疗器械</w:t>
      </w:r>
      <w:r>
        <w:rPr>
          <w:rFonts w:ascii="Times New Roman" w:eastAsia="仿宋_GB2312" w:hAnsi="Times New Roman"/>
          <w:sz w:val="32"/>
          <w:szCs w:val="32"/>
        </w:rPr>
        <w:t xml:space="preserve"> </w:t>
      </w:r>
      <w:r>
        <w:rPr>
          <w:rFonts w:ascii="Times New Roman" w:eastAsia="仿宋_GB2312" w:hAnsi="Times New Roman"/>
          <w:sz w:val="32"/>
          <w:szCs w:val="32"/>
        </w:rPr>
        <w:t>风险管理对医疗器械的应用》</w:t>
      </w:r>
      <w:r>
        <w:rPr>
          <w:rFonts w:ascii="Times New Roman" w:eastAsia="仿宋_GB2312" w:hAnsi="Times New Roman" w:hint="eastAsia"/>
          <w:sz w:val="32"/>
          <w:szCs w:val="32"/>
        </w:rPr>
        <w:t>附录</w:t>
      </w:r>
      <w:r>
        <w:rPr>
          <w:rFonts w:ascii="Times New Roman" w:eastAsia="仿宋_GB2312" w:hAnsi="Times New Roman" w:hint="eastAsia"/>
          <w:sz w:val="32"/>
          <w:szCs w:val="32"/>
        </w:rPr>
        <w:t>C</w:t>
      </w:r>
      <w:r>
        <w:rPr>
          <w:rFonts w:ascii="Times New Roman" w:eastAsia="仿宋_GB2312" w:hAnsi="Times New Roman" w:hint="eastAsia"/>
          <w:sz w:val="32"/>
          <w:szCs w:val="32"/>
        </w:rPr>
        <w:t>的要求判定医疗器械与安全性有关特征的问题。</w:t>
      </w:r>
      <w:r>
        <w:rPr>
          <w:rFonts w:ascii="Times New Roman" w:eastAsia="仿宋_GB2312" w:hAnsi="Times New Roman"/>
          <w:sz w:val="32"/>
          <w:szCs w:val="32"/>
        </w:rPr>
        <w:t>申请人应对产品生命周期全过程实施风险管理，提交完整的风险管理报告。</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应当提供产品风险分析、风险评价、风险控制、任何一个或多个剩余风险的可接受性评定，以及与产品受益相比综合评价套包风险可接受的文件，并说明对于每项已判定危害的下列各个过程的可追溯性。</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风险分析可从设计、防护措施、说明书、标签等方面进行考虑。</w:t>
      </w:r>
      <w:r>
        <w:rPr>
          <w:rFonts w:ascii="Times New Roman" w:eastAsia="仿宋_GB2312" w:hAnsi="Times New Roman" w:hint="eastAsia"/>
          <w:sz w:val="32"/>
          <w:szCs w:val="32"/>
        </w:rPr>
        <w:t>产品在进行风险分析时至少应包括以下的主要危害（见表</w:t>
      </w:r>
      <w:r>
        <w:rPr>
          <w:rFonts w:ascii="Times New Roman" w:eastAsia="仿宋_GB2312" w:hAnsi="Times New Roman" w:hint="eastAsia"/>
          <w:sz w:val="32"/>
          <w:szCs w:val="32"/>
        </w:rPr>
        <w:t>1</w:t>
      </w:r>
      <w:r>
        <w:rPr>
          <w:rFonts w:ascii="Times New Roman" w:eastAsia="仿宋_GB2312" w:hAnsi="Times New Roman" w:hint="eastAsia"/>
          <w:sz w:val="32"/>
          <w:szCs w:val="32"/>
        </w:rPr>
        <w:t>），注册申请人还应根据自身产品特点确定其他危害。</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bCs/>
          <w:sz w:val="32"/>
          <w:szCs w:val="32"/>
        </w:rPr>
      </w:pPr>
      <w:r>
        <w:rPr>
          <w:rFonts w:ascii="Times New Roman" w:eastAsia="仿宋_GB2312" w:hAnsi="Times New Roman"/>
          <w:bCs/>
          <w:sz w:val="32"/>
          <w:szCs w:val="32"/>
        </w:rPr>
        <w:t>2.</w:t>
      </w:r>
      <w:r>
        <w:rPr>
          <w:rFonts w:ascii="Times New Roman" w:eastAsia="仿宋_GB2312" w:hAnsi="Times New Roman"/>
          <w:bCs/>
          <w:sz w:val="32"/>
          <w:szCs w:val="32"/>
        </w:rPr>
        <w:t>医疗器械安全和性能基本原则清单</w:t>
      </w:r>
    </w:p>
    <w:p w:rsidR="003E24DE" w:rsidRDefault="00614A98">
      <w:pPr>
        <w:tabs>
          <w:tab w:val="left" w:pos="540"/>
        </w:tabs>
        <w:adjustRightInd w:val="0"/>
        <w:snapToGrid w:val="0"/>
        <w:spacing w:line="520" w:lineRule="exact"/>
        <w:ind w:firstLineChars="200" w:firstLine="640"/>
        <w:rPr>
          <w:rFonts w:ascii="Times New Roman" w:eastAsia="仿宋_GB2312" w:hAnsi="Times New Roman"/>
          <w:color w:val="FF0000"/>
          <w:sz w:val="32"/>
          <w:szCs w:val="32"/>
        </w:rPr>
      </w:pPr>
      <w:r>
        <w:rPr>
          <w:rFonts w:ascii="Times New Roman" w:eastAsia="仿宋_GB2312" w:hAnsi="Times New Roman"/>
          <w:kern w:val="0"/>
          <w:sz w:val="32"/>
          <w:szCs w:val="32"/>
        </w:rPr>
        <w:t>说明</w:t>
      </w:r>
      <w:r>
        <w:rPr>
          <w:rFonts w:ascii="Times New Roman" w:eastAsia="仿宋_GB2312" w:hAnsi="Times New Roman" w:hint="eastAsia"/>
          <w:kern w:val="0"/>
          <w:sz w:val="32"/>
          <w:szCs w:val="32"/>
        </w:rPr>
        <w:t>旋压式止血带产品</w:t>
      </w:r>
      <w:r>
        <w:rPr>
          <w:rFonts w:ascii="Times New Roman" w:eastAsia="仿宋_GB2312" w:hAnsi="Times New Roman"/>
          <w:kern w:val="0"/>
          <w:sz w:val="32"/>
          <w:szCs w:val="32"/>
        </w:rPr>
        <w:t>符合《医疗器械安全和性能基本原则清单》各项适用要求所采用的方法，以及证明其符合性的文件。对于不适用的各项要求，应当说明</w:t>
      </w:r>
      <w:r>
        <w:rPr>
          <w:rFonts w:ascii="Times New Roman" w:eastAsia="仿宋_GB2312" w:hAnsi="Times New Roman"/>
          <w:kern w:val="0"/>
          <w:sz w:val="32"/>
          <w:szCs w:val="32"/>
        </w:rPr>
        <w:t>理由。</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sz w:val="32"/>
          <w:szCs w:val="32"/>
        </w:rPr>
      </w:pPr>
      <w:r>
        <w:rPr>
          <w:rFonts w:ascii="Times New Roman" w:eastAsia="仿宋_GB2312" w:hAnsi="Times New Roman"/>
          <w:color w:val="000000"/>
          <w:sz w:val="32"/>
          <w:szCs w:val="32"/>
        </w:rPr>
        <w:t>3.</w:t>
      </w:r>
      <w:r>
        <w:rPr>
          <w:rFonts w:ascii="Times New Roman" w:eastAsia="仿宋_GB2312" w:hAnsi="Times New Roman"/>
          <w:sz w:val="32"/>
          <w:szCs w:val="32"/>
        </w:rPr>
        <w:t>产品技术要求</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bCs/>
          <w:kern w:val="0"/>
          <w:sz w:val="32"/>
          <w:szCs w:val="32"/>
        </w:rPr>
        <w:lastRenderedPageBreak/>
        <w:t>申请者应按照《医疗器械产品技术要求编写指导原则》中的规定</w:t>
      </w:r>
      <w:r>
        <w:rPr>
          <w:rFonts w:ascii="Times New Roman" w:eastAsia="仿宋_GB2312" w:hAnsi="Times New Roman"/>
          <w:bCs/>
          <w:kern w:val="0"/>
          <w:sz w:val="32"/>
          <w:szCs w:val="32"/>
        </w:rPr>
        <w:t>,</w:t>
      </w:r>
      <w:r>
        <w:rPr>
          <w:rFonts w:ascii="Times New Roman" w:eastAsia="仿宋_GB2312" w:hAnsi="Times New Roman"/>
          <w:kern w:val="0"/>
          <w:sz w:val="32"/>
          <w:szCs w:val="32"/>
        </w:rPr>
        <w:t>根据产品的技术特征和临床使用情况来确定产品安全有效、质量可控的技术要求与试验方法。产品技术指标应不低于相关的国家标准或行业标准，产品技术要求中的试验方法均应为已验证的方法。建议申请者根据所申报产品特点制定产品技术要求，对申请人宣称的技术参数和功能，若为可客观判定的成品的功能性、安全性指标，应在产品技术要求中予以规定。</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旋压式止血带产品</w:t>
      </w:r>
      <w:r>
        <w:rPr>
          <w:rFonts w:ascii="Times New Roman" w:eastAsia="仿宋_GB2312" w:hAnsi="Times New Roman" w:hint="eastAsia"/>
          <w:bCs/>
          <w:sz w:val="32"/>
          <w:szCs w:val="32"/>
        </w:rPr>
        <w:t>性能指标至少应包括以下几点：</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产品外观、尺寸、</w:t>
      </w:r>
      <w:r>
        <w:rPr>
          <w:rFonts w:ascii="Times New Roman" w:eastAsia="仿宋_GB2312" w:hAnsi="Times New Roman" w:hint="eastAsia"/>
          <w:bCs/>
          <w:sz w:val="32"/>
          <w:szCs w:val="32"/>
        </w:rPr>
        <w:t>断裂强力（织带、绞棒）</w:t>
      </w:r>
      <w:r>
        <w:rPr>
          <w:rFonts w:ascii="Times New Roman" w:eastAsia="仿宋_GB2312" w:hAnsi="Times New Roman" w:hint="eastAsia"/>
          <w:bCs/>
          <w:sz w:val="32"/>
          <w:szCs w:val="32"/>
        </w:rPr>
        <w:t>、</w:t>
      </w:r>
      <w:r>
        <w:rPr>
          <w:rFonts w:ascii="Times New Roman" w:eastAsia="仿宋_GB2312" w:hAnsi="Times New Roman" w:hint="eastAsia"/>
          <w:bCs/>
          <w:sz w:val="32"/>
          <w:szCs w:val="32"/>
        </w:rPr>
        <w:t>剥离强度（粘扣带）、剪切强度（粘扣带）、拉力强度（粘扣带、摩擦带扣或日字扣）、</w:t>
      </w:r>
      <w:r>
        <w:rPr>
          <w:rFonts w:ascii="Times New Roman" w:eastAsia="仿宋_GB2312" w:hAnsi="Times New Roman" w:hint="eastAsia"/>
          <w:bCs/>
          <w:sz w:val="32"/>
          <w:szCs w:val="32"/>
        </w:rPr>
        <w:t>无菌（如适用）</w:t>
      </w:r>
      <w:r>
        <w:rPr>
          <w:rFonts w:ascii="Times New Roman" w:eastAsia="仿宋_GB2312" w:hAnsi="Times New Roman" w:hint="eastAsia"/>
          <w:bCs/>
          <w:sz w:val="32"/>
          <w:szCs w:val="32"/>
        </w:rPr>
        <w:t>、环氧乙烷残留量（如适用）</w:t>
      </w:r>
      <w:r>
        <w:rPr>
          <w:rFonts w:ascii="Times New Roman" w:eastAsia="仿宋_GB2312" w:hAnsi="Times New Roman" w:hint="eastAsia"/>
          <w:bCs/>
          <w:sz w:val="32"/>
          <w:szCs w:val="32"/>
        </w:rPr>
        <w:t>。</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4.</w:t>
      </w:r>
      <w:r>
        <w:rPr>
          <w:rFonts w:ascii="Times New Roman" w:eastAsia="仿宋_GB2312" w:hAnsi="Times New Roman" w:hint="eastAsia"/>
          <w:bCs/>
          <w:sz w:val="32"/>
          <w:szCs w:val="32"/>
        </w:rPr>
        <w:t>产品检验</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4.1</w:t>
      </w:r>
      <w:r>
        <w:rPr>
          <w:rFonts w:ascii="Times New Roman" w:eastAsia="仿宋_GB2312" w:hAnsi="Times New Roman"/>
          <w:bCs/>
          <w:sz w:val="32"/>
          <w:szCs w:val="32"/>
        </w:rPr>
        <w:t>可提交以下任一形式的检验报告：</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注册</w:t>
      </w:r>
      <w:r>
        <w:rPr>
          <w:rFonts w:ascii="Times New Roman" w:eastAsia="仿宋_GB2312" w:hAnsi="Times New Roman"/>
          <w:bCs/>
          <w:sz w:val="32"/>
          <w:szCs w:val="32"/>
        </w:rPr>
        <w:t>申请人出具的自检报告。</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提交自检报告的应符合《医疗器械注册自检管理规定》（</w:t>
      </w:r>
      <w:r>
        <w:rPr>
          <w:rFonts w:ascii="Times New Roman" w:eastAsia="仿宋_GB2312" w:hAnsi="Times New Roman"/>
          <w:bCs/>
          <w:sz w:val="32"/>
          <w:szCs w:val="32"/>
        </w:rPr>
        <w:t>2021</w:t>
      </w:r>
      <w:r>
        <w:rPr>
          <w:rFonts w:ascii="Times New Roman" w:eastAsia="仿宋_GB2312" w:hAnsi="Times New Roman"/>
          <w:bCs/>
          <w:sz w:val="32"/>
          <w:szCs w:val="32"/>
        </w:rPr>
        <w:t>年第</w:t>
      </w:r>
      <w:r>
        <w:rPr>
          <w:rFonts w:ascii="Times New Roman" w:eastAsia="仿宋_GB2312" w:hAnsi="Times New Roman"/>
          <w:bCs/>
          <w:sz w:val="32"/>
          <w:szCs w:val="32"/>
        </w:rPr>
        <w:t>126</w:t>
      </w:r>
      <w:r>
        <w:rPr>
          <w:rFonts w:ascii="Times New Roman" w:eastAsia="仿宋_GB2312" w:hAnsi="Times New Roman"/>
          <w:bCs/>
          <w:sz w:val="32"/>
          <w:szCs w:val="32"/>
        </w:rPr>
        <w:t>号）相关要求。</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4.2</w:t>
      </w:r>
      <w:r>
        <w:rPr>
          <w:rFonts w:ascii="Times New Roman" w:eastAsia="仿宋_GB2312" w:hAnsi="Times New Roman"/>
          <w:bCs/>
          <w:sz w:val="32"/>
          <w:szCs w:val="32"/>
        </w:rPr>
        <w:t>委托有资质的医疗器械检验机构出具的检验报告。</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申报产品有多个型号的，可选择典型型号产品进行检验，注册申请人应提供检验样品型号</w:t>
      </w:r>
      <w:r>
        <w:rPr>
          <w:rFonts w:ascii="Times New Roman" w:eastAsia="仿宋_GB2312" w:hAnsi="Times New Roman"/>
          <w:bCs/>
          <w:sz w:val="32"/>
          <w:szCs w:val="32"/>
        </w:rPr>
        <w:t>/</w:t>
      </w:r>
      <w:r>
        <w:rPr>
          <w:rFonts w:ascii="Times New Roman" w:eastAsia="仿宋_GB2312" w:hAnsi="Times New Roman"/>
          <w:bCs/>
          <w:sz w:val="32"/>
          <w:szCs w:val="32"/>
        </w:rPr>
        <w:t>规格的选择依据。所检验型号</w:t>
      </w:r>
      <w:r>
        <w:rPr>
          <w:rFonts w:ascii="Times New Roman" w:eastAsia="仿宋_GB2312" w:hAnsi="Times New Roman"/>
          <w:bCs/>
          <w:sz w:val="32"/>
          <w:szCs w:val="32"/>
        </w:rPr>
        <w:t>/</w:t>
      </w:r>
      <w:r>
        <w:rPr>
          <w:rFonts w:ascii="Times New Roman" w:eastAsia="仿宋_GB2312" w:hAnsi="Times New Roman"/>
          <w:bCs/>
          <w:sz w:val="32"/>
          <w:szCs w:val="32"/>
        </w:rPr>
        <w:t>规格需为能够代表本注册单元内其他型号</w:t>
      </w:r>
      <w:r>
        <w:rPr>
          <w:rFonts w:ascii="Times New Roman" w:eastAsia="仿宋_GB2312" w:hAnsi="Times New Roman"/>
          <w:bCs/>
          <w:sz w:val="32"/>
          <w:szCs w:val="32"/>
        </w:rPr>
        <w:t>/</w:t>
      </w:r>
      <w:r>
        <w:rPr>
          <w:rFonts w:ascii="Times New Roman" w:eastAsia="仿宋_GB2312" w:hAnsi="Times New Roman"/>
          <w:bCs/>
          <w:sz w:val="32"/>
          <w:szCs w:val="32"/>
        </w:rPr>
        <w:t>规格的典型产品。选取用于检验的典型产品时需综合考虑产品的结构组成、制造材料、性能指标、生产工艺（包括灭菌方式等）等方面的影响因素。典型产品应能代表申请注册产品的安全性和有效性，一般选取结构最复杂、功能最全的型号作为典</w:t>
      </w:r>
      <w:r>
        <w:rPr>
          <w:rFonts w:ascii="Times New Roman" w:eastAsia="仿宋_GB2312" w:hAnsi="Times New Roman"/>
          <w:bCs/>
          <w:sz w:val="32"/>
          <w:szCs w:val="32"/>
        </w:rPr>
        <w:lastRenderedPageBreak/>
        <w:t>型产品，并提供典型产品检验覆盖说明。</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bCs/>
          <w:sz w:val="32"/>
          <w:szCs w:val="32"/>
        </w:rPr>
        <w:t>若一个型号规格不能覆盖，应进行差异性检验。需注意，典型型号</w:t>
      </w:r>
      <w:r>
        <w:rPr>
          <w:rFonts w:ascii="Times New Roman" w:eastAsia="仿宋_GB2312" w:hAnsi="Times New Roman"/>
          <w:bCs/>
          <w:sz w:val="32"/>
          <w:szCs w:val="32"/>
        </w:rPr>
        <w:t>/</w:t>
      </w:r>
      <w:r>
        <w:rPr>
          <w:rFonts w:ascii="Times New Roman" w:eastAsia="仿宋_GB2312" w:hAnsi="Times New Roman"/>
          <w:bCs/>
          <w:sz w:val="32"/>
          <w:szCs w:val="32"/>
        </w:rPr>
        <w:t>规格不一定是临床常用型号</w:t>
      </w:r>
      <w:r>
        <w:rPr>
          <w:rFonts w:ascii="Times New Roman" w:eastAsia="仿宋_GB2312" w:hAnsi="Times New Roman"/>
          <w:bCs/>
          <w:sz w:val="32"/>
          <w:szCs w:val="32"/>
        </w:rPr>
        <w:t>/</w:t>
      </w:r>
      <w:r>
        <w:rPr>
          <w:rFonts w:ascii="Times New Roman" w:eastAsia="仿宋_GB2312" w:hAnsi="Times New Roman"/>
          <w:bCs/>
          <w:sz w:val="32"/>
          <w:szCs w:val="32"/>
        </w:rPr>
        <w:t>规格</w:t>
      </w:r>
      <w:r>
        <w:rPr>
          <w:rFonts w:ascii="Times New Roman" w:eastAsia="仿宋_GB2312" w:hAnsi="Times New Roman" w:hint="eastAsia"/>
          <w:bCs/>
          <w:sz w:val="32"/>
          <w:szCs w:val="32"/>
        </w:rPr>
        <w:t>。</w:t>
      </w:r>
    </w:p>
    <w:p w:rsidR="003E24DE" w:rsidRDefault="00614A98">
      <w:pPr>
        <w:tabs>
          <w:tab w:val="left" w:pos="540"/>
        </w:tabs>
        <w:adjustRightInd w:val="0"/>
        <w:snapToGrid w:val="0"/>
        <w:spacing w:line="520" w:lineRule="exact"/>
        <w:ind w:firstLineChars="200" w:firstLine="640"/>
        <w:outlineLvl w:val="2"/>
        <w:rPr>
          <w:rFonts w:ascii="Times New Roman" w:eastAsia="仿宋_GB2312" w:hAnsi="Times New Roman"/>
          <w:bCs/>
          <w:sz w:val="32"/>
          <w:szCs w:val="32"/>
        </w:rPr>
      </w:pPr>
      <w:r>
        <w:rPr>
          <w:rFonts w:ascii="Times New Roman" w:eastAsia="仿宋_GB2312" w:hAnsi="Times New Roman"/>
          <w:bCs/>
          <w:sz w:val="32"/>
          <w:szCs w:val="32"/>
        </w:rPr>
        <w:t>5.</w:t>
      </w:r>
      <w:r>
        <w:rPr>
          <w:rFonts w:ascii="Times New Roman" w:eastAsia="仿宋_GB2312" w:hAnsi="Times New Roman"/>
          <w:bCs/>
          <w:sz w:val="32"/>
          <w:szCs w:val="32"/>
        </w:rPr>
        <w:t>研究资料</w:t>
      </w:r>
    </w:p>
    <w:bookmarkEnd w:id="6"/>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5.</w:t>
      </w:r>
      <w:r>
        <w:rPr>
          <w:rFonts w:ascii="Times New Roman" w:eastAsia="仿宋_GB2312" w:hAnsi="Times New Roman" w:hint="eastAsia"/>
          <w:kern w:val="0"/>
          <w:sz w:val="32"/>
          <w:szCs w:val="32"/>
        </w:rPr>
        <w:t>1</w:t>
      </w:r>
      <w:r>
        <w:rPr>
          <w:rFonts w:ascii="Times New Roman" w:eastAsia="仿宋_GB2312" w:hAnsi="Times New Roman" w:hint="eastAsia"/>
          <w:kern w:val="0"/>
          <w:sz w:val="32"/>
          <w:szCs w:val="32"/>
        </w:rPr>
        <w:t>原材料控制</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eastAsia="仿宋_GB2312"/>
          <w:sz w:val="32"/>
          <w:szCs w:val="32"/>
        </w:rPr>
        <w:t>明确生产过程中原材料、加工助剂</w:t>
      </w:r>
      <w:r>
        <w:rPr>
          <w:rFonts w:ascii="Times New Roman" w:eastAsia="仿宋_GB2312" w:hAnsi="Times New Roman" w:hint="eastAsia"/>
          <w:kern w:val="0"/>
          <w:sz w:val="32"/>
          <w:szCs w:val="32"/>
        </w:rPr>
        <w:t>的使用情况及对杂质、残留物等的控制情况。</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原料应具有稳定的供货渠道，以保证终产品的质量，建议明确其质控标准及检验方法，提交符合相应标准的报告和安全性评价资料。</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5.2</w:t>
      </w:r>
      <w:r>
        <w:rPr>
          <w:rFonts w:ascii="Times New Roman" w:eastAsia="仿宋_GB2312" w:hAnsi="Times New Roman" w:hint="eastAsia"/>
          <w:kern w:val="0"/>
          <w:sz w:val="32"/>
          <w:szCs w:val="32"/>
        </w:rPr>
        <w:t>产品性能研究</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应给出技术要求中各性能指标的设定依据、所采用的标准或方法、采用的原因及理论基础。</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5.3</w:t>
      </w:r>
      <w:r>
        <w:rPr>
          <w:rFonts w:ascii="Times New Roman" w:eastAsia="仿宋_GB2312" w:hAnsi="Times New Roman" w:hint="eastAsia"/>
          <w:kern w:val="0"/>
          <w:sz w:val="32"/>
          <w:szCs w:val="32"/>
        </w:rPr>
        <w:t>生物相容性的评价研究</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旋压式止血带产品</w:t>
      </w:r>
      <w:r>
        <w:rPr>
          <w:rFonts w:ascii="Times New Roman" w:eastAsia="仿宋_GB2312" w:hAnsi="Times New Roman" w:hint="eastAsia"/>
          <w:kern w:val="0"/>
          <w:sz w:val="32"/>
          <w:szCs w:val="32"/>
        </w:rPr>
        <w:t>应依据</w:t>
      </w:r>
      <w:r>
        <w:rPr>
          <w:rFonts w:ascii="Times New Roman" w:eastAsia="仿宋_GB2312" w:hAnsi="Times New Roman" w:hint="eastAsia"/>
          <w:kern w:val="0"/>
          <w:sz w:val="32"/>
          <w:szCs w:val="32"/>
        </w:rPr>
        <w:t>GB/T 16886.1</w:t>
      </w:r>
      <w:r>
        <w:rPr>
          <w:rFonts w:ascii="Times New Roman" w:eastAsia="仿宋_GB2312" w:hAnsi="Times New Roman" w:hint="eastAsia"/>
          <w:kern w:val="0"/>
          <w:sz w:val="32"/>
          <w:szCs w:val="32"/>
        </w:rPr>
        <w:t>《医疗器械生物学评价</w:t>
      </w:r>
      <w:r>
        <w:rPr>
          <w:rFonts w:ascii="Times New Roman" w:eastAsia="仿宋_GB2312" w:hAnsi="Times New Roman" w:hint="eastAsia"/>
          <w:kern w:val="0"/>
          <w:sz w:val="32"/>
          <w:szCs w:val="32"/>
        </w:rPr>
        <w:t xml:space="preserve"> </w:t>
      </w:r>
      <w:r>
        <w:rPr>
          <w:rFonts w:ascii="Times New Roman" w:eastAsia="仿宋_GB2312" w:hAnsi="Times New Roman" w:hint="eastAsia"/>
          <w:kern w:val="0"/>
          <w:sz w:val="32"/>
          <w:szCs w:val="32"/>
        </w:rPr>
        <w:t>第</w:t>
      </w:r>
      <w:r>
        <w:rPr>
          <w:rFonts w:ascii="Times New Roman" w:eastAsia="仿宋_GB2312" w:hAnsi="Times New Roman" w:hint="eastAsia"/>
          <w:kern w:val="0"/>
          <w:sz w:val="32"/>
          <w:szCs w:val="32"/>
        </w:rPr>
        <w:t>1</w:t>
      </w:r>
      <w:r>
        <w:rPr>
          <w:rFonts w:ascii="Times New Roman" w:eastAsia="仿宋_GB2312" w:hAnsi="Times New Roman" w:hint="eastAsia"/>
          <w:kern w:val="0"/>
          <w:sz w:val="32"/>
          <w:szCs w:val="32"/>
        </w:rPr>
        <w:t>部分</w:t>
      </w:r>
      <w:r>
        <w:rPr>
          <w:rFonts w:ascii="Times New Roman" w:eastAsia="仿宋_GB2312" w:hAnsi="Times New Roman" w:hint="eastAsia"/>
          <w:kern w:val="0"/>
          <w:sz w:val="32"/>
          <w:szCs w:val="32"/>
        </w:rPr>
        <w:t xml:space="preserve"> </w:t>
      </w:r>
      <w:r>
        <w:rPr>
          <w:rFonts w:ascii="Times New Roman" w:eastAsia="仿宋_GB2312" w:hAnsi="Times New Roman" w:hint="eastAsia"/>
          <w:kern w:val="0"/>
          <w:sz w:val="32"/>
          <w:szCs w:val="32"/>
        </w:rPr>
        <w:t>风险管理过程中的评价与试验》进行生物相容性评价，并提交研究资料。研究资料应包括：生物相容性评价的依据、项目和方法，产品所用材料的描述及与人体接触的性质，实施或豁免生物学试验的理由和论证，对于现有数据或试验结果的评价。在评价项目选择时，建议考虑产品累积使用的接触时间。产品接触时间是该产品对人体的最大累积作用时间。</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应按照</w:t>
      </w:r>
      <w:r>
        <w:rPr>
          <w:rFonts w:ascii="Times New Roman" w:eastAsia="仿宋_GB2312" w:hAnsi="Times New Roman" w:hint="eastAsia"/>
          <w:kern w:val="0"/>
          <w:sz w:val="32"/>
          <w:szCs w:val="32"/>
        </w:rPr>
        <w:t>GB/T 16886.1</w:t>
      </w:r>
      <w:r>
        <w:rPr>
          <w:rFonts w:ascii="Times New Roman" w:eastAsia="仿宋_GB2312" w:hAnsi="Times New Roman" w:hint="eastAsia"/>
          <w:kern w:val="0"/>
          <w:sz w:val="32"/>
          <w:szCs w:val="32"/>
        </w:rPr>
        <w:t>要求的评价路径完成相应产品生物学评价，对于需要开展生物学试验的，按照器械与人体的不同接触时间和接触方式来选择合适的生物学试验方法。</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5.4</w:t>
      </w:r>
      <w:r>
        <w:rPr>
          <w:rFonts w:ascii="Times New Roman" w:eastAsia="仿宋_GB2312" w:hAnsi="Times New Roman"/>
          <w:kern w:val="0"/>
          <w:sz w:val="32"/>
          <w:szCs w:val="32"/>
        </w:rPr>
        <w:t>产品灭</w:t>
      </w:r>
      <w:r>
        <w:rPr>
          <w:rFonts w:ascii="Times New Roman" w:eastAsia="仿宋_GB2312" w:hAnsi="Times New Roman"/>
          <w:kern w:val="0"/>
          <w:sz w:val="32"/>
          <w:szCs w:val="32"/>
        </w:rPr>
        <w:t>菌</w:t>
      </w:r>
      <w:r>
        <w:rPr>
          <w:rFonts w:ascii="Times New Roman" w:eastAsia="仿宋_GB2312" w:hAnsi="Times New Roman" w:hint="eastAsia"/>
          <w:kern w:val="0"/>
          <w:sz w:val="32"/>
          <w:szCs w:val="32"/>
        </w:rPr>
        <w:t>（如适用）</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lastRenderedPageBreak/>
        <w:t>注册申请人</w:t>
      </w:r>
      <w:r>
        <w:rPr>
          <w:rFonts w:ascii="Times New Roman" w:eastAsia="仿宋_GB2312" w:hAnsi="Times New Roman" w:hint="eastAsia"/>
          <w:kern w:val="0"/>
          <w:sz w:val="32"/>
          <w:szCs w:val="32"/>
        </w:rPr>
        <w:t>应提交相关灭菌研究资料，应明确产品的灭菌方式</w:t>
      </w:r>
      <w:r>
        <w:rPr>
          <w:rFonts w:ascii="Times New Roman" w:eastAsia="仿宋_GB2312" w:hAnsi="Times New Roman" w:hint="eastAsia"/>
          <w:kern w:val="0"/>
          <w:sz w:val="32"/>
          <w:szCs w:val="32"/>
        </w:rPr>
        <w:t>、</w:t>
      </w:r>
      <w:r>
        <w:rPr>
          <w:rFonts w:ascii="Times New Roman" w:eastAsia="仿宋_GB2312" w:hAnsi="Times New Roman" w:hint="eastAsia"/>
          <w:kern w:val="0"/>
          <w:sz w:val="32"/>
          <w:szCs w:val="32"/>
        </w:rPr>
        <w:t>灭菌工艺（方法和参数）和无菌保证水平（</w:t>
      </w:r>
      <w:r>
        <w:rPr>
          <w:rFonts w:ascii="Times New Roman" w:eastAsia="仿宋_GB2312" w:hAnsi="Times New Roman" w:hint="eastAsia"/>
          <w:kern w:val="0"/>
          <w:sz w:val="32"/>
          <w:szCs w:val="32"/>
        </w:rPr>
        <w:t>SAL</w:t>
      </w:r>
      <w:r>
        <w:rPr>
          <w:rFonts w:ascii="Times New Roman" w:eastAsia="仿宋_GB2312" w:hAnsi="Times New Roman" w:hint="eastAsia"/>
          <w:kern w:val="0"/>
          <w:sz w:val="32"/>
          <w:szCs w:val="32"/>
        </w:rPr>
        <w:t>），该类产品</w:t>
      </w:r>
      <w:r>
        <w:rPr>
          <w:rFonts w:ascii="Times New Roman" w:eastAsia="仿宋_GB2312" w:hAnsi="Times New Roman" w:hint="eastAsia"/>
          <w:kern w:val="0"/>
          <w:sz w:val="32"/>
          <w:szCs w:val="32"/>
        </w:rPr>
        <w:t>SAL</w:t>
      </w:r>
      <w:r>
        <w:rPr>
          <w:rFonts w:ascii="Times New Roman" w:eastAsia="仿宋_GB2312" w:hAnsi="Times New Roman" w:hint="eastAsia"/>
          <w:kern w:val="0"/>
          <w:sz w:val="32"/>
          <w:szCs w:val="32"/>
        </w:rPr>
        <w:t>应达到</w:t>
      </w:r>
      <w:r>
        <w:rPr>
          <w:rFonts w:ascii="Times New Roman" w:eastAsia="仿宋_GB2312" w:hAnsi="Times New Roman" w:hint="eastAsia"/>
          <w:kern w:val="0"/>
          <w:sz w:val="32"/>
          <w:szCs w:val="32"/>
        </w:rPr>
        <w:t>1</w:t>
      </w:r>
      <w:r>
        <w:rPr>
          <w:rFonts w:ascii="Times New Roman" w:eastAsia="仿宋_GB2312" w:hAnsi="Times New Roman" w:hint="eastAsia"/>
          <w:kern w:val="0"/>
          <w:sz w:val="32"/>
          <w:szCs w:val="32"/>
        </w:rPr>
        <w:t>×</w:t>
      </w:r>
      <w:r>
        <w:rPr>
          <w:rFonts w:ascii="Times New Roman" w:eastAsia="仿宋_GB2312" w:hAnsi="Times New Roman" w:hint="eastAsia"/>
          <w:kern w:val="0"/>
          <w:sz w:val="32"/>
          <w:szCs w:val="32"/>
        </w:rPr>
        <w:t>10</w:t>
      </w:r>
      <w:r>
        <w:rPr>
          <w:rFonts w:ascii="Times New Roman" w:eastAsia="仿宋_GB2312" w:hAnsi="Times New Roman" w:hint="eastAsia"/>
          <w:kern w:val="0"/>
          <w:sz w:val="32"/>
          <w:szCs w:val="32"/>
          <w:vertAlign w:val="superscript"/>
        </w:rPr>
        <w:t>-6</w:t>
      </w:r>
      <w:r>
        <w:rPr>
          <w:rFonts w:ascii="Times New Roman" w:eastAsia="仿宋_GB2312" w:hAnsi="Times New Roman" w:hint="eastAsia"/>
          <w:kern w:val="0"/>
          <w:sz w:val="32"/>
          <w:szCs w:val="32"/>
        </w:rPr>
        <w:t>，同时应提供灭菌确认报告。</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如产品通过环氧乙烷进行灭菌，应根据</w:t>
      </w:r>
      <w:r>
        <w:rPr>
          <w:rFonts w:ascii="Times New Roman" w:eastAsia="仿宋_GB2312" w:hAnsi="Times New Roman" w:hint="eastAsia"/>
          <w:kern w:val="0"/>
          <w:sz w:val="32"/>
          <w:szCs w:val="32"/>
        </w:rPr>
        <w:t>GB 18279</w:t>
      </w:r>
      <w:r>
        <w:rPr>
          <w:rFonts w:ascii="Times New Roman" w:eastAsia="仿宋_GB2312" w:hAnsi="Times New Roman" w:hint="eastAsia"/>
          <w:kern w:val="0"/>
          <w:sz w:val="32"/>
          <w:szCs w:val="32"/>
        </w:rPr>
        <w:t>系列标准</w:t>
      </w:r>
      <w:r>
        <w:rPr>
          <w:rFonts w:ascii="Times New Roman" w:eastAsia="仿宋_GB2312" w:hAnsi="Times New Roman" w:hint="eastAsia"/>
          <w:kern w:val="0"/>
          <w:sz w:val="32"/>
          <w:szCs w:val="32"/>
        </w:rPr>
        <w:t>的要求对灭菌</w:t>
      </w:r>
      <w:r>
        <w:rPr>
          <w:rFonts w:ascii="Times New Roman" w:eastAsia="仿宋_GB2312" w:hAnsi="Times New Roman" w:hint="eastAsia"/>
          <w:kern w:val="0"/>
          <w:sz w:val="32"/>
          <w:szCs w:val="32"/>
        </w:rPr>
        <w:t>工艺进行验证，以确定产品灭菌的适用性、包装及材料要求、生物提示物及化学指示物的选取、灭菌剂的配方及要求、初始污染菌的要求、灭菌时环氧乙烷浓度、灭菌温度、箱体温度、相对湿度、抽真空速率、加药量、预热时间、灭菌时间、换气次数、压力控制范围、解析方法及时间。通过验证结果，对灭菌结果进行确认，并</w:t>
      </w:r>
      <w:r>
        <w:rPr>
          <w:rFonts w:ascii="Times New Roman" w:eastAsia="仿宋_GB2312" w:hAnsi="Times New Roman" w:hint="eastAsia"/>
          <w:kern w:val="0"/>
          <w:sz w:val="32"/>
          <w:szCs w:val="32"/>
        </w:rPr>
        <w:t>提交灭菌确认报告。由于本灭菌方法容易出现残留，应当明确残留物信息及采取的处理方法，并提供研究资料。</w:t>
      </w:r>
    </w:p>
    <w:p w:rsidR="003E24DE" w:rsidRDefault="00614A98">
      <w:pPr>
        <w:adjustRightInd w:val="0"/>
        <w:snapToGrid w:val="0"/>
        <w:spacing w:line="520" w:lineRule="exact"/>
        <w:ind w:firstLineChars="200" w:firstLine="640"/>
        <w:rPr>
          <w:rFonts w:ascii="Times New Roman" w:eastAsia="仿宋_GB2312" w:hAnsi="Times New Roman"/>
          <w:kern w:val="0"/>
          <w:sz w:val="32"/>
          <w:szCs w:val="32"/>
        </w:rPr>
      </w:pPr>
      <w:r>
        <w:rPr>
          <w:rFonts w:ascii="Times New Roman" w:eastAsia="仿宋_GB2312" w:hAnsi="Times New Roman" w:hint="eastAsia"/>
          <w:kern w:val="0"/>
          <w:sz w:val="32"/>
          <w:szCs w:val="32"/>
        </w:rPr>
        <w:t>如产品通过辐照方式进行灭菌</w:t>
      </w:r>
      <w:r>
        <w:rPr>
          <w:rFonts w:ascii="Times New Roman" w:eastAsia="仿宋_GB2312" w:hAnsi="Times New Roman" w:hint="eastAsia"/>
          <w:kern w:val="0"/>
          <w:sz w:val="32"/>
          <w:szCs w:val="32"/>
        </w:rPr>
        <w:t>，应</w:t>
      </w:r>
      <w:r>
        <w:rPr>
          <w:rFonts w:ascii="Times New Roman" w:eastAsia="仿宋_GB2312" w:hAnsi="Times New Roman" w:hint="eastAsia"/>
          <w:kern w:val="0"/>
          <w:sz w:val="32"/>
          <w:szCs w:val="32"/>
        </w:rPr>
        <w:t>根据</w:t>
      </w:r>
      <w:r>
        <w:rPr>
          <w:rFonts w:ascii="Times New Roman" w:eastAsia="仿宋_GB2312" w:hAnsi="Times New Roman" w:hint="eastAsia"/>
          <w:kern w:val="0"/>
          <w:sz w:val="32"/>
          <w:szCs w:val="32"/>
        </w:rPr>
        <w:t>GB 18280</w:t>
      </w:r>
      <w:r>
        <w:rPr>
          <w:rFonts w:ascii="Times New Roman" w:eastAsia="仿宋_GB2312" w:hAnsi="Times New Roman" w:hint="eastAsia"/>
          <w:kern w:val="0"/>
          <w:sz w:val="32"/>
          <w:szCs w:val="32"/>
        </w:rPr>
        <w:t>系列标准</w:t>
      </w:r>
      <w:r>
        <w:rPr>
          <w:rFonts w:ascii="Times New Roman" w:eastAsia="仿宋_GB2312" w:hAnsi="Times New Roman" w:hint="eastAsia"/>
          <w:kern w:val="0"/>
          <w:sz w:val="32"/>
          <w:szCs w:val="32"/>
        </w:rPr>
        <w:t>的要求对辐射灭菌工艺加以验证。以确定材料的适用性，选定所要求的最低灭菌剂量，建</w:t>
      </w:r>
      <w:r>
        <w:rPr>
          <w:rFonts w:ascii="Times New Roman" w:eastAsia="仿宋_GB2312" w:hAnsi="Times New Roman" w:hint="eastAsia"/>
          <w:kern w:val="0"/>
          <w:sz w:val="32"/>
          <w:szCs w:val="32"/>
        </w:rPr>
        <w:t>立用品装载模式，测定剂量分布图，设置辐照周期定时器。通过确认结果，对灭菌结果进行确认，并提交灭菌确认报告。</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5.5</w:t>
      </w:r>
      <w:r>
        <w:rPr>
          <w:rFonts w:ascii="Times New Roman" w:eastAsia="仿宋_GB2312" w:hAnsi="Times New Roman" w:hint="eastAsia"/>
          <w:bCs/>
          <w:sz w:val="32"/>
          <w:szCs w:val="32"/>
        </w:rPr>
        <w:t>产品有效期和包装研究</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产品</w:t>
      </w:r>
      <w:r>
        <w:rPr>
          <w:rFonts w:ascii="Times New Roman" w:eastAsia="仿宋_GB2312" w:hAnsi="Times New Roman" w:hint="eastAsia"/>
          <w:bCs/>
          <w:sz w:val="32"/>
          <w:szCs w:val="32"/>
        </w:rPr>
        <w:t>有效期</w:t>
      </w:r>
      <w:r>
        <w:rPr>
          <w:rFonts w:ascii="Times New Roman" w:eastAsia="仿宋_GB2312" w:hAnsi="Times New Roman" w:hint="eastAsia"/>
          <w:bCs/>
          <w:sz w:val="32"/>
          <w:szCs w:val="32"/>
        </w:rPr>
        <w:t>的确定可参考</w:t>
      </w:r>
      <w:r>
        <w:rPr>
          <w:rFonts w:ascii="Times New Roman" w:eastAsia="仿宋_GB2312" w:hAnsi="Times New Roman" w:hint="eastAsia"/>
          <w:bCs/>
          <w:sz w:val="32"/>
          <w:szCs w:val="32"/>
        </w:rPr>
        <w:t>YY/T 0681</w:t>
      </w:r>
      <w:r>
        <w:rPr>
          <w:rFonts w:ascii="Times New Roman" w:eastAsia="仿宋_GB2312" w:hAnsi="Times New Roman" w:hint="eastAsia"/>
          <w:bCs/>
          <w:sz w:val="32"/>
          <w:szCs w:val="32"/>
        </w:rPr>
        <w:t>系列标准相关内容提供产品有效期的验证报告。</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包装及包装完整性：</w:t>
      </w:r>
      <w:r>
        <w:rPr>
          <w:rFonts w:ascii="Times New Roman" w:eastAsia="仿宋_GB2312" w:hAnsi="Times New Roman" w:hint="eastAsia"/>
          <w:bCs/>
          <w:sz w:val="32"/>
          <w:szCs w:val="32"/>
        </w:rPr>
        <w:t>可参考</w:t>
      </w:r>
      <w:r>
        <w:rPr>
          <w:rFonts w:ascii="Times New Roman" w:eastAsia="仿宋_GB2312" w:hAnsi="Times New Roman" w:hint="eastAsia"/>
          <w:bCs/>
          <w:sz w:val="32"/>
          <w:szCs w:val="32"/>
        </w:rPr>
        <w:t>GB</w:t>
      </w:r>
      <w:r>
        <w:rPr>
          <w:rFonts w:ascii="Times New Roman" w:eastAsia="仿宋_GB2312" w:hAnsi="Times New Roman" w:hint="eastAsia"/>
          <w:bCs/>
          <w:sz w:val="32"/>
          <w:szCs w:val="32"/>
        </w:rPr>
        <w:t xml:space="preserve">/T </w:t>
      </w:r>
      <w:r>
        <w:rPr>
          <w:rFonts w:ascii="Times New Roman" w:eastAsia="仿宋_GB2312" w:hAnsi="Times New Roman" w:hint="eastAsia"/>
          <w:bCs/>
          <w:sz w:val="32"/>
          <w:szCs w:val="32"/>
        </w:rPr>
        <w:t>19633.1</w:t>
      </w:r>
      <w:r>
        <w:rPr>
          <w:rFonts w:ascii="Times New Roman" w:eastAsia="仿宋_GB2312" w:hAnsi="Times New Roman" w:hint="eastAsia"/>
          <w:bCs/>
          <w:sz w:val="32"/>
          <w:szCs w:val="32"/>
        </w:rPr>
        <w:t>及</w:t>
      </w:r>
      <w:r>
        <w:rPr>
          <w:rFonts w:ascii="Times New Roman" w:eastAsia="仿宋_GB2312" w:hAnsi="Times New Roman" w:hint="eastAsia"/>
          <w:bCs/>
          <w:sz w:val="32"/>
          <w:szCs w:val="32"/>
        </w:rPr>
        <w:t>YY/T 0698</w:t>
      </w:r>
      <w:r>
        <w:rPr>
          <w:rFonts w:ascii="Times New Roman" w:eastAsia="仿宋_GB2312" w:hAnsi="Times New Roman" w:hint="eastAsia"/>
          <w:bCs/>
          <w:sz w:val="32"/>
          <w:szCs w:val="32"/>
        </w:rPr>
        <w:t>系列标准对产品包装进行确认，在宣称的有效期内以及运输储存条件下，注册申请人应提供保持包装完整性的依据。</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有效期的确定可使用加速老化试验进行验证。</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5.6</w:t>
      </w:r>
      <w:r>
        <w:rPr>
          <w:rFonts w:ascii="Times New Roman" w:eastAsia="仿宋_GB2312" w:hAnsi="Times New Roman" w:hint="eastAsia"/>
          <w:bCs/>
          <w:sz w:val="32"/>
          <w:szCs w:val="32"/>
        </w:rPr>
        <w:t>可用性工程研究资料</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依据产品具体特性和风险程度参考《医疗器械可用性工</w:t>
      </w:r>
      <w:r>
        <w:rPr>
          <w:rFonts w:ascii="Times New Roman" w:eastAsia="仿宋_GB2312" w:hAnsi="Times New Roman" w:hint="eastAsia"/>
          <w:bCs/>
          <w:sz w:val="32"/>
          <w:szCs w:val="32"/>
        </w:rPr>
        <w:lastRenderedPageBreak/>
        <w:t>程注册审查指导原则》相关规定提交可用性工程研究资料。</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5.7</w:t>
      </w:r>
      <w:r>
        <w:rPr>
          <w:rFonts w:ascii="Times New Roman" w:eastAsia="仿宋_GB2312" w:hAnsi="Times New Roman" w:hint="eastAsia"/>
          <w:bCs/>
          <w:sz w:val="32"/>
          <w:szCs w:val="32"/>
        </w:rPr>
        <w:t>其他资料</w:t>
      </w:r>
    </w:p>
    <w:p w:rsidR="003E24DE" w:rsidRDefault="00614A98">
      <w:pPr>
        <w:adjustRightInd w:val="0"/>
        <w:snapToGrid w:val="0"/>
        <w:spacing w:line="520" w:lineRule="exact"/>
        <w:ind w:firstLineChars="200" w:firstLine="640"/>
        <w:rPr>
          <w:rFonts w:ascii="Times New Roman" w:eastAsia="仿宋_GB2312" w:hAnsi="Times New Roman"/>
          <w:bCs/>
          <w:sz w:val="32"/>
          <w:szCs w:val="32"/>
        </w:rPr>
      </w:pPr>
      <w:r>
        <w:rPr>
          <w:rFonts w:ascii="Times New Roman" w:eastAsia="仿宋_GB2312" w:hAnsi="Times New Roman" w:hint="eastAsia"/>
          <w:bCs/>
          <w:sz w:val="32"/>
          <w:szCs w:val="32"/>
        </w:rPr>
        <w:t>注册申请人应基于申报产品的分类编码、适用范围等判定申报产品与《免于临床评价医疗器械目录》产品的等同性，经判定属于免于进行临床评价的产品的，应按照《列入免于临床评价医疗器械目录产品对比说明技</w:t>
      </w:r>
      <w:r>
        <w:rPr>
          <w:rFonts w:ascii="Times New Roman" w:eastAsia="仿宋_GB2312" w:hAnsi="Times New Roman" w:hint="eastAsia"/>
          <w:bCs/>
          <w:sz w:val="32"/>
          <w:szCs w:val="32"/>
        </w:rPr>
        <w:t>术指导原则》提供相应资料，从基本原理、结构组成、性能、安全性、适用范围等方面，证明产品的安全有效性。</w:t>
      </w:r>
    </w:p>
    <w:p w:rsidR="003E24DE" w:rsidRDefault="00614A98">
      <w:pPr>
        <w:adjustRightInd w:val="0"/>
        <w:snapToGrid w:val="0"/>
        <w:spacing w:line="520" w:lineRule="exact"/>
        <w:ind w:rightChars="-32" w:right="-67" w:firstLineChars="200" w:firstLine="640"/>
        <w:rPr>
          <w:rFonts w:ascii="Times New Roman" w:eastAsia="楷体_GB2312" w:hAnsi="Times New Roman"/>
          <w:sz w:val="32"/>
          <w:szCs w:val="32"/>
        </w:rPr>
      </w:pPr>
      <w:r>
        <w:rPr>
          <w:rFonts w:ascii="Times New Roman" w:eastAsia="楷体_GB2312" w:hAnsi="Times New Roman"/>
          <w:sz w:val="32"/>
          <w:szCs w:val="32"/>
        </w:rPr>
        <w:t>（四）临床评价资料</w:t>
      </w:r>
    </w:p>
    <w:p w:rsidR="003E24DE" w:rsidRDefault="00614A98">
      <w:pPr>
        <w:adjustRightInd w:val="0"/>
        <w:snapToGrid w:val="0"/>
        <w:spacing w:line="520" w:lineRule="exact"/>
        <w:ind w:rightChars="-32" w:right="-67" w:firstLineChars="200" w:firstLine="640"/>
        <w:rPr>
          <w:rFonts w:ascii="Times New Roman" w:eastAsia="仿宋_GB2312" w:hAnsi="Times New Roman"/>
          <w:sz w:val="32"/>
          <w:szCs w:val="32"/>
        </w:rPr>
      </w:pPr>
      <w:r>
        <w:rPr>
          <w:rFonts w:ascii="Times New Roman" w:eastAsia="仿宋_GB2312" w:hAnsi="Times New Roman" w:hint="eastAsia"/>
          <w:sz w:val="32"/>
          <w:szCs w:val="32"/>
        </w:rPr>
        <w:t>对于不符合《免于临床评价医疗器械目录》的产品，应按照《医疗器械临床评价技术指导原则》《医疗器械临床试验质量管理规范》等要求提交临床评价资料。</w:t>
      </w:r>
    </w:p>
    <w:p w:rsidR="003E24DE" w:rsidRDefault="00614A98">
      <w:pPr>
        <w:adjustRightInd w:val="0"/>
        <w:snapToGrid w:val="0"/>
        <w:spacing w:line="520" w:lineRule="exact"/>
        <w:ind w:rightChars="-32" w:right="-67" w:firstLineChars="200" w:firstLine="640"/>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同品种临床评价路径</w:t>
      </w:r>
    </w:p>
    <w:p w:rsidR="003E24DE" w:rsidRDefault="00614A98">
      <w:pPr>
        <w:adjustRightInd w:val="0"/>
        <w:snapToGrid w:val="0"/>
        <w:spacing w:line="520" w:lineRule="exact"/>
        <w:ind w:rightChars="-32" w:right="-67" w:firstLineChars="200" w:firstLine="640"/>
        <w:rPr>
          <w:rFonts w:ascii="Times New Roman" w:eastAsia="仿宋_GB2312" w:hAnsi="Times New Roman"/>
          <w:sz w:val="32"/>
          <w:szCs w:val="32"/>
        </w:rPr>
      </w:pPr>
      <w:r>
        <w:rPr>
          <w:rFonts w:ascii="Times New Roman" w:eastAsia="仿宋_GB2312" w:hAnsi="Times New Roman" w:hint="eastAsia"/>
          <w:sz w:val="32"/>
          <w:szCs w:val="32"/>
        </w:rPr>
        <w:t>在满足注册法规要求的前提下，可按照《医疗器械临床评价等同性论证技术指导原则》进行境内已上市同品种产品的对比、分析、评价，并按照《医疗器械注册申报临床评价报告技术指导原则》要求的项目和格式出具评价报告。</w:t>
      </w:r>
    </w:p>
    <w:p w:rsidR="003E24DE" w:rsidRDefault="00614A98">
      <w:pPr>
        <w:adjustRightInd w:val="0"/>
        <w:snapToGrid w:val="0"/>
        <w:spacing w:line="520" w:lineRule="exact"/>
        <w:ind w:rightChars="-32" w:right="-67" w:firstLineChars="200" w:firstLine="640"/>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临床试验路径</w:t>
      </w:r>
    </w:p>
    <w:p w:rsidR="003E24DE" w:rsidRDefault="00614A98">
      <w:pPr>
        <w:adjustRightInd w:val="0"/>
        <w:snapToGrid w:val="0"/>
        <w:spacing w:line="520" w:lineRule="exact"/>
        <w:ind w:rightChars="-32" w:right="-67" w:firstLineChars="200" w:firstLine="640"/>
        <w:rPr>
          <w:rFonts w:ascii="Times New Roman" w:eastAsia="仿宋_GB2312" w:hAnsi="Times New Roman"/>
          <w:sz w:val="32"/>
          <w:szCs w:val="32"/>
        </w:rPr>
      </w:pPr>
      <w:r>
        <w:rPr>
          <w:rFonts w:ascii="Times New Roman" w:eastAsia="仿宋_GB2312" w:hAnsi="Times New Roman" w:hint="eastAsia"/>
          <w:sz w:val="32"/>
          <w:szCs w:val="32"/>
        </w:rPr>
        <w:t>临床试验需按照《医疗器械临床试验质量管理规范》开展，提交完整的临床试验资料。临床试验的设计可参考《医疗器械临床试验设计指导原则》，根据注册申请人宣称的申报产品适用范围开展</w:t>
      </w:r>
      <w:r>
        <w:rPr>
          <w:rFonts w:ascii="Times New Roman" w:eastAsia="仿宋_GB2312" w:hAnsi="Times New Roman" w:hint="eastAsia"/>
          <w:sz w:val="32"/>
          <w:szCs w:val="32"/>
        </w:rPr>
        <w:t>。</w:t>
      </w:r>
    </w:p>
    <w:p w:rsidR="003E24DE" w:rsidRDefault="00614A98">
      <w:pPr>
        <w:adjustRightInd w:val="0"/>
        <w:snapToGrid w:val="0"/>
        <w:spacing w:line="520" w:lineRule="exact"/>
        <w:ind w:rightChars="-32" w:right="-67" w:firstLineChars="200" w:firstLine="640"/>
        <w:rPr>
          <w:rFonts w:ascii="Times New Roman" w:eastAsia="楷体_GB2312" w:hAnsi="Times New Roman"/>
          <w:sz w:val="32"/>
          <w:szCs w:val="32"/>
        </w:rPr>
      </w:pPr>
      <w:r>
        <w:rPr>
          <w:rFonts w:ascii="Times New Roman" w:eastAsia="楷体_GB2312" w:hAnsi="Times New Roman"/>
          <w:sz w:val="32"/>
          <w:szCs w:val="32"/>
        </w:rPr>
        <w:t>（五）产品说明书和标签样稿</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产品说明书、标签和包装标识的编写要求应符合《医疗器械说明书和标签管理规定》（国家食品药品监督管理总局令第</w:t>
      </w:r>
      <w:r>
        <w:rPr>
          <w:rFonts w:ascii="Times New Roman" w:eastAsia="仿宋_GB2312" w:hAnsi="Times New Roman" w:hint="eastAsia"/>
          <w:sz w:val="32"/>
          <w:szCs w:val="32"/>
        </w:rPr>
        <w:t>6</w:t>
      </w:r>
      <w:r>
        <w:rPr>
          <w:rFonts w:ascii="Times New Roman" w:eastAsia="仿宋_GB2312" w:hAnsi="Times New Roman" w:hint="eastAsia"/>
          <w:sz w:val="32"/>
          <w:szCs w:val="32"/>
        </w:rPr>
        <w:t>号）和</w:t>
      </w:r>
      <w:r>
        <w:rPr>
          <w:rFonts w:ascii="Times New Roman" w:eastAsia="仿宋_GB2312" w:hAnsi="Times New Roman" w:hint="eastAsia"/>
          <w:sz w:val="32"/>
          <w:szCs w:val="32"/>
        </w:rPr>
        <w:t>YY/T 0466.1</w:t>
      </w:r>
      <w:r>
        <w:rPr>
          <w:rFonts w:ascii="Times New Roman" w:eastAsia="仿宋_GB2312" w:hAnsi="Times New Roman" w:hint="eastAsia"/>
          <w:sz w:val="32"/>
          <w:szCs w:val="32"/>
        </w:rPr>
        <w:t>等相关标准的要求</w:t>
      </w:r>
      <w:r>
        <w:rPr>
          <w:rFonts w:ascii="Times New Roman" w:eastAsia="仿宋_GB2312" w:hAnsi="Times New Roman" w:hint="eastAsia"/>
          <w:sz w:val="32"/>
          <w:szCs w:val="32"/>
        </w:rPr>
        <w:t>，</w:t>
      </w:r>
      <w:r>
        <w:rPr>
          <w:rFonts w:ascii="Times New Roman" w:eastAsia="仿宋_GB2312" w:hAnsi="Times New Roman" w:hint="eastAsia"/>
          <w:sz w:val="32"/>
          <w:szCs w:val="32"/>
        </w:rPr>
        <w:t>同时还应注</w:t>
      </w:r>
      <w:r>
        <w:rPr>
          <w:rFonts w:ascii="Times New Roman" w:eastAsia="仿宋_GB2312" w:hAnsi="Times New Roman" w:hint="eastAsia"/>
          <w:sz w:val="32"/>
          <w:szCs w:val="32"/>
        </w:rPr>
        <w:lastRenderedPageBreak/>
        <w:t>意以下几点（不限于此）：</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禁忌证应至少包括以下内容。</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除伤员四肢血管大出血外禁用，四肢近端出血者禁用。动脉血栓形成、血栓闭塞性脉管炎、肺栓塞、明显的</w:t>
      </w:r>
      <w:r>
        <w:rPr>
          <w:rFonts w:ascii="Times New Roman" w:eastAsia="仿宋_GB2312" w:hAnsi="Times New Roman" w:hint="eastAsia"/>
          <w:sz w:val="32"/>
          <w:szCs w:val="32"/>
        </w:rPr>
        <w:t>周围血管病、高血压、糖尿病并发严重血管疾病者禁用。</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医疗器械说明书中有关注意事项、警示以及提示性内容主要</w:t>
      </w:r>
      <w:r>
        <w:rPr>
          <w:rFonts w:ascii="Times New Roman" w:eastAsia="仿宋_GB2312" w:hAnsi="Times New Roman" w:hint="eastAsia"/>
          <w:sz w:val="32"/>
          <w:szCs w:val="32"/>
        </w:rPr>
        <w:t>包括：</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使用止血带一定要标记时间和部位，做好标记以防出现遗漏，进而引起不良后果。</w:t>
      </w:r>
      <w:r>
        <w:rPr>
          <w:rFonts w:ascii="Times New Roman" w:eastAsia="仿宋_GB2312" w:hAnsi="Times New Roman"/>
          <w:sz w:val="32"/>
          <w:szCs w:val="32"/>
        </w:rPr>
        <w:t>止血带使用时间，应在</w:t>
      </w:r>
      <w:r>
        <w:rPr>
          <w:rFonts w:ascii="Times New Roman" w:eastAsia="仿宋_GB2312" w:hAnsi="Times New Roman"/>
          <w:sz w:val="32"/>
          <w:szCs w:val="32"/>
        </w:rPr>
        <w:t>1</w:t>
      </w:r>
      <w:r>
        <w:rPr>
          <w:rFonts w:ascii="Times New Roman" w:eastAsia="仿宋_GB2312" w:hAnsi="Times New Roman"/>
          <w:sz w:val="32"/>
          <w:szCs w:val="32"/>
        </w:rPr>
        <w:t>小时内</w:t>
      </w:r>
      <w:r>
        <w:rPr>
          <w:rFonts w:ascii="Times New Roman" w:eastAsia="仿宋_GB2312" w:hAnsi="Times New Roman" w:hint="eastAsia"/>
          <w:sz w:val="32"/>
          <w:szCs w:val="32"/>
        </w:rPr>
        <w:t>松脱一次</w:t>
      </w:r>
      <w:r>
        <w:rPr>
          <w:rFonts w:ascii="Times New Roman" w:eastAsia="仿宋_GB2312" w:hAnsi="Times New Roman"/>
          <w:sz w:val="32"/>
          <w:szCs w:val="32"/>
        </w:rPr>
        <w:t>。使用时，以控制出血为宜，避免旋转过紧，造成肢体坏死。停用止血带时要注意慢慢松开，防止肢体出血突然增加。</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highlight w:val="yellow"/>
        </w:rPr>
      </w:pPr>
      <w:r>
        <w:rPr>
          <w:rFonts w:ascii="Times New Roman" w:eastAsia="仿宋_GB2312" w:hAnsi="Times New Roman" w:hint="eastAsia"/>
          <w:sz w:val="32"/>
          <w:szCs w:val="32"/>
        </w:rPr>
        <w:t>2.</w:t>
      </w:r>
      <w:r>
        <w:rPr>
          <w:rFonts w:ascii="Times New Roman" w:eastAsia="仿宋_GB2312" w:hAnsi="Times New Roman" w:hint="eastAsia"/>
          <w:sz w:val="32"/>
          <w:szCs w:val="32"/>
        </w:rPr>
        <w:t>若声称</w:t>
      </w:r>
      <w:r>
        <w:rPr>
          <w:rFonts w:ascii="Times New Roman" w:eastAsia="仿宋_GB2312" w:hAnsi="Times New Roman"/>
          <w:sz w:val="32"/>
          <w:szCs w:val="32"/>
        </w:rPr>
        <w:t>止血带与患者皮肤</w:t>
      </w:r>
      <w:r>
        <w:rPr>
          <w:rFonts w:ascii="Times New Roman" w:eastAsia="仿宋_GB2312" w:hAnsi="Times New Roman" w:hint="eastAsia"/>
          <w:sz w:val="32"/>
          <w:szCs w:val="32"/>
        </w:rPr>
        <w:t>不</w:t>
      </w:r>
      <w:r>
        <w:rPr>
          <w:rFonts w:ascii="Times New Roman" w:eastAsia="仿宋_GB2312" w:hAnsi="Times New Roman"/>
          <w:sz w:val="32"/>
          <w:szCs w:val="32"/>
        </w:rPr>
        <w:t>直接接触</w:t>
      </w:r>
      <w:r>
        <w:rPr>
          <w:rFonts w:ascii="Times New Roman" w:eastAsia="仿宋_GB2312" w:hAnsi="Times New Roman" w:hint="eastAsia"/>
          <w:sz w:val="32"/>
          <w:szCs w:val="32"/>
        </w:rPr>
        <w:t>，</w:t>
      </w:r>
      <w:r>
        <w:rPr>
          <w:rFonts w:ascii="Times New Roman" w:eastAsia="仿宋_GB2312" w:hAnsi="Times New Roman"/>
          <w:sz w:val="32"/>
          <w:szCs w:val="32"/>
        </w:rPr>
        <w:t>产品捆扎部位要有衬垫，如衣物、绷带、纱布、敷料等均可。衬垫需在止血带捆扎位置的肢体表面进行全面包裹，避免止血带与患者皮肤直接接触。</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sz w:val="32"/>
          <w:szCs w:val="32"/>
        </w:rPr>
        <w:t>产品一次</w:t>
      </w:r>
      <w:r>
        <w:rPr>
          <w:rFonts w:ascii="Times New Roman" w:eastAsia="仿宋_GB2312" w:hAnsi="Times New Roman"/>
          <w:sz w:val="32"/>
          <w:szCs w:val="32"/>
        </w:rPr>
        <w:t>性使用，不得重复使用。</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hint="eastAsia"/>
          <w:sz w:val="32"/>
          <w:szCs w:val="32"/>
        </w:rPr>
        <w:t>包装如有破损或过期，严禁使用。</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hint="eastAsia"/>
          <w:sz w:val="32"/>
          <w:szCs w:val="32"/>
        </w:rPr>
        <w:t>使用时请注意包装标示，选择合适型号。</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6.</w:t>
      </w:r>
      <w:r>
        <w:rPr>
          <w:rFonts w:ascii="Times New Roman" w:eastAsia="仿宋_GB2312" w:hAnsi="Times New Roman"/>
          <w:sz w:val="32"/>
          <w:szCs w:val="32"/>
        </w:rPr>
        <w:t>医疗垃圾处理要求：依据当地法规要求，使用后按照医疗垃圾进行处理，不得随意丢弃。</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sz w:val="32"/>
          <w:szCs w:val="32"/>
        </w:rPr>
        <w:t>若说明书</w:t>
      </w:r>
      <w:r>
        <w:rPr>
          <w:rFonts w:ascii="Times New Roman" w:eastAsia="仿宋_GB2312" w:hAnsi="Times New Roman" w:hint="eastAsia"/>
          <w:sz w:val="32"/>
          <w:szCs w:val="32"/>
        </w:rPr>
        <w:t>明确产品</w:t>
      </w:r>
      <w:r>
        <w:rPr>
          <w:rFonts w:ascii="Times New Roman" w:eastAsia="仿宋_GB2312" w:hAnsi="Times New Roman"/>
          <w:sz w:val="32"/>
          <w:szCs w:val="32"/>
        </w:rPr>
        <w:t>用于海洋环境，注册申请人应针对旋压式止血带开展盐雾试验研究，考核其海洋环境下的使用性能与可靠性。若说明书标注适用环境范围</w:t>
      </w:r>
      <w:r>
        <w:rPr>
          <w:rFonts w:ascii="Times New Roman" w:eastAsia="仿宋_GB2312" w:hAnsi="Times New Roman" w:hint="eastAsia"/>
          <w:sz w:val="32"/>
          <w:szCs w:val="32"/>
        </w:rPr>
        <w:t>（如：</w:t>
      </w:r>
      <w:r>
        <w:rPr>
          <w:rFonts w:ascii="Times New Roman" w:eastAsia="仿宋_GB2312" w:hAnsi="Times New Roman"/>
          <w:sz w:val="32"/>
          <w:szCs w:val="32"/>
        </w:rPr>
        <w:t>使用环境温度、湿度要求</w:t>
      </w:r>
      <w:r>
        <w:rPr>
          <w:rFonts w:ascii="Times New Roman" w:eastAsia="仿宋_GB2312" w:hAnsi="Times New Roman" w:hint="eastAsia"/>
          <w:sz w:val="32"/>
          <w:szCs w:val="32"/>
        </w:rPr>
        <w:t>）</w:t>
      </w:r>
      <w:r>
        <w:rPr>
          <w:rFonts w:ascii="Times New Roman" w:eastAsia="仿宋_GB2312" w:hAnsi="Times New Roman"/>
          <w:sz w:val="32"/>
          <w:szCs w:val="32"/>
        </w:rPr>
        <w:t>，</w:t>
      </w:r>
      <w:r>
        <w:rPr>
          <w:rFonts w:ascii="Times New Roman" w:eastAsia="仿宋_GB2312" w:hAnsi="Times New Roman" w:hint="eastAsia"/>
          <w:sz w:val="32"/>
          <w:szCs w:val="32"/>
        </w:rPr>
        <w:t>注册申请人</w:t>
      </w:r>
      <w:r>
        <w:rPr>
          <w:rFonts w:ascii="Times New Roman" w:eastAsia="仿宋_GB2312" w:hAnsi="Times New Roman"/>
          <w:sz w:val="32"/>
          <w:szCs w:val="32"/>
        </w:rPr>
        <w:t>还</w:t>
      </w:r>
      <w:r>
        <w:rPr>
          <w:rFonts w:ascii="Times New Roman" w:eastAsia="仿宋_GB2312" w:hAnsi="Times New Roman" w:hint="eastAsia"/>
          <w:sz w:val="32"/>
          <w:szCs w:val="32"/>
        </w:rPr>
        <w:t>须</w:t>
      </w:r>
      <w:r>
        <w:rPr>
          <w:rFonts w:ascii="Times New Roman" w:eastAsia="仿宋_GB2312" w:hAnsi="Times New Roman"/>
          <w:sz w:val="32"/>
          <w:szCs w:val="32"/>
        </w:rPr>
        <w:t>开展环境适应性专项评价。</w:t>
      </w:r>
    </w:p>
    <w:p w:rsidR="003E24DE" w:rsidRDefault="00614A98">
      <w:pPr>
        <w:overflowPunct w:val="0"/>
        <w:adjustRightInd w:val="0"/>
        <w:snapToGrid w:val="0"/>
        <w:spacing w:line="520" w:lineRule="exact"/>
        <w:ind w:firstLineChars="200" w:firstLine="640"/>
        <w:jc w:val="left"/>
        <w:rPr>
          <w:rFonts w:ascii="楷体_GB2312" w:eastAsia="楷体_GB2312" w:hAnsi="楷体_GB2312" w:cs="楷体_GB2312"/>
          <w:sz w:val="32"/>
          <w:szCs w:val="32"/>
        </w:rPr>
      </w:pPr>
      <w:r>
        <w:rPr>
          <w:rFonts w:ascii="楷体_GB2312" w:eastAsia="楷体_GB2312" w:hAnsi="楷体_GB2312" w:cs="楷体_GB2312" w:hint="eastAsia"/>
          <w:sz w:val="32"/>
          <w:szCs w:val="32"/>
        </w:rPr>
        <w:t>（六）质量管理体系文件</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lastRenderedPageBreak/>
        <w:t>注册申请人应按照《关于公布医疗器械注册申报资料要求和批准证明文件格式的公告》（</w:t>
      </w:r>
      <w:r>
        <w:rPr>
          <w:rFonts w:ascii="Times New Roman" w:eastAsia="仿宋_GB2312" w:hAnsi="Times New Roman" w:hint="eastAsia"/>
          <w:sz w:val="32"/>
          <w:szCs w:val="32"/>
        </w:rPr>
        <w:t>2021</w:t>
      </w:r>
      <w:r>
        <w:rPr>
          <w:rFonts w:ascii="Times New Roman" w:eastAsia="仿宋_GB2312" w:hAnsi="Times New Roman" w:hint="eastAsia"/>
          <w:sz w:val="32"/>
          <w:szCs w:val="32"/>
        </w:rPr>
        <w:t>年第</w:t>
      </w:r>
      <w:r>
        <w:rPr>
          <w:rFonts w:ascii="Times New Roman" w:eastAsia="仿宋_GB2312" w:hAnsi="Times New Roman" w:hint="eastAsia"/>
          <w:sz w:val="32"/>
          <w:szCs w:val="32"/>
        </w:rPr>
        <w:t>121</w:t>
      </w:r>
      <w:r>
        <w:rPr>
          <w:rFonts w:ascii="Times New Roman" w:eastAsia="仿宋_GB2312" w:hAnsi="Times New Roman" w:hint="eastAsia"/>
          <w:sz w:val="32"/>
          <w:szCs w:val="32"/>
        </w:rPr>
        <w:t>号）提交申报产品的质量管理体系文件。</w:t>
      </w:r>
    </w:p>
    <w:p w:rsidR="003E24DE" w:rsidRDefault="00614A98">
      <w:pPr>
        <w:overflowPunct w:val="0"/>
        <w:adjustRightInd w:val="0"/>
        <w:snapToGrid w:val="0"/>
        <w:spacing w:line="520" w:lineRule="exact"/>
        <w:ind w:firstLineChars="200" w:firstLine="640"/>
        <w:jc w:val="left"/>
        <w:rPr>
          <w:rFonts w:ascii="黑体" w:eastAsia="黑体" w:hAnsi="黑体" w:cs="黑体"/>
          <w:sz w:val="32"/>
          <w:szCs w:val="32"/>
        </w:rPr>
      </w:pPr>
      <w:r>
        <w:rPr>
          <w:rFonts w:ascii="黑体" w:eastAsia="黑体" w:hAnsi="黑体" w:cs="黑体" w:hint="eastAsia"/>
          <w:sz w:val="32"/>
          <w:szCs w:val="32"/>
        </w:rPr>
        <w:t>三、参考文献</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[1]</w:t>
      </w:r>
      <w:r>
        <w:rPr>
          <w:rFonts w:ascii="Times New Roman" w:eastAsia="仿宋_GB2312" w:hAnsi="Times New Roman" w:hint="eastAsia"/>
          <w:sz w:val="32"/>
          <w:szCs w:val="32"/>
        </w:rPr>
        <w:t>国家食品药品监督管理局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医疗器械分类目录</w:t>
      </w:r>
      <w:r>
        <w:rPr>
          <w:rFonts w:ascii="Times New Roman" w:eastAsia="仿宋_GB2312" w:hAnsi="Times New Roman" w:hint="eastAsia"/>
          <w:sz w:val="32"/>
          <w:szCs w:val="32"/>
        </w:rPr>
        <w:t>:</w:t>
      </w:r>
      <w:r>
        <w:rPr>
          <w:rFonts w:ascii="Times New Roman" w:eastAsia="仿宋_GB2312" w:hAnsi="Times New Roman" w:hint="eastAsia"/>
          <w:sz w:val="32"/>
          <w:szCs w:val="32"/>
        </w:rPr>
        <w:t>国家食品药品监督管理总局公告</w:t>
      </w:r>
      <w:r>
        <w:rPr>
          <w:rFonts w:ascii="Times New Roman" w:eastAsia="仿宋_GB2312" w:hAnsi="Times New Roman" w:hint="eastAsia"/>
          <w:sz w:val="32"/>
          <w:szCs w:val="32"/>
        </w:rPr>
        <w:t>2017</w:t>
      </w:r>
      <w:r>
        <w:rPr>
          <w:rFonts w:ascii="Times New Roman" w:eastAsia="仿宋_GB2312" w:hAnsi="Times New Roman" w:hint="eastAsia"/>
          <w:sz w:val="32"/>
          <w:szCs w:val="32"/>
        </w:rPr>
        <w:t>年第</w:t>
      </w:r>
      <w:r>
        <w:rPr>
          <w:rFonts w:ascii="Times New Roman" w:eastAsia="仿宋_GB2312" w:hAnsi="Times New Roman" w:hint="eastAsia"/>
          <w:sz w:val="32"/>
          <w:szCs w:val="32"/>
        </w:rPr>
        <w:t>104</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[2]</w:t>
      </w:r>
      <w:r>
        <w:rPr>
          <w:rFonts w:ascii="Times New Roman" w:eastAsia="仿宋_GB2312" w:hAnsi="Times New Roman" w:hint="eastAsia"/>
          <w:sz w:val="32"/>
          <w:szCs w:val="32"/>
        </w:rPr>
        <w:t>国家食品药品监督管理局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医疗器械注册单元划分指导原则</w:t>
      </w:r>
      <w:r>
        <w:rPr>
          <w:rFonts w:ascii="Times New Roman" w:eastAsia="仿宋_GB2312" w:hAnsi="Times New Roman" w:hint="eastAsia"/>
          <w:sz w:val="32"/>
          <w:szCs w:val="32"/>
        </w:rPr>
        <w:t>:</w:t>
      </w:r>
      <w:r>
        <w:rPr>
          <w:rFonts w:ascii="Times New Roman" w:eastAsia="仿宋_GB2312" w:hAnsi="Times New Roman" w:hint="eastAsia"/>
          <w:sz w:val="32"/>
          <w:szCs w:val="32"/>
        </w:rPr>
        <w:t>总局通告</w:t>
      </w:r>
      <w:r>
        <w:rPr>
          <w:rFonts w:ascii="Times New Roman" w:eastAsia="仿宋_GB2312" w:hAnsi="Times New Roman" w:hint="eastAsia"/>
          <w:sz w:val="32"/>
          <w:szCs w:val="32"/>
        </w:rPr>
        <w:t>2017</w:t>
      </w:r>
      <w:r>
        <w:rPr>
          <w:rFonts w:ascii="Times New Roman" w:eastAsia="仿宋_GB2312" w:hAnsi="Times New Roman" w:hint="eastAsia"/>
          <w:sz w:val="32"/>
          <w:szCs w:val="32"/>
        </w:rPr>
        <w:t>年第</w:t>
      </w:r>
      <w:r>
        <w:rPr>
          <w:rFonts w:ascii="Times New Roman" w:eastAsia="仿宋_GB2312" w:hAnsi="Times New Roman" w:hint="eastAsia"/>
          <w:sz w:val="32"/>
          <w:szCs w:val="32"/>
        </w:rPr>
        <w:t>187</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[3]</w:t>
      </w:r>
      <w:r>
        <w:rPr>
          <w:rFonts w:ascii="Times New Roman" w:eastAsia="仿宋_GB2312" w:hAnsi="Times New Roman" w:hint="eastAsia"/>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免于进行临床评价医疗器械目录：国家药监局通告</w:t>
      </w:r>
      <w:r>
        <w:rPr>
          <w:rFonts w:ascii="Times New Roman" w:eastAsia="仿宋_GB2312" w:hAnsi="Times New Roman" w:hint="eastAsia"/>
          <w:sz w:val="32"/>
          <w:szCs w:val="32"/>
        </w:rPr>
        <w:t>2025</w:t>
      </w:r>
      <w:r>
        <w:rPr>
          <w:rFonts w:ascii="Times New Roman" w:eastAsia="仿宋_GB2312" w:hAnsi="Times New Roman" w:hint="eastAsia"/>
          <w:sz w:val="32"/>
          <w:szCs w:val="32"/>
        </w:rPr>
        <w:t>年第</w:t>
      </w:r>
      <w:r>
        <w:rPr>
          <w:rFonts w:ascii="Times New Roman" w:eastAsia="仿宋_GB2312" w:hAnsi="Times New Roman" w:hint="eastAsia"/>
          <w:sz w:val="32"/>
          <w:szCs w:val="32"/>
        </w:rPr>
        <w:t>19</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[4]</w:t>
      </w:r>
      <w:r>
        <w:rPr>
          <w:rFonts w:ascii="Times New Roman" w:eastAsia="仿宋_GB2312" w:hAnsi="Times New Roman" w:hint="eastAsia"/>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列入免于临床评价医疗器械目录产品对比</w:t>
      </w:r>
      <w:r>
        <w:rPr>
          <w:rFonts w:ascii="Times New Roman" w:eastAsia="仿宋_GB2312" w:hAnsi="Times New Roman" w:hint="eastAsia"/>
          <w:sz w:val="32"/>
          <w:szCs w:val="32"/>
        </w:rPr>
        <w:t>说明技术指导原则</w:t>
      </w:r>
      <w:r>
        <w:rPr>
          <w:rFonts w:ascii="Times New Roman" w:eastAsia="仿宋_GB2312" w:hAnsi="Times New Roman" w:hint="eastAsia"/>
          <w:sz w:val="32"/>
          <w:szCs w:val="32"/>
        </w:rPr>
        <w:t>:</w:t>
      </w:r>
      <w:r>
        <w:rPr>
          <w:rFonts w:ascii="Times New Roman" w:eastAsia="仿宋_GB2312" w:hAnsi="Times New Roman" w:hint="eastAsia"/>
          <w:sz w:val="32"/>
          <w:szCs w:val="32"/>
        </w:rPr>
        <w:t>国家药监局通告</w:t>
      </w:r>
      <w:r>
        <w:rPr>
          <w:rFonts w:ascii="Times New Roman" w:eastAsia="仿宋_GB2312" w:hAnsi="Times New Roman" w:hint="eastAsia"/>
          <w:sz w:val="32"/>
          <w:szCs w:val="32"/>
        </w:rPr>
        <w:t>2021</w:t>
      </w:r>
      <w:r>
        <w:rPr>
          <w:rFonts w:ascii="Times New Roman" w:eastAsia="仿宋_GB2312" w:hAnsi="Times New Roman" w:hint="eastAsia"/>
          <w:sz w:val="32"/>
          <w:szCs w:val="32"/>
        </w:rPr>
        <w:t>年第</w:t>
      </w:r>
      <w:r>
        <w:rPr>
          <w:rFonts w:ascii="Times New Roman" w:eastAsia="仿宋_GB2312" w:hAnsi="Times New Roman" w:hint="eastAsia"/>
          <w:sz w:val="32"/>
          <w:szCs w:val="32"/>
        </w:rPr>
        <w:t>73</w:t>
      </w:r>
      <w:r>
        <w:rPr>
          <w:rFonts w:ascii="Times New Roman" w:eastAsia="仿宋_GB2312" w:hAnsi="Times New Roman" w:hint="eastAsia"/>
          <w:sz w:val="32"/>
          <w:szCs w:val="32"/>
        </w:rPr>
        <w:t>号</w:t>
      </w:r>
      <w:r>
        <w:rPr>
          <w:rFonts w:ascii="Times New Roman" w:eastAsia="仿宋_GB2312" w:hAnsi="Times New Roman" w:hint="eastAsia"/>
          <w:sz w:val="32"/>
          <w:szCs w:val="32"/>
        </w:rPr>
        <w:t xml:space="preserve"> [Z].</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[5]</w:t>
      </w:r>
      <w:r>
        <w:rPr>
          <w:rFonts w:ascii="Times New Roman" w:eastAsia="仿宋_GB2312" w:hAnsi="Times New Roman" w:hint="eastAsia"/>
          <w:sz w:val="32"/>
          <w:szCs w:val="32"/>
        </w:rPr>
        <w:t>国家食品药品监督管理局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医疗器械说明书和标签管理规定</w:t>
      </w:r>
      <w:r>
        <w:rPr>
          <w:rFonts w:ascii="Times New Roman" w:eastAsia="仿宋_GB2312" w:hAnsi="Times New Roman" w:hint="eastAsia"/>
          <w:sz w:val="32"/>
          <w:szCs w:val="32"/>
        </w:rPr>
        <w:t>:</w:t>
      </w:r>
      <w:r>
        <w:rPr>
          <w:rFonts w:ascii="Times New Roman" w:eastAsia="仿宋_GB2312" w:hAnsi="Times New Roman" w:hint="eastAsia"/>
          <w:sz w:val="32"/>
          <w:szCs w:val="32"/>
        </w:rPr>
        <w:t>国家食品药品监督管理总局令第</w:t>
      </w:r>
      <w:r>
        <w:rPr>
          <w:rFonts w:ascii="Times New Roman" w:eastAsia="仿宋_GB2312" w:hAnsi="Times New Roman" w:hint="eastAsia"/>
          <w:sz w:val="32"/>
          <w:szCs w:val="32"/>
        </w:rPr>
        <w:t>6</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[6]</w:t>
      </w:r>
      <w:r>
        <w:rPr>
          <w:rFonts w:ascii="Times New Roman" w:eastAsia="仿宋_GB2312" w:hAnsi="Times New Roman" w:hint="eastAsia"/>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hint="eastAsia"/>
          <w:sz w:val="32"/>
          <w:szCs w:val="32"/>
        </w:rPr>
        <w:t>医疗器械注册申报资料要求和批准证明文件格式</w:t>
      </w:r>
      <w:r>
        <w:rPr>
          <w:rFonts w:ascii="Times New Roman" w:eastAsia="仿宋_GB2312" w:hAnsi="Times New Roman" w:hint="eastAsia"/>
          <w:sz w:val="32"/>
          <w:szCs w:val="32"/>
        </w:rPr>
        <w:t>:</w:t>
      </w:r>
      <w:r>
        <w:rPr>
          <w:rFonts w:ascii="Times New Roman" w:eastAsia="仿宋_GB2312" w:hAnsi="Times New Roman" w:hint="eastAsia"/>
          <w:sz w:val="32"/>
          <w:szCs w:val="32"/>
        </w:rPr>
        <w:t>国家药监局公告</w:t>
      </w:r>
      <w:r>
        <w:rPr>
          <w:rFonts w:ascii="Times New Roman" w:eastAsia="仿宋_GB2312" w:hAnsi="Times New Roman" w:hint="eastAsia"/>
          <w:sz w:val="32"/>
          <w:szCs w:val="32"/>
        </w:rPr>
        <w:t>2021</w:t>
      </w:r>
      <w:r>
        <w:rPr>
          <w:rFonts w:ascii="Times New Roman" w:eastAsia="仿宋_GB2312" w:hAnsi="Times New Roman" w:hint="eastAsia"/>
          <w:sz w:val="32"/>
          <w:szCs w:val="32"/>
        </w:rPr>
        <w:t>年第</w:t>
      </w:r>
      <w:r>
        <w:rPr>
          <w:rFonts w:ascii="Times New Roman" w:eastAsia="仿宋_GB2312" w:hAnsi="Times New Roman" w:hint="eastAsia"/>
          <w:sz w:val="32"/>
          <w:szCs w:val="32"/>
        </w:rPr>
        <w:t>121</w:t>
      </w:r>
      <w:r>
        <w:rPr>
          <w:rFonts w:ascii="Times New Roman" w:eastAsia="仿宋_GB2312" w:hAnsi="Times New Roman" w:hint="eastAsia"/>
          <w:sz w:val="32"/>
          <w:szCs w:val="32"/>
        </w:rPr>
        <w:t>号</w:t>
      </w:r>
      <w:r>
        <w:rPr>
          <w:rFonts w:ascii="Times New Roman" w:eastAsia="仿宋_GB2312" w:hAnsi="Times New Roman" w:hint="eastAsia"/>
          <w:sz w:val="32"/>
          <w:szCs w:val="32"/>
        </w:rPr>
        <w:t>[Z].</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[7]GB/T 42062,</w:t>
      </w:r>
      <w:r>
        <w:rPr>
          <w:rFonts w:ascii="Times New Roman" w:eastAsia="仿宋_GB2312" w:hAnsi="Times New Roman" w:hint="eastAsia"/>
          <w:sz w:val="32"/>
          <w:szCs w:val="32"/>
        </w:rPr>
        <w:t>医疗器械</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风险管理对医疗器械的应用</w:t>
      </w:r>
      <w:r>
        <w:rPr>
          <w:rFonts w:ascii="Times New Roman" w:eastAsia="仿宋_GB2312" w:hAnsi="Times New Roman" w:hint="eastAsia"/>
          <w:sz w:val="32"/>
          <w:szCs w:val="32"/>
        </w:rPr>
        <w:t>[S].</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[8]GB/T 19633.1,</w:t>
      </w:r>
      <w:r>
        <w:rPr>
          <w:rFonts w:ascii="Times New Roman" w:eastAsia="仿宋_GB2312" w:hAnsi="Times New Roman" w:hint="eastAsia"/>
          <w:sz w:val="32"/>
          <w:szCs w:val="32"/>
        </w:rPr>
        <w:t>最终灭菌医疗器械的包装</w:t>
      </w:r>
      <w:r>
        <w:rPr>
          <w:rFonts w:ascii="Times New Roman" w:eastAsia="仿宋_GB2312" w:hAnsi="Times New Roman" w:hint="eastAsia"/>
          <w:sz w:val="32"/>
          <w:szCs w:val="32"/>
        </w:rPr>
        <w:t>[S].</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[9]GB/T 1962.1,</w:t>
      </w:r>
      <w:r>
        <w:rPr>
          <w:rFonts w:ascii="Times New Roman" w:eastAsia="仿宋_GB2312" w:hAnsi="Times New Roman" w:hint="eastAsia"/>
          <w:sz w:val="32"/>
          <w:szCs w:val="32"/>
        </w:rPr>
        <w:t>注射器、注射针及其他医疗器械用</w:t>
      </w:r>
      <w:r>
        <w:rPr>
          <w:rFonts w:ascii="Times New Roman" w:eastAsia="仿宋_GB2312" w:hAnsi="Times New Roman" w:hint="eastAsia"/>
          <w:sz w:val="32"/>
          <w:szCs w:val="32"/>
        </w:rPr>
        <w:t>6%</w:t>
      </w:r>
      <w:r>
        <w:rPr>
          <w:rFonts w:ascii="Times New Roman" w:eastAsia="仿宋_GB2312" w:hAnsi="Times New Roman" w:hint="eastAsia"/>
          <w:sz w:val="32"/>
          <w:szCs w:val="32"/>
        </w:rPr>
        <w:t>（鲁尔）圆锥接头</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第</w:t>
      </w:r>
      <w:r>
        <w:rPr>
          <w:rFonts w:ascii="Times New Roman" w:eastAsia="仿宋_GB2312" w:hAnsi="Times New Roman" w:hint="eastAsia"/>
          <w:sz w:val="32"/>
          <w:szCs w:val="32"/>
        </w:rPr>
        <w:t>1</w:t>
      </w:r>
      <w:r>
        <w:rPr>
          <w:rFonts w:ascii="Times New Roman" w:eastAsia="仿宋_GB2312" w:hAnsi="Times New Roman" w:hint="eastAsia"/>
          <w:sz w:val="32"/>
          <w:szCs w:val="32"/>
        </w:rPr>
        <w:t>部分：通用要求</w:t>
      </w:r>
      <w:r>
        <w:rPr>
          <w:rFonts w:ascii="Times New Roman" w:eastAsia="仿宋_GB2312" w:hAnsi="Times New Roman" w:hint="eastAsia"/>
          <w:sz w:val="32"/>
          <w:szCs w:val="32"/>
        </w:rPr>
        <w:t>[S].</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[10]GB/T 14233.1,</w:t>
      </w:r>
      <w:r>
        <w:rPr>
          <w:rFonts w:ascii="Times New Roman" w:eastAsia="仿宋_GB2312" w:hAnsi="Times New Roman" w:hint="eastAsia"/>
          <w:sz w:val="32"/>
          <w:szCs w:val="32"/>
        </w:rPr>
        <w:t>医用输液、输血、注射器具检验方法第</w:t>
      </w:r>
      <w:r>
        <w:rPr>
          <w:rFonts w:ascii="Times New Roman" w:eastAsia="仿宋_GB2312" w:hAnsi="Times New Roman" w:hint="eastAsia"/>
          <w:sz w:val="32"/>
          <w:szCs w:val="32"/>
        </w:rPr>
        <w:t>1</w:t>
      </w:r>
      <w:r>
        <w:rPr>
          <w:rFonts w:ascii="Times New Roman" w:eastAsia="仿宋_GB2312" w:hAnsi="Times New Roman" w:hint="eastAsia"/>
          <w:sz w:val="32"/>
          <w:szCs w:val="32"/>
        </w:rPr>
        <w:t>部分：化学分析方法</w:t>
      </w:r>
      <w:r>
        <w:rPr>
          <w:rFonts w:ascii="Times New Roman" w:eastAsia="仿宋_GB2312" w:hAnsi="Times New Roman" w:hint="eastAsia"/>
          <w:sz w:val="32"/>
          <w:szCs w:val="32"/>
        </w:rPr>
        <w:t>[S].</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[11]GB/T 14233.2,</w:t>
      </w:r>
      <w:r>
        <w:rPr>
          <w:rFonts w:ascii="Times New Roman" w:eastAsia="仿宋_GB2312" w:hAnsi="Times New Roman" w:hint="eastAsia"/>
          <w:sz w:val="32"/>
          <w:szCs w:val="32"/>
        </w:rPr>
        <w:t>医用输液、输血、注射器具检验方法</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第</w:t>
      </w:r>
      <w:r>
        <w:rPr>
          <w:rFonts w:ascii="Times New Roman" w:eastAsia="仿宋_GB2312" w:hAnsi="Times New Roman" w:hint="eastAsia"/>
          <w:sz w:val="32"/>
          <w:szCs w:val="32"/>
        </w:rPr>
        <w:t>2</w:t>
      </w:r>
      <w:r>
        <w:rPr>
          <w:rFonts w:ascii="Times New Roman" w:eastAsia="仿宋_GB2312" w:hAnsi="Times New Roman" w:hint="eastAsia"/>
          <w:sz w:val="32"/>
          <w:szCs w:val="32"/>
        </w:rPr>
        <w:t>部分：生物学试验方法</w:t>
      </w:r>
      <w:r>
        <w:rPr>
          <w:rFonts w:ascii="Times New Roman" w:eastAsia="仿宋_GB2312" w:hAnsi="Times New Roman" w:hint="eastAsia"/>
          <w:sz w:val="32"/>
          <w:szCs w:val="32"/>
        </w:rPr>
        <w:t>[S].</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lastRenderedPageBreak/>
        <w:t>[12]GB/T 16886.1,</w:t>
      </w:r>
      <w:r>
        <w:rPr>
          <w:rFonts w:ascii="Times New Roman" w:eastAsia="仿宋_GB2312" w:hAnsi="Times New Roman" w:hint="eastAsia"/>
          <w:sz w:val="32"/>
          <w:szCs w:val="32"/>
        </w:rPr>
        <w:t>医疗器械生物学评价</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第</w:t>
      </w:r>
      <w:r>
        <w:rPr>
          <w:rFonts w:ascii="Times New Roman" w:eastAsia="仿宋_GB2312" w:hAnsi="Times New Roman" w:hint="eastAsia"/>
          <w:sz w:val="32"/>
          <w:szCs w:val="32"/>
        </w:rPr>
        <w:t>1</w:t>
      </w:r>
      <w:r>
        <w:rPr>
          <w:rFonts w:ascii="Times New Roman" w:eastAsia="仿宋_GB2312" w:hAnsi="Times New Roman" w:hint="eastAsia"/>
          <w:sz w:val="32"/>
          <w:szCs w:val="32"/>
        </w:rPr>
        <w:t>部分：风险管理过程中的评价与试验</w:t>
      </w:r>
      <w:r>
        <w:rPr>
          <w:rFonts w:ascii="Times New Roman" w:eastAsia="仿宋_GB2312" w:hAnsi="Times New Roman" w:hint="eastAsia"/>
          <w:sz w:val="32"/>
          <w:szCs w:val="32"/>
        </w:rPr>
        <w:t>[S].</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[13]YY/T 0681,</w:t>
      </w:r>
      <w:r>
        <w:rPr>
          <w:rFonts w:ascii="Times New Roman" w:eastAsia="仿宋_GB2312" w:hAnsi="Times New Roman" w:hint="eastAsia"/>
          <w:sz w:val="32"/>
          <w:szCs w:val="32"/>
        </w:rPr>
        <w:t>无菌医疗器械包装试验方法系列标准</w:t>
      </w:r>
      <w:r>
        <w:rPr>
          <w:rFonts w:ascii="Times New Roman" w:eastAsia="仿宋_GB2312" w:hAnsi="Times New Roman" w:hint="eastAsia"/>
          <w:sz w:val="32"/>
          <w:szCs w:val="32"/>
        </w:rPr>
        <w:t>[S].</w:t>
      </w:r>
    </w:p>
    <w:p w:rsidR="003E24DE" w:rsidRDefault="00614A98">
      <w:pPr>
        <w:overflowPunct w:val="0"/>
        <w:adjustRightInd w:val="0"/>
        <w:snapToGrid w:val="0"/>
        <w:spacing w:line="52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[14]YY/T 0466.1,</w:t>
      </w:r>
      <w:r>
        <w:rPr>
          <w:rFonts w:ascii="Times New Roman" w:eastAsia="仿宋_GB2312" w:hAnsi="Times New Roman" w:hint="eastAsia"/>
          <w:sz w:val="32"/>
          <w:szCs w:val="32"/>
        </w:rPr>
        <w:t>医疗器械用于医疗器械标签、标记和提供信息的符号</w:t>
      </w:r>
      <w:r>
        <w:rPr>
          <w:rFonts w:ascii="Times New Roman" w:eastAsia="仿宋_GB2312" w:hAnsi="Times New Roman" w:hint="eastAsia"/>
          <w:sz w:val="32"/>
          <w:szCs w:val="32"/>
        </w:rPr>
        <w:t xml:space="preserve"> </w:t>
      </w:r>
      <w:r>
        <w:rPr>
          <w:rFonts w:ascii="Times New Roman" w:eastAsia="仿宋_GB2312" w:hAnsi="Times New Roman" w:hint="eastAsia"/>
          <w:sz w:val="32"/>
          <w:szCs w:val="32"/>
        </w:rPr>
        <w:t>第</w:t>
      </w:r>
      <w:r>
        <w:rPr>
          <w:rFonts w:ascii="Times New Roman" w:eastAsia="仿宋_GB2312" w:hAnsi="Times New Roman" w:hint="eastAsia"/>
          <w:sz w:val="32"/>
          <w:szCs w:val="32"/>
        </w:rPr>
        <w:t>1</w:t>
      </w:r>
      <w:r>
        <w:rPr>
          <w:rFonts w:ascii="Times New Roman" w:eastAsia="仿宋_GB2312" w:hAnsi="Times New Roman" w:hint="eastAsia"/>
          <w:sz w:val="32"/>
          <w:szCs w:val="32"/>
        </w:rPr>
        <w:t>部分：通用要求</w:t>
      </w:r>
      <w:r>
        <w:rPr>
          <w:rFonts w:ascii="Times New Roman" w:eastAsia="仿宋_GB2312" w:hAnsi="Times New Roman" w:hint="eastAsia"/>
          <w:sz w:val="32"/>
          <w:szCs w:val="32"/>
        </w:rPr>
        <w:t>[S].</w:t>
      </w: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ind w:firstLineChars="200" w:firstLine="640"/>
        <w:rPr>
          <w:rFonts w:ascii="Times New Roman" w:eastAsia="仿宋_GB2312" w:hAnsi="Times New Roman"/>
          <w:sz w:val="32"/>
          <w:szCs w:val="32"/>
        </w:rPr>
      </w:pPr>
    </w:p>
    <w:p w:rsidR="003E24DE" w:rsidRDefault="003E24DE">
      <w:pPr>
        <w:tabs>
          <w:tab w:val="left" w:pos="540"/>
        </w:tabs>
        <w:adjustRightInd w:val="0"/>
        <w:snapToGrid w:val="0"/>
        <w:spacing w:line="520" w:lineRule="exact"/>
        <w:rPr>
          <w:rFonts w:ascii="Times New Roman" w:eastAsia="仿宋_GB2312" w:hAnsi="Times New Roman"/>
          <w:sz w:val="32"/>
          <w:szCs w:val="32"/>
        </w:rPr>
      </w:pPr>
    </w:p>
    <w:p w:rsidR="003E24DE" w:rsidRDefault="00614A98">
      <w:pPr>
        <w:tabs>
          <w:tab w:val="left" w:pos="540"/>
        </w:tabs>
        <w:adjustRightInd w:val="0"/>
        <w:snapToGrid w:val="0"/>
        <w:spacing w:line="520" w:lineRule="exact"/>
        <w:ind w:firstLineChars="200" w:firstLine="640"/>
        <w:rPr>
          <w:rFonts w:ascii="黑体" w:eastAsia="黑体" w:hAnsi="黑体" w:cs="黑体"/>
          <w:sz w:val="32"/>
          <w:szCs w:val="32"/>
        </w:rPr>
      </w:pPr>
      <w:r>
        <w:rPr>
          <w:rFonts w:ascii="黑体" w:eastAsia="黑体" w:hAnsi="黑体" w:cs="黑体" w:hint="eastAsia"/>
          <w:sz w:val="32"/>
          <w:szCs w:val="32"/>
        </w:rPr>
        <w:t>附表</w:t>
      </w:r>
    </w:p>
    <w:p w:rsidR="003E24DE" w:rsidRDefault="00614A98">
      <w:pPr>
        <w:overflowPunct w:val="0"/>
        <w:adjustRightInd w:val="0"/>
        <w:snapToGrid w:val="0"/>
        <w:spacing w:line="520" w:lineRule="exact"/>
        <w:ind w:firstLineChars="200" w:firstLine="560"/>
        <w:jc w:val="center"/>
        <w:rPr>
          <w:rFonts w:ascii="黑体" w:eastAsia="黑体" w:hAnsi="黑体" w:cs="黑体"/>
          <w:sz w:val="28"/>
          <w:szCs w:val="28"/>
        </w:rPr>
      </w:pPr>
      <w:r>
        <w:rPr>
          <w:rFonts w:ascii="黑体" w:eastAsia="黑体" w:hAnsi="黑体" w:cs="黑体" w:hint="eastAsia"/>
          <w:sz w:val="28"/>
          <w:szCs w:val="28"/>
        </w:rPr>
        <w:lastRenderedPageBreak/>
        <w:t>表</w:t>
      </w:r>
      <w:r>
        <w:rPr>
          <w:rFonts w:ascii="黑体" w:eastAsia="黑体" w:hAnsi="黑体" w:cs="黑体" w:hint="eastAsia"/>
          <w:sz w:val="28"/>
          <w:szCs w:val="28"/>
        </w:rPr>
        <w:t>1</w:t>
      </w:r>
      <w:r>
        <w:rPr>
          <w:rFonts w:ascii="黑体" w:eastAsia="黑体" w:hAnsi="黑体" w:cs="黑体" w:hint="eastAsia"/>
          <w:sz w:val="28"/>
          <w:szCs w:val="28"/>
        </w:rPr>
        <w:t>产品主要危害</w:t>
      </w:r>
    </w:p>
    <w:tbl>
      <w:tblPr>
        <w:tblW w:w="9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9"/>
        <w:gridCol w:w="1901"/>
        <w:gridCol w:w="3321"/>
        <w:gridCol w:w="2832"/>
      </w:tblGrid>
      <w:tr w:rsidR="003E24DE">
        <w:trPr>
          <w:trHeight w:val="532"/>
          <w:jc w:val="center"/>
        </w:trPr>
        <w:tc>
          <w:tcPr>
            <w:tcW w:w="2980" w:type="dxa"/>
            <w:gridSpan w:val="2"/>
            <w:vAlign w:val="center"/>
          </w:tcPr>
          <w:p w:rsidR="003E24DE" w:rsidRDefault="00614A98">
            <w:pPr>
              <w:adjustRightInd w:val="0"/>
              <w:snapToGrid w:val="0"/>
              <w:spacing w:line="520" w:lineRule="exact"/>
              <w:ind w:rightChars="-32" w:right="-67"/>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危害类型</w:t>
            </w:r>
          </w:p>
        </w:tc>
        <w:tc>
          <w:tcPr>
            <w:tcW w:w="3321" w:type="dxa"/>
            <w:vAlign w:val="center"/>
          </w:tcPr>
          <w:p w:rsidR="003E24DE" w:rsidRDefault="00614A98">
            <w:pPr>
              <w:adjustRightInd w:val="0"/>
              <w:snapToGrid w:val="0"/>
              <w:spacing w:line="520" w:lineRule="exact"/>
              <w:ind w:rightChars="-32" w:right="-67"/>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可预见的事件序列</w:t>
            </w:r>
          </w:p>
        </w:tc>
        <w:tc>
          <w:tcPr>
            <w:tcW w:w="2832" w:type="dxa"/>
            <w:vAlign w:val="center"/>
          </w:tcPr>
          <w:p w:rsidR="003E24DE" w:rsidRDefault="00614A98">
            <w:pPr>
              <w:adjustRightInd w:val="0"/>
              <w:snapToGrid w:val="0"/>
              <w:spacing w:line="520" w:lineRule="exact"/>
              <w:ind w:rightChars="-32" w:right="-67"/>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可能产生的危害</w:t>
            </w:r>
          </w:p>
        </w:tc>
      </w:tr>
      <w:tr w:rsidR="003E24DE">
        <w:trPr>
          <w:jc w:val="center"/>
        </w:trPr>
        <w:tc>
          <w:tcPr>
            <w:tcW w:w="1079" w:type="dxa"/>
            <w:vMerge w:val="restart"/>
            <w:vAlign w:val="center"/>
          </w:tcPr>
          <w:p w:rsidR="003E24DE" w:rsidRDefault="00614A98">
            <w:pPr>
              <w:adjustRightInd w:val="0"/>
              <w:snapToGrid w:val="0"/>
              <w:spacing w:line="520" w:lineRule="exact"/>
              <w:ind w:rightChars="-32" w:right="-67"/>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生物学危害</w:t>
            </w:r>
          </w:p>
        </w:tc>
        <w:tc>
          <w:tcPr>
            <w:tcW w:w="190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生物污染</w:t>
            </w:r>
          </w:p>
        </w:tc>
        <w:tc>
          <w:tcPr>
            <w:tcW w:w="332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包装破损或使用时操作不</w:t>
            </w:r>
            <w:r>
              <w:rPr>
                <w:rFonts w:ascii="仿宋_GB2312" w:eastAsia="仿宋_GB2312" w:hAnsi="仿宋_GB2312" w:cs="仿宋_GB2312" w:hint="eastAsia"/>
                <w:bCs/>
                <w:sz w:val="28"/>
                <w:szCs w:val="28"/>
              </w:rPr>
              <w:t>规范</w:t>
            </w:r>
            <w:r>
              <w:rPr>
                <w:rFonts w:ascii="仿宋_GB2312" w:eastAsia="仿宋_GB2312" w:hAnsi="仿宋_GB2312" w:cs="仿宋_GB2312" w:hint="eastAsia"/>
                <w:bCs/>
                <w:sz w:val="28"/>
                <w:szCs w:val="28"/>
              </w:rPr>
              <w:t>造成生物污染，产品灭菌不</w:t>
            </w:r>
            <w:r>
              <w:rPr>
                <w:rFonts w:ascii="仿宋_GB2312" w:eastAsia="仿宋_GB2312" w:hAnsi="仿宋_GB2312" w:cs="仿宋_GB2312" w:hint="eastAsia"/>
                <w:bCs/>
                <w:sz w:val="28"/>
                <w:szCs w:val="28"/>
              </w:rPr>
              <w:t>彻底</w:t>
            </w:r>
            <w:r>
              <w:rPr>
                <w:rFonts w:ascii="仿宋_GB2312" w:eastAsia="仿宋_GB2312" w:hAnsi="仿宋_GB2312" w:cs="仿宋_GB2312" w:hint="eastAsia"/>
                <w:bCs/>
                <w:sz w:val="28"/>
                <w:szCs w:val="28"/>
              </w:rPr>
              <w:t>（如适用）</w:t>
            </w:r>
          </w:p>
        </w:tc>
        <w:tc>
          <w:tcPr>
            <w:tcW w:w="2832"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产品引入致病菌，引起患者身体不适或感染</w:t>
            </w:r>
          </w:p>
        </w:tc>
      </w:tr>
      <w:tr w:rsidR="003E24DE">
        <w:trPr>
          <w:jc w:val="center"/>
        </w:trPr>
        <w:tc>
          <w:tcPr>
            <w:tcW w:w="1079" w:type="dxa"/>
            <w:vMerge/>
            <w:vAlign w:val="center"/>
          </w:tcPr>
          <w:p w:rsidR="003E24DE" w:rsidRDefault="003E24DE">
            <w:pPr>
              <w:adjustRightInd w:val="0"/>
              <w:snapToGrid w:val="0"/>
              <w:spacing w:line="520" w:lineRule="exact"/>
              <w:ind w:rightChars="-32" w:right="-67"/>
              <w:jc w:val="center"/>
              <w:rPr>
                <w:rFonts w:ascii="仿宋_GB2312" w:eastAsia="仿宋_GB2312" w:hAnsi="仿宋_GB2312" w:cs="仿宋_GB2312"/>
                <w:bCs/>
                <w:sz w:val="28"/>
                <w:szCs w:val="28"/>
              </w:rPr>
            </w:pPr>
          </w:p>
        </w:tc>
        <w:tc>
          <w:tcPr>
            <w:tcW w:w="190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环境污染</w:t>
            </w:r>
          </w:p>
        </w:tc>
        <w:tc>
          <w:tcPr>
            <w:tcW w:w="332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生产环境污染产品，如外来的粉尘、微生物、其他杂质等</w:t>
            </w:r>
          </w:p>
        </w:tc>
        <w:tc>
          <w:tcPr>
            <w:tcW w:w="2832"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引起患者身体不适或感染</w:t>
            </w:r>
          </w:p>
        </w:tc>
      </w:tr>
      <w:tr w:rsidR="003E24DE">
        <w:trPr>
          <w:trHeight w:val="983"/>
          <w:jc w:val="center"/>
        </w:trPr>
        <w:tc>
          <w:tcPr>
            <w:tcW w:w="1079" w:type="dxa"/>
            <w:vMerge/>
            <w:vAlign w:val="center"/>
          </w:tcPr>
          <w:p w:rsidR="003E24DE" w:rsidRDefault="003E24DE">
            <w:pPr>
              <w:adjustRightInd w:val="0"/>
              <w:snapToGrid w:val="0"/>
              <w:spacing w:line="520" w:lineRule="exact"/>
              <w:ind w:rightChars="-32" w:right="-67"/>
              <w:jc w:val="center"/>
              <w:rPr>
                <w:rFonts w:ascii="仿宋_GB2312" w:eastAsia="仿宋_GB2312" w:hAnsi="仿宋_GB2312" w:cs="仿宋_GB2312"/>
                <w:bCs/>
                <w:sz w:val="28"/>
                <w:szCs w:val="28"/>
              </w:rPr>
            </w:pPr>
          </w:p>
        </w:tc>
        <w:tc>
          <w:tcPr>
            <w:tcW w:w="190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生物相容性</w:t>
            </w:r>
          </w:p>
        </w:tc>
        <w:tc>
          <w:tcPr>
            <w:tcW w:w="332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采用了不合格原辅材料；生产引入了外来物质</w:t>
            </w:r>
          </w:p>
        </w:tc>
        <w:tc>
          <w:tcPr>
            <w:tcW w:w="2832"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引起患者局部发红、发痒等过敏</w:t>
            </w:r>
          </w:p>
        </w:tc>
      </w:tr>
      <w:tr w:rsidR="003E24DE">
        <w:trPr>
          <w:jc w:val="center"/>
        </w:trPr>
        <w:tc>
          <w:tcPr>
            <w:tcW w:w="1079" w:type="dxa"/>
            <w:vMerge w:val="restart"/>
            <w:vAlign w:val="center"/>
          </w:tcPr>
          <w:p w:rsidR="003E24DE" w:rsidRDefault="00614A98">
            <w:pPr>
              <w:adjustRightInd w:val="0"/>
              <w:snapToGrid w:val="0"/>
              <w:spacing w:line="520" w:lineRule="exact"/>
              <w:ind w:rightChars="-32" w:right="-67"/>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操作</w:t>
            </w:r>
          </w:p>
          <w:p w:rsidR="003E24DE" w:rsidRDefault="00614A98">
            <w:pPr>
              <w:adjustRightInd w:val="0"/>
              <w:snapToGrid w:val="0"/>
              <w:spacing w:line="520" w:lineRule="exact"/>
              <w:ind w:rightChars="-32" w:right="-67"/>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危害</w:t>
            </w:r>
          </w:p>
        </w:tc>
        <w:tc>
          <w:tcPr>
            <w:tcW w:w="190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由不熟练</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未经培训的人员使用</w:t>
            </w:r>
          </w:p>
        </w:tc>
        <w:tc>
          <w:tcPr>
            <w:tcW w:w="332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操作不熟练、操作失误</w:t>
            </w:r>
          </w:p>
        </w:tc>
        <w:tc>
          <w:tcPr>
            <w:tcW w:w="2832" w:type="dxa"/>
          </w:tcPr>
          <w:p w:rsidR="003E24DE" w:rsidRDefault="00614A98">
            <w:pPr>
              <w:adjustRightInd w:val="0"/>
              <w:snapToGrid w:val="0"/>
              <w:spacing w:line="520" w:lineRule="exac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无法保证使用安全性</w:t>
            </w:r>
          </w:p>
          <w:p w:rsidR="003E24DE" w:rsidRDefault="00614A98">
            <w:pPr>
              <w:adjustRightInd w:val="0"/>
              <w:snapToGrid w:val="0"/>
              <w:spacing w:line="520" w:lineRule="exac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导致操作失误，</w:t>
            </w:r>
            <w:r>
              <w:rPr>
                <w:rFonts w:ascii="仿宋_GB2312" w:eastAsia="仿宋_GB2312" w:hAnsi="仿宋_GB2312" w:cs="仿宋_GB2312" w:hint="eastAsia"/>
                <w:sz w:val="28"/>
                <w:szCs w:val="28"/>
              </w:rPr>
              <w:t>导致无法达到满意的效果</w:t>
            </w:r>
          </w:p>
        </w:tc>
      </w:tr>
      <w:tr w:rsidR="003E24DE">
        <w:trPr>
          <w:trHeight w:val="699"/>
          <w:jc w:val="center"/>
        </w:trPr>
        <w:tc>
          <w:tcPr>
            <w:tcW w:w="1079" w:type="dxa"/>
            <w:vMerge/>
            <w:vAlign w:val="center"/>
          </w:tcPr>
          <w:p w:rsidR="003E24DE" w:rsidRDefault="003E24DE">
            <w:pPr>
              <w:adjustRightInd w:val="0"/>
              <w:snapToGrid w:val="0"/>
              <w:spacing w:line="520" w:lineRule="exact"/>
              <w:ind w:rightChars="-32" w:right="-67"/>
              <w:rPr>
                <w:rFonts w:ascii="仿宋_GB2312" w:eastAsia="仿宋_GB2312" w:hAnsi="仿宋_GB2312" w:cs="仿宋_GB2312"/>
                <w:bCs/>
                <w:sz w:val="28"/>
                <w:szCs w:val="28"/>
              </w:rPr>
            </w:pPr>
          </w:p>
        </w:tc>
        <w:tc>
          <w:tcPr>
            <w:tcW w:w="190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使用产品时未按照说明书中操作方法操作</w:t>
            </w:r>
          </w:p>
        </w:tc>
        <w:tc>
          <w:tcPr>
            <w:tcW w:w="332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错误操作；未采取相应的保护措施</w:t>
            </w:r>
          </w:p>
        </w:tc>
        <w:tc>
          <w:tcPr>
            <w:tcW w:w="2832" w:type="dxa"/>
          </w:tcPr>
          <w:p w:rsidR="003E24DE" w:rsidRDefault="00614A98">
            <w:pPr>
              <w:adjustRightInd w:val="0"/>
              <w:snapToGrid w:val="0"/>
              <w:spacing w:line="520" w:lineRule="exac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无法保证使用安全性</w:t>
            </w:r>
          </w:p>
          <w:p w:rsidR="003E24DE" w:rsidRDefault="00614A98">
            <w:pPr>
              <w:adjustRightInd w:val="0"/>
              <w:snapToGrid w:val="0"/>
              <w:spacing w:line="520" w:lineRule="exact"/>
              <w:rPr>
                <w:rFonts w:ascii="仿宋_GB2312" w:eastAsia="仿宋_GB2312" w:hAnsi="仿宋_GB2312" w:cs="仿宋_GB2312"/>
                <w:sz w:val="28"/>
                <w:szCs w:val="28"/>
              </w:rPr>
            </w:pPr>
            <w:r>
              <w:rPr>
                <w:rFonts w:ascii="仿宋_GB2312" w:eastAsia="仿宋_GB2312" w:hAnsi="仿宋_GB2312" w:cs="仿宋_GB2312" w:hint="eastAsia"/>
                <w:bCs/>
                <w:sz w:val="28"/>
                <w:szCs w:val="28"/>
              </w:rPr>
              <w:t>导致操作失误，</w:t>
            </w:r>
            <w:r>
              <w:rPr>
                <w:rFonts w:ascii="仿宋_GB2312" w:eastAsia="仿宋_GB2312" w:hAnsi="仿宋_GB2312" w:cs="仿宋_GB2312" w:hint="eastAsia"/>
                <w:sz w:val="28"/>
                <w:szCs w:val="28"/>
              </w:rPr>
              <w:t>导致无法达到满意的效果</w:t>
            </w:r>
          </w:p>
        </w:tc>
      </w:tr>
      <w:tr w:rsidR="003E24DE">
        <w:trPr>
          <w:trHeight w:val="1985"/>
          <w:jc w:val="center"/>
        </w:trPr>
        <w:tc>
          <w:tcPr>
            <w:tcW w:w="1079" w:type="dxa"/>
            <w:vMerge/>
            <w:vAlign w:val="center"/>
          </w:tcPr>
          <w:p w:rsidR="003E24DE" w:rsidRDefault="003E24DE">
            <w:pPr>
              <w:adjustRightInd w:val="0"/>
              <w:snapToGrid w:val="0"/>
              <w:spacing w:line="520" w:lineRule="exact"/>
              <w:ind w:rightChars="-32" w:right="-67"/>
              <w:rPr>
                <w:rFonts w:ascii="仿宋_GB2312" w:eastAsia="仿宋_GB2312" w:hAnsi="仿宋_GB2312" w:cs="仿宋_GB2312"/>
                <w:bCs/>
                <w:sz w:val="28"/>
                <w:szCs w:val="28"/>
              </w:rPr>
            </w:pPr>
          </w:p>
        </w:tc>
        <w:tc>
          <w:tcPr>
            <w:tcW w:w="1901" w:type="dxa"/>
            <w:vAlign w:val="center"/>
          </w:tcPr>
          <w:p w:rsidR="003E24DE" w:rsidRDefault="00614A98">
            <w:pPr>
              <w:adjustRightInd w:val="0"/>
              <w:snapToGrid w:val="0"/>
              <w:spacing w:line="520" w:lineRule="exac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忽视说明书中禁忌证、警示信息等内容</w:t>
            </w:r>
          </w:p>
        </w:tc>
        <w:tc>
          <w:tcPr>
            <w:tcW w:w="332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患者在使用过程中出现过敏</w:t>
            </w:r>
          </w:p>
        </w:tc>
        <w:tc>
          <w:tcPr>
            <w:tcW w:w="2832"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引起患者过敏等</w:t>
            </w:r>
          </w:p>
        </w:tc>
      </w:tr>
      <w:tr w:rsidR="003E24DE">
        <w:trPr>
          <w:jc w:val="center"/>
        </w:trPr>
        <w:tc>
          <w:tcPr>
            <w:tcW w:w="1079" w:type="dxa"/>
            <w:vMerge w:val="restart"/>
            <w:vAlign w:val="center"/>
          </w:tcPr>
          <w:p w:rsidR="003E24DE" w:rsidRDefault="00614A98">
            <w:pPr>
              <w:adjustRightInd w:val="0"/>
              <w:snapToGrid w:val="0"/>
              <w:spacing w:line="520" w:lineRule="exact"/>
              <w:ind w:rightChars="-32" w:right="-67"/>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信息</w:t>
            </w:r>
          </w:p>
          <w:p w:rsidR="003E24DE" w:rsidRDefault="00614A98">
            <w:pPr>
              <w:adjustRightInd w:val="0"/>
              <w:snapToGrid w:val="0"/>
              <w:spacing w:line="520" w:lineRule="exact"/>
              <w:ind w:rightChars="-32" w:right="-67"/>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危害</w:t>
            </w:r>
          </w:p>
          <w:p w:rsidR="003E24DE" w:rsidRDefault="003E24DE">
            <w:pPr>
              <w:adjustRightInd w:val="0"/>
              <w:snapToGrid w:val="0"/>
              <w:spacing w:line="520" w:lineRule="exact"/>
              <w:ind w:rightChars="-32" w:right="-67"/>
              <w:rPr>
                <w:rFonts w:ascii="仿宋_GB2312" w:eastAsia="仿宋_GB2312" w:hAnsi="仿宋_GB2312" w:cs="仿宋_GB2312"/>
                <w:bCs/>
                <w:sz w:val="28"/>
                <w:szCs w:val="28"/>
              </w:rPr>
            </w:pPr>
          </w:p>
        </w:tc>
        <w:tc>
          <w:tcPr>
            <w:tcW w:w="190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不正确的说明书；说明书上的注意事项、禁忌证不全</w:t>
            </w:r>
          </w:p>
        </w:tc>
        <w:tc>
          <w:tcPr>
            <w:tcW w:w="332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缺少详细的使用方法、必要的警告说明</w:t>
            </w:r>
          </w:p>
        </w:tc>
        <w:tc>
          <w:tcPr>
            <w:tcW w:w="2832"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错误操作；产品被多次使用；无法保证使用安全有效性</w:t>
            </w:r>
          </w:p>
        </w:tc>
      </w:tr>
      <w:tr w:rsidR="003E24DE">
        <w:trPr>
          <w:jc w:val="center"/>
        </w:trPr>
        <w:tc>
          <w:tcPr>
            <w:tcW w:w="1079" w:type="dxa"/>
            <w:vMerge/>
            <w:vAlign w:val="center"/>
          </w:tcPr>
          <w:p w:rsidR="003E24DE" w:rsidRDefault="003E24DE">
            <w:pPr>
              <w:adjustRightInd w:val="0"/>
              <w:snapToGrid w:val="0"/>
              <w:spacing w:line="520" w:lineRule="exact"/>
              <w:ind w:rightChars="-32" w:right="-67"/>
              <w:rPr>
                <w:rFonts w:ascii="仿宋_GB2312" w:eastAsia="仿宋_GB2312" w:hAnsi="仿宋_GB2312" w:cs="仿宋_GB2312"/>
                <w:bCs/>
                <w:sz w:val="28"/>
                <w:szCs w:val="28"/>
              </w:rPr>
            </w:pPr>
          </w:p>
        </w:tc>
        <w:tc>
          <w:tcPr>
            <w:tcW w:w="190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对医疗器械寿命终止缺少适</w:t>
            </w:r>
            <w:r>
              <w:rPr>
                <w:rFonts w:ascii="仿宋_GB2312" w:eastAsia="仿宋_GB2312" w:hAnsi="仿宋_GB2312" w:cs="仿宋_GB2312" w:hint="eastAsia"/>
                <w:bCs/>
                <w:sz w:val="28"/>
                <w:szCs w:val="28"/>
              </w:rPr>
              <w:lastRenderedPageBreak/>
              <w:t>当的决定</w:t>
            </w:r>
          </w:p>
        </w:tc>
        <w:tc>
          <w:tcPr>
            <w:tcW w:w="332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没有标识产品有效期</w:t>
            </w:r>
          </w:p>
        </w:tc>
        <w:tc>
          <w:tcPr>
            <w:tcW w:w="2832"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超出有效期的产品被使用，可能会引起患者</w:t>
            </w:r>
            <w:r>
              <w:rPr>
                <w:rFonts w:ascii="仿宋_GB2312" w:eastAsia="仿宋_GB2312" w:hAnsi="仿宋_GB2312" w:cs="仿宋_GB2312" w:hint="eastAsia"/>
                <w:bCs/>
                <w:sz w:val="28"/>
                <w:szCs w:val="28"/>
              </w:rPr>
              <w:lastRenderedPageBreak/>
              <w:t>细菌感染，或因材料老化产生而导致产品性能不符合要求</w:t>
            </w:r>
          </w:p>
        </w:tc>
      </w:tr>
      <w:tr w:rsidR="003E24DE">
        <w:trPr>
          <w:jc w:val="center"/>
        </w:trPr>
        <w:tc>
          <w:tcPr>
            <w:tcW w:w="1079" w:type="dxa"/>
            <w:vMerge/>
            <w:vAlign w:val="center"/>
          </w:tcPr>
          <w:p w:rsidR="003E24DE" w:rsidRDefault="003E24DE">
            <w:pPr>
              <w:adjustRightInd w:val="0"/>
              <w:snapToGrid w:val="0"/>
              <w:spacing w:line="520" w:lineRule="exact"/>
              <w:ind w:rightChars="-32" w:right="-67"/>
              <w:rPr>
                <w:rFonts w:ascii="仿宋_GB2312" w:eastAsia="仿宋_GB2312" w:hAnsi="仿宋_GB2312" w:cs="仿宋_GB2312"/>
                <w:bCs/>
                <w:sz w:val="28"/>
                <w:szCs w:val="28"/>
              </w:rPr>
            </w:pPr>
          </w:p>
        </w:tc>
        <w:tc>
          <w:tcPr>
            <w:tcW w:w="190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不适当的产品包装（产品污染</w:t>
            </w:r>
            <w:r>
              <w:rPr>
                <w:rFonts w:ascii="仿宋_GB2312" w:eastAsia="仿宋_GB2312" w:hAnsi="仿宋_GB2312" w:cs="仿宋_GB2312" w:hint="eastAsia"/>
                <w:bCs/>
                <w:sz w:val="28"/>
                <w:szCs w:val="28"/>
              </w:rPr>
              <w:t>）</w:t>
            </w:r>
            <w:r>
              <w:rPr>
                <w:rFonts w:ascii="仿宋_GB2312" w:eastAsia="仿宋_GB2312" w:hAnsi="仿宋_GB2312" w:cs="仿宋_GB2312" w:hint="eastAsia"/>
                <w:bCs/>
                <w:sz w:val="28"/>
                <w:szCs w:val="28"/>
              </w:rPr>
              <w:t>（如适用）</w:t>
            </w:r>
          </w:p>
        </w:tc>
        <w:tc>
          <w:tcPr>
            <w:tcW w:w="332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生产、运输、搬运和储存过程中导致包装破损；包装封口不严密；包装材料选择不适当；使用前未检查产品包装状态</w:t>
            </w:r>
          </w:p>
        </w:tc>
        <w:tc>
          <w:tcPr>
            <w:tcW w:w="2832"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产品使用性能无法得到保证</w:t>
            </w:r>
          </w:p>
        </w:tc>
      </w:tr>
      <w:tr w:rsidR="003E24DE">
        <w:trPr>
          <w:jc w:val="center"/>
        </w:trPr>
        <w:tc>
          <w:tcPr>
            <w:tcW w:w="1079" w:type="dxa"/>
            <w:vMerge/>
            <w:vAlign w:val="center"/>
          </w:tcPr>
          <w:p w:rsidR="003E24DE" w:rsidRDefault="003E24DE">
            <w:pPr>
              <w:adjustRightInd w:val="0"/>
              <w:snapToGrid w:val="0"/>
              <w:spacing w:line="520" w:lineRule="exact"/>
              <w:ind w:rightChars="-32" w:right="-67"/>
              <w:rPr>
                <w:rFonts w:ascii="仿宋_GB2312" w:eastAsia="仿宋_GB2312" w:hAnsi="仿宋_GB2312" w:cs="仿宋_GB2312"/>
                <w:bCs/>
                <w:sz w:val="28"/>
                <w:szCs w:val="28"/>
              </w:rPr>
            </w:pPr>
          </w:p>
        </w:tc>
        <w:tc>
          <w:tcPr>
            <w:tcW w:w="190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未提示使用后处理</w:t>
            </w:r>
          </w:p>
        </w:tc>
        <w:tc>
          <w:tcPr>
            <w:tcW w:w="3321"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产品使用后未按医疗垃圾处理</w:t>
            </w:r>
          </w:p>
        </w:tc>
        <w:tc>
          <w:tcPr>
            <w:tcW w:w="2832" w:type="dxa"/>
            <w:vAlign w:val="center"/>
          </w:tcPr>
          <w:p w:rsidR="003E24DE" w:rsidRDefault="00614A98">
            <w:pPr>
              <w:adjustRightInd w:val="0"/>
              <w:snapToGrid w:val="0"/>
              <w:spacing w:line="520" w:lineRule="exact"/>
              <w:ind w:rightChars="-32" w:right="-67"/>
              <w:rPr>
                <w:rFonts w:ascii="仿宋_GB2312" w:eastAsia="仿宋_GB2312" w:hAnsi="仿宋_GB2312" w:cs="仿宋_GB2312"/>
                <w:bCs/>
                <w:sz w:val="28"/>
                <w:szCs w:val="28"/>
              </w:rPr>
            </w:pPr>
            <w:r>
              <w:rPr>
                <w:rFonts w:ascii="仿宋_GB2312" w:eastAsia="仿宋_GB2312" w:hAnsi="仿宋_GB2312" w:cs="仿宋_GB2312" w:hint="eastAsia"/>
                <w:bCs/>
                <w:sz w:val="28"/>
                <w:szCs w:val="28"/>
              </w:rPr>
              <w:t>环境污染，细菌感染</w:t>
            </w:r>
          </w:p>
        </w:tc>
      </w:tr>
    </w:tbl>
    <w:p w:rsidR="003E24DE" w:rsidRDefault="003E24DE">
      <w:pPr>
        <w:overflowPunct w:val="0"/>
        <w:adjustRightInd w:val="0"/>
        <w:snapToGrid w:val="0"/>
        <w:spacing w:line="520" w:lineRule="exact"/>
        <w:jc w:val="left"/>
        <w:rPr>
          <w:rFonts w:ascii="Times New Roman" w:eastAsia="仿宋_GB2312" w:hAnsi="Times New Roman"/>
          <w:sz w:val="32"/>
          <w:szCs w:val="32"/>
        </w:rPr>
      </w:pPr>
    </w:p>
    <w:sectPr w:rsidR="003E24DE">
      <w:footerReference w:type="even" r:id="rId9"/>
      <w:footerReference w:type="default" r:id="rId10"/>
      <w:pgSz w:w="11906" w:h="16838"/>
      <w:pgMar w:top="1440" w:right="1797" w:bottom="1440" w:left="1797" w:header="851" w:footer="992" w:gutter="0"/>
      <w:lnNumType w:countBy="1" w:restart="continuous"/>
      <w:pgNumType w:start="169"/>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A98" w:rsidRDefault="00614A98">
      <w:r>
        <w:separator/>
      </w:r>
    </w:p>
  </w:endnote>
  <w:endnote w:type="continuationSeparator" w:id="0">
    <w:p w:rsidR="00614A98" w:rsidRDefault="00614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altName w:val="DejaVu Sans"/>
    <w:panose1 w:val="020F0502020204030204"/>
    <w:charset w:val="00"/>
    <w:family w:val="swiss"/>
    <w:pitch w:val="variable"/>
    <w:sig w:usb0="E4002EFF" w:usb1="C000247B" w:usb2="00000009" w:usb3="00000000" w:csb0="000001FF" w:csb1="00000000"/>
  </w:font>
  <w:font w:name="Courier New">
    <w:panose1 w:val="02070309020205020404"/>
    <w:charset w:val="01"/>
    <w:family w:val="modern"/>
    <w:pitch w:val="default"/>
    <w:sig w:usb0="E0002AFF" w:usb1="C0007843" w:usb2="00000009" w:usb3="00000000" w:csb0="400001FF" w:csb1="FFFF0000"/>
  </w:font>
  <w:font w:name="方正小标宋简体">
    <w:panose1 w:val="03000509000000000000"/>
    <w:charset w:val="86"/>
    <w:family w:val="script"/>
    <w:pitch w:val="fixed"/>
    <w:sig w:usb0="00000001" w:usb1="080E0000" w:usb2="00000010" w:usb3="00000000" w:csb0="00040000" w:csb1="00000000"/>
  </w:font>
  <w:font w:name="楷体_GB2312">
    <w:altName w:val="方正楷体_GBK"/>
    <w:panose1 w:val="02010609030101010101"/>
    <w:charset w:val="86"/>
    <w:family w:val="modern"/>
    <w:pitch w:val="fixed"/>
    <w:sig w:usb0="00000001" w:usb1="080E0000" w:usb2="00000010" w:usb3="00000000" w:csb0="00040000" w:csb1="00000000"/>
  </w:font>
  <w:font w:name="仿宋_GB2312">
    <w:altName w:val="方正仿宋_GBK"/>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655651047"/>
        </w:sdtPr>
        <w:sdtEndPr>
          <w:rPr>
            <w:rFonts w:ascii="Times New Roman" w:hAnsi="Times New Roman"/>
            <w:sz w:val="28"/>
            <w:szCs w:val="28"/>
          </w:rPr>
        </w:sdtEndPr>
        <w:sdtContent>
          <w:p w:rsidR="003E24DE" w:rsidRDefault="00614A98">
            <w:pPr>
              <w:pStyle w:val="ab"/>
              <w:rPr>
                <w:rFonts w:ascii="Times New Roman" w:hAnsi="Times New Roman"/>
                <w:sz w:val="28"/>
                <w:szCs w:val="28"/>
              </w:rPr>
            </w:pPr>
            <w:r>
              <w:rPr>
                <w:rFonts w:ascii="Times New Roman" w:hAnsi="Times New Roman"/>
                <w:sz w:val="28"/>
                <w:szCs w:val="28"/>
              </w:rPr>
              <w:t xml:space="preserve">— </w:t>
            </w:r>
            <w:r>
              <w:rPr>
                <w:rFonts w:ascii="Times New Roman" w:hAnsi="Times New Roman" w:hint="eastAsia"/>
                <w:sz w:val="28"/>
                <w:szCs w:val="28"/>
              </w:rPr>
              <w:t>4</w:t>
            </w:r>
            <w:r>
              <w:rPr>
                <w:rFonts w:ascii="Times New Roman" w:hAnsi="Times New Roman"/>
                <w:sz w:val="28"/>
                <w:szCs w:val="28"/>
              </w:rPr>
              <w:t>—</w:t>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4DE" w:rsidRDefault="003E24DE">
    <w:pPr>
      <w:pStyle w:val="ab"/>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A98" w:rsidRDefault="00614A98">
      <w:r>
        <w:separator/>
      </w:r>
    </w:p>
  </w:footnote>
  <w:footnote w:type="continuationSeparator" w:id="0">
    <w:p w:rsidR="00614A98" w:rsidRDefault="00614A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mOWUxNTM5ZDdhZjdiYzBhOGEzMzBjZGI5ZjZhZmQifQ=="/>
  </w:docVars>
  <w:rsids>
    <w:rsidRoot w:val="00902EA5"/>
    <w:rsid w:val="8FFF3BB2"/>
    <w:rsid w:val="97FECE1F"/>
    <w:rsid w:val="9BEFBF59"/>
    <w:rsid w:val="9E7E1730"/>
    <w:rsid w:val="9EBFA1DB"/>
    <w:rsid w:val="9EE7ABE2"/>
    <w:rsid w:val="9FBC0757"/>
    <w:rsid w:val="A3E626E9"/>
    <w:rsid w:val="A9F90870"/>
    <w:rsid w:val="ABDF61CE"/>
    <w:rsid w:val="AECDEB19"/>
    <w:rsid w:val="B57763F8"/>
    <w:rsid w:val="B5FFA7BF"/>
    <w:rsid w:val="B67F400B"/>
    <w:rsid w:val="B7B93EB0"/>
    <w:rsid w:val="B7BA49CE"/>
    <w:rsid w:val="BADEBE0F"/>
    <w:rsid w:val="BBAFA5B8"/>
    <w:rsid w:val="BC7D5F0B"/>
    <w:rsid w:val="BD75E862"/>
    <w:rsid w:val="BDB7F623"/>
    <w:rsid w:val="BEDB9062"/>
    <w:rsid w:val="BEFD6B66"/>
    <w:rsid w:val="BFB97A4B"/>
    <w:rsid w:val="BFFF37D6"/>
    <w:rsid w:val="C06B110A"/>
    <w:rsid w:val="C75BF51D"/>
    <w:rsid w:val="C7EF0075"/>
    <w:rsid w:val="CCF77A7D"/>
    <w:rsid w:val="CF67D812"/>
    <w:rsid w:val="CFD9E7BF"/>
    <w:rsid w:val="D2FC3917"/>
    <w:rsid w:val="D77A135C"/>
    <w:rsid w:val="D7FAD479"/>
    <w:rsid w:val="D9BE9D07"/>
    <w:rsid w:val="DEBFBC47"/>
    <w:rsid w:val="DED76344"/>
    <w:rsid w:val="DEDB94E3"/>
    <w:rsid w:val="DEF590B6"/>
    <w:rsid w:val="DF9FFC56"/>
    <w:rsid w:val="DFBE05CC"/>
    <w:rsid w:val="DFE69CA2"/>
    <w:rsid w:val="E77F2BDA"/>
    <w:rsid w:val="E77FA49F"/>
    <w:rsid w:val="EAEBD014"/>
    <w:rsid w:val="EBDABA7E"/>
    <w:rsid w:val="EEFF5874"/>
    <w:rsid w:val="EF9DECF7"/>
    <w:rsid w:val="EFCFFAE4"/>
    <w:rsid w:val="EFF571B2"/>
    <w:rsid w:val="F19C7E49"/>
    <w:rsid w:val="F359C810"/>
    <w:rsid w:val="F5ABC7BD"/>
    <w:rsid w:val="F5FB3A74"/>
    <w:rsid w:val="F5FF7EB2"/>
    <w:rsid w:val="F6BF78C3"/>
    <w:rsid w:val="F74BF5C1"/>
    <w:rsid w:val="F7A52DCA"/>
    <w:rsid w:val="F7AEA568"/>
    <w:rsid w:val="F7EA8DEE"/>
    <w:rsid w:val="FA7F4B5A"/>
    <w:rsid w:val="FBFF9031"/>
    <w:rsid w:val="FBFFB35F"/>
    <w:rsid w:val="FC3FD893"/>
    <w:rsid w:val="FD3862D3"/>
    <w:rsid w:val="FD76BE1C"/>
    <w:rsid w:val="FDAF7FB7"/>
    <w:rsid w:val="FDBF1F67"/>
    <w:rsid w:val="FDBF8873"/>
    <w:rsid w:val="FDD6309D"/>
    <w:rsid w:val="FDDF8D6A"/>
    <w:rsid w:val="FDE557C7"/>
    <w:rsid w:val="FDEFC50B"/>
    <w:rsid w:val="FDF7C12F"/>
    <w:rsid w:val="FDFB26FE"/>
    <w:rsid w:val="FEBB4EB6"/>
    <w:rsid w:val="FEBB6E02"/>
    <w:rsid w:val="FEEE5DE4"/>
    <w:rsid w:val="FEFD6699"/>
    <w:rsid w:val="FEFF1399"/>
    <w:rsid w:val="FF5F8120"/>
    <w:rsid w:val="FF6F91E9"/>
    <w:rsid w:val="FFAF3EE3"/>
    <w:rsid w:val="FFB52540"/>
    <w:rsid w:val="FFD8BE5C"/>
    <w:rsid w:val="FFEF510E"/>
    <w:rsid w:val="FFF710D9"/>
    <w:rsid w:val="FFF7561A"/>
    <w:rsid w:val="FFFB9ECE"/>
    <w:rsid w:val="FFFE3EC0"/>
    <w:rsid w:val="FFFFB1B3"/>
    <w:rsid w:val="FFFFBA36"/>
    <w:rsid w:val="00002780"/>
    <w:rsid w:val="000040B0"/>
    <w:rsid w:val="00004443"/>
    <w:rsid w:val="0000651A"/>
    <w:rsid w:val="0000750A"/>
    <w:rsid w:val="000101AA"/>
    <w:rsid w:val="000121B4"/>
    <w:rsid w:val="00016D8B"/>
    <w:rsid w:val="000213E1"/>
    <w:rsid w:val="00023B03"/>
    <w:rsid w:val="0002455F"/>
    <w:rsid w:val="00025C45"/>
    <w:rsid w:val="000302DF"/>
    <w:rsid w:val="00030F48"/>
    <w:rsid w:val="000314EB"/>
    <w:rsid w:val="000344EF"/>
    <w:rsid w:val="00034E04"/>
    <w:rsid w:val="00035762"/>
    <w:rsid w:val="000364BE"/>
    <w:rsid w:val="000373A8"/>
    <w:rsid w:val="00040168"/>
    <w:rsid w:val="000402C6"/>
    <w:rsid w:val="000414C4"/>
    <w:rsid w:val="00042497"/>
    <w:rsid w:val="000425DE"/>
    <w:rsid w:val="00042701"/>
    <w:rsid w:val="0004301E"/>
    <w:rsid w:val="00043905"/>
    <w:rsid w:val="00046A3A"/>
    <w:rsid w:val="000470B6"/>
    <w:rsid w:val="00050920"/>
    <w:rsid w:val="00051D65"/>
    <w:rsid w:val="00053B8C"/>
    <w:rsid w:val="00055598"/>
    <w:rsid w:val="000568BF"/>
    <w:rsid w:val="00056967"/>
    <w:rsid w:val="00056AC5"/>
    <w:rsid w:val="00057310"/>
    <w:rsid w:val="000577C4"/>
    <w:rsid w:val="000603D1"/>
    <w:rsid w:val="00061131"/>
    <w:rsid w:val="000620D4"/>
    <w:rsid w:val="000650A8"/>
    <w:rsid w:val="00066A27"/>
    <w:rsid w:val="00071C23"/>
    <w:rsid w:val="00071EFE"/>
    <w:rsid w:val="00072886"/>
    <w:rsid w:val="00072ABD"/>
    <w:rsid w:val="000732DE"/>
    <w:rsid w:val="00073474"/>
    <w:rsid w:val="00075419"/>
    <w:rsid w:val="00077D02"/>
    <w:rsid w:val="0008393E"/>
    <w:rsid w:val="00084E86"/>
    <w:rsid w:val="000858BA"/>
    <w:rsid w:val="000864DA"/>
    <w:rsid w:val="00086B8E"/>
    <w:rsid w:val="0008758E"/>
    <w:rsid w:val="000879F9"/>
    <w:rsid w:val="000900B6"/>
    <w:rsid w:val="00090B15"/>
    <w:rsid w:val="000925D4"/>
    <w:rsid w:val="000932E9"/>
    <w:rsid w:val="00093D6B"/>
    <w:rsid w:val="000A1482"/>
    <w:rsid w:val="000A3BD0"/>
    <w:rsid w:val="000A646B"/>
    <w:rsid w:val="000A6B7B"/>
    <w:rsid w:val="000B11D1"/>
    <w:rsid w:val="000B225A"/>
    <w:rsid w:val="000B5F54"/>
    <w:rsid w:val="000B6418"/>
    <w:rsid w:val="000B6472"/>
    <w:rsid w:val="000B71BE"/>
    <w:rsid w:val="000B72F3"/>
    <w:rsid w:val="000C0136"/>
    <w:rsid w:val="000C0DFF"/>
    <w:rsid w:val="000C2299"/>
    <w:rsid w:val="000C2E3B"/>
    <w:rsid w:val="000C4282"/>
    <w:rsid w:val="000C4FB8"/>
    <w:rsid w:val="000C6B51"/>
    <w:rsid w:val="000D0C40"/>
    <w:rsid w:val="000D28D6"/>
    <w:rsid w:val="000D2BDD"/>
    <w:rsid w:val="000D4D59"/>
    <w:rsid w:val="000D5CE1"/>
    <w:rsid w:val="000D5FA2"/>
    <w:rsid w:val="000E0CF2"/>
    <w:rsid w:val="000E1183"/>
    <w:rsid w:val="000E1DE2"/>
    <w:rsid w:val="000E1FF9"/>
    <w:rsid w:val="000E415C"/>
    <w:rsid w:val="000E6125"/>
    <w:rsid w:val="000F1A9B"/>
    <w:rsid w:val="000F28B5"/>
    <w:rsid w:val="000F3B44"/>
    <w:rsid w:val="000F651B"/>
    <w:rsid w:val="00100198"/>
    <w:rsid w:val="00101757"/>
    <w:rsid w:val="0010258E"/>
    <w:rsid w:val="00102928"/>
    <w:rsid w:val="0010483A"/>
    <w:rsid w:val="001070BB"/>
    <w:rsid w:val="00107D0E"/>
    <w:rsid w:val="00111718"/>
    <w:rsid w:val="001136DC"/>
    <w:rsid w:val="001157F6"/>
    <w:rsid w:val="00117DD3"/>
    <w:rsid w:val="00122DCA"/>
    <w:rsid w:val="00124378"/>
    <w:rsid w:val="001248EB"/>
    <w:rsid w:val="00132864"/>
    <w:rsid w:val="00134422"/>
    <w:rsid w:val="00136DA5"/>
    <w:rsid w:val="00141C54"/>
    <w:rsid w:val="00142F26"/>
    <w:rsid w:val="00143E0B"/>
    <w:rsid w:val="00144D30"/>
    <w:rsid w:val="0015164E"/>
    <w:rsid w:val="0015180D"/>
    <w:rsid w:val="00151AF0"/>
    <w:rsid w:val="00152053"/>
    <w:rsid w:val="001522E7"/>
    <w:rsid w:val="00152B2F"/>
    <w:rsid w:val="00152D4E"/>
    <w:rsid w:val="00153D16"/>
    <w:rsid w:val="00154D1E"/>
    <w:rsid w:val="0015538F"/>
    <w:rsid w:val="00157F59"/>
    <w:rsid w:val="001617DF"/>
    <w:rsid w:val="0016217E"/>
    <w:rsid w:val="00164976"/>
    <w:rsid w:val="00164EC1"/>
    <w:rsid w:val="0016540C"/>
    <w:rsid w:val="001670E2"/>
    <w:rsid w:val="0016757D"/>
    <w:rsid w:val="001705AE"/>
    <w:rsid w:val="00170791"/>
    <w:rsid w:val="00170DF5"/>
    <w:rsid w:val="0017139D"/>
    <w:rsid w:val="00172ABC"/>
    <w:rsid w:val="00173B6C"/>
    <w:rsid w:val="001760CC"/>
    <w:rsid w:val="001763D7"/>
    <w:rsid w:val="00177256"/>
    <w:rsid w:val="00177555"/>
    <w:rsid w:val="0017791F"/>
    <w:rsid w:val="00180B12"/>
    <w:rsid w:val="00180BB8"/>
    <w:rsid w:val="0018123B"/>
    <w:rsid w:val="00182BD1"/>
    <w:rsid w:val="00183D3A"/>
    <w:rsid w:val="00183E92"/>
    <w:rsid w:val="001852C6"/>
    <w:rsid w:val="0019152D"/>
    <w:rsid w:val="001928A6"/>
    <w:rsid w:val="00192F0E"/>
    <w:rsid w:val="001973A6"/>
    <w:rsid w:val="001A0344"/>
    <w:rsid w:val="001A14B1"/>
    <w:rsid w:val="001A3439"/>
    <w:rsid w:val="001A46FD"/>
    <w:rsid w:val="001A5106"/>
    <w:rsid w:val="001A53AD"/>
    <w:rsid w:val="001A606E"/>
    <w:rsid w:val="001A6BCA"/>
    <w:rsid w:val="001A7586"/>
    <w:rsid w:val="001A76ED"/>
    <w:rsid w:val="001A7D62"/>
    <w:rsid w:val="001B18C0"/>
    <w:rsid w:val="001B1900"/>
    <w:rsid w:val="001B2358"/>
    <w:rsid w:val="001B294E"/>
    <w:rsid w:val="001B4256"/>
    <w:rsid w:val="001B53A7"/>
    <w:rsid w:val="001C07DF"/>
    <w:rsid w:val="001C2BC6"/>
    <w:rsid w:val="001C3AF0"/>
    <w:rsid w:val="001C523B"/>
    <w:rsid w:val="001C7CD2"/>
    <w:rsid w:val="001D0B7F"/>
    <w:rsid w:val="001D245E"/>
    <w:rsid w:val="001D2950"/>
    <w:rsid w:val="001D4245"/>
    <w:rsid w:val="001D5408"/>
    <w:rsid w:val="001D5C54"/>
    <w:rsid w:val="001D6C81"/>
    <w:rsid w:val="001E0D44"/>
    <w:rsid w:val="001E12B0"/>
    <w:rsid w:val="001E15F6"/>
    <w:rsid w:val="001E172E"/>
    <w:rsid w:val="001E2659"/>
    <w:rsid w:val="001E2FF5"/>
    <w:rsid w:val="001E3C67"/>
    <w:rsid w:val="001F1DF6"/>
    <w:rsid w:val="001F223F"/>
    <w:rsid w:val="001F2C8F"/>
    <w:rsid w:val="001F30CE"/>
    <w:rsid w:val="001F604A"/>
    <w:rsid w:val="001F74E9"/>
    <w:rsid w:val="001F7CC6"/>
    <w:rsid w:val="00200BFE"/>
    <w:rsid w:val="00200DA7"/>
    <w:rsid w:val="0020171C"/>
    <w:rsid w:val="00201E97"/>
    <w:rsid w:val="00202086"/>
    <w:rsid w:val="002021B6"/>
    <w:rsid w:val="002024FD"/>
    <w:rsid w:val="00202743"/>
    <w:rsid w:val="00202839"/>
    <w:rsid w:val="00205254"/>
    <w:rsid w:val="0020645A"/>
    <w:rsid w:val="0021141A"/>
    <w:rsid w:val="00212740"/>
    <w:rsid w:val="0021398D"/>
    <w:rsid w:val="00213A90"/>
    <w:rsid w:val="00213F1F"/>
    <w:rsid w:val="00220244"/>
    <w:rsid w:val="00220804"/>
    <w:rsid w:val="00221D94"/>
    <w:rsid w:val="00221ED7"/>
    <w:rsid w:val="00222207"/>
    <w:rsid w:val="002236C5"/>
    <w:rsid w:val="00224B57"/>
    <w:rsid w:val="00224B9D"/>
    <w:rsid w:val="0022587C"/>
    <w:rsid w:val="002273C6"/>
    <w:rsid w:val="00227E69"/>
    <w:rsid w:val="0023387F"/>
    <w:rsid w:val="00235A57"/>
    <w:rsid w:val="0023665F"/>
    <w:rsid w:val="00236B78"/>
    <w:rsid w:val="00237AE0"/>
    <w:rsid w:val="00237B2D"/>
    <w:rsid w:val="00237D76"/>
    <w:rsid w:val="002406E6"/>
    <w:rsid w:val="00241908"/>
    <w:rsid w:val="002427A6"/>
    <w:rsid w:val="00242AF2"/>
    <w:rsid w:val="0024362D"/>
    <w:rsid w:val="00243A55"/>
    <w:rsid w:val="002450DB"/>
    <w:rsid w:val="0024562F"/>
    <w:rsid w:val="0025036F"/>
    <w:rsid w:val="00250744"/>
    <w:rsid w:val="00251739"/>
    <w:rsid w:val="00251B5B"/>
    <w:rsid w:val="00251C03"/>
    <w:rsid w:val="0025334A"/>
    <w:rsid w:val="0025378A"/>
    <w:rsid w:val="0025720B"/>
    <w:rsid w:val="00257BF3"/>
    <w:rsid w:val="00260A28"/>
    <w:rsid w:val="00260DF5"/>
    <w:rsid w:val="002621C2"/>
    <w:rsid w:val="00262219"/>
    <w:rsid w:val="0026399B"/>
    <w:rsid w:val="00266FC9"/>
    <w:rsid w:val="00271182"/>
    <w:rsid w:val="00271F17"/>
    <w:rsid w:val="00272EE7"/>
    <w:rsid w:val="0027314A"/>
    <w:rsid w:val="00273F18"/>
    <w:rsid w:val="0027485E"/>
    <w:rsid w:val="002753A3"/>
    <w:rsid w:val="00277A11"/>
    <w:rsid w:val="00280A65"/>
    <w:rsid w:val="00280BD6"/>
    <w:rsid w:val="00280FD0"/>
    <w:rsid w:val="00281027"/>
    <w:rsid w:val="00281218"/>
    <w:rsid w:val="0028123B"/>
    <w:rsid w:val="002827CB"/>
    <w:rsid w:val="00283AD7"/>
    <w:rsid w:val="0028486B"/>
    <w:rsid w:val="002901B5"/>
    <w:rsid w:val="00290339"/>
    <w:rsid w:val="00291C15"/>
    <w:rsid w:val="00293EF3"/>
    <w:rsid w:val="00294EBE"/>
    <w:rsid w:val="002957E0"/>
    <w:rsid w:val="0029681E"/>
    <w:rsid w:val="00297BB0"/>
    <w:rsid w:val="00297BCE"/>
    <w:rsid w:val="002A07B3"/>
    <w:rsid w:val="002A092D"/>
    <w:rsid w:val="002A22AA"/>
    <w:rsid w:val="002A2571"/>
    <w:rsid w:val="002A3DA7"/>
    <w:rsid w:val="002A50F0"/>
    <w:rsid w:val="002A54A0"/>
    <w:rsid w:val="002B0168"/>
    <w:rsid w:val="002B13BF"/>
    <w:rsid w:val="002B1C0C"/>
    <w:rsid w:val="002B2B62"/>
    <w:rsid w:val="002B7D73"/>
    <w:rsid w:val="002C0579"/>
    <w:rsid w:val="002C24FF"/>
    <w:rsid w:val="002C3ECE"/>
    <w:rsid w:val="002C6D3C"/>
    <w:rsid w:val="002D07BB"/>
    <w:rsid w:val="002D0F56"/>
    <w:rsid w:val="002D1913"/>
    <w:rsid w:val="002D265E"/>
    <w:rsid w:val="002D34CE"/>
    <w:rsid w:val="002E12D7"/>
    <w:rsid w:val="002E5403"/>
    <w:rsid w:val="002E6136"/>
    <w:rsid w:val="002E6B44"/>
    <w:rsid w:val="002F061D"/>
    <w:rsid w:val="002F0766"/>
    <w:rsid w:val="002F0C68"/>
    <w:rsid w:val="002F1155"/>
    <w:rsid w:val="002F27AA"/>
    <w:rsid w:val="002F2B2C"/>
    <w:rsid w:val="002F679A"/>
    <w:rsid w:val="002F788B"/>
    <w:rsid w:val="003000A4"/>
    <w:rsid w:val="00302EBD"/>
    <w:rsid w:val="00306B0A"/>
    <w:rsid w:val="00307324"/>
    <w:rsid w:val="00312AFA"/>
    <w:rsid w:val="00312D0C"/>
    <w:rsid w:val="00317D7C"/>
    <w:rsid w:val="00320357"/>
    <w:rsid w:val="003227E3"/>
    <w:rsid w:val="00323CC5"/>
    <w:rsid w:val="003243CE"/>
    <w:rsid w:val="00324839"/>
    <w:rsid w:val="00324DAF"/>
    <w:rsid w:val="003315ED"/>
    <w:rsid w:val="003344B7"/>
    <w:rsid w:val="0033481D"/>
    <w:rsid w:val="00335975"/>
    <w:rsid w:val="00335B38"/>
    <w:rsid w:val="00335DB4"/>
    <w:rsid w:val="00337338"/>
    <w:rsid w:val="00343837"/>
    <w:rsid w:val="00345476"/>
    <w:rsid w:val="00347315"/>
    <w:rsid w:val="003476F8"/>
    <w:rsid w:val="00350D95"/>
    <w:rsid w:val="00353903"/>
    <w:rsid w:val="00353C01"/>
    <w:rsid w:val="00355BAC"/>
    <w:rsid w:val="00355CE2"/>
    <w:rsid w:val="003578FD"/>
    <w:rsid w:val="00360851"/>
    <w:rsid w:val="003614B4"/>
    <w:rsid w:val="00361839"/>
    <w:rsid w:val="0036278C"/>
    <w:rsid w:val="00362E1A"/>
    <w:rsid w:val="00364F9C"/>
    <w:rsid w:val="00366FE9"/>
    <w:rsid w:val="00370A24"/>
    <w:rsid w:val="0037100E"/>
    <w:rsid w:val="00372D32"/>
    <w:rsid w:val="00373C81"/>
    <w:rsid w:val="00375536"/>
    <w:rsid w:val="00375A10"/>
    <w:rsid w:val="00376576"/>
    <w:rsid w:val="00380296"/>
    <w:rsid w:val="003810F2"/>
    <w:rsid w:val="00382804"/>
    <w:rsid w:val="00382E18"/>
    <w:rsid w:val="00383537"/>
    <w:rsid w:val="00384047"/>
    <w:rsid w:val="00384255"/>
    <w:rsid w:val="00392934"/>
    <w:rsid w:val="00393645"/>
    <w:rsid w:val="00395690"/>
    <w:rsid w:val="003A00CF"/>
    <w:rsid w:val="003A175A"/>
    <w:rsid w:val="003A21CA"/>
    <w:rsid w:val="003A22C0"/>
    <w:rsid w:val="003A26AF"/>
    <w:rsid w:val="003A2E69"/>
    <w:rsid w:val="003A37CA"/>
    <w:rsid w:val="003A45BC"/>
    <w:rsid w:val="003A5216"/>
    <w:rsid w:val="003A53FE"/>
    <w:rsid w:val="003A7020"/>
    <w:rsid w:val="003A71EA"/>
    <w:rsid w:val="003A7615"/>
    <w:rsid w:val="003A7B7F"/>
    <w:rsid w:val="003A7D02"/>
    <w:rsid w:val="003B1E9A"/>
    <w:rsid w:val="003B217C"/>
    <w:rsid w:val="003B33E7"/>
    <w:rsid w:val="003B49C5"/>
    <w:rsid w:val="003B7CAC"/>
    <w:rsid w:val="003B7F88"/>
    <w:rsid w:val="003C12F5"/>
    <w:rsid w:val="003C3346"/>
    <w:rsid w:val="003C6E7D"/>
    <w:rsid w:val="003C78A8"/>
    <w:rsid w:val="003D0817"/>
    <w:rsid w:val="003D20CA"/>
    <w:rsid w:val="003D28C5"/>
    <w:rsid w:val="003D5FE3"/>
    <w:rsid w:val="003D64DE"/>
    <w:rsid w:val="003D656F"/>
    <w:rsid w:val="003D66AF"/>
    <w:rsid w:val="003E0EFF"/>
    <w:rsid w:val="003E131A"/>
    <w:rsid w:val="003E24C1"/>
    <w:rsid w:val="003E24DE"/>
    <w:rsid w:val="003E2A84"/>
    <w:rsid w:val="003E3A0D"/>
    <w:rsid w:val="003E44B4"/>
    <w:rsid w:val="003E5084"/>
    <w:rsid w:val="003E6826"/>
    <w:rsid w:val="003E6D6A"/>
    <w:rsid w:val="003F054A"/>
    <w:rsid w:val="003F6FD8"/>
    <w:rsid w:val="004022E9"/>
    <w:rsid w:val="004035A5"/>
    <w:rsid w:val="004076F8"/>
    <w:rsid w:val="00407B2D"/>
    <w:rsid w:val="00407CB0"/>
    <w:rsid w:val="00410158"/>
    <w:rsid w:val="00410ADF"/>
    <w:rsid w:val="004125B2"/>
    <w:rsid w:val="00412BD0"/>
    <w:rsid w:val="00412D25"/>
    <w:rsid w:val="00417583"/>
    <w:rsid w:val="0041762F"/>
    <w:rsid w:val="004216AC"/>
    <w:rsid w:val="00421BB4"/>
    <w:rsid w:val="00422F33"/>
    <w:rsid w:val="00423773"/>
    <w:rsid w:val="004247CF"/>
    <w:rsid w:val="0043048A"/>
    <w:rsid w:val="00430574"/>
    <w:rsid w:val="004328AE"/>
    <w:rsid w:val="0043381F"/>
    <w:rsid w:val="00433EE2"/>
    <w:rsid w:val="004354B1"/>
    <w:rsid w:val="00435A16"/>
    <w:rsid w:val="00435D26"/>
    <w:rsid w:val="00437962"/>
    <w:rsid w:val="00440329"/>
    <w:rsid w:val="004445FF"/>
    <w:rsid w:val="00445F55"/>
    <w:rsid w:val="00446A29"/>
    <w:rsid w:val="00447557"/>
    <w:rsid w:val="00447CC9"/>
    <w:rsid w:val="004557A0"/>
    <w:rsid w:val="004561C3"/>
    <w:rsid w:val="00457018"/>
    <w:rsid w:val="00460F4F"/>
    <w:rsid w:val="0046119B"/>
    <w:rsid w:val="00470C82"/>
    <w:rsid w:val="00470FC2"/>
    <w:rsid w:val="004717E3"/>
    <w:rsid w:val="00472792"/>
    <w:rsid w:val="00473C54"/>
    <w:rsid w:val="00477725"/>
    <w:rsid w:val="00480C8D"/>
    <w:rsid w:val="00480CC7"/>
    <w:rsid w:val="00481B97"/>
    <w:rsid w:val="00482284"/>
    <w:rsid w:val="0048230A"/>
    <w:rsid w:val="00482DAF"/>
    <w:rsid w:val="0048438B"/>
    <w:rsid w:val="004854A5"/>
    <w:rsid w:val="00485574"/>
    <w:rsid w:val="004914DD"/>
    <w:rsid w:val="004917B3"/>
    <w:rsid w:val="004924A1"/>
    <w:rsid w:val="0049283E"/>
    <w:rsid w:val="00492F61"/>
    <w:rsid w:val="0049379D"/>
    <w:rsid w:val="00493FF9"/>
    <w:rsid w:val="00494CDC"/>
    <w:rsid w:val="0049680D"/>
    <w:rsid w:val="00496E81"/>
    <w:rsid w:val="004A135E"/>
    <w:rsid w:val="004A13F8"/>
    <w:rsid w:val="004A1B53"/>
    <w:rsid w:val="004A1C37"/>
    <w:rsid w:val="004A1D09"/>
    <w:rsid w:val="004A1EE4"/>
    <w:rsid w:val="004A299A"/>
    <w:rsid w:val="004A3735"/>
    <w:rsid w:val="004A5C4D"/>
    <w:rsid w:val="004A71EB"/>
    <w:rsid w:val="004A7765"/>
    <w:rsid w:val="004A7921"/>
    <w:rsid w:val="004B046B"/>
    <w:rsid w:val="004B0CAC"/>
    <w:rsid w:val="004B2A95"/>
    <w:rsid w:val="004B44A9"/>
    <w:rsid w:val="004B58FE"/>
    <w:rsid w:val="004B67F3"/>
    <w:rsid w:val="004B77E5"/>
    <w:rsid w:val="004B78E0"/>
    <w:rsid w:val="004B7E1E"/>
    <w:rsid w:val="004C0D43"/>
    <w:rsid w:val="004C174F"/>
    <w:rsid w:val="004C27E2"/>
    <w:rsid w:val="004D1B0A"/>
    <w:rsid w:val="004D20D8"/>
    <w:rsid w:val="004D29C2"/>
    <w:rsid w:val="004D2EDD"/>
    <w:rsid w:val="004D394A"/>
    <w:rsid w:val="004D3A2B"/>
    <w:rsid w:val="004D4005"/>
    <w:rsid w:val="004D4F77"/>
    <w:rsid w:val="004D5DD2"/>
    <w:rsid w:val="004D6E8D"/>
    <w:rsid w:val="004D7A47"/>
    <w:rsid w:val="004D7AFF"/>
    <w:rsid w:val="004E0B9B"/>
    <w:rsid w:val="004E3044"/>
    <w:rsid w:val="004E4E65"/>
    <w:rsid w:val="004F3B0C"/>
    <w:rsid w:val="004F5680"/>
    <w:rsid w:val="004F57CA"/>
    <w:rsid w:val="004F584A"/>
    <w:rsid w:val="004F708F"/>
    <w:rsid w:val="004F7DC5"/>
    <w:rsid w:val="00501BBC"/>
    <w:rsid w:val="005037A2"/>
    <w:rsid w:val="00503998"/>
    <w:rsid w:val="00504588"/>
    <w:rsid w:val="005051E8"/>
    <w:rsid w:val="0050692C"/>
    <w:rsid w:val="0051202A"/>
    <w:rsid w:val="00512A80"/>
    <w:rsid w:val="00512CD7"/>
    <w:rsid w:val="0051302C"/>
    <w:rsid w:val="00513200"/>
    <w:rsid w:val="0051340B"/>
    <w:rsid w:val="00515A3B"/>
    <w:rsid w:val="00515DE7"/>
    <w:rsid w:val="00516787"/>
    <w:rsid w:val="00516E05"/>
    <w:rsid w:val="005202C4"/>
    <w:rsid w:val="00521322"/>
    <w:rsid w:val="0052264B"/>
    <w:rsid w:val="00522B02"/>
    <w:rsid w:val="00523857"/>
    <w:rsid w:val="00523A36"/>
    <w:rsid w:val="00523AEB"/>
    <w:rsid w:val="00525312"/>
    <w:rsid w:val="0052743E"/>
    <w:rsid w:val="00532D52"/>
    <w:rsid w:val="005335F8"/>
    <w:rsid w:val="005357A5"/>
    <w:rsid w:val="00536795"/>
    <w:rsid w:val="00536BF9"/>
    <w:rsid w:val="00540955"/>
    <w:rsid w:val="00540BA3"/>
    <w:rsid w:val="00540DBC"/>
    <w:rsid w:val="00546972"/>
    <w:rsid w:val="00552C01"/>
    <w:rsid w:val="00554079"/>
    <w:rsid w:val="00554565"/>
    <w:rsid w:val="0056322F"/>
    <w:rsid w:val="00563665"/>
    <w:rsid w:val="00565CC5"/>
    <w:rsid w:val="00565D0D"/>
    <w:rsid w:val="00567300"/>
    <w:rsid w:val="00575D93"/>
    <w:rsid w:val="00577FE4"/>
    <w:rsid w:val="00582A78"/>
    <w:rsid w:val="00584E3D"/>
    <w:rsid w:val="00584FB7"/>
    <w:rsid w:val="005872EC"/>
    <w:rsid w:val="00590FC9"/>
    <w:rsid w:val="0059149E"/>
    <w:rsid w:val="00591571"/>
    <w:rsid w:val="00591B9D"/>
    <w:rsid w:val="00594125"/>
    <w:rsid w:val="005957B4"/>
    <w:rsid w:val="00595CBB"/>
    <w:rsid w:val="005967FF"/>
    <w:rsid w:val="005A1CD8"/>
    <w:rsid w:val="005A1E1A"/>
    <w:rsid w:val="005A4700"/>
    <w:rsid w:val="005A568F"/>
    <w:rsid w:val="005A5BF9"/>
    <w:rsid w:val="005B0508"/>
    <w:rsid w:val="005B37A4"/>
    <w:rsid w:val="005B5953"/>
    <w:rsid w:val="005B5B3B"/>
    <w:rsid w:val="005B728D"/>
    <w:rsid w:val="005B78D4"/>
    <w:rsid w:val="005C00D7"/>
    <w:rsid w:val="005C085B"/>
    <w:rsid w:val="005C0983"/>
    <w:rsid w:val="005C2137"/>
    <w:rsid w:val="005C39DC"/>
    <w:rsid w:val="005C59FA"/>
    <w:rsid w:val="005C6004"/>
    <w:rsid w:val="005C6286"/>
    <w:rsid w:val="005D01A1"/>
    <w:rsid w:val="005D1AB2"/>
    <w:rsid w:val="005D1C74"/>
    <w:rsid w:val="005D2334"/>
    <w:rsid w:val="005D2A3A"/>
    <w:rsid w:val="005D61F1"/>
    <w:rsid w:val="005D632C"/>
    <w:rsid w:val="005D7652"/>
    <w:rsid w:val="005D76D5"/>
    <w:rsid w:val="005E00F2"/>
    <w:rsid w:val="005E03C0"/>
    <w:rsid w:val="005E1411"/>
    <w:rsid w:val="005E203A"/>
    <w:rsid w:val="005E2344"/>
    <w:rsid w:val="005E3105"/>
    <w:rsid w:val="005E33B4"/>
    <w:rsid w:val="005E33E5"/>
    <w:rsid w:val="005E368F"/>
    <w:rsid w:val="005E426E"/>
    <w:rsid w:val="005E5A41"/>
    <w:rsid w:val="005E5FD2"/>
    <w:rsid w:val="005E6484"/>
    <w:rsid w:val="005E765F"/>
    <w:rsid w:val="005E7F6D"/>
    <w:rsid w:val="005F1479"/>
    <w:rsid w:val="005F14E4"/>
    <w:rsid w:val="005F15E7"/>
    <w:rsid w:val="005F16F5"/>
    <w:rsid w:val="005F2376"/>
    <w:rsid w:val="005F409C"/>
    <w:rsid w:val="005F46BB"/>
    <w:rsid w:val="005F4CD6"/>
    <w:rsid w:val="005F4D32"/>
    <w:rsid w:val="005F7ACC"/>
    <w:rsid w:val="0060144D"/>
    <w:rsid w:val="006025D8"/>
    <w:rsid w:val="0060482F"/>
    <w:rsid w:val="00604ACC"/>
    <w:rsid w:val="00607904"/>
    <w:rsid w:val="00607E40"/>
    <w:rsid w:val="00610477"/>
    <w:rsid w:val="00614259"/>
    <w:rsid w:val="00614381"/>
    <w:rsid w:val="00614A98"/>
    <w:rsid w:val="00614C04"/>
    <w:rsid w:val="006165E1"/>
    <w:rsid w:val="00616AF4"/>
    <w:rsid w:val="006177DB"/>
    <w:rsid w:val="00620ACA"/>
    <w:rsid w:val="00620D26"/>
    <w:rsid w:val="006219FA"/>
    <w:rsid w:val="00622229"/>
    <w:rsid w:val="006222FD"/>
    <w:rsid w:val="00622784"/>
    <w:rsid w:val="00623143"/>
    <w:rsid w:val="00623412"/>
    <w:rsid w:val="00626991"/>
    <w:rsid w:val="006306B7"/>
    <w:rsid w:val="00630C1D"/>
    <w:rsid w:val="00631152"/>
    <w:rsid w:val="0063549F"/>
    <w:rsid w:val="006407BC"/>
    <w:rsid w:val="00641DAD"/>
    <w:rsid w:val="006473B6"/>
    <w:rsid w:val="0065103A"/>
    <w:rsid w:val="00651362"/>
    <w:rsid w:val="006519BC"/>
    <w:rsid w:val="00653DAF"/>
    <w:rsid w:val="00654016"/>
    <w:rsid w:val="00654539"/>
    <w:rsid w:val="00654E53"/>
    <w:rsid w:val="00655AA4"/>
    <w:rsid w:val="00655BE4"/>
    <w:rsid w:val="00655F9E"/>
    <w:rsid w:val="00656E31"/>
    <w:rsid w:val="006612EF"/>
    <w:rsid w:val="0066153C"/>
    <w:rsid w:val="00674DC7"/>
    <w:rsid w:val="0067597E"/>
    <w:rsid w:val="00675F5B"/>
    <w:rsid w:val="00676A21"/>
    <w:rsid w:val="00676F56"/>
    <w:rsid w:val="006809BE"/>
    <w:rsid w:val="00682061"/>
    <w:rsid w:val="00682F80"/>
    <w:rsid w:val="00683536"/>
    <w:rsid w:val="006837F5"/>
    <w:rsid w:val="00685420"/>
    <w:rsid w:val="00685BD9"/>
    <w:rsid w:val="00686F7A"/>
    <w:rsid w:val="00690930"/>
    <w:rsid w:val="006917FB"/>
    <w:rsid w:val="00691B0A"/>
    <w:rsid w:val="00693787"/>
    <w:rsid w:val="00694857"/>
    <w:rsid w:val="006960A9"/>
    <w:rsid w:val="00696317"/>
    <w:rsid w:val="006A08BE"/>
    <w:rsid w:val="006A16A2"/>
    <w:rsid w:val="006A2CA9"/>
    <w:rsid w:val="006A4E66"/>
    <w:rsid w:val="006A6054"/>
    <w:rsid w:val="006A6641"/>
    <w:rsid w:val="006A6F6A"/>
    <w:rsid w:val="006A75EB"/>
    <w:rsid w:val="006B06A2"/>
    <w:rsid w:val="006B129B"/>
    <w:rsid w:val="006B2479"/>
    <w:rsid w:val="006B300B"/>
    <w:rsid w:val="006B5BC4"/>
    <w:rsid w:val="006C39B9"/>
    <w:rsid w:val="006C45B1"/>
    <w:rsid w:val="006C4AB7"/>
    <w:rsid w:val="006C5078"/>
    <w:rsid w:val="006C7991"/>
    <w:rsid w:val="006D1198"/>
    <w:rsid w:val="006D2EDE"/>
    <w:rsid w:val="006D373C"/>
    <w:rsid w:val="006D3D63"/>
    <w:rsid w:val="006D4E8B"/>
    <w:rsid w:val="006D5B30"/>
    <w:rsid w:val="006E055D"/>
    <w:rsid w:val="006E0DE7"/>
    <w:rsid w:val="006E0FC3"/>
    <w:rsid w:val="006E178B"/>
    <w:rsid w:val="006E23B9"/>
    <w:rsid w:val="006E4A6B"/>
    <w:rsid w:val="006E6AF1"/>
    <w:rsid w:val="006E70FC"/>
    <w:rsid w:val="006F0A5D"/>
    <w:rsid w:val="006F3986"/>
    <w:rsid w:val="006F4BAA"/>
    <w:rsid w:val="006F54E8"/>
    <w:rsid w:val="006F5B0A"/>
    <w:rsid w:val="006F69EB"/>
    <w:rsid w:val="00700CE3"/>
    <w:rsid w:val="007027B0"/>
    <w:rsid w:val="00702920"/>
    <w:rsid w:val="007034DE"/>
    <w:rsid w:val="00703CAC"/>
    <w:rsid w:val="0070761A"/>
    <w:rsid w:val="007077C6"/>
    <w:rsid w:val="00713429"/>
    <w:rsid w:val="0071473D"/>
    <w:rsid w:val="007157CF"/>
    <w:rsid w:val="007172F7"/>
    <w:rsid w:val="00721375"/>
    <w:rsid w:val="00724670"/>
    <w:rsid w:val="00726433"/>
    <w:rsid w:val="0073014D"/>
    <w:rsid w:val="00730654"/>
    <w:rsid w:val="007306A7"/>
    <w:rsid w:val="00730DFC"/>
    <w:rsid w:val="007317AD"/>
    <w:rsid w:val="007321E6"/>
    <w:rsid w:val="0073229F"/>
    <w:rsid w:val="00733308"/>
    <w:rsid w:val="00733845"/>
    <w:rsid w:val="00734577"/>
    <w:rsid w:val="00734ACA"/>
    <w:rsid w:val="00742155"/>
    <w:rsid w:val="00744907"/>
    <w:rsid w:val="0074570E"/>
    <w:rsid w:val="007479E4"/>
    <w:rsid w:val="00751383"/>
    <w:rsid w:val="00753BDC"/>
    <w:rsid w:val="00754FE4"/>
    <w:rsid w:val="00756703"/>
    <w:rsid w:val="00756C56"/>
    <w:rsid w:val="007579A4"/>
    <w:rsid w:val="0076374B"/>
    <w:rsid w:val="007641AE"/>
    <w:rsid w:val="007659D6"/>
    <w:rsid w:val="007671FD"/>
    <w:rsid w:val="0077037F"/>
    <w:rsid w:val="0077051F"/>
    <w:rsid w:val="0077100E"/>
    <w:rsid w:val="007723D9"/>
    <w:rsid w:val="007727BD"/>
    <w:rsid w:val="00774C28"/>
    <w:rsid w:val="00776711"/>
    <w:rsid w:val="00776B28"/>
    <w:rsid w:val="00776D1C"/>
    <w:rsid w:val="007779DB"/>
    <w:rsid w:val="00780217"/>
    <w:rsid w:val="00780C32"/>
    <w:rsid w:val="00780E30"/>
    <w:rsid w:val="007810DB"/>
    <w:rsid w:val="007815FD"/>
    <w:rsid w:val="00781773"/>
    <w:rsid w:val="0078287D"/>
    <w:rsid w:val="00784073"/>
    <w:rsid w:val="00790DBE"/>
    <w:rsid w:val="0079180C"/>
    <w:rsid w:val="0079206B"/>
    <w:rsid w:val="00793DCB"/>
    <w:rsid w:val="00795239"/>
    <w:rsid w:val="007A05A0"/>
    <w:rsid w:val="007A0D94"/>
    <w:rsid w:val="007A2B4D"/>
    <w:rsid w:val="007A5123"/>
    <w:rsid w:val="007A74AF"/>
    <w:rsid w:val="007B0C4E"/>
    <w:rsid w:val="007B2005"/>
    <w:rsid w:val="007B3E5B"/>
    <w:rsid w:val="007B4B22"/>
    <w:rsid w:val="007B622E"/>
    <w:rsid w:val="007B6A82"/>
    <w:rsid w:val="007C0A92"/>
    <w:rsid w:val="007C1D21"/>
    <w:rsid w:val="007C20F0"/>
    <w:rsid w:val="007C45E7"/>
    <w:rsid w:val="007C4A20"/>
    <w:rsid w:val="007D12DA"/>
    <w:rsid w:val="007D2332"/>
    <w:rsid w:val="007D334D"/>
    <w:rsid w:val="007D4218"/>
    <w:rsid w:val="007D5F91"/>
    <w:rsid w:val="007D609E"/>
    <w:rsid w:val="007D7BF3"/>
    <w:rsid w:val="007E0B5C"/>
    <w:rsid w:val="007E29EE"/>
    <w:rsid w:val="007E5AC4"/>
    <w:rsid w:val="007E74AE"/>
    <w:rsid w:val="007E7C88"/>
    <w:rsid w:val="007F08F6"/>
    <w:rsid w:val="007F2326"/>
    <w:rsid w:val="007F391D"/>
    <w:rsid w:val="007F4D0C"/>
    <w:rsid w:val="007F70D2"/>
    <w:rsid w:val="007F7473"/>
    <w:rsid w:val="008013A3"/>
    <w:rsid w:val="00801C5E"/>
    <w:rsid w:val="00801C80"/>
    <w:rsid w:val="00803B88"/>
    <w:rsid w:val="0080411A"/>
    <w:rsid w:val="0080482B"/>
    <w:rsid w:val="008112C1"/>
    <w:rsid w:val="0081168D"/>
    <w:rsid w:val="00811D4D"/>
    <w:rsid w:val="00813780"/>
    <w:rsid w:val="00814CC7"/>
    <w:rsid w:val="00817CEA"/>
    <w:rsid w:val="0082179D"/>
    <w:rsid w:val="008232FD"/>
    <w:rsid w:val="00823CBF"/>
    <w:rsid w:val="00823E7C"/>
    <w:rsid w:val="00824FA9"/>
    <w:rsid w:val="00826D55"/>
    <w:rsid w:val="00827A73"/>
    <w:rsid w:val="0083086F"/>
    <w:rsid w:val="00830ED8"/>
    <w:rsid w:val="008317FD"/>
    <w:rsid w:val="008327DB"/>
    <w:rsid w:val="00832B75"/>
    <w:rsid w:val="00833BD3"/>
    <w:rsid w:val="008355FC"/>
    <w:rsid w:val="00835FA2"/>
    <w:rsid w:val="008361BF"/>
    <w:rsid w:val="008412F9"/>
    <w:rsid w:val="00841803"/>
    <w:rsid w:val="00842217"/>
    <w:rsid w:val="00843735"/>
    <w:rsid w:val="00844E39"/>
    <w:rsid w:val="0084700C"/>
    <w:rsid w:val="00847DE6"/>
    <w:rsid w:val="00850253"/>
    <w:rsid w:val="00851FF8"/>
    <w:rsid w:val="00852287"/>
    <w:rsid w:val="00855E11"/>
    <w:rsid w:val="00856DFB"/>
    <w:rsid w:val="00857A85"/>
    <w:rsid w:val="0086029F"/>
    <w:rsid w:val="00862C72"/>
    <w:rsid w:val="0086356A"/>
    <w:rsid w:val="0086473B"/>
    <w:rsid w:val="008647E9"/>
    <w:rsid w:val="0086626B"/>
    <w:rsid w:val="0086782E"/>
    <w:rsid w:val="008714DC"/>
    <w:rsid w:val="00875373"/>
    <w:rsid w:val="00876F39"/>
    <w:rsid w:val="00881B31"/>
    <w:rsid w:val="00881B54"/>
    <w:rsid w:val="008834AC"/>
    <w:rsid w:val="00883607"/>
    <w:rsid w:val="00884DAD"/>
    <w:rsid w:val="008860A6"/>
    <w:rsid w:val="00887928"/>
    <w:rsid w:val="00890889"/>
    <w:rsid w:val="00891588"/>
    <w:rsid w:val="0089185C"/>
    <w:rsid w:val="00895199"/>
    <w:rsid w:val="0089778C"/>
    <w:rsid w:val="008A0961"/>
    <w:rsid w:val="008A2E22"/>
    <w:rsid w:val="008A3769"/>
    <w:rsid w:val="008A3941"/>
    <w:rsid w:val="008A4972"/>
    <w:rsid w:val="008A4A0D"/>
    <w:rsid w:val="008A6005"/>
    <w:rsid w:val="008A787B"/>
    <w:rsid w:val="008B74EC"/>
    <w:rsid w:val="008C37F8"/>
    <w:rsid w:val="008C4B21"/>
    <w:rsid w:val="008C4F59"/>
    <w:rsid w:val="008C5D4C"/>
    <w:rsid w:val="008C5E6A"/>
    <w:rsid w:val="008D0DB6"/>
    <w:rsid w:val="008D1064"/>
    <w:rsid w:val="008D19A5"/>
    <w:rsid w:val="008D1B90"/>
    <w:rsid w:val="008D2025"/>
    <w:rsid w:val="008D34C6"/>
    <w:rsid w:val="008D3836"/>
    <w:rsid w:val="008D410C"/>
    <w:rsid w:val="008D44FE"/>
    <w:rsid w:val="008D54DB"/>
    <w:rsid w:val="008D6255"/>
    <w:rsid w:val="008D640F"/>
    <w:rsid w:val="008E15FB"/>
    <w:rsid w:val="008E20A4"/>
    <w:rsid w:val="008E4AD9"/>
    <w:rsid w:val="008F1FF7"/>
    <w:rsid w:val="008F320C"/>
    <w:rsid w:val="00902EA5"/>
    <w:rsid w:val="0090301A"/>
    <w:rsid w:val="0090331B"/>
    <w:rsid w:val="00906407"/>
    <w:rsid w:val="00907948"/>
    <w:rsid w:val="009106A2"/>
    <w:rsid w:val="00914892"/>
    <w:rsid w:val="00916483"/>
    <w:rsid w:val="009206DA"/>
    <w:rsid w:val="0092099D"/>
    <w:rsid w:val="00920EDE"/>
    <w:rsid w:val="0092145A"/>
    <w:rsid w:val="00922029"/>
    <w:rsid w:val="00922B61"/>
    <w:rsid w:val="009238B7"/>
    <w:rsid w:val="009301DC"/>
    <w:rsid w:val="009303AA"/>
    <w:rsid w:val="00931496"/>
    <w:rsid w:val="00933F50"/>
    <w:rsid w:val="009340AC"/>
    <w:rsid w:val="00935820"/>
    <w:rsid w:val="00941443"/>
    <w:rsid w:val="00941A9F"/>
    <w:rsid w:val="00941F5E"/>
    <w:rsid w:val="0094358E"/>
    <w:rsid w:val="00943E7E"/>
    <w:rsid w:val="0094540A"/>
    <w:rsid w:val="00947090"/>
    <w:rsid w:val="009473B4"/>
    <w:rsid w:val="00950DB6"/>
    <w:rsid w:val="0095167D"/>
    <w:rsid w:val="00952953"/>
    <w:rsid w:val="00953931"/>
    <w:rsid w:val="009552B0"/>
    <w:rsid w:val="009556B6"/>
    <w:rsid w:val="0095584B"/>
    <w:rsid w:val="00955F6D"/>
    <w:rsid w:val="00963349"/>
    <w:rsid w:val="0096484D"/>
    <w:rsid w:val="00965941"/>
    <w:rsid w:val="00967E42"/>
    <w:rsid w:val="0097006D"/>
    <w:rsid w:val="0097160D"/>
    <w:rsid w:val="009739D4"/>
    <w:rsid w:val="009743E0"/>
    <w:rsid w:val="0097477A"/>
    <w:rsid w:val="00974E3E"/>
    <w:rsid w:val="00976322"/>
    <w:rsid w:val="00980069"/>
    <w:rsid w:val="0098525D"/>
    <w:rsid w:val="00987AAB"/>
    <w:rsid w:val="00991D6A"/>
    <w:rsid w:val="00991FD0"/>
    <w:rsid w:val="009946D4"/>
    <w:rsid w:val="00995CE6"/>
    <w:rsid w:val="0099627D"/>
    <w:rsid w:val="00996807"/>
    <w:rsid w:val="009A06C8"/>
    <w:rsid w:val="009A0C99"/>
    <w:rsid w:val="009A17E7"/>
    <w:rsid w:val="009A41E4"/>
    <w:rsid w:val="009A4769"/>
    <w:rsid w:val="009A632F"/>
    <w:rsid w:val="009B0336"/>
    <w:rsid w:val="009B2449"/>
    <w:rsid w:val="009B28F3"/>
    <w:rsid w:val="009B3D50"/>
    <w:rsid w:val="009B5ABC"/>
    <w:rsid w:val="009B5FAD"/>
    <w:rsid w:val="009B6190"/>
    <w:rsid w:val="009B6262"/>
    <w:rsid w:val="009B65DA"/>
    <w:rsid w:val="009C2429"/>
    <w:rsid w:val="009C3701"/>
    <w:rsid w:val="009C51BE"/>
    <w:rsid w:val="009C6500"/>
    <w:rsid w:val="009D06C6"/>
    <w:rsid w:val="009D27B0"/>
    <w:rsid w:val="009D35BE"/>
    <w:rsid w:val="009D39B7"/>
    <w:rsid w:val="009D7A61"/>
    <w:rsid w:val="009E01FE"/>
    <w:rsid w:val="009E0B1D"/>
    <w:rsid w:val="009E0E50"/>
    <w:rsid w:val="009E24EA"/>
    <w:rsid w:val="009E43EC"/>
    <w:rsid w:val="009E5214"/>
    <w:rsid w:val="009E5C1D"/>
    <w:rsid w:val="009E629C"/>
    <w:rsid w:val="009E62CD"/>
    <w:rsid w:val="009F1E4E"/>
    <w:rsid w:val="009F2A9D"/>
    <w:rsid w:val="009F2C8D"/>
    <w:rsid w:val="009F354D"/>
    <w:rsid w:val="009F518C"/>
    <w:rsid w:val="009F772A"/>
    <w:rsid w:val="00A02BEF"/>
    <w:rsid w:val="00A04B66"/>
    <w:rsid w:val="00A06C52"/>
    <w:rsid w:val="00A1240C"/>
    <w:rsid w:val="00A13D21"/>
    <w:rsid w:val="00A14561"/>
    <w:rsid w:val="00A1490E"/>
    <w:rsid w:val="00A14ECD"/>
    <w:rsid w:val="00A14F6A"/>
    <w:rsid w:val="00A16DB9"/>
    <w:rsid w:val="00A17C1E"/>
    <w:rsid w:val="00A2009C"/>
    <w:rsid w:val="00A20A01"/>
    <w:rsid w:val="00A2120B"/>
    <w:rsid w:val="00A2151A"/>
    <w:rsid w:val="00A21D08"/>
    <w:rsid w:val="00A21F35"/>
    <w:rsid w:val="00A22305"/>
    <w:rsid w:val="00A2777A"/>
    <w:rsid w:val="00A27A8D"/>
    <w:rsid w:val="00A301AC"/>
    <w:rsid w:val="00A335B7"/>
    <w:rsid w:val="00A36FC2"/>
    <w:rsid w:val="00A40D58"/>
    <w:rsid w:val="00A412A0"/>
    <w:rsid w:val="00A415B3"/>
    <w:rsid w:val="00A41C75"/>
    <w:rsid w:val="00A4268D"/>
    <w:rsid w:val="00A44A51"/>
    <w:rsid w:val="00A4604E"/>
    <w:rsid w:val="00A460AD"/>
    <w:rsid w:val="00A47F2C"/>
    <w:rsid w:val="00A518AA"/>
    <w:rsid w:val="00A51B92"/>
    <w:rsid w:val="00A53B8F"/>
    <w:rsid w:val="00A54B35"/>
    <w:rsid w:val="00A5525D"/>
    <w:rsid w:val="00A56376"/>
    <w:rsid w:val="00A56464"/>
    <w:rsid w:val="00A56F0E"/>
    <w:rsid w:val="00A56FD1"/>
    <w:rsid w:val="00A60551"/>
    <w:rsid w:val="00A605A5"/>
    <w:rsid w:val="00A63831"/>
    <w:rsid w:val="00A63D0E"/>
    <w:rsid w:val="00A65890"/>
    <w:rsid w:val="00A67A74"/>
    <w:rsid w:val="00A67E9B"/>
    <w:rsid w:val="00A74C53"/>
    <w:rsid w:val="00A75C2C"/>
    <w:rsid w:val="00A76164"/>
    <w:rsid w:val="00A76CAB"/>
    <w:rsid w:val="00A80306"/>
    <w:rsid w:val="00A804F4"/>
    <w:rsid w:val="00A817FE"/>
    <w:rsid w:val="00A81866"/>
    <w:rsid w:val="00A8219C"/>
    <w:rsid w:val="00A82483"/>
    <w:rsid w:val="00A82931"/>
    <w:rsid w:val="00A83C27"/>
    <w:rsid w:val="00A872A6"/>
    <w:rsid w:val="00A90421"/>
    <w:rsid w:val="00A90D30"/>
    <w:rsid w:val="00A91EE6"/>
    <w:rsid w:val="00A9204E"/>
    <w:rsid w:val="00A92D41"/>
    <w:rsid w:val="00A94515"/>
    <w:rsid w:val="00A95EBF"/>
    <w:rsid w:val="00A9665F"/>
    <w:rsid w:val="00AA03EB"/>
    <w:rsid w:val="00AA051F"/>
    <w:rsid w:val="00AA1599"/>
    <w:rsid w:val="00AA390C"/>
    <w:rsid w:val="00AA6265"/>
    <w:rsid w:val="00AB0AB0"/>
    <w:rsid w:val="00AB0C9C"/>
    <w:rsid w:val="00AB5630"/>
    <w:rsid w:val="00AB691A"/>
    <w:rsid w:val="00AB7094"/>
    <w:rsid w:val="00AB76EE"/>
    <w:rsid w:val="00AC1DB4"/>
    <w:rsid w:val="00AC1ECD"/>
    <w:rsid w:val="00AC3197"/>
    <w:rsid w:val="00AC44D0"/>
    <w:rsid w:val="00AC5700"/>
    <w:rsid w:val="00AC6038"/>
    <w:rsid w:val="00AC666A"/>
    <w:rsid w:val="00AC6A21"/>
    <w:rsid w:val="00AD056E"/>
    <w:rsid w:val="00AD30FB"/>
    <w:rsid w:val="00AD3460"/>
    <w:rsid w:val="00AD3803"/>
    <w:rsid w:val="00AD39E9"/>
    <w:rsid w:val="00AD648A"/>
    <w:rsid w:val="00AD6607"/>
    <w:rsid w:val="00AD71E0"/>
    <w:rsid w:val="00AD7E06"/>
    <w:rsid w:val="00AE0D3A"/>
    <w:rsid w:val="00AE1331"/>
    <w:rsid w:val="00AE256B"/>
    <w:rsid w:val="00AE2786"/>
    <w:rsid w:val="00AE2B17"/>
    <w:rsid w:val="00AE3B6F"/>
    <w:rsid w:val="00AE3E7E"/>
    <w:rsid w:val="00AE4889"/>
    <w:rsid w:val="00AE4FBD"/>
    <w:rsid w:val="00AE5A85"/>
    <w:rsid w:val="00AE6EA0"/>
    <w:rsid w:val="00AF10EC"/>
    <w:rsid w:val="00AF28F5"/>
    <w:rsid w:val="00AF2C76"/>
    <w:rsid w:val="00AF3F90"/>
    <w:rsid w:val="00AF483E"/>
    <w:rsid w:val="00AF534D"/>
    <w:rsid w:val="00B01E9E"/>
    <w:rsid w:val="00B03769"/>
    <w:rsid w:val="00B06970"/>
    <w:rsid w:val="00B06B27"/>
    <w:rsid w:val="00B06F62"/>
    <w:rsid w:val="00B100FF"/>
    <w:rsid w:val="00B144E9"/>
    <w:rsid w:val="00B15088"/>
    <w:rsid w:val="00B17377"/>
    <w:rsid w:val="00B21130"/>
    <w:rsid w:val="00B21D63"/>
    <w:rsid w:val="00B23416"/>
    <w:rsid w:val="00B23B73"/>
    <w:rsid w:val="00B24A6C"/>
    <w:rsid w:val="00B2569B"/>
    <w:rsid w:val="00B27ACF"/>
    <w:rsid w:val="00B31026"/>
    <w:rsid w:val="00B32C1B"/>
    <w:rsid w:val="00B343EE"/>
    <w:rsid w:val="00B34738"/>
    <w:rsid w:val="00B34973"/>
    <w:rsid w:val="00B35BC7"/>
    <w:rsid w:val="00B35BCC"/>
    <w:rsid w:val="00B4160C"/>
    <w:rsid w:val="00B417A6"/>
    <w:rsid w:val="00B41803"/>
    <w:rsid w:val="00B43419"/>
    <w:rsid w:val="00B441AC"/>
    <w:rsid w:val="00B4639D"/>
    <w:rsid w:val="00B46F17"/>
    <w:rsid w:val="00B54126"/>
    <w:rsid w:val="00B54960"/>
    <w:rsid w:val="00B56A75"/>
    <w:rsid w:val="00B57F5D"/>
    <w:rsid w:val="00B6174A"/>
    <w:rsid w:val="00B648AD"/>
    <w:rsid w:val="00B65D26"/>
    <w:rsid w:val="00B66FEA"/>
    <w:rsid w:val="00B71473"/>
    <w:rsid w:val="00B71977"/>
    <w:rsid w:val="00B77A33"/>
    <w:rsid w:val="00B806A7"/>
    <w:rsid w:val="00B80C55"/>
    <w:rsid w:val="00B8490B"/>
    <w:rsid w:val="00B86739"/>
    <w:rsid w:val="00B874C1"/>
    <w:rsid w:val="00B911AF"/>
    <w:rsid w:val="00B91ED1"/>
    <w:rsid w:val="00B93417"/>
    <w:rsid w:val="00B963A3"/>
    <w:rsid w:val="00B9643B"/>
    <w:rsid w:val="00B968EE"/>
    <w:rsid w:val="00B97020"/>
    <w:rsid w:val="00BA06C4"/>
    <w:rsid w:val="00BA226E"/>
    <w:rsid w:val="00BA22D0"/>
    <w:rsid w:val="00BA3FA8"/>
    <w:rsid w:val="00BA5A79"/>
    <w:rsid w:val="00BA6496"/>
    <w:rsid w:val="00BA754B"/>
    <w:rsid w:val="00BA7927"/>
    <w:rsid w:val="00BB681B"/>
    <w:rsid w:val="00BB7BA1"/>
    <w:rsid w:val="00BC0B6D"/>
    <w:rsid w:val="00BC0F6A"/>
    <w:rsid w:val="00BC1D35"/>
    <w:rsid w:val="00BC31F9"/>
    <w:rsid w:val="00BC4326"/>
    <w:rsid w:val="00BC44F7"/>
    <w:rsid w:val="00BC5F6C"/>
    <w:rsid w:val="00BC6D32"/>
    <w:rsid w:val="00BD1679"/>
    <w:rsid w:val="00BD2DFB"/>
    <w:rsid w:val="00BD3085"/>
    <w:rsid w:val="00BD53E2"/>
    <w:rsid w:val="00BD5F54"/>
    <w:rsid w:val="00BD6B81"/>
    <w:rsid w:val="00BD6EEF"/>
    <w:rsid w:val="00BD7D74"/>
    <w:rsid w:val="00BE0BAF"/>
    <w:rsid w:val="00BE1B20"/>
    <w:rsid w:val="00BE24C8"/>
    <w:rsid w:val="00BE3278"/>
    <w:rsid w:val="00BE378F"/>
    <w:rsid w:val="00BE3B2D"/>
    <w:rsid w:val="00BE3C58"/>
    <w:rsid w:val="00BE3E2B"/>
    <w:rsid w:val="00BE4095"/>
    <w:rsid w:val="00BF0675"/>
    <w:rsid w:val="00BF1F36"/>
    <w:rsid w:val="00BF3FB5"/>
    <w:rsid w:val="00BF401F"/>
    <w:rsid w:val="00BF41D3"/>
    <w:rsid w:val="00BF41ED"/>
    <w:rsid w:val="00BF5C74"/>
    <w:rsid w:val="00BF6A60"/>
    <w:rsid w:val="00BF6B1E"/>
    <w:rsid w:val="00C04C0D"/>
    <w:rsid w:val="00C05475"/>
    <w:rsid w:val="00C05EEB"/>
    <w:rsid w:val="00C06BF2"/>
    <w:rsid w:val="00C10106"/>
    <w:rsid w:val="00C107CF"/>
    <w:rsid w:val="00C1288C"/>
    <w:rsid w:val="00C13F91"/>
    <w:rsid w:val="00C143E5"/>
    <w:rsid w:val="00C20D4D"/>
    <w:rsid w:val="00C21401"/>
    <w:rsid w:val="00C21E21"/>
    <w:rsid w:val="00C2243C"/>
    <w:rsid w:val="00C228E2"/>
    <w:rsid w:val="00C25032"/>
    <w:rsid w:val="00C25FC2"/>
    <w:rsid w:val="00C25FDA"/>
    <w:rsid w:val="00C266CC"/>
    <w:rsid w:val="00C26B71"/>
    <w:rsid w:val="00C26BE9"/>
    <w:rsid w:val="00C26DBF"/>
    <w:rsid w:val="00C30244"/>
    <w:rsid w:val="00C327C9"/>
    <w:rsid w:val="00C37AD7"/>
    <w:rsid w:val="00C37E9E"/>
    <w:rsid w:val="00C40705"/>
    <w:rsid w:val="00C44818"/>
    <w:rsid w:val="00C4525E"/>
    <w:rsid w:val="00C45AB6"/>
    <w:rsid w:val="00C475FD"/>
    <w:rsid w:val="00C50B3B"/>
    <w:rsid w:val="00C52943"/>
    <w:rsid w:val="00C52D64"/>
    <w:rsid w:val="00C53539"/>
    <w:rsid w:val="00C54B66"/>
    <w:rsid w:val="00C55176"/>
    <w:rsid w:val="00C6019A"/>
    <w:rsid w:val="00C60529"/>
    <w:rsid w:val="00C60576"/>
    <w:rsid w:val="00C60E7E"/>
    <w:rsid w:val="00C6107A"/>
    <w:rsid w:val="00C61361"/>
    <w:rsid w:val="00C6233A"/>
    <w:rsid w:val="00C6292E"/>
    <w:rsid w:val="00C660B3"/>
    <w:rsid w:val="00C66270"/>
    <w:rsid w:val="00C664CA"/>
    <w:rsid w:val="00C66FB5"/>
    <w:rsid w:val="00C6704A"/>
    <w:rsid w:val="00C67C4E"/>
    <w:rsid w:val="00C71113"/>
    <w:rsid w:val="00C72337"/>
    <w:rsid w:val="00C7346B"/>
    <w:rsid w:val="00C73B5B"/>
    <w:rsid w:val="00C74E85"/>
    <w:rsid w:val="00C7508B"/>
    <w:rsid w:val="00C753E4"/>
    <w:rsid w:val="00C75586"/>
    <w:rsid w:val="00C7622C"/>
    <w:rsid w:val="00C80632"/>
    <w:rsid w:val="00C80ED8"/>
    <w:rsid w:val="00C80F3D"/>
    <w:rsid w:val="00C81540"/>
    <w:rsid w:val="00C829B8"/>
    <w:rsid w:val="00C82C5B"/>
    <w:rsid w:val="00C91A08"/>
    <w:rsid w:val="00C92CCB"/>
    <w:rsid w:val="00C93DBF"/>
    <w:rsid w:val="00C95BF3"/>
    <w:rsid w:val="00C95D1D"/>
    <w:rsid w:val="00CA079A"/>
    <w:rsid w:val="00CA3D66"/>
    <w:rsid w:val="00CA4BE5"/>
    <w:rsid w:val="00CA5063"/>
    <w:rsid w:val="00CA627D"/>
    <w:rsid w:val="00CA64D0"/>
    <w:rsid w:val="00CA6B9F"/>
    <w:rsid w:val="00CB0E59"/>
    <w:rsid w:val="00CB2A4A"/>
    <w:rsid w:val="00CB307A"/>
    <w:rsid w:val="00CB31B5"/>
    <w:rsid w:val="00CB3E21"/>
    <w:rsid w:val="00CB4BF8"/>
    <w:rsid w:val="00CB6079"/>
    <w:rsid w:val="00CB61F6"/>
    <w:rsid w:val="00CB6895"/>
    <w:rsid w:val="00CC0215"/>
    <w:rsid w:val="00CC0456"/>
    <w:rsid w:val="00CC13C8"/>
    <w:rsid w:val="00CC282A"/>
    <w:rsid w:val="00CC2F91"/>
    <w:rsid w:val="00CC3F09"/>
    <w:rsid w:val="00CC52B7"/>
    <w:rsid w:val="00CC6052"/>
    <w:rsid w:val="00CC6E04"/>
    <w:rsid w:val="00CC7D93"/>
    <w:rsid w:val="00CD0438"/>
    <w:rsid w:val="00CD0AA1"/>
    <w:rsid w:val="00CD50CC"/>
    <w:rsid w:val="00CD51CE"/>
    <w:rsid w:val="00CD56B5"/>
    <w:rsid w:val="00CD6774"/>
    <w:rsid w:val="00CD6CED"/>
    <w:rsid w:val="00CD7505"/>
    <w:rsid w:val="00CD75C1"/>
    <w:rsid w:val="00CD7C14"/>
    <w:rsid w:val="00CE2E32"/>
    <w:rsid w:val="00CE45BF"/>
    <w:rsid w:val="00CE6085"/>
    <w:rsid w:val="00CE65F7"/>
    <w:rsid w:val="00CF0455"/>
    <w:rsid w:val="00CF18DC"/>
    <w:rsid w:val="00CF1DB4"/>
    <w:rsid w:val="00CF22D6"/>
    <w:rsid w:val="00CF3FB3"/>
    <w:rsid w:val="00CF56A2"/>
    <w:rsid w:val="00CF6000"/>
    <w:rsid w:val="00D02141"/>
    <w:rsid w:val="00D023ED"/>
    <w:rsid w:val="00D0251E"/>
    <w:rsid w:val="00D04A9B"/>
    <w:rsid w:val="00D057CC"/>
    <w:rsid w:val="00D05C01"/>
    <w:rsid w:val="00D0681A"/>
    <w:rsid w:val="00D06C37"/>
    <w:rsid w:val="00D06E43"/>
    <w:rsid w:val="00D0759B"/>
    <w:rsid w:val="00D07790"/>
    <w:rsid w:val="00D12CA9"/>
    <w:rsid w:val="00D12D3E"/>
    <w:rsid w:val="00D1349B"/>
    <w:rsid w:val="00D16C1E"/>
    <w:rsid w:val="00D17144"/>
    <w:rsid w:val="00D172CD"/>
    <w:rsid w:val="00D24900"/>
    <w:rsid w:val="00D2580A"/>
    <w:rsid w:val="00D30668"/>
    <w:rsid w:val="00D314FE"/>
    <w:rsid w:val="00D32253"/>
    <w:rsid w:val="00D36604"/>
    <w:rsid w:val="00D411B9"/>
    <w:rsid w:val="00D413CB"/>
    <w:rsid w:val="00D41AB8"/>
    <w:rsid w:val="00D41EBE"/>
    <w:rsid w:val="00D42389"/>
    <w:rsid w:val="00D431CD"/>
    <w:rsid w:val="00D4554B"/>
    <w:rsid w:val="00D45F16"/>
    <w:rsid w:val="00D50FD7"/>
    <w:rsid w:val="00D511AE"/>
    <w:rsid w:val="00D51674"/>
    <w:rsid w:val="00D520A2"/>
    <w:rsid w:val="00D52D1C"/>
    <w:rsid w:val="00D53081"/>
    <w:rsid w:val="00D534E9"/>
    <w:rsid w:val="00D53AA7"/>
    <w:rsid w:val="00D57321"/>
    <w:rsid w:val="00D617A0"/>
    <w:rsid w:val="00D61BE3"/>
    <w:rsid w:val="00D648A2"/>
    <w:rsid w:val="00D64F33"/>
    <w:rsid w:val="00D665B7"/>
    <w:rsid w:val="00D66759"/>
    <w:rsid w:val="00D7031C"/>
    <w:rsid w:val="00D7106B"/>
    <w:rsid w:val="00D7349F"/>
    <w:rsid w:val="00D73B52"/>
    <w:rsid w:val="00D746FF"/>
    <w:rsid w:val="00D74BC4"/>
    <w:rsid w:val="00D7645D"/>
    <w:rsid w:val="00D76D6F"/>
    <w:rsid w:val="00D815CE"/>
    <w:rsid w:val="00D8358B"/>
    <w:rsid w:val="00D84892"/>
    <w:rsid w:val="00D84BF0"/>
    <w:rsid w:val="00D85937"/>
    <w:rsid w:val="00D860B6"/>
    <w:rsid w:val="00D86972"/>
    <w:rsid w:val="00D91F86"/>
    <w:rsid w:val="00D928D5"/>
    <w:rsid w:val="00D9530A"/>
    <w:rsid w:val="00D95CC3"/>
    <w:rsid w:val="00D95F21"/>
    <w:rsid w:val="00D970BF"/>
    <w:rsid w:val="00D9770C"/>
    <w:rsid w:val="00D97C0D"/>
    <w:rsid w:val="00DA37A1"/>
    <w:rsid w:val="00DA4E1D"/>
    <w:rsid w:val="00DA4F8C"/>
    <w:rsid w:val="00DA52C8"/>
    <w:rsid w:val="00DB1071"/>
    <w:rsid w:val="00DB3D60"/>
    <w:rsid w:val="00DB4DF2"/>
    <w:rsid w:val="00DB629A"/>
    <w:rsid w:val="00DC0C1A"/>
    <w:rsid w:val="00DC22E0"/>
    <w:rsid w:val="00DC2F97"/>
    <w:rsid w:val="00DC3925"/>
    <w:rsid w:val="00DC40CE"/>
    <w:rsid w:val="00DC4725"/>
    <w:rsid w:val="00DC473D"/>
    <w:rsid w:val="00DC4DB1"/>
    <w:rsid w:val="00DC531C"/>
    <w:rsid w:val="00DD0DA9"/>
    <w:rsid w:val="00DD1114"/>
    <w:rsid w:val="00DD331C"/>
    <w:rsid w:val="00DD3BE8"/>
    <w:rsid w:val="00DD3F5A"/>
    <w:rsid w:val="00DD61FC"/>
    <w:rsid w:val="00DD720A"/>
    <w:rsid w:val="00DE0347"/>
    <w:rsid w:val="00DE098B"/>
    <w:rsid w:val="00DE141E"/>
    <w:rsid w:val="00DE1DE2"/>
    <w:rsid w:val="00DE32B4"/>
    <w:rsid w:val="00DE34BB"/>
    <w:rsid w:val="00DE4793"/>
    <w:rsid w:val="00DE4A8A"/>
    <w:rsid w:val="00DF1731"/>
    <w:rsid w:val="00DF2C76"/>
    <w:rsid w:val="00DF4874"/>
    <w:rsid w:val="00DF7633"/>
    <w:rsid w:val="00E003B7"/>
    <w:rsid w:val="00E04973"/>
    <w:rsid w:val="00E05AFD"/>
    <w:rsid w:val="00E0665F"/>
    <w:rsid w:val="00E067C9"/>
    <w:rsid w:val="00E10929"/>
    <w:rsid w:val="00E10B3F"/>
    <w:rsid w:val="00E14B6E"/>
    <w:rsid w:val="00E155B8"/>
    <w:rsid w:val="00E15CD0"/>
    <w:rsid w:val="00E174E7"/>
    <w:rsid w:val="00E20D7A"/>
    <w:rsid w:val="00E21D4F"/>
    <w:rsid w:val="00E22213"/>
    <w:rsid w:val="00E22FB8"/>
    <w:rsid w:val="00E24C97"/>
    <w:rsid w:val="00E25AE5"/>
    <w:rsid w:val="00E25BD0"/>
    <w:rsid w:val="00E26A52"/>
    <w:rsid w:val="00E26F7B"/>
    <w:rsid w:val="00E27147"/>
    <w:rsid w:val="00E30122"/>
    <w:rsid w:val="00E31A8B"/>
    <w:rsid w:val="00E33F9A"/>
    <w:rsid w:val="00E34466"/>
    <w:rsid w:val="00E37A6D"/>
    <w:rsid w:val="00E41F5A"/>
    <w:rsid w:val="00E42556"/>
    <w:rsid w:val="00E428DC"/>
    <w:rsid w:val="00E43685"/>
    <w:rsid w:val="00E43F99"/>
    <w:rsid w:val="00E441D9"/>
    <w:rsid w:val="00E4438A"/>
    <w:rsid w:val="00E449EF"/>
    <w:rsid w:val="00E44A41"/>
    <w:rsid w:val="00E4596F"/>
    <w:rsid w:val="00E46A21"/>
    <w:rsid w:val="00E47F42"/>
    <w:rsid w:val="00E51F24"/>
    <w:rsid w:val="00E52093"/>
    <w:rsid w:val="00E52B0B"/>
    <w:rsid w:val="00E52D2A"/>
    <w:rsid w:val="00E53364"/>
    <w:rsid w:val="00E53377"/>
    <w:rsid w:val="00E55D61"/>
    <w:rsid w:val="00E6139E"/>
    <w:rsid w:val="00E640E7"/>
    <w:rsid w:val="00E64CE8"/>
    <w:rsid w:val="00E65CB1"/>
    <w:rsid w:val="00E66789"/>
    <w:rsid w:val="00E66F37"/>
    <w:rsid w:val="00E7092C"/>
    <w:rsid w:val="00E71E0B"/>
    <w:rsid w:val="00E72DA6"/>
    <w:rsid w:val="00E7428C"/>
    <w:rsid w:val="00E745E3"/>
    <w:rsid w:val="00E760DC"/>
    <w:rsid w:val="00E764C1"/>
    <w:rsid w:val="00E76502"/>
    <w:rsid w:val="00E773FA"/>
    <w:rsid w:val="00E77A1C"/>
    <w:rsid w:val="00E77B45"/>
    <w:rsid w:val="00E8510B"/>
    <w:rsid w:val="00E87A84"/>
    <w:rsid w:val="00E9277E"/>
    <w:rsid w:val="00E93C4A"/>
    <w:rsid w:val="00E9694C"/>
    <w:rsid w:val="00E97D81"/>
    <w:rsid w:val="00EA0DAF"/>
    <w:rsid w:val="00EA261C"/>
    <w:rsid w:val="00EA26B3"/>
    <w:rsid w:val="00EA3E00"/>
    <w:rsid w:val="00EA5405"/>
    <w:rsid w:val="00EA5792"/>
    <w:rsid w:val="00EA5B4C"/>
    <w:rsid w:val="00EA6F2B"/>
    <w:rsid w:val="00EB0968"/>
    <w:rsid w:val="00EB0A29"/>
    <w:rsid w:val="00EB1B03"/>
    <w:rsid w:val="00EB1F1C"/>
    <w:rsid w:val="00EB2596"/>
    <w:rsid w:val="00EB30DE"/>
    <w:rsid w:val="00EB3573"/>
    <w:rsid w:val="00EB3FF9"/>
    <w:rsid w:val="00EB44EF"/>
    <w:rsid w:val="00EB5A69"/>
    <w:rsid w:val="00EB6D0D"/>
    <w:rsid w:val="00EB6D49"/>
    <w:rsid w:val="00EB7B24"/>
    <w:rsid w:val="00EC0341"/>
    <w:rsid w:val="00EC20CD"/>
    <w:rsid w:val="00EC371D"/>
    <w:rsid w:val="00EC41A4"/>
    <w:rsid w:val="00EC5C50"/>
    <w:rsid w:val="00EC654C"/>
    <w:rsid w:val="00ED0B33"/>
    <w:rsid w:val="00ED14AB"/>
    <w:rsid w:val="00ED2985"/>
    <w:rsid w:val="00ED32A1"/>
    <w:rsid w:val="00ED4DA6"/>
    <w:rsid w:val="00ED5554"/>
    <w:rsid w:val="00ED5960"/>
    <w:rsid w:val="00ED5D3F"/>
    <w:rsid w:val="00EE0F90"/>
    <w:rsid w:val="00EE336B"/>
    <w:rsid w:val="00EE33D3"/>
    <w:rsid w:val="00EE64A9"/>
    <w:rsid w:val="00EE6AC2"/>
    <w:rsid w:val="00EE7B51"/>
    <w:rsid w:val="00EF1781"/>
    <w:rsid w:val="00EF1D0F"/>
    <w:rsid w:val="00EF3ED1"/>
    <w:rsid w:val="00EF5311"/>
    <w:rsid w:val="00EF5EF6"/>
    <w:rsid w:val="00EF7D0D"/>
    <w:rsid w:val="00F00478"/>
    <w:rsid w:val="00F02933"/>
    <w:rsid w:val="00F03979"/>
    <w:rsid w:val="00F04210"/>
    <w:rsid w:val="00F05435"/>
    <w:rsid w:val="00F06AE5"/>
    <w:rsid w:val="00F110CC"/>
    <w:rsid w:val="00F11F9C"/>
    <w:rsid w:val="00F122FB"/>
    <w:rsid w:val="00F144B2"/>
    <w:rsid w:val="00F147CB"/>
    <w:rsid w:val="00F14902"/>
    <w:rsid w:val="00F166BB"/>
    <w:rsid w:val="00F20A54"/>
    <w:rsid w:val="00F20E01"/>
    <w:rsid w:val="00F22CB6"/>
    <w:rsid w:val="00F23466"/>
    <w:rsid w:val="00F26144"/>
    <w:rsid w:val="00F2655C"/>
    <w:rsid w:val="00F27837"/>
    <w:rsid w:val="00F30896"/>
    <w:rsid w:val="00F31E03"/>
    <w:rsid w:val="00F32245"/>
    <w:rsid w:val="00F32E78"/>
    <w:rsid w:val="00F34BF8"/>
    <w:rsid w:val="00F35871"/>
    <w:rsid w:val="00F3642D"/>
    <w:rsid w:val="00F36A35"/>
    <w:rsid w:val="00F40288"/>
    <w:rsid w:val="00F4182A"/>
    <w:rsid w:val="00F43E3A"/>
    <w:rsid w:val="00F441DC"/>
    <w:rsid w:val="00F44480"/>
    <w:rsid w:val="00F44897"/>
    <w:rsid w:val="00F450F0"/>
    <w:rsid w:val="00F45434"/>
    <w:rsid w:val="00F462C7"/>
    <w:rsid w:val="00F503D9"/>
    <w:rsid w:val="00F50920"/>
    <w:rsid w:val="00F51462"/>
    <w:rsid w:val="00F5293C"/>
    <w:rsid w:val="00F52C60"/>
    <w:rsid w:val="00F52DF3"/>
    <w:rsid w:val="00F551E3"/>
    <w:rsid w:val="00F5554E"/>
    <w:rsid w:val="00F56DE1"/>
    <w:rsid w:val="00F578D9"/>
    <w:rsid w:val="00F60A7B"/>
    <w:rsid w:val="00F6289F"/>
    <w:rsid w:val="00F64C4F"/>
    <w:rsid w:val="00F67480"/>
    <w:rsid w:val="00F71902"/>
    <w:rsid w:val="00F7324B"/>
    <w:rsid w:val="00F73A83"/>
    <w:rsid w:val="00F73B98"/>
    <w:rsid w:val="00F7617E"/>
    <w:rsid w:val="00F76957"/>
    <w:rsid w:val="00F7798D"/>
    <w:rsid w:val="00F80CAA"/>
    <w:rsid w:val="00F81A29"/>
    <w:rsid w:val="00F81E9C"/>
    <w:rsid w:val="00F82B48"/>
    <w:rsid w:val="00F83482"/>
    <w:rsid w:val="00F8408D"/>
    <w:rsid w:val="00F85232"/>
    <w:rsid w:val="00F86FF7"/>
    <w:rsid w:val="00F8742E"/>
    <w:rsid w:val="00F87D82"/>
    <w:rsid w:val="00F90114"/>
    <w:rsid w:val="00F90853"/>
    <w:rsid w:val="00F9315A"/>
    <w:rsid w:val="00F94AB6"/>
    <w:rsid w:val="00F96DB5"/>
    <w:rsid w:val="00F96E7E"/>
    <w:rsid w:val="00FA0BCB"/>
    <w:rsid w:val="00FA21B4"/>
    <w:rsid w:val="00FA26A9"/>
    <w:rsid w:val="00FA28FE"/>
    <w:rsid w:val="00FA4BE4"/>
    <w:rsid w:val="00FA4C34"/>
    <w:rsid w:val="00FA60DC"/>
    <w:rsid w:val="00FA7459"/>
    <w:rsid w:val="00FB035A"/>
    <w:rsid w:val="00FB036E"/>
    <w:rsid w:val="00FB265A"/>
    <w:rsid w:val="00FB3CFE"/>
    <w:rsid w:val="00FB499D"/>
    <w:rsid w:val="00FB49A1"/>
    <w:rsid w:val="00FB63DA"/>
    <w:rsid w:val="00FB7448"/>
    <w:rsid w:val="00FC0845"/>
    <w:rsid w:val="00FC0A7B"/>
    <w:rsid w:val="00FC1454"/>
    <w:rsid w:val="00FC30C9"/>
    <w:rsid w:val="00FC3D9E"/>
    <w:rsid w:val="00FC5629"/>
    <w:rsid w:val="00FC6209"/>
    <w:rsid w:val="00FC659C"/>
    <w:rsid w:val="00FC6E11"/>
    <w:rsid w:val="00FC6F75"/>
    <w:rsid w:val="00FC730A"/>
    <w:rsid w:val="00FC7DD4"/>
    <w:rsid w:val="00FD03D1"/>
    <w:rsid w:val="00FD1264"/>
    <w:rsid w:val="00FD14AA"/>
    <w:rsid w:val="00FD21A5"/>
    <w:rsid w:val="00FD21AF"/>
    <w:rsid w:val="00FD51B5"/>
    <w:rsid w:val="00FD58CF"/>
    <w:rsid w:val="00FD7773"/>
    <w:rsid w:val="00FE13DF"/>
    <w:rsid w:val="00FE3384"/>
    <w:rsid w:val="00FE4253"/>
    <w:rsid w:val="00FE56B9"/>
    <w:rsid w:val="00FF0585"/>
    <w:rsid w:val="00FF151E"/>
    <w:rsid w:val="00FF2420"/>
    <w:rsid w:val="00FF4A13"/>
    <w:rsid w:val="00FF5374"/>
    <w:rsid w:val="00FF5F00"/>
    <w:rsid w:val="00FF603A"/>
    <w:rsid w:val="00FF7548"/>
    <w:rsid w:val="00FF779B"/>
    <w:rsid w:val="00FF7979"/>
    <w:rsid w:val="05BE83AA"/>
    <w:rsid w:val="0FEED2D3"/>
    <w:rsid w:val="1F7EE454"/>
    <w:rsid w:val="1F9F7606"/>
    <w:rsid w:val="20BE4ED5"/>
    <w:rsid w:val="2E34CB3E"/>
    <w:rsid w:val="2FD56A6F"/>
    <w:rsid w:val="2FD685AE"/>
    <w:rsid w:val="31A12C94"/>
    <w:rsid w:val="36FF6372"/>
    <w:rsid w:val="370E6817"/>
    <w:rsid w:val="37CDBB58"/>
    <w:rsid w:val="38EB1461"/>
    <w:rsid w:val="38FD8666"/>
    <w:rsid w:val="3BF7CBFB"/>
    <w:rsid w:val="3CFA8468"/>
    <w:rsid w:val="3FBFF330"/>
    <w:rsid w:val="46666842"/>
    <w:rsid w:val="475EDB21"/>
    <w:rsid w:val="4BD4BA51"/>
    <w:rsid w:val="4DD52362"/>
    <w:rsid w:val="4DEF155B"/>
    <w:rsid w:val="4FAD9E5F"/>
    <w:rsid w:val="51EE0A17"/>
    <w:rsid w:val="56FF68FB"/>
    <w:rsid w:val="577EE734"/>
    <w:rsid w:val="57F45AB1"/>
    <w:rsid w:val="5B7D9C95"/>
    <w:rsid w:val="5B7EF84D"/>
    <w:rsid w:val="5BE57B9F"/>
    <w:rsid w:val="5CFBC447"/>
    <w:rsid w:val="5EBFBF9D"/>
    <w:rsid w:val="5EE894DA"/>
    <w:rsid w:val="5EF53904"/>
    <w:rsid w:val="5EFFF8BA"/>
    <w:rsid w:val="5F5FB424"/>
    <w:rsid w:val="5F761F09"/>
    <w:rsid w:val="5FBF3CC6"/>
    <w:rsid w:val="5FEFFE9B"/>
    <w:rsid w:val="5FF5D9D2"/>
    <w:rsid w:val="5FF79A61"/>
    <w:rsid w:val="5FFD3CF0"/>
    <w:rsid w:val="5FFEF0C1"/>
    <w:rsid w:val="5FFF6093"/>
    <w:rsid w:val="63764FCD"/>
    <w:rsid w:val="637F803A"/>
    <w:rsid w:val="63DA17E8"/>
    <w:rsid w:val="6739FE37"/>
    <w:rsid w:val="6746001D"/>
    <w:rsid w:val="67DB79CC"/>
    <w:rsid w:val="6AEF06BB"/>
    <w:rsid w:val="6BBE309E"/>
    <w:rsid w:val="6BD64D6F"/>
    <w:rsid w:val="6D3F7E9E"/>
    <w:rsid w:val="6D9EFCE3"/>
    <w:rsid w:val="6DAF95BF"/>
    <w:rsid w:val="6FDFCE9E"/>
    <w:rsid w:val="6FF9AC32"/>
    <w:rsid w:val="6FFC0216"/>
    <w:rsid w:val="6FFD1511"/>
    <w:rsid w:val="70721943"/>
    <w:rsid w:val="70E607A6"/>
    <w:rsid w:val="72DD1E2F"/>
    <w:rsid w:val="73F9317A"/>
    <w:rsid w:val="73FD6D5B"/>
    <w:rsid w:val="74F56667"/>
    <w:rsid w:val="75CF13AD"/>
    <w:rsid w:val="769DC163"/>
    <w:rsid w:val="76FFC95A"/>
    <w:rsid w:val="7729DDA0"/>
    <w:rsid w:val="7732460A"/>
    <w:rsid w:val="77DEC098"/>
    <w:rsid w:val="79E7C89C"/>
    <w:rsid w:val="7A6DC626"/>
    <w:rsid w:val="7ACE1AC6"/>
    <w:rsid w:val="7B7E971D"/>
    <w:rsid w:val="7BDA7895"/>
    <w:rsid w:val="7BF61882"/>
    <w:rsid w:val="7C8F716B"/>
    <w:rsid w:val="7D6E1344"/>
    <w:rsid w:val="7D7FE995"/>
    <w:rsid w:val="7DE725C7"/>
    <w:rsid w:val="7DF924BD"/>
    <w:rsid w:val="7DFF0353"/>
    <w:rsid w:val="7E7F9462"/>
    <w:rsid w:val="7E9D9123"/>
    <w:rsid w:val="7EBF7F4F"/>
    <w:rsid w:val="7EEF5650"/>
    <w:rsid w:val="7EF509B6"/>
    <w:rsid w:val="7EF7FDD9"/>
    <w:rsid w:val="7F319083"/>
    <w:rsid w:val="7F50A34C"/>
    <w:rsid w:val="7F7FB47B"/>
    <w:rsid w:val="7F97A2C1"/>
    <w:rsid w:val="7F999D17"/>
    <w:rsid w:val="7FD619E2"/>
    <w:rsid w:val="7FEC045F"/>
    <w:rsid w:val="7FEEEC94"/>
    <w:rsid w:val="7FFA66D5"/>
    <w:rsid w:val="7FFA73F6"/>
    <w:rsid w:val="7FFB270A"/>
    <w:rsid w:val="7FFF6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C90F"/>
  <w15:docId w15:val="{03827462-D1AC-40B8-94D5-C1CD4E77E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2">
    <w:name w:val="heading 2"/>
    <w:basedOn w:val="a"/>
    <w:next w:val="a"/>
    <w:link w:val="20"/>
    <w:uiPriority w:val="9"/>
    <w:qFormat/>
    <w:pPr>
      <w:spacing w:before="100" w:beforeAutospacing="1" w:after="100" w:afterAutospacing="1"/>
      <w:jc w:val="left"/>
      <w:outlineLvl w:val="1"/>
    </w:pPr>
    <w:rPr>
      <w:rFonts w:ascii="宋体" w:hAnsi="宋体" w:hint="eastAsia"/>
      <w:b/>
      <w:bCs/>
      <w:kern w:val="0"/>
      <w:sz w:val="36"/>
      <w:szCs w:val="36"/>
    </w:rPr>
  </w:style>
  <w:style w:type="paragraph" w:styleId="3">
    <w:name w:val="heading 3"/>
    <w:basedOn w:val="a"/>
    <w:next w:val="a"/>
    <w:link w:val="30"/>
    <w:uiPriority w:val="9"/>
    <w:qFormat/>
    <w:pPr>
      <w:spacing w:before="100" w:beforeAutospacing="1" w:after="100"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link w:val="a6"/>
    <w:uiPriority w:val="99"/>
    <w:unhideWhenUsed/>
    <w:qFormat/>
    <w:rPr>
      <w:rFonts w:ascii="宋体" w:hAnsi="Courier New"/>
      <w:kern w:val="0"/>
      <w:sz w:val="20"/>
      <w:szCs w:val="21"/>
    </w:rPr>
  </w:style>
  <w:style w:type="paragraph" w:styleId="a7">
    <w:name w:val="Date"/>
    <w:basedOn w:val="a"/>
    <w:next w:val="a"/>
    <w:link w:val="a8"/>
    <w:uiPriority w:val="99"/>
    <w:semiHidden/>
    <w:unhideWhenUsed/>
    <w:qFormat/>
    <w:pPr>
      <w:ind w:leftChars="2500" w:left="100"/>
    </w:pPr>
  </w:style>
  <w:style w:type="paragraph" w:styleId="21">
    <w:name w:val="Body Text Indent 2"/>
    <w:basedOn w:val="a"/>
    <w:link w:val="22"/>
    <w:qFormat/>
    <w:pPr>
      <w:ind w:left="270"/>
      <w:jc w:val="center"/>
    </w:pPr>
    <w:rPr>
      <w:rFonts w:ascii="宋体" w:hAnsi="宋体"/>
      <w:b/>
      <w:sz w:val="36"/>
      <w:szCs w:val="28"/>
    </w:r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af">
    <w:name w:val="annotation subject"/>
    <w:basedOn w:val="a3"/>
    <w:next w:val="a3"/>
    <w:link w:val="af0"/>
    <w:uiPriority w:val="99"/>
    <w:semiHidden/>
    <w:unhideWhenUsed/>
    <w:qFormat/>
    <w:rPr>
      <w:b/>
      <w:bCs/>
    </w:rPr>
  </w:style>
  <w:style w:type="character" w:styleId="af1">
    <w:name w:val="Emphasis"/>
    <w:uiPriority w:val="20"/>
    <w:qFormat/>
    <w:rPr>
      <w:i/>
    </w:rPr>
  </w:style>
  <w:style w:type="character" w:styleId="af2">
    <w:name w:val="annotation reference"/>
    <w:basedOn w:val="a0"/>
    <w:uiPriority w:val="99"/>
    <w:semiHidden/>
    <w:unhideWhenUsed/>
    <w:qFormat/>
    <w:rPr>
      <w:sz w:val="21"/>
      <w:szCs w:val="21"/>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20">
    <w:name w:val="标题 2 字符"/>
    <w:basedOn w:val="a0"/>
    <w:link w:val="2"/>
    <w:uiPriority w:val="9"/>
    <w:qFormat/>
    <w:rPr>
      <w:rFonts w:ascii="宋体" w:eastAsia="宋体" w:hAnsi="宋体" w:cs="Times New Roman"/>
      <w:b/>
      <w:bCs/>
      <w:kern w:val="0"/>
      <w:sz w:val="36"/>
      <w:szCs w:val="36"/>
    </w:rPr>
  </w:style>
  <w:style w:type="character" w:customStyle="1" w:styleId="30">
    <w:name w:val="标题 3 字符"/>
    <w:basedOn w:val="a0"/>
    <w:link w:val="3"/>
    <w:uiPriority w:val="9"/>
    <w:qFormat/>
    <w:rPr>
      <w:rFonts w:ascii="宋体" w:eastAsia="宋体" w:hAnsi="宋体" w:cs="Times New Roman"/>
      <w:b/>
      <w:bCs/>
      <w:kern w:val="0"/>
      <w:sz w:val="27"/>
      <w:szCs w:val="27"/>
    </w:rPr>
  </w:style>
  <w:style w:type="character" w:customStyle="1" w:styleId="a6">
    <w:name w:val="纯文本 字符"/>
    <w:basedOn w:val="a0"/>
    <w:link w:val="a5"/>
    <w:uiPriority w:val="99"/>
    <w:qFormat/>
    <w:rPr>
      <w:rFonts w:ascii="宋体" w:eastAsia="宋体" w:hAnsi="Courier New" w:cs="Times New Roman"/>
      <w:kern w:val="0"/>
      <w:sz w:val="20"/>
      <w:szCs w:val="21"/>
    </w:rPr>
  </w:style>
  <w:style w:type="character" w:customStyle="1" w:styleId="22">
    <w:name w:val="正文文本缩进 2 字符"/>
    <w:basedOn w:val="a0"/>
    <w:link w:val="21"/>
    <w:qFormat/>
    <w:rPr>
      <w:rFonts w:ascii="宋体" w:eastAsia="宋体" w:hAnsi="宋体" w:cs="Times New Roman"/>
      <w:b/>
      <w:sz w:val="36"/>
      <w:szCs w:val="28"/>
    </w:rPr>
  </w:style>
  <w:style w:type="paragraph" w:styleId="af3">
    <w:name w:val="List Paragraph"/>
    <w:basedOn w:val="a"/>
    <w:uiPriority w:val="34"/>
    <w:qFormat/>
    <w:pPr>
      <w:ind w:firstLineChars="200" w:firstLine="420"/>
    </w:pPr>
  </w:style>
  <w:style w:type="paragraph" w:customStyle="1" w:styleId="af4">
    <w:name w:val="段"/>
    <w:qFormat/>
    <w:pPr>
      <w:tabs>
        <w:tab w:val="center" w:pos="4201"/>
        <w:tab w:val="right" w:leader="dot" w:pos="9298"/>
      </w:tabs>
      <w:autoSpaceDE w:val="0"/>
      <w:autoSpaceDN w:val="0"/>
      <w:ind w:firstLineChars="200" w:firstLine="420"/>
      <w:jc w:val="both"/>
    </w:pPr>
    <w:rPr>
      <w:rFonts w:ascii="宋体" w:hAnsi="Calibri"/>
      <w:sz w:val="21"/>
    </w:rPr>
  </w:style>
  <w:style w:type="character" w:customStyle="1" w:styleId="aa">
    <w:name w:val="批注框文本 字符"/>
    <w:basedOn w:val="a0"/>
    <w:link w:val="a9"/>
    <w:uiPriority w:val="99"/>
    <w:semiHidden/>
    <w:qFormat/>
    <w:rPr>
      <w:rFonts w:ascii="Calibri" w:eastAsia="宋体" w:hAnsi="Calibri" w:cs="Times New Roman"/>
      <w:sz w:val="18"/>
      <w:szCs w:val="18"/>
    </w:rPr>
  </w:style>
  <w:style w:type="character" w:customStyle="1" w:styleId="a8">
    <w:name w:val="日期 字符"/>
    <w:basedOn w:val="a0"/>
    <w:link w:val="a7"/>
    <w:uiPriority w:val="99"/>
    <w:semiHidden/>
    <w:qFormat/>
    <w:rPr>
      <w:rFonts w:ascii="Calibri" w:eastAsia="宋体" w:hAnsi="Calibri" w:cs="Times New Roman"/>
    </w:rPr>
  </w:style>
  <w:style w:type="character" w:customStyle="1" w:styleId="a4">
    <w:name w:val="批注文字 字符"/>
    <w:basedOn w:val="a0"/>
    <w:link w:val="a3"/>
    <w:uiPriority w:val="99"/>
    <w:semiHidden/>
    <w:qFormat/>
    <w:rPr>
      <w:rFonts w:ascii="Calibri" w:eastAsia="宋体" w:hAnsi="Calibri" w:cs="Times New Roman"/>
    </w:rPr>
  </w:style>
  <w:style w:type="character" w:customStyle="1" w:styleId="af0">
    <w:name w:val="批注主题 字符"/>
    <w:basedOn w:val="a4"/>
    <w:link w:val="af"/>
    <w:uiPriority w:val="99"/>
    <w:semiHidden/>
    <w:qFormat/>
    <w:rPr>
      <w:rFonts w:ascii="Calibri" w:eastAsia="宋体" w:hAnsi="Calibri" w:cs="Times New Roman"/>
      <w:b/>
      <w:bCs/>
    </w:rPr>
  </w:style>
  <w:style w:type="character" w:customStyle="1" w:styleId="Char">
    <w:name w:val="纯文本 Char"/>
    <w:uiPriority w:val="99"/>
    <w:qFormat/>
    <w:rPr>
      <w:rFonts w:ascii="宋体" w:hAnsi="Courier New"/>
      <w:szCs w:val="21"/>
    </w:rPr>
  </w:style>
  <w:style w:type="character" w:styleId="af5">
    <w:name w:val="line number"/>
    <w:basedOn w:val="a0"/>
    <w:uiPriority w:val="99"/>
    <w:semiHidden/>
    <w:unhideWhenUsed/>
    <w:rsid w:val="00141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909</Words>
  <Characters>5183</Characters>
  <Application>Microsoft Office Word</Application>
  <DocSecurity>0</DocSecurity>
  <Lines>43</Lines>
  <Paragraphs>12</Paragraphs>
  <ScaleCrop>false</ScaleCrop>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李丽玉</dc:creator>
  <cp:lastModifiedBy>GT</cp:lastModifiedBy>
  <cp:revision>2024</cp:revision>
  <cp:lastPrinted>2022-08-30T05:31:00Z</cp:lastPrinted>
  <dcterms:created xsi:type="dcterms:W3CDTF">2021-07-10T00:32:00Z</dcterms:created>
  <dcterms:modified xsi:type="dcterms:W3CDTF">2026-08-03T02:25:00Z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6E8D56CF1E751B4C6B7A686AF9ABC534_43</vt:lpwstr>
  </property>
  <property fmtid="{D5CDD505-2E9C-101B-9397-08002B2CF9AE}" pid="4" name="KSOTemplateDocerSaveRecord">
    <vt:lpwstr>eyJoZGlkIjoiOGU4ZTk0MGI0ZDI3OTcxNWZlYWFhMjlhNWUwMGIwM2QiLCJ1c2VySWQiOiIzNzc5ODQ5MTEifQ==</vt:lpwstr>
  </property>
</Properties>
</file>